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b/>
          <w:sz w:val="20"/>
        </w:rPr>
      </w:pPr>
      <w:bookmarkStart w:id="0" w:name="d882334ds8pos.htm"/>
      <w:bookmarkStart w:id="1" w:name="ksd882334ds8pos"/>
      <w:bookmarkEnd w:id="0"/>
      <w:bookmarkEnd w:id="1"/>
      <w:r>
        <w:rPr>
          <w:rFonts w:ascii="Times New Roman" w:hAnsi="Times New Roman"/>
          <w:b/>
          <w:sz w:val="20"/>
        </w:rPr>
        <w:t xml:space="preserve">As filed with the Securities and Exchange Commission on July 18, 2025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333-203749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333-210125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333-216575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333-223131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333-229885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333-236421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333-238039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333-253215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333-262800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333-266469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333-269844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333-277149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333-280405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333-284918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POST-EFFECTIVE AMENDMENT NO. 1 TO: </w:t>
      </w:r>
    </w:p>
    <w:p>
      <w:pPr>
        <w:pStyle w:val="TextBody"/>
        <w:bidi w:val="0"/>
        <w:spacing w:before="0" w:after="0"/>
        <w:jc w:val="center"/>
        <w:rPr>
          <w:rFonts w:ascii="Times New Roman" w:hAnsi="Times New Roman"/>
          <w:b/>
          <w:sz w:val="24"/>
        </w:rPr>
      </w:pPr>
      <w:r>
        <w:rPr>
          <w:rFonts w:ascii="Times New Roman" w:hAnsi="Times New Roman"/>
          <w:b/>
          <w:sz w:val="24"/>
        </w:rPr>
        <w:t xml:space="preserve">FORM S-8 REGISTRATION STATEMENT NO. 333-203749 </w:t>
      </w:r>
    </w:p>
    <w:p>
      <w:pPr>
        <w:pStyle w:val="TextBody"/>
        <w:bidi w:val="0"/>
        <w:spacing w:before="0" w:after="0"/>
        <w:jc w:val="center"/>
        <w:rPr>
          <w:rFonts w:ascii="Times New Roman" w:hAnsi="Times New Roman"/>
          <w:b/>
          <w:sz w:val="24"/>
        </w:rPr>
      </w:pPr>
      <w:r>
        <w:rPr>
          <w:rFonts w:ascii="Times New Roman" w:hAnsi="Times New Roman"/>
          <w:b/>
          <w:sz w:val="24"/>
        </w:rPr>
        <w:t xml:space="preserve">FORM S-8 REGISTRATION STATEMENT NO. 333-210125 </w:t>
      </w:r>
    </w:p>
    <w:p>
      <w:pPr>
        <w:pStyle w:val="TextBody"/>
        <w:bidi w:val="0"/>
        <w:spacing w:before="0" w:after="0"/>
        <w:jc w:val="center"/>
        <w:rPr>
          <w:rFonts w:ascii="Times New Roman" w:hAnsi="Times New Roman"/>
          <w:b/>
          <w:sz w:val="24"/>
        </w:rPr>
      </w:pPr>
      <w:r>
        <w:rPr>
          <w:rFonts w:ascii="Times New Roman" w:hAnsi="Times New Roman"/>
          <w:b/>
          <w:sz w:val="24"/>
        </w:rPr>
        <w:t xml:space="preserve">FORM S-8 REGISTRATION STATEMENT NO. 333-216575 </w:t>
      </w:r>
    </w:p>
    <w:p>
      <w:pPr>
        <w:pStyle w:val="TextBody"/>
        <w:bidi w:val="0"/>
        <w:spacing w:before="0" w:after="0"/>
        <w:jc w:val="center"/>
        <w:rPr>
          <w:rFonts w:ascii="Times New Roman" w:hAnsi="Times New Roman"/>
          <w:b/>
          <w:sz w:val="24"/>
        </w:rPr>
      </w:pPr>
      <w:r>
        <w:rPr>
          <w:rFonts w:ascii="Times New Roman" w:hAnsi="Times New Roman"/>
          <w:b/>
          <w:sz w:val="24"/>
        </w:rPr>
        <w:t xml:space="preserve">FORM S-8 REGISTRATION STATEMENT NO. 333-223131 </w:t>
      </w:r>
    </w:p>
    <w:p>
      <w:pPr>
        <w:pStyle w:val="TextBody"/>
        <w:bidi w:val="0"/>
        <w:spacing w:before="0" w:after="0"/>
        <w:jc w:val="center"/>
        <w:rPr>
          <w:rFonts w:ascii="Times New Roman" w:hAnsi="Times New Roman"/>
          <w:b/>
          <w:sz w:val="24"/>
        </w:rPr>
      </w:pPr>
      <w:r>
        <w:rPr>
          <w:rFonts w:ascii="Times New Roman" w:hAnsi="Times New Roman"/>
          <w:b/>
          <w:sz w:val="24"/>
        </w:rPr>
        <w:t xml:space="preserve">FORM S-8 REGISTRATION STATEMENT NO. 333-229885 </w:t>
      </w:r>
    </w:p>
    <w:p>
      <w:pPr>
        <w:pStyle w:val="TextBody"/>
        <w:bidi w:val="0"/>
        <w:spacing w:before="0" w:after="0"/>
        <w:jc w:val="center"/>
        <w:rPr>
          <w:rFonts w:ascii="Times New Roman" w:hAnsi="Times New Roman"/>
          <w:b/>
          <w:sz w:val="24"/>
        </w:rPr>
      </w:pPr>
      <w:r>
        <w:rPr>
          <w:rFonts w:ascii="Times New Roman" w:hAnsi="Times New Roman"/>
          <w:b/>
          <w:sz w:val="24"/>
        </w:rPr>
        <w:t xml:space="preserve">FORM S-8 REGISTRATION STATEMENT NO. 333-236421 </w:t>
      </w:r>
    </w:p>
    <w:p>
      <w:pPr>
        <w:pStyle w:val="TextBody"/>
        <w:bidi w:val="0"/>
        <w:spacing w:before="0" w:after="0"/>
        <w:jc w:val="center"/>
        <w:rPr>
          <w:rFonts w:ascii="Times New Roman" w:hAnsi="Times New Roman"/>
          <w:b/>
          <w:sz w:val="24"/>
        </w:rPr>
      </w:pPr>
      <w:r>
        <w:rPr>
          <w:rFonts w:ascii="Times New Roman" w:hAnsi="Times New Roman"/>
          <w:b/>
          <w:sz w:val="24"/>
        </w:rPr>
        <w:t xml:space="preserve">FORM S-8 REGISTRATION STATEMENT NO. 333-238039 </w:t>
      </w:r>
    </w:p>
    <w:p>
      <w:pPr>
        <w:pStyle w:val="TextBody"/>
        <w:bidi w:val="0"/>
        <w:spacing w:before="0" w:after="0"/>
        <w:jc w:val="center"/>
        <w:rPr>
          <w:rFonts w:ascii="Times New Roman" w:hAnsi="Times New Roman"/>
          <w:b/>
          <w:sz w:val="24"/>
        </w:rPr>
      </w:pPr>
      <w:r>
        <w:rPr>
          <w:rFonts w:ascii="Times New Roman" w:hAnsi="Times New Roman"/>
          <w:b/>
          <w:sz w:val="24"/>
        </w:rPr>
        <w:t xml:space="preserve">FORM S-8 REGISTRATION STATEMENT NO. 333-253215 </w:t>
      </w:r>
    </w:p>
    <w:p>
      <w:pPr>
        <w:pStyle w:val="TextBody"/>
        <w:bidi w:val="0"/>
        <w:spacing w:before="0" w:after="0"/>
        <w:jc w:val="center"/>
        <w:rPr>
          <w:rFonts w:ascii="Times New Roman" w:hAnsi="Times New Roman"/>
          <w:b/>
          <w:sz w:val="24"/>
        </w:rPr>
      </w:pPr>
      <w:r>
        <w:rPr>
          <w:rFonts w:ascii="Times New Roman" w:hAnsi="Times New Roman"/>
          <w:b/>
          <w:sz w:val="24"/>
        </w:rPr>
        <w:t xml:space="preserve">FORM S-8 REGISTRATION STATEMENT NO. 333-262800 </w:t>
      </w:r>
    </w:p>
    <w:p>
      <w:pPr>
        <w:pStyle w:val="TextBody"/>
        <w:bidi w:val="0"/>
        <w:spacing w:before="0" w:after="0"/>
        <w:jc w:val="center"/>
        <w:rPr>
          <w:rFonts w:ascii="Times New Roman" w:hAnsi="Times New Roman"/>
          <w:b/>
          <w:sz w:val="24"/>
        </w:rPr>
      </w:pPr>
      <w:r>
        <w:rPr>
          <w:rFonts w:ascii="Times New Roman" w:hAnsi="Times New Roman"/>
          <w:b/>
          <w:sz w:val="24"/>
        </w:rPr>
        <w:t xml:space="preserve">FORM S-8 REGISTRATION STATEMENT NO. 333-266469 </w:t>
      </w:r>
    </w:p>
    <w:p>
      <w:pPr>
        <w:pStyle w:val="TextBody"/>
        <w:bidi w:val="0"/>
        <w:spacing w:before="0" w:after="0"/>
        <w:jc w:val="center"/>
        <w:rPr>
          <w:rFonts w:ascii="Times New Roman" w:hAnsi="Times New Roman"/>
          <w:b/>
          <w:sz w:val="24"/>
        </w:rPr>
      </w:pPr>
      <w:r>
        <w:rPr>
          <w:rFonts w:ascii="Times New Roman" w:hAnsi="Times New Roman"/>
          <w:b/>
          <w:sz w:val="24"/>
        </w:rPr>
        <w:t xml:space="preserve">FORM S-8 REGISTRATION STATEMENT NO. 333-269844 </w:t>
      </w:r>
    </w:p>
    <w:p>
      <w:pPr>
        <w:pStyle w:val="TextBody"/>
        <w:bidi w:val="0"/>
        <w:spacing w:before="0" w:after="0"/>
        <w:jc w:val="center"/>
        <w:rPr>
          <w:rFonts w:ascii="Times New Roman" w:hAnsi="Times New Roman"/>
          <w:b/>
          <w:sz w:val="24"/>
        </w:rPr>
      </w:pPr>
      <w:r>
        <w:rPr>
          <w:rFonts w:ascii="Times New Roman" w:hAnsi="Times New Roman"/>
          <w:b/>
          <w:sz w:val="24"/>
        </w:rPr>
        <w:t xml:space="preserve">FORM S-8 REGISTRATION STATEMENT NO. 333-277149 </w:t>
      </w:r>
    </w:p>
    <w:p>
      <w:pPr>
        <w:pStyle w:val="TextBody"/>
        <w:bidi w:val="0"/>
        <w:spacing w:before="0" w:after="0"/>
        <w:jc w:val="center"/>
        <w:rPr>
          <w:rFonts w:ascii="Times New Roman" w:hAnsi="Times New Roman"/>
          <w:b/>
          <w:sz w:val="24"/>
        </w:rPr>
      </w:pPr>
      <w:r>
        <w:rPr>
          <w:rFonts w:ascii="Times New Roman" w:hAnsi="Times New Roman"/>
          <w:b/>
          <w:sz w:val="24"/>
        </w:rPr>
        <w:t xml:space="preserve">FORM S-8 REGISTRATION STATEMENT NO. 333-280405 </w:t>
      </w:r>
    </w:p>
    <w:p>
      <w:pPr>
        <w:pStyle w:val="TextBody"/>
        <w:bidi w:val="0"/>
        <w:spacing w:before="0" w:after="0"/>
        <w:jc w:val="center"/>
        <w:rPr>
          <w:rFonts w:ascii="Times New Roman" w:hAnsi="Times New Roman"/>
          <w:b/>
          <w:sz w:val="24"/>
        </w:rPr>
      </w:pPr>
      <w:r>
        <w:rPr>
          <w:rFonts w:ascii="Times New Roman" w:hAnsi="Times New Roman"/>
          <w:b/>
          <w:sz w:val="24"/>
        </w:rPr>
        <w:t xml:space="preserve">FORM S-8 REGISTRATION STATEMENT NO. 333-284918 </w:t>
      </w:r>
    </w:p>
    <w:p>
      <w:pPr>
        <w:pStyle w:val="TextBody"/>
        <w:bidi w:val="0"/>
        <w:spacing w:before="0" w:after="0"/>
        <w:jc w:val="center"/>
        <w:rPr>
          <w:rFonts w:ascii="Times New Roman" w:hAnsi="Times New Roman"/>
          <w:b/>
          <w:i/>
          <w:sz w:val="24"/>
        </w:rPr>
      </w:pPr>
      <w:r>
        <w:rPr>
          <w:rFonts w:ascii="Times New Roman" w:hAnsi="Times New Roman"/>
          <w:b/>
          <w:i/>
          <w:sz w:val="24"/>
        </w:rPr>
        <w:t xml:space="preserve">UNDER </w:t>
      </w:r>
    </w:p>
    <w:p>
      <w:pPr>
        <w:pStyle w:val="TextBody"/>
        <w:bidi w:val="0"/>
        <w:spacing w:before="0" w:after="0"/>
        <w:jc w:val="center"/>
        <w:rPr>
          <w:rFonts w:ascii="Times New Roman" w:hAnsi="Times New Roman"/>
          <w:b/>
          <w:i/>
          <w:sz w:val="24"/>
        </w:rPr>
      </w:pPr>
      <w:r>
        <w:rPr>
          <w:rFonts w:ascii="Times New Roman" w:hAnsi="Times New Roman"/>
          <w:b/>
          <w:i/>
          <w:sz w:val="24"/>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Blueprint Medicines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283"/>
              <w:jc w:val="center"/>
              <w:rPr>
                <w:b/>
              </w:rPr>
            </w:pPr>
            <w:r>
              <w:rPr>
                <w:b/>
              </w:rPr>
              <w:t>Delaware</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26-3632015</w:t>
            </w:r>
          </w:p>
        </w:tc>
      </w:tr>
      <w:tr>
        <w:trPr/>
        <w:tc>
          <w:tcPr>
            <w:tcW w:w="5153"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 or organization)</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r>
        <w:trPr>
          <w:trHeight w:val="240" w:hRule="atLeast"/>
        </w:trPr>
        <w:tc>
          <w:tcPr>
            <w:tcW w:w="5153" w:type="dxa"/>
            <w:tcBorders/>
            <w:vAlign w:val="center"/>
          </w:tcPr>
          <w:p>
            <w:pPr>
              <w:pStyle w:val="TableContents"/>
              <w:bidi w:val="0"/>
              <w:spacing w:before="0" w:after="283"/>
              <w:jc w:val="left"/>
              <w:rPr>
                <w:sz w:val="4"/>
                <w:szCs w:val="4"/>
              </w:rPr>
            </w:pPr>
            <w:r>
              <w:rPr>
                <w:sz w:val="4"/>
                <w:szCs w:val="4"/>
              </w:rPr>
            </w:r>
          </w:p>
        </w:tc>
        <w:tc>
          <w:tcPr>
            <w:tcW w:w="5052" w:type="dxa"/>
            <w:gridSpan w:val="2"/>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0"/>
              <w:jc w:val="center"/>
              <w:rPr>
                <w:rFonts w:ascii="Times New Roman" w:hAnsi="Times New Roman"/>
                <w:b/>
                <w:sz w:val="20"/>
              </w:rPr>
            </w:pPr>
            <w:r>
              <w:rPr>
                <w:rFonts w:ascii="Times New Roman" w:hAnsi="Times New Roman"/>
                <w:b/>
                <w:sz w:val="20"/>
              </w:rPr>
              <w:t>45 Sidney Street</w:t>
            </w:r>
          </w:p>
          <w:p>
            <w:pPr>
              <w:pStyle w:val="TableContents"/>
              <w:bidi w:val="0"/>
              <w:spacing w:before="0" w:after="20"/>
              <w:jc w:val="center"/>
              <w:rPr>
                <w:rFonts w:ascii="Times New Roman" w:hAnsi="Times New Roman"/>
                <w:b/>
                <w:sz w:val="20"/>
              </w:rPr>
            </w:pPr>
            <w:r>
              <w:rPr>
                <w:rFonts w:ascii="Times New Roman" w:hAnsi="Times New Roman"/>
                <w:b/>
                <w:sz w:val="20"/>
              </w:rPr>
              <w:t>Cambridge, Massachusetts</w:t>
            </w:r>
          </w:p>
        </w:tc>
        <w:tc>
          <w:tcPr>
            <w:tcW w:w="103" w:type="dxa"/>
            <w:tcBorders/>
            <w:vAlign w:val="bottom"/>
          </w:tcPr>
          <w:p>
            <w:pPr>
              <w:pStyle w:val="TableContents"/>
              <w:bidi w:val="0"/>
              <w:spacing w:before="0" w:after="283"/>
              <w:jc w:val="left"/>
              <w:rPr/>
            </w:pPr>
            <w:r>
              <w:rPr/>
              <w:t> </w:t>
            </w:r>
          </w:p>
        </w:tc>
        <w:tc>
          <w:tcPr>
            <w:tcW w:w="4949" w:type="dxa"/>
            <w:tcBorders/>
            <w:vAlign w:val="bottom"/>
          </w:tcPr>
          <w:p>
            <w:pPr>
              <w:pStyle w:val="TableContents"/>
              <w:bidi w:val="0"/>
              <w:spacing w:before="0" w:after="283"/>
              <w:jc w:val="center"/>
              <w:rPr>
                <w:b/>
              </w:rPr>
            </w:pPr>
            <w:r>
              <w:rPr>
                <w:b/>
              </w:rPr>
              <w:t>02139</w:t>
            </w:r>
          </w:p>
        </w:tc>
      </w:tr>
      <w:tr>
        <w:trPr/>
        <w:tc>
          <w:tcPr>
            <w:tcW w:w="5153" w:type="dxa"/>
            <w:tcBorders/>
          </w:tcPr>
          <w:p>
            <w:pPr>
              <w:pStyle w:val="TableContents"/>
              <w:bidi w:val="0"/>
              <w:spacing w:before="0" w:after="283"/>
              <w:jc w:val="center"/>
              <w:rPr>
                <w:b/>
              </w:rPr>
            </w:pPr>
            <w:r>
              <w:rPr>
                <w:b/>
              </w:rPr>
              <w:t>(Address of Principal Executive Offices)</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(Zip Code)</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Blueprint Medicines Corporation 2011 Stock Option and Grant Plan </w:t>
      </w:r>
    </w:p>
    <w:p>
      <w:pPr>
        <w:pStyle w:val="TextBody"/>
        <w:bidi w:val="0"/>
        <w:spacing w:before="0" w:after="0"/>
        <w:jc w:val="center"/>
        <w:rPr>
          <w:rFonts w:ascii="Times New Roman" w:hAnsi="Times New Roman"/>
          <w:b/>
          <w:sz w:val="20"/>
        </w:rPr>
      </w:pPr>
      <w:r>
        <w:rPr>
          <w:rFonts w:ascii="Times New Roman" w:hAnsi="Times New Roman"/>
          <w:b/>
          <w:sz w:val="20"/>
        </w:rPr>
        <w:t xml:space="preserve">Blueprint Medicines Corporation 2015 Stock Option and Incentive Plan </w:t>
      </w:r>
    </w:p>
    <w:p>
      <w:pPr>
        <w:pStyle w:val="TextBody"/>
        <w:bidi w:val="0"/>
        <w:spacing w:before="0" w:after="0"/>
        <w:jc w:val="center"/>
        <w:rPr>
          <w:rFonts w:ascii="Times New Roman" w:hAnsi="Times New Roman"/>
          <w:b/>
          <w:sz w:val="20"/>
        </w:rPr>
      </w:pPr>
      <w:r>
        <w:rPr>
          <w:rFonts w:ascii="Times New Roman" w:hAnsi="Times New Roman"/>
          <w:b/>
          <w:sz w:val="20"/>
        </w:rPr>
        <w:t xml:space="preserve">Blueprint Medicines Corporation 2015 Employee Stock Purchase Plan </w:t>
      </w:r>
    </w:p>
    <w:p>
      <w:pPr>
        <w:pStyle w:val="TextBody"/>
        <w:bidi w:val="0"/>
        <w:spacing w:before="0" w:after="0"/>
        <w:jc w:val="center"/>
        <w:rPr>
          <w:rFonts w:ascii="Times New Roman" w:hAnsi="Times New Roman"/>
          <w:b/>
          <w:sz w:val="20"/>
        </w:rPr>
      </w:pPr>
      <w:r>
        <w:rPr>
          <w:rFonts w:ascii="Times New Roman" w:hAnsi="Times New Roman"/>
          <w:b/>
          <w:sz w:val="20"/>
        </w:rPr>
        <w:t xml:space="preserve">2015 Stock Option and Incentive Plan </w:t>
      </w:r>
    </w:p>
    <w:p>
      <w:pPr>
        <w:pStyle w:val="TextBody"/>
        <w:bidi w:val="0"/>
        <w:spacing w:before="0" w:after="0"/>
        <w:jc w:val="center"/>
        <w:rPr>
          <w:rFonts w:ascii="Times New Roman" w:hAnsi="Times New Roman"/>
          <w:b/>
          <w:sz w:val="20"/>
        </w:rPr>
      </w:pPr>
      <w:r>
        <w:rPr>
          <w:rFonts w:ascii="Times New Roman" w:hAnsi="Times New Roman"/>
          <w:b/>
          <w:sz w:val="20"/>
        </w:rPr>
        <w:t xml:space="preserve">2015 Employee Stock Purchase Plan </w:t>
      </w:r>
    </w:p>
    <w:p>
      <w:pPr>
        <w:pStyle w:val="TextBody"/>
        <w:bidi w:val="0"/>
        <w:spacing w:before="0" w:after="0"/>
        <w:jc w:val="center"/>
        <w:rPr>
          <w:rFonts w:ascii="Times New Roman" w:hAnsi="Times New Roman"/>
          <w:b/>
          <w:sz w:val="20"/>
        </w:rPr>
      </w:pPr>
      <w:r>
        <w:rPr>
          <w:rFonts w:ascii="Times New Roman" w:hAnsi="Times New Roman"/>
          <w:b/>
          <w:sz w:val="20"/>
        </w:rPr>
        <w:t xml:space="preserve">Blueprint Medicines Corporation 2020 Inducement Plan </w:t>
      </w:r>
    </w:p>
    <w:p>
      <w:pPr>
        <w:pStyle w:val="TextBody"/>
        <w:bidi w:val="0"/>
        <w:spacing w:before="0" w:after="0"/>
        <w:jc w:val="center"/>
        <w:rPr>
          <w:rFonts w:ascii="Times New Roman" w:hAnsi="Times New Roman"/>
          <w:b/>
          <w:sz w:val="20"/>
        </w:rPr>
      </w:pPr>
      <w:r>
        <w:rPr>
          <w:rFonts w:ascii="Times New Roman" w:hAnsi="Times New Roman"/>
          <w:b/>
          <w:sz w:val="20"/>
        </w:rPr>
        <w:t xml:space="preserve">Blueprint Medicines Corporation Amended and Restated 2020 Inducement Plan </w:t>
      </w:r>
    </w:p>
    <w:p>
      <w:pPr>
        <w:pStyle w:val="TextBody"/>
        <w:bidi w:val="0"/>
        <w:spacing w:before="0" w:after="0"/>
        <w:jc w:val="center"/>
        <w:rPr>
          <w:rFonts w:ascii="Times New Roman" w:hAnsi="Times New Roman"/>
          <w:b/>
          <w:sz w:val="20"/>
        </w:rPr>
      </w:pPr>
      <w:r>
        <w:rPr>
          <w:rFonts w:ascii="Times New Roman" w:hAnsi="Times New Roman"/>
          <w:b/>
          <w:sz w:val="20"/>
        </w:rPr>
        <w:t xml:space="preserve">2024 Stock Incentive Plan </w:t>
      </w:r>
    </w:p>
    <w:p>
      <w:pPr>
        <w:pStyle w:val="TextBody"/>
        <w:bidi w:val="0"/>
        <w:spacing w:before="0" w:after="0"/>
        <w:jc w:val="center"/>
        <w:rPr>
          <w:rFonts w:ascii="Times New Roman" w:hAnsi="Times New Roman"/>
          <w:b/>
          <w:sz w:val="16"/>
        </w:rPr>
      </w:pPr>
      <w:r>
        <w:rPr>
          <w:rFonts w:ascii="Times New Roman" w:hAnsi="Times New Roman"/>
          <w:b/>
          <w:sz w:val="16"/>
        </w:rPr>
        <w:t xml:space="preserve">(Full titles of the plans) </w:t>
      </w:r>
    </w:p>
    <w:p>
      <w:pPr>
        <w:pStyle w:val="TextBody"/>
        <w:bidi w:val="0"/>
        <w:spacing w:before="240" w:after="0"/>
        <w:jc w:val="center"/>
        <w:rPr>
          <w:rFonts w:ascii="Times New Roman" w:hAnsi="Times New Roman"/>
          <w:b/>
          <w:sz w:val="20"/>
        </w:rPr>
      </w:pPr>
      <w:r>
        <w:rPr>
          <w:rFonts w:ascii="Times New Roman" w:hAnsi="Times New Roman"/>
          <w:b/>
          <w:sz w:val="20"/>
        </w:rPr>
        <w:t xml:space="preserve">Michael J. Tolpa </w:t>
      </w:r>
    </w:p>
    <w:p>
      <w:pPr>
        <w:pStyle w:val="TextBody"/>
        <w:bidi w:val="0"/>
        <w:spacing w:before="0" w:after="0"/>
        <w:jc w:val="center"/>
        <w:rPr>
          <w:rFonts w:ascii="Times New Roman" w:hAnsi="Times New Roman"/>
          <w:b/>
          <w:sz w:val="20"/>
        </w:rPr>
      </w:pPr>
      <w:r>
        <w:rPr>
          <w:rFonts w:ascii="Times New Roman" w:hAnsi="Times New Roman"/>
          <w:b/>
          <w:sz w:val="20"/>
        </w:rPr>
        <w:t xml:space="preserve">Treasurer </w:t>
      </w:r>
    </w:p>
    <w:p>
      <w:pPr>
        <w:pStyle w:val="TextBody"/>
        <w:bidi w:val="0"/>
        <w:spacing w:before="0" w:after="0"/>
        <w:jc w:val="center"/>
        <w:rPr>
          <w:rFonts w:ascii="Times New Roman" w:hAnsi="Times New Roman"/>
          <w:b/>
          <w:sz w:val="20"/>
        </w:rPr>
      </w:pPr>
      <w:r>
        <w:rPr>
          <w:rFonts w:ascii="Times New Roman" w:hAnsi="Times New Roman"/>
          <w:b/>
          <w:sz w:val="20"/>
        </w:rPr>
        <w:t xml:space="preserve">Blueprint Medicines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251 Little Falls Drive </w:t>
      </w:r>
    </w:p>
    <w:p>
      <w:pPr>
        <w:pStyle w:val="TextBody"/>
        <w:bidi w:val="0"/>
        <w:spacing w:before="0" w:after="0"/>
        <w:jc w:val="center"/>
        <w:rPr>
          <w:rFonts w:ascii="Times New Roman" w:hAnsi="Times New Roman"/>
          <w:b/>
          <w:sz w:val="20"/>
        </w:rPr>
      </w:pPr>
      <w:r>
        <w:rPr>
          <w:rFonts w:ascii="Times New Roman" w:hAnsi="Times New Roman"/>
          <w:b/>
          <w:sz w:val="20"/>
        </w:rPr>
        <w:t xml:space="preserve">Wilmington, Delaware 19808 </w:t>
      </w:r>
    </w:p>
    <w:p>
      <w:pPr>
        <w:pStyle w:val="TextBody"/>
        <w:bidi w:val="0"/>
        <w:spacing w:before="0" w:after="0"/>
        <w:jc w:val="center"/>
        <w:rPr>
          <w:rFonts w:ascii="Times New Roman" w:hAnsi="Times New Roman"/>
          <w:b/>
          <w:sz w:val="20"/>
        </w:rPr>
      </w:pPr>
      <w:r>
        <w:rPr>
          <w:rFonts w:ascii="Times New Roman" w:hAnsi="Times New Roman"/>
          <w:b/>
          <w:sz w:val="20"/>
        </w:rPr>
        <w:t>(302) 636-5401</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and telephone number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i/>
          <w:sz w:val="20"/>
        </w:rPr>
      </w:pPr>
      <w:r>
        <w:rPr>
          <w:rFonts w:ascii="Times New Roman" w:hAnsi="Times New Roman"/>
          <w:b/>
          <w:i/>
          <w:sz w:val="20"/>
        </w:rPr>
        <w:t xml:space="preserve">Copies to: </w:t>
      </w:r>
    </w:p>
    <w:p>
      <w:pPr>
        <w:pStyle w:val="TextBody"/>
        <w:bidi w:val="0"/>
        <w:spacing w:before="120" w:after="0"/>
        <w:jc w:val="center"/>
        <w:rPr>
          <w:rFonts w:ascii="Times New Roman" w:hAnsi="Times New Roman"/>
          <w:b/>
          <w:sz w:val="20"/>
        </w:rPr>
      </w:pPr>
      <w:r>
        <w:rPr>
          <w:rFonts w:ascii="Times New Roman" w:hAnsi="Times New Roman"/>
          <w:b/>
          <w:sz w:val="20"/>
        </w:rPr>
        <w:t xml:space="preserve">Michael J. Aiello, Esq. </w:t>
      </w:r>
    </w:p>
    <w:p>
      <w:pPr>
        <w:pStyle w:val="TextBody"/>
        <w:bidi w:val="0"/>
        <w:spacing w:before="0" w:after="0"/>
        <w:jc w:val="center"/>
        <w:rPr>
          <w:rFonts w:ascii="Times New Roman" w:hAnsi="Times New Roman"/>
          <w:b/>
          <w:sz w:val="20"/>
        </w:rPr>
      </w:pPr>
      <w:r>
        <w:rPr>
          <w:rFonts w:ascii="Times New Roman" w:hAnsi="Times New Roman"/>
          <w:b/>
          <w:sz w:val="20"/>
        </w:rPr>
        <w:t xml:space="preserve">Sachin Kohli, Esq. </w:t>
      </w:r>
    </w:p>
    <w:p>
      <w:pPr>
        <w:pStyle w:val="TextBody"/>
        <w:bidi w:val="0"/>
        <w:spacing w:before="0" w:after="0"/>
        <w:jc w:val="center"/>
        <w:rPr>
          <w:rFonts w:ascii="Times New Roman" w:hAnsi="Times New Roman"/>
          <w:b/>
          <w:sz w:val="20"/>
        </w:rPr>
      </w:pPr>
      <w:r>
        <w:rPr>
          <w:rFonts w:ascii="Times New Roman" w:hAnsi="Times New Roman"/>
          <w:b/>
          <w:sz w:val="20"/>
        </w:rPr>
        <w:t xml:space="preserve">Weil, Gotshal &amp; Manges LLP </w:t>
      </w:r>
    </w:p>
    <w:p>
      <w:pPr>
        <w:pStyle w:val="TextBody"/>
        <w:bidi w:val="0"/>
        <w:spacing w:before="0" w:after="0"/>
        <w:jc w:val="center"/>
        <w:rPr>
          <w:rFonts w:ascii="Times New Roman" w:hAnsi="Times New Roman"/>
          <w:b/>
          <w:sz w:val="20"/>
        </w:rPr>
      </w:pPr>
      <w:r>
        <w:rPr>
          <w:rFonts w:ascii="Times New Roman" w:hAnsi="Times New Roman"/>
          <w:b/>
          <w:sz w:val="20"/>
        </w:rPr>
        <w:t xml:space="preserve">767 Fifth Avenue </w:t>
      </w:r>
    </w:p>
    <w:p>
      <w:pPr>
        <w:pStyle w:val="TextBody"/>
        <w:bidi w:val="0"/>
        <w:spacing w:before="0" w:after="0"/>
        <w:jc w:val="center"/>
        <w:rPr>
          <w:rFonts w:ascii="Times New Roman" w:hAnsi="Times New Roman"/>
          <w:b/>
          <w:sz w:val="20"/>
        </w:rPr>
      </w:pPr>
      <w:r>
        <w:rPr>
          <w:rFonts w:ascii="Times New Roman" w:hAnsi="Times New Roman"/>
          <w:b/>
          <w:sz w:val="20"/>
        </w:rPr>
        <w:t xml:space="preserve">New York, New York 10153 </w:t>
      </w:r>
    </w:p>
    <w:p>
      <w:pPr>
        <w:pStyle w:val="TextBody"/>
        <w:bidi w:val="0"/>
        <w:spacing w:before="0" w:after="0"/>
        <w:jc w:val="center"/>
        <w:rPr>
          <w:rFonts w:ascii="Times New Roman" w:hAnsi="Times New Roman"/>
          <w:b/>
          <w:sz w:val="20"/>
        </w:rPr>
      </w:pPr>
      <w:r>
        <w:rPr>
          <w:rFonts w:ascii="Times New Roman" w:hAnsi="Times New Roman"/>
          <w:b/>
          <w:sz w:val="20"/>
        </w:rPr>
        <w:t xml:space="preserve">(212) 310-8000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200"/>
        <w:gridCol w:w="103"/>
        <w:gridCol w:w="4780"/>
        <w:gridCol w:w="127"/>
        <w:gridCol w:w="2636"/>
        <w:gridCol w:w="103"/>
        <w:gridCol w:w="256"/>
      </w:tblGrid>
      <w:tr>
        <w:trPr/>
        <w:tc>
          <w:tcPr>
            <w:tcW w:w="2200"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780"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2636"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2200" w:type="dxa"/>
            <w:tcBorders/>
            <w:vAlign w:val="bottom"/>
          </w:tcPr>
          <w:p>
            <w:pPr>
              <w:pStyle w:val="TableContents"/>
              <w:bidi w:val="0"/>
              <w:spacing w:before="0" w:after="283"/>
              <w:jc w:val="left"/>
              <w:rPr/>
            </w:pPr>
            <w:r>
              <w:rPr/>
              <w:t>Large accelerated filer</w:t>
            </w:r>
          </w:p>
        </w:tc>
        <w:tc>
          <w:tcPr>
            <w:tcW w:w="103" w:type="dxa"/>
            <w:tcBorders/>
            <w:vAlign w:val="bottom"/>
          </w:tcPr>
          <w:p>
            <w:pPr>
              <w:pStyle w:val="TableContents"/>
              <w:bidi w:val="0"/>
              <w:spacing w:before="0" w:after="283"/>
              <w:jc w:val="left"/>
              <w:rPr/>
            </w:pPr>
            <w:r>
              <w:rPr/>
              <w:t> </w:t>
            </w:r>
          </w:p>
        </w:tc>
        <w:tc>
          <w:tcPr>
            <w:tcW w:w="4780" w:type="dxa"/>
            <w:tcBorders/>
            <w:vAlign w:val="bottom"/>
          </w:tcPr>
          <w:p>
            <w:pPr>
              <w:pStyle w:val="TableContents"/>
              <w:bidi w:val="0"/>
              <w:spacing w:before="0" w:after="283"/>
              <w:jc w:val="left"/>
              <w:rPr/>
            </w:pPr>
            <w:r>
              <w:rPr/>
              <w:t>☒</w:t>
            </w:r>
          </w:p>
        </w:tc>
        <w:tc>
          <w:tcPr>
            <w:tcW w:w="127" w:type="dxa"/>
            <w:tcBorders/>
            <w:vAlign w:val="bottom"/>
          </w:tcPr>
          <w:p>
            <w:pPr>
              <w:pStyle w:val="TableContents"/>
              <w:bidi w:val="0"/>
              <w:spacing w:before="0" w:after="283"/>
              <w:jc w:val="left"/>
              <w:rPr/>
            </w:pPr>
            <w:r>
              <w:rPr/>
              <w:t>  </w:t>
            </w:r>
          </w:p>
        </w:tc>
        <w:tc>
          <w:tcPr>
            <w:tcW w:w="2636" w:type="dxa"/>
            <w:tcBorders/>
            <w:vAlign w:val="bottom"/>
          </w:tcPr>
          <w:p>
            <w:pPr>
              <w:pStyle w:val="TableContents"/>
              <w:bidi w:val="0"/>
              <w:spacing w:before="0" w:after="283"/>
              <w:jc w:val="left"/>
              <w:rPr/>
            </w:pPr>
            <w:r>
              <w:rPr/>
              <w:t>Accelerated filer</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r>
        <w:trPr>
          <w:trHeight w:val="120" w:hRule="atLeast"/>
        </w:trPr>
        <w:tc>
          <w:tcPr>
            <w:tcW w:w="2200" w:type="dxa"/>
            <w:tcBorders/>
            <w:vAlign w:val="center"/>
          </w:tcPr>
          <w:p>
            <w:pPr>
              <w:pStyle w:val="TableContents"/>
              <w:bidi w:val="0"/>
              <w:spacing w:before="0" w:after="283"/>
              <w:jc w:val="left"/>
              <w:rPr>
                <w:sz w:val="4"/>
                <w:szCs w:val="4"/>
              </w:rPr>
            </w:pPr>
            <w:r>
              <w:rPr>
                <w:sz w:val="4"/>
                <w:szCs w:val="4"/>
              </w:rPr>
            </w:r>
          </w:p>
        </w:tc>
        <w:tc>
          <w:tcPr>
            <w:tcW w:w="4883" w:type="dxa"/>
            <w:gridSpan w:val="2"/>
            <w:tcBorders/>
            <w:vAlign w:val="center"/>
          </w:tcPr>
          <w:p>
            <w:pPr>
              <w:pStyle w:val="TableContents"/>
              <w:bidi w:val="0"/>
              <w:spacing w:before="0" w:after="283"/>
              <w:jc w:val="left"/>
              <w:rPr>
                <w:sz w:val="4"/>
                <w:szCs w:val="4"/>
              </w:rPr>
            </w:pPr>
            <w:r>
              <w:rPr>
                <w:sz w:val="4"/>
                <w:szCs w:val="4"/>
              </w:rPr>
            </w:r>
          </w:p>
        </w:tc>
        <w:tc>
          <w:tcPr>
            <w:tcW w:w="2763" w:type="dxa"/>
            <w:gridSpan w:val="2"/>
            <w:tcBorders/>
            <w:vAlign w:val="center"/>
          </w:tcPr>
          <w:p>
            <w:pPr>
              <w:pStyle w:val="TableContents"/>
              <w:bidi w:val="0"/>
              <w:spacing w:before="0" w:after="283"/>
              <w:jc w:val="left"/>
              <w:rPr>
                <w:sz w:val="4"/>
                <w:szCs w:val="4"/>
              </w:rPr>
            </w:pPr>
            <w:r>
              <w:rPr>
                <w:sz w:val="4"/>
                <w:szCs w:val="4"/>
              </w:rPr>
            </w:r>
          </w:p>
        </w:tc>
        <w:tc>
          <w:tcPr>
            <w:tcW w:w="359" w:type="dxa"/>
            <w:gridSpan w:val="2"/>
            <w:tcBorders/>
            <w:vAlign w:val="center"/>
          </w:tcPr>
          <w:p>
            <w:pPr>
              <w:pStyle w:val="TableContents"/>
              <w:bidi w:val="0"/>
              <w:spacing w:before="0" w:after="283"/>
              <w:jc w:val="left"/>
              <w:rPr>
                <w:sz w:val="4"/>
                <w:szCs w:val="4"/>
              </w:rPr>
            </w:pPr>
            <w:r>
              <w:rPr>
                <w:sz w:val="4"/>
                <w:szCs w:val="4"/>
              </w:rPr>
            </w:r>
          </w:p>
        </w:tc>
      </w:tr>
      <w:tr>
        <w:trPr/>
        <w:tc>
          <w:tcPr>
            <w:tcW w:w="2200" w:type="dxa"/>
            <w:tcBorders/>
            <w:vAlign w:val="bottom"/>
          </w:tcPr>
          <w:p>
            <w:pPr>
              <w:pStyle w:val="TableContents"/>
              <w:bidi w:val="0"/>
              <w:spacing w:before="0" w:after="283"/>
              <w:jc w:val="left"/>
              <w:rPr/>
            </w:pPr>
            <w:r>
              <w:rPr/>
              <w:t>Non-accelerated filer</w:t>
            </w:r>
          </w:p>
        </w:tc>
        <w:tc>
          <w:tcPr>
            <w:tcW w:w="103" w:type="dxa"/>
            <w:tcBorders/>
            <w:vAlign w:val="bottom"/>
          </w:tcPr>
          <w:p>
            <w:pPr>
              <w:pStyle w:val="TableContents"/>
              <w:bidi w:val="0"/>
              <w:spacing w:before="0" w:after="283"/>
              <w:jc w:val="left"/>
              <w:rPr/>
            </w:pPr>
            <w:r>
              <w:rPr/>
              <w:t> </w:t>
            </w:r>
          </w:p>
        </w:tc>
        <w:tc>
          <w:tcPr>
            <w:tcW w:w="4780" w:type="dxa"/>
            <w:tcBorders/>
            <w:vAlign w:val="bottom"/>
          </w:tcPr>
          <w:p>
            <w:pPr>
              <w:pStyle w:val="TableContents"/>
              <w:bidi w:val="0"/>
              <w:spacing w:before="0" w:after="283"/>
              <w:jc w:val="left"/>
              <w:rPr/>
            </w:pPr>
            <w:r>
              <w:rPr/>
              <w:t>☐</w:t>
            </w:r>
          </w:p>
        </w:tc>
        <w:tc>
          <w:tcPr>
            <w:tcW w:w="127" w:type="dxa"/>
            <w:tcBorders/>
            <w:vAlign w:val="bottom"/>
          </w:tcPr>
          <w:p>
            <w:pPr>
              <w:pStyle w:val="TableContents"/>
              <w:bidi w:val="0"/>
              <w:spacing w:before="0" w:after="283"/>
              <w:jc w:val="left"/>
              <w:rPr/>
            </w:pPr>
            <w:r>
              <w:rPr/>
              <w:t>  </w:t>
            </w:r>
          </w:p>
        </w:tc>
        <w:tc>
          <w:tcPr>
            <w:tcW w:w="2636" w:type="dxa"/>
            <w:tcBorders/>
            <w:vAlign w:val="bottom"/>
          </w:tcPr>
          <w:p>
            <w:pPr>
              <w:pStyle w:val="TableContents"/>
              <w:bidi w:val="0"/>
              <w:spacing w:before="0" w:after="283"/>
              <w:jc w:val="left"/>
              <w:rPr/>
            </w:pPr>
            <w:r>
              <w:rPr/>
              <w:t>Smaller reporting company</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r>
        <w:trPr>
          <w:trHeight w:val="120" w:hRule="atLeast"/>
        </w:trPr>
        <w:tc>
          <w:tcPr>
            <w:tcW w:w="2200" w:type="dxa"/>
            <w:tcBorders/>
            <w:vAlign w:val="center"/>
          </w:tcPr>
          <w:p>
            <w:pPr>
              <w:pStyle w:val="TableContents"/>
              <w:bidi w:val="0"/>
              <w:spacing w:before="0" w:after="283"/>
              <w:jc w:val="left"/>
              <w:rPr>
                <w:sz w:val="4"/>
                <w:szCs w:val="4"/>
              </w:rPr>
            </w:pPr>
            <w:r>
              <w:rPr>
                <w:sz w:val="4"/>
                <w:szCs w:val="4"/>
              </w:rPr>
            </w:r>
          </w:p>
        </w:tc>
        <w:tc>
          <w:tcPr>
            <w:tcW w:w="4883" w:type="dxa"/>
            <w:gridSpan w:val="2"/>
            <w:tcBorders/>
            <w:vAlign w:val="center"/>
          </w:tcPr>
          <w:p>
            <w:pPr>
              <w:pStyle w:val="TableContents"/>
              <w:bidi w:val="0"/>
              <w:spacing w:before="0" w:after="283"/>
              <w:jc w:val="left"/>
              <w:rPr>
                <w:sz w:val="4"/>
                <w:szCs w:val="4"/>
              </w:rPr>
            </w:pPr>
            <w:r>
              <w:rPr>
                <w:sz w:val="4"/>
                <w:szCs w:val="4"/>
              </w:rPr>
            </w:r>
          </w:p>
        </w:tc>
        <w:tc>
          <w:tcPr>
            <w:tcW w:w="2763" w:type="dxa"/>
            <w:gridSpan w:val="2"/>
            <w:tcBorders/>
            <w:vAlign w:val="center"/>
          </w:tcPr>
          <w:p>
            <w:pPr>
              <w:pStyle w:val="TableContents"/>
              <w:bidi w:val="0"/>
              <w:spacing w:before="0" w:after="283"/>
              <w:jc w:val="left"/>
              <w:rPr>
                <w:sz w:val="4"/>
                <w:szCs w:val="4"/>
              </w:rPr>
            </w:pPr>
            <w:r>
              <w:rPr>
                <w:sz w:val="4"/>
                <w:szCs w:val="4"/>
              </w:rPr>
            </w:r>
          </w:p>
        </w:tc>
        <w:tc>
          <w:tcPr>
            <w:tcW w:w="359" w:type="dxa"/>
            <w:gridSpan w:val="2"/>
            <w:tcBorders/>
            <w:vAlign w:val="center"/>
          </w:tcPr>
          <w:p>
            <w:pPr>
              <w:pStyle w:val="TableContents"/>
              <w:bidi w:val="0"/>
              <w:spacing w:before="0" w:after="283"/>
              <w:jc w:val="left"/>
              <w:rPr>
                <w:sz w:val="4"/>
                <w:szCs w:val="4"/>
              </w:rPr>
            </w:pPr>
            <w:r>
              <w:rPr>
                <w:sz w:val="4"/>
                <w:szCs w:val="4"/>
              </w:rPr>
            </w:r>
          </w:p>
        </w:tc>
      </w:tr>
      <w:tr>
        <w:trPr/>
        <w:tc>
          <w:tcPr>
            <w:tcW w:w="2200"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780"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2636" w:type="dxa"/>
            <w:tcBorders/>
            <w:vAlign w:val="bottom"/>
          </w:tcPr>
          <w:p>
            <w:pPr>
              <w:pStyle w:val="TableContents"/>
              <w:bidi w:val="0"/>
              <w:spacing w:before="0" w:after="283"/>
              <w:jc w:val="left"/>
              <w:rPr/>
            </w:pPr>
            <w:r>
              <w:rPr/>
              <w:t>Emerging growth company</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0" w:after="0"/>
        <w:jc w:val="center"/>
        <w:rPr>
          <w:rFonts w:ascii="Times New Roman" w:hAnsi="Times New Roman"/>
          <w:b/>
          <w:sz w:val="20"/>
        </w:rPr>
      </w:pPr>
      <w:r>
        <w:rPr>
          <w:rFonts w:ascii="Times New Roman" w:hAnsi="Times New Roman"/>
          <w:b/>
          <w:sz w:val="20"/>
        </w:rPr>
        <w:t xml:space="preserve">DEREGISTRATION OF SHARES </w:t>
      </w:r>
    </w:p>
    <w:p>
      <w:pPr>
        <w:pStyle w:val="TextBody"/>
        <w:bidi w:val="0"/>
        <w:spacing w:before="240" w:after="0"/>
        <w:jc w:val="left"/>
        <w:rPr>
          <w:rFonts w:ascii="Times New Roman" w:hAnsi="Times New Roman"/>
          <w:sz w:val="20"/>
        </w:rPr>
      </w:pPr>
      <w:r>
        <w:rPr>
          <w:rFonts w:ascii="Times New Roman" w:hAnsi="Times New Roman"/>
          <w:sz w:val="20"/>
        </w:rPr>
        <w:t>Blueprint Medicines Corporation, a Delaware corporation (the </w:t>
      </w:r>
      <w:r>
        <w:rPr>
          <w:rFonts w:ascii="Times New Roman" w:hAnsi="Times New Roman"/>
          <w:sz w:val="20"/>
          <w:u w:val="single"/>
        </w:rPr>
        <w:t>Re</w:t>
      </w:r>
      <w:r>
        <w:rPr>
          <w:rFonts w:ascii="Times New Roman" w:hAnsi="Times New Roman"/>
          <w:sz w:val="20"/>
        </w:rPr>
        <w:t>g</w:t>
      </w:r>
      <w:r>
        <w:rPr>
          <w:rFonts w:ascii="Times New Roman" w:hAnsi="Times New Roman"/>
          <w:sz w:val="20"/>
          <w:u w:val="single"/>
        </w:rPr>
        <w:t>istrant</w:t>
      </w:r>
      <w:r>
        <w:rPr>
          <w:rFonts w:ascii="Times New Roman" w:hAnsi="Times New Roman"/>
          <w:sz w:val="20"/>
        </w:rPr>
        <w:t>), is filing with the U.S. Securities and Exchange Commission these post-effective amendments (the </w:t>
      </w:r>
      <w:r>
        <w:rPr>
          <w:rFonts w:ascii="Times New Roman" w:hAnsi="Times New Roman"/>
          <w:sz w:val="20"/>
          <w:u w:val="single"/>
        </w:rPr>
        <w:t>Post-Effective Amendments</w:t>
      </w:r>
      <w:r>
        <w:rPr>
          <w:rFonts w:ascii="Times New Roman" w:hAnsi="Times New Roman"/>
          <w:sz w:val="20"/>
        </w:rPr>
        <w:t>) to deregister all shares of common stock, par value $0.001 per share, of the Registrant (the </w:t>
      </w:r>
      <w:r>
        <w:rPr>
          <w:rFonts w:ascii="Times New Roman" w:hAnsi="Times New Roman"/>
          <w:sz w:val="20"/>
          <w:u w:val="single"/>
        </w:rPr>
        <w:t>Shares</w:t>
      </w:r>
      <w:r>
        <w:rPr>
          <w:rFonts w:ascii="Times New Roman" w:hAnsi="Times New Roman"/>
          <w:sz w:val="20"/>
        </w:rPr>
        <w:t>), previously registered under the following Registration Statements on Form S-8 (the </w:t>
      </w:r>
      <w:r>
        <w:rPr>
          <w:rFonts w:ascii="Times New Roman" w:hAnsi="Times New Roman"/>
          <w:sz w:val="20"/>
          <w:u w:val="single"/>
        </w:rPr>
        <w:t>Re</w:t>
      </w:r>
      <w:r>
        <w:rPr>
          <w:rFonts w:ascii="Times New Roman" w:hAnsi="Times New Roman"/>
          <w:sz w:val="20"/>
        </w:rPr>
        <w:t>g</w:t>
      </w:r>
      <w:r>
        <w:rPr>
          <w:rFonts w:ascii="Times New Roman" w:hAnsi="Times New Roman"/>
          <w:sz w:val="20"/>
          <w:u w:val="single"/>
        </w:rPr>
        <w:t>istration Statements</w:t>
      </w:r>
      <w:r>
        <w:rPr>
          <w:rFonts w:ascii="Times New Roman" w:hAnsi="Times New Roman"/>
          <w:sz w:val="20"/>
        </w:rPr>
        <w:t xml:space="preserve">), together with any and all plan interests and other securities registered thereunder: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Registration Statement No.</w:t>
            </w:r>
            <w:hyperlink r:id="rId2">
              <w:r>
                <w:rPr>
                  <w:rStyle w:val="InternetLink"/>
                  <w:rFonts w:ascii="Times New Roman" w:hAnsi="Times New Roman"/>
                  <w:sz w:val="20"/>
                </w:rPr>
                <w:t xml:space="preserve">  333-203749,</w:t>
              </w:r>
            </w:hyperlink>
            <w:r>
              <w:rPr>
                <w:rFonts w:ascii="Times New Roman" w:hAnsi="Times New Roman"/>
                <w:sz w:val="20"/>
              </w:rPr>
              <w:t xml:space="preserve"> filed on April 30, 2015, relating to the registration of 3,598,200 Shares under the Blueprint Medicines Corporation 2011 Stock Option and Grant Plan, Blueprint Medicines Corporation 2015 Stock Option and Incentive Plan and the Blueprint Medicines Corporation 2015 Employee Stock Purchase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Registration Statement No.</w:t>
            </w:r>
            <w:hyperlink r:id="rId3">
              <w:r>
                <w:rPr>
                  <w:rStyle w:val="InternetLink"/>
                  <w:rFonts w:ascii="Times New Roman" w:hAnsi="Times New Roman"/>
                  <w:sz w:val="20"/>
                </w:rPr>
                <w:t xml:space="preserve">  333-210125,</w:t>
              </w:r>
            </w:hyperlink>
            <w:r>
              <w:rPr>
                <w:rFonts w:ascii="Times New Roman" w:hAnsi="Times New Roman"/>
                <w:sz w:val="20"/>
              </w:rPr>
              <w:t xml:space="preserve"> filed on March 11, 2016, relating to the registration of 1,359,802 Shares under the 2015 Stock Option and Incentive Plan and the 2015 Employee Stock Purchase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Registration Statement No.</w:t>
            </w:r>
            <w:hyperlink r:id="rId4">
              <w:r>
                <w:rPr>
                  <w:rStyle w:val="InternetLink"/>
                  <w:rFonts w:ascii="Times New Roman" w:hAnsi="Times New Roman"/>
                  <w:sz w:val="20"/>
                </w:rPr>
                <w:t xml:space="preserve">  333-216575,</w:t>
              </w:r>
            </w:hyperlink>
            <w:r>
              <w:rPr>
                <w:rFonts w:ascii="Times New Roman" w:hAnsi="Times New Roman"/>
                <w:sz w:val="20"/>
              </w:rPr>
              <w:t xml:space="preserve"> filed on March 9, 2017, relating to the registration of 1,656,273 Shares under the 2015 Stock Option and Incentive Plan and the 2015 Employee Stock Purchase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Registration Statement No.</w:t>
            </w:r>
            <w:hyperlink r:id="rId5">
              <w:r>
                <w:rPr>
                  <w:rStyle w:val="InternetLink"/>
                  <w:rFonts w:ascii="Times New Roman" w:hAnsi="Times New Roman"/>
                  <w:sz w:val="20"/>
                </w:rPr>
                <w:t> 333-223131,</w:t>
              </w:r>
            </w:hyperlink>
            <w:r>
              <w:rPr>
                <w:rFonts w:ascii="Times New Roman" w:hAnsi="Times New Roman"/>
                <w:sz w:val="20"/>
              </w:rPr>
              <w:t xml:space="preserve"> filed on February 21, 2018, relating to the registration of 2,178,876 Shares under the 2015 Stock Option and Incentive Plan and the 2015 Employee Stock Purchase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Registration Statement No.</w:t>
            </w:r>
            <w:hyperlink r:id="rId6">
              <w:r>
                <w:rPr>
                  <w:rStyle w:val="InternetLink"/>
                  <w:rFonts w:ascii="Times New Roman" w:hAnsi="Times New Roman"/>
                  <w:sz w:val="20"/>
                </w:rPr>
                <w:t> 333-229885,</w:t>
              </w:r>
            </w:hyperlink>
            <w:r>
              <w:rPr>
                <w:rFonts w:ascii="Times New Roman" w:hAnsi="Times New Roman"/>
                <w:sz w:val="20"/>
              </w:rPr>
              <w:t xml:space="preserve"> filed on February 26, 2019, relating to the registration of 2,201,851 Shares under the 2015 Stock Option and Incentive Plan and the 2015 Employee Stock Purchase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Registration Statement No.</w:t>
            </w:r>
            <w:hyperlink r:id="rId7">
              <w:r>
                <w:rPr>
                  <w:rStyle w:val="InternetLink"/>
                  <w:rFonts w:ascii="Times New Roman" w:hAnsi="Times New Roman"/>
                  <w:sz w:val="20"/>
                </w:rPr>
                <w:t> 333-236421,</w:t>
              </w:r>
            </w:hyperlink>
            <w:r>
              <w:rPr>
                <w:rFonts w:ascii="Times New Roman" w:hAnsi="Times New Roman"/>
                <w:sz w:val="20"/>
              </w:rPr>
              <w:t xml:space="preserve"> filed on February 13, 2020, relating to the registration of 2,463,610 Shares under 2015 Stock Option and Incentive Plan and the 2015 Employee Stock Purchase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Registration Statement No.</w:t>
            </w:r>
            <w:hyperlink r:id="rId8">
              <w:r>
                <w:rPr>
                  <w:rStyle w:val="InternetLink"/>
                  <w:rFonts w:ascii="Times New Roman" w:hAnsi="Times New Roman"/>
                  <w:sz w:val="20"/>
                </w:rPr>
                <w:t xml:space="preserve">  333-238039,</w:t>
              </w:r>
            </w:hyperlink>
            <w:r>
              <w:rPr>
                <w:rFonts w:ascii="Times New Roman" w:hAnsi="Times New Roman"/>
                <w:sz w:val="20"/>
              </w:rPr>
              <w:t xml:space="preserve"> filed on May 6, 2020, relating to the registration of 1,000,000 Shares under the Blueprint Medicines Corporation 2020 Inducement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Registration Statement No.</w:t>
            </w:r>
            <w:hyperlink r:id="rId9">
              <w:r>
                <w:rPr>
                  <w:rStyle w:val="InternetLink"/>
                  <w:rFonts w:ascii="Times New Roman" w:hAnsi="Times New Roman"/>
                  <w:sz w:val="20"/>
                </w:rPr>
                <w:t xml:space="preserve">  333-253215,</w:t>
              </w:r>
            </w:hyperlink>
            <w:r>
              <w:rPr>
                <w:rFonts w:ascii="Times New Roman" w:hAnsi="Times New Roman"/>
                <w:sz w:val="20"/>
              </w:rPr>
              <w:t xml:space="preserve"> filed on February 17, 2021, relating to the registration of 2,889,676 Shares under the 2015 Stock Option and Incentive Plan and the 2015 Employee Stock Purchase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Registration Statement No.</w:t>
            </w:r>
            <w:hyperlink r:id="rId10">
              <w:r>
                <w:rPr>
                  <w:rStyle w:val="InternetLink"/>
                  <w:rFonts w:ascii="Times New Roman" w:hAnsi="Times New Roman"/>
                  <w:sz w:val="20"/>
                </w:rPr>
                <w:t xml:space="preserve">  333-262800,</w:t>
              </w:r>
            </w:hyperlink>
            <w:r>
              <w:rPr>
                <w:rFonts w:ascii="Times New Roman" w:hAnsi="Times New Roman"/>
                <w:sz w:val="20"/>
              </w:rPr>
              <w:t xml:space="preserve"> filed on February 17, 2022, relating to the registration of 2,957,053 Shares under the 2015 Stock Option and Incentive Plan and the 2015 Employee Stock Purchase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Registration Statement No.</w:t>
            </w:r>
            <w:hyperlink r:id="rId11">
              <w:r>
                <w:rPr>
                  <w:rStyle w:val="InternetLink"/>
                  <w:rFonts w:ascii="Times New Roman" w:hAnsi="Times New Roman"/>
                  <w:sz w:val="20"/>
                </w:rPr>
                <w:t xml:space="preserve">  333-266469,</w:t>
              </w:r>
            </w:hyperlink>
            <w:r>
              <w:rPr>
                <w:rFonts w:ascii="Times New Roman" w:hAnsi="Times New Roman"/>
                <w:sz w:val="20"/>
              </w:rPr>
              <w:t xml:space="preserve"> filed on August 2, 2022 relating to the registration of 1,500,000 Shares under the Amended and Restated 2020 Inducement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Registration Statement No.</w:t>
            </w:r>
            <w:hyperlink r:id="rId12">
              <w:r>
                <w:rPr>
                  <w:rStyle w:val="InternetLink"/>
                  <w:rFonts w:ascii="Times New Roman" w:hAnsi="Times New Roman"/>
                  <w:sz w:val="20"/>
                </w:rPr>
                <w:t xml:space="preserve">  333-269844,</w:t>
              </w:r>
            </w:hyperlink>
            <w:r>
              <w:rPr>
                <w:rFonts w:ascii="Times New Roman" w:hAnsi="Times New Roman"/>
                <w:sz w:val="20"/>
              </w:rPr>
              <w:t xml:space="preserve"> filed on February 17, 2023, relating to the registration of 2,997,945 Shares under the 2015 Stock Option and Incentive Plan and the 2015 Employee Stock Purchase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Registration Statement No.</w:t>
            </w:r>
            <w:hyperlink r:id="rId13">
              <w:r>
                <w:rPr>
                  <w:rStyle w:val="InternetLink"/>
                  <w:rFonts w:ascii="Times New Roman" w:hAnsi="Times New Roman"/>
                  <w:sz w:val="20"/>
                </w:rPr>
                <w:t xml:space="preserve">  333-277149,</w:t>
              </w:r>
            </w:hyperlink>
            <w:r>
              <w:rPr>
                <w:rFonts w:ascii="Times New Roman" w:hAnsi="Times New Roman"/>
                <w:sz w:val="20"/>
              </w:rPr>
              <w:t xml:space="preserve"> filed on February 16, 2024 relating to the registration of 3,057,361 Shares under the 2015 Stock Option and Incentive Plan and the 2015 Employee Stock Purchase Plan;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Registration Statement No.</w:t>
            </w:r>
            <w:hyperlink r:id="rId14">
              <w:r>
                <w:rPr>
                  <w:rStyle w:val="InternetLink"/>
                  <w:rFonts w:ascii="Times New Roman" w:hAnsi="Times New Roman"/>
                  <w:sz w:val="20"/>
                </w:rPr>
                <w:t xml:space="preserve">  333-280405,</w:t>
              </w:r>
            </w:hyperlink>
            <w:r>
              <w:rPr>
                <w:rFonts w:ascii="Times New Roman" w:hAnsi="Times New Roman"/>
                <w:sz w:val="20"/>
              </w:rPr>
              <w:t xml:space="preserve"> filed on June 21, 2024 relating to the registration of 9,200,000 Shares under the 2024 Stock Incentive Plan;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Registration Statement No.</w:t>
            </w:r>
            <w:hyperlink r:id="rId15">
              <w:r>
                <w:rPr>
                  <w:rStyle w:val="InternetLink"/>
                  <w:rFonts w:ascii="Times New Roman" w:hAnsi="Times New Roman"/>
                  <w:sz w:val="20"/>
                </w:rPr>
                <w:t xml:space="preserve">  333-284918,</w:t>
              </w:r>
            </w:hyperlink>
            <w:r>
              <w:rPr>
                <w:rFonts w:ascii="Times New Roman" w:hAnsi="Times New Roman"/>
                <w:sz w:val="20"/>
              </w:rPr>
              <w:t xml:space="preserve"> filed on February 13, 2025 relating to the registration of 637,122 Shares under the 2015 Employee Stock Purchase Plan. </w:t>
            </w:r>
          </w:p>
        </w:tc>
      </w:tr>
    </w:tbl>
    <w:p>
      <w:pPr>
        <w:pStyle w:val="TextBody"/>
        <w:bidi w:val="0"/>
        <w:spacing w:before="240" w:after="0"/>
        <w:jc w:val="left"/>
        <w:rPr>
          <w:rFonts w:ascii="Times New Roman" w:hAnsi="Times New Roman"/>
          <w:sz w:val="20"/>
        </w:rPr>
      </w:pPr>
      <w:r>
        <w:rPr>
          <w:rFonts w:ascii="Times New Roman" w:hAnsi="Times New Roman"/>
          <w:sz w:val="20"/>
        </w:rPr>
        <w:t>On July 17, 2025, pursuant to the terms of the Agreement and Plan of Merger, dated as of June 2, 2025, by and among the Registrant, SANOFI, a French </w:t>
      </w:r>
      <w:r>
        <w:rPr>
          <w:rFonts w:ascii="Times New Roman" w:hAnsi="Times New Roman"/>
          <w:i/>
          <w:sz w:val="20"/>
        </w:rPr>
        <w:t>société anonyme</w:t>
      </w:r>
      <w:r>
        <w:rPr>
          <w:rFonts w:ascii="Times New Roman" w:hAnsi="Times New Roman"/>
          <w:sz w:val="20"/>
        </w:rPr>
        <w:t> (</w:t>
      </w:r>
      <w:r>
        <w:rPr>
          <w:rFonts w:ascii="Times New Roman" w:hAnsi="Times New Roman"/>
          <w:sz w:val="20"/>
          <w:u w:val="single"/>
        </w:rPr>
        <w:t>Parent</w:t>
      </w:r>
      <w:r>
        <w:rPr>
          <w:rFonts w:ascii="Times New Roman" w:hAnsi="Times New Roman"/>
          <w:sz w:val="20"/>
        </w:rPr>
        <w:t>), Aventis Inc., a Pennsylvania corporation and wholly owned Subsidiary of Parent (</w:t>
      </w:r>
      <w:r>
        <w:rPr>
          <w:rFonts w:ascii="Times New Roman" w:hAnsi="Times New Roman"/>
          <w:sz w:val="20"/>
          <w:u w:val="single"/>
        </w:rPr>
        <w:t>Aventis</w:t>
      </w:r>
      <w:r>
        <w:rPr>
          <w:rFonts w:ascii="Times New Roman" w:hAnsi="Times New Roman"/>
          <w:sz w:val="20"/>
        </w:rPr>
        <w:t>), and Rothko Merger Sub, Inc., a Delaware corporation and wholly owned Subsidiary of Aventis (</w:t>
      </w:r>
      <w:r>
        <w:rPr>
          <w:rFonts w:ascii="Times New Roman" w:hAnsi="Times New Roman"/>
          <w:sz w:val="20"/>
          <w:u w:val="single"/>
        </w:rPr>
        <w:t>Purchaser</w:t>
      </w:r>
      <w:r>
        <w:rPr>
          <w:rFonts w:ascii="Times New Roman" w:hAnsi="Times New Roman"/>
          <w:sz w:val="20"/>
        </w:rPr>
        <w:t>), Purchaser merged with and into the Registrant with the Registrant surviving the merger as a wholly owned subsidiary of Aventis (the </w:t>
      </w:r>
      <w:r>
        <w:rPr>
          <w:rFonts w:ascii="Times New Roman" w:hAnsi="Times New Roman"/>
          <w:sz w:val="20"/>
          <w:u w:val="single"/>
        </w:rPr>
        <w:t>Merger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As a result of the Merger, the Registrant has terminated all offerings and sales pursuant to the Registration Statements. In accordance with an undertaking made by the Registrant in the Registration Statements to remove from registration, by means of a post-effective amendment, any of the securities registered under the Registration Statements that remain unsold at the termination of the offerings, the Registrant hereby amends the Registration Statements to remove from registration the Shares registered but remaining unsold under the Registration Statements.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the Registrant certifies that it has reasonable grounds to believe that it meets all of the requirements for filing on Form S-8 and has duly caused these Post-Effective Amendments to the Registration Statements described above to be signed on its behalf by the undersigned, thereunto duly authorized, in the City of Cambridge, in the Commonwealth of Massachusetts, on July 18, 2025.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86"/>
        <w:gridCol w:w="60"/>
        <w:gridCol w:w="3336"/>
      </w:tblGrid>
      <w:tr>
        <w:trPr/>
        <w:tc>
          <w:tcPr>
            <w:tcW w:w="68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BLUEPRINT MEDECINES CORPORATION</w:t>
            </w:r>
          </w:p>
        </w:tc>
      </w:tr>
      <w:tr>
        <w:trPr>
          <w:trHeight w:val="240" w:hRule="atLeast"/>
        </w:trPr>
        <w:tc>
          <w:tcPr>
            <w:tcW w:w="686" w:type="dxa"/>
            <w:tcBorders/>
            <w:vAlign w:val="center"/>
          </w:tcPr>
          <w:p>
            <w:pPr>
              <w:pStyle w:val="TableContents"/>
              <w:bidi w:val="0"/>
              <w:spacing w:before="0" w:after="283"/>
              <w:jc w:val="left"/>
              <w:rPr>
                <w:sz w:val="4"/>
                <w:szCs w:val="4"/>
              </w:rPr>
            </w:pPr>
            <w:r>
              <w:rPr>
                <w:sz w:val="4"/>
                <w:szCs w:val="4"/>
              </w:rPr>
            </w:r>
          </w:p>
        </w:tc>
        <w:tc>
          <w:tcPr>
            <w:tcW w:w="3396" w:type="dxa"/>
            <w:gridSpan w:val="2"/>
            <w:tcBorders/>
            <w:vAlign w:val="center"/>
          </w:tcPr>
          <w:p>
            <w:pPr>
              <w:pStyle w:val="TableContents"/>
              <w:bidi w:val="0"/>
              <w:spacing w:before="0" w:after="283"/>
              <w:jc w:val="left"/>
              <w:rPr>
                <w:sz w:val="4"/>
                <w:szCs w:val="4"/>
              </w:rPr>
            </w:pPr>
            <w:r>
              <w:rPr>
                <w:sz w:val="4"/>
                <w:szCs w:val="4"/>
              </w:rPr>
            </w:r>
          </w:p>
        </w:tc>
      </w:tr>
      <w:tr>
        <w:trPr/>
        <w:tc>
          <w:tcPr>
            <w:tcW w:w="68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3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Michael Tolpa</w:t>
            </w:r>
          </w:p>
        </w:tc>
      </w:tr>
      <w:tr>
        <w:trPr/>
        <w:tc>
          <w:tcPr>
            <w:tcW w:w="686"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6" w:type="dxa"/>
            <w:tcBorders/>
          </w:tcPr>
          <w:p>
            <w:pPr>
              <w:pStyle w:val="TableContents"/>
              <w:bidi w:val="0"/>
              <w:spacing w:before="0" w:after="283"/>
              <w:jc w:val="left"/>
              <w:rPr/>
            </w:pPr>
            <w:r>
              <w:rPr/>
              <w:t>Michael Tolpa</w:t>
            </w:r>
          </w:p>
        </w:tc>
      </w:tr>
      <w:tr>
        <w:trPr/>
        <w:tc>
          <w:tcPr>
            <w:tcW w:w="686"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6" w:type="dxa"/>
            <w:tcBorders/>
          </w:tcPr>
          <w:p>
            <w:pPr>
              <w:pStyle w:val="TableContents"/>
              <w:bidi w:val="0"/>
              <w:spacing w:before="0" w:after="283"/>
              <w:jc w:val="left"/>
              <w:rPr/>
            </w:pPr>
            <w:r>
              <w:rPr/>
              <w:t>Treasurer</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Rule 478 of the Securities Act of 1933, as amended, no other person is required to sign these Post-Effective Amendments to the Registration Statements.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597264/000110465915032381/a15-10041_1s8.htm" TargetMode="External"/><Relationship Id="rId3" Type="http://schemas.openxmlformats.org/officeDocument/2006/relationships/hyperlink" Target="http://www.sec.gov/Archives/edgar/data/1597264/000155837016004067/bpmc-20160311xs8.htm" TargetMode="External"/><Relationship Id="rId4" Type="http://schemas.openxmlformats.org/officeDocument/2006/relationships/hyperlink" Target="http://www.sec.gov/Archives/edgar/data/1597264/000155837017001552/bpmc_currentfolios8.htm" TargetMode="External"/><Relationship Id="rId5" Type="http://schemas.openxmlformats.org/officeDocument/2006/relationships/hyperlink" Target="http://www.sec.gov/Archives/edgar/data/1597264/000155837018000868/s-8.htm" TargetMode="External"/><Relationship Id="rId6" Type="http://schemas.openxmlformats.org/officeDocument/2006/relationships/hyperlink" Target="http://www.sec.gov/Archives/edgar/data/1597264/000155837019001099/s-8.htm" TargetMode="External"/><Relationship Id="rId7" Type="http://schemas.openxmlformats.org/officeDocument/2006/relationships/hyperlink" Target="http://www.sec.gov/Archives/edgar/data/1597264/000155837020000787/s-8.htm" TargetMode="External"/><Relationship Id="rId8" Type="http://schemas.openxmlformats.org/officeDocument/2006/relationships/hyperlink" Target="http://www.sec.gov/Archives/edgar/data/1597264/000155837020005420/tmb-20200506xs8.htm" TargetMode="External"/><Relationship Id="rId9" Type="http://schemas.openxmlformats.org/officeDocument/2006/relationships/hyperlink" Target="http://www.sec.gov/Archives/edgar/data/1597264/000155837021001147/tmb-20210217xs8.htm" TargetMode="External"/><Relationship Id="rId10" Type="http://schemas.openxmlformats.org/officeDocument/2006/relationships/hyperlink" Target="http://www.sec.gov/Archives/edgar/data/1597264/000110465922024503/tm226665d1_s8.htm" TargetMode="External"/><Relationship Id="rId11" Type="http://schemas.openxmlformats.org/officeDocument/2006/relationships/hyperlink" Target="http://www.sec.gov/Archives/edgar/data/1597264/000110465922085262/tm2222251d1_s8.htm" TargetMode="External"/><Relationship Id="rId12" Type="http://schemas.openxmlformats.org/officeDocument/2006/relationships/hyperlink" Target="http://www.sec.gov/Archives/edgar/data/1597264/000110465923023067/tm236850d1_s8.htm" TargetMode="External"/><Relationship Id="rId13" Type="http://schemas.openxmlformats.org/officeDocument/2006/relationships/hyperlink" Target="http://www.sec.gov/Archives/edgar/data/1597264/000110465924024937/tm246267d1_s8.htm" TargetMode="External"/><Relationship Id="rId14" Type="http://schemas.openxmlformats.org/officeDocument/2006/relationships/hyperlink" Target="http://www.sec.gov/Archives/edgar/data/1597264/000110465924073973/tm2417605d1_s8.htm" TargetMode="External"/><Relationship Id="rId15" Type="http://schemas.openxmlformats.org/officeDocument/2006/relationships/hyperlink" Target="http://www.sec.gov/Archives/edgar/data/1597264/000155837025000954/tmb-20250213xs8.htm" TargetMode="External"/><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1227</Words>
  <Characters>7074</Characters>
  <CharactersWithSpaces>8317</CharactersWithSpaces>
  <Paragraphs>204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S-8 POS</dc:title>
</cp:coreProperties>
</file>