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174625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Blueprint Medicines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158750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840" w:space="720"/>
            <w:col w:w="3420" w:space="720"/>
            <w:col w:w="2540"/>
          </w:cols>
          <w:pgMar w:left="320" w:top="697"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97"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060"/>
        <w:spacing w:after="0"/>
        <w:rPr>
          <w:sz w:val="20"/>
          <w:szCs w:val="20"/>
          <w:color w:val="auto"/>
        </w:rPr>
      </w:pPr>
      <w:r>
        <w:rPr>
          <w:rFonts w:ascii="Arial" w:cs="Arial" w:eastAsia="Arial" w:hAnsi="Arial"/>
          <w:sz w:val="17"/>
          <w:szCs w:val="17"/>
          <w:color w:val="auto"/>
        </w:rPr>
        <w:t>Emerging growth company o</w:t>
      </w:r>
    </w:p>
    <w:p>
      <w:pPr>
        <w:spacing w:after="0" w:line="237"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68"/>
        </w:trPr>
        <w:tc>
          <w:tcPr>
            <w:tcW w:w="442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4700" w:type="dxa"/>
            <w:vAlign w:val="bottom"/>
            <w:tcBorders>
              <w:bottom w:val="single" w:sz="8" w:color="auto"/>
              <w:right w:val="single" w:sz="8" w:color="auto"/>
            </w:tcBorders>
          </w:tcPr>
          <w:p>
            <w:pPr>
              <w:spacing w:after="0"/>
              <w:rPr>
                <w:sz w:val="5"/>
                <w:szCs w:val="5"/>
                <w:color w:val="auto"/>
              </w:rPr>
            </w:pPr>
          </w:p>
        </w:tc>
      </w:tr>
      <w:tr>
        <w:trPr>
          <w:trHeight w:val="236"/>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68"/>
        </w:trPr>
        <w:tc>
          <w:tcPr>
            <w:tcW w:w="442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4700" w:type="dxa"/>
            <w:vAlign w:val="bottom"/>
            <w:tcBorders>
              <w:bottom w:val="single" w:sz="8" w:color="auto"/>
              <w:right w:val="single" w:sz="8" w:color="auto"/>
            </w:tcBorders>
          </w:tcPr>
          <w:p>
            <w:pPr>
              <w:spacing w:after="0"/>
              <w:rPr>
                <w:sz w:val="5"/>
                <w:szCs w:val="5"/>
                <w:color w:val="auto"/>
              </w:rPr>
            </w:pPr>
          </w:p>
        </w:tc>
      </w:tr>
      <w:tr>
        <w:trPr>
          <w:trHeight w:val="264"/>
        </w:trPr>
        <w:tc>
          <w:tcPr>
            <w:tcW w:w="4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tcPr>
          <w:p>
            <w:pPr>
              <w:spacing w:after="0"/>
              <w:rPr>
                <w:sz w:val="22"/>
                <w:szCs w:val="22"/>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459"/>
        </w:trPr>
        <w:tc>
          <w:tcPr>
            <w:tcW w:w="4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8.01 Other Events.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June 16, 2021, Blueprint Medicines Corporation (the “Company”) issued a press release announcing that the U.S. Food and Drug Administration (“FDA”) approved the Company’s supplemental new drug application for AYVAKIT™ (avapritinib) for the treatment of adult patients with advanced systemic mastocytosis, including patients with aggressive systemic mastocytosis, systemic mastocytosis with an associated hematological neoplasm, and mast cell leukemia. A copy of the press release is filed herewith as Exhibit 99.1 to this Current Report on Form 8-K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24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00" w:type="dxa"/>
            <w:vAlign w:val="bottom"/>
            <w:gridSpan w:val="3"/>
          </w:tcPr>
          <w:p>
            <w:pPr>
              <w:ind w:left="340"/>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June 16,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16, 2021</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Jeffrey W. Albers</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FDA Approves Blueprint Medicines’ AYVAKIT™ (avapritinib) for the Treatment of Adults with Advanced Systemic Mastocytosis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First precision therapy that specifically targets the primary driver of the disease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Durable clinical responses, including complete remissions, shown in patients with or without prior treatment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Full approval supported by robust efficacy and safety data from two clinical trials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Blueprint Medicines to host investor conference call and webcast today at 4:30 p.m. ET --</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 xml:space="preserve">CAMBRIDGE, Mass., June 16, 2021 – Blueprint Medicines Corporation (NASDAQ: BPMC) today announced that the U.S. Food and Drug Administration (FDA) has approved </w:t>
      </w:r>
      <w:r>
        <w:rPr>
          <w:rFonts w:ascii="Arial" w:cs="Arial" w:eastAsia="Arial" w:hAnsi="Arial"/>
          <w:sz w:val="16"/>
          <w:szCs w:val="16"/>
          <w:u w:val="single" w:color="auto"/>
          <w:color w:val="auto"/>
        </w:rPr>
        <w:t>AYVAKIT</w:t>
      </w:r>
      <w:r>
        <w:rPr>
          <w:rFonts w:ascii="Arial" w:cs="Arial" w:eastAsia="Arial" w:hAnsi="Arial"/>
          <w:sz w:val="16"/>
          <w:szCs w:val="16"/>
          <w:color w:val="auto"/>
        </w:rPr>
        <w:t>™ (avapritinib) for the treatment of adult patients with advanced systemic mastocytosis (Advanced SM), including aggressive SM (ASM), SM with an associated hematological neoplasm (SM-AHN) and mast cell leukemia (MCL). For the first time, advanced SM patients can now receive a targeted therapy designed to potently and selectively inhibit D816V mutant KIT, the central driver of the disease.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“Today’s approval of AYVAKIT for advanced systemic mastocytosis – the fourth FDA approval across our portfolio in 18 months – culminates nearly a decade of hard work, from our scientists in the laboratory and clinical team conducting trials, to our commercial organization who will now bring AYVAKIT to patients,” said Jeff Albers, Chief Executive Officer of Blueprint Medicines. “As shown in two clinical trials, AYVAKIT provides remarkable clinical efficacy to patients with advanced systemic mastocytosis, and this approval solidifies the therapy’s strong value proposition in this population. With a deep commitment to driving continued research innovation in collaboration with the mast cell disease community, we are now building on this progress with the goal of bringing the benefits of precision therapy to a broader range of patients through our ongoing and planned clinical trials for non-advanced systemic mastocytosis.”</w:t>
      </w:r>
    </w:p>
    <w:p>
      <w:pPr>
        <w:spacing w:after="0" w:line="195" w:lineRule="exact"/>
        <w:rPr>
          <w:sz w:val="20"/>
          <w:szCs w:val="20"/>
          <w:color w:val="auto"/>
        </w:rPr>
      </w:pPr>
    </w:p>
    <w:p>
      <w:pPr>
        <w:ind w:right="320"/>
        <w:spacing w:after="0" w:line="289" w:lineRule="auto"/>
        <w:rPr>
          <w:sz w:val="20"/>
          <w:szCs w:val="20"/>
          <w:color w:val="auto"/>
        </w:rPr>
      </w:pPr>
      <w:r>
        <w:rPr>
          <w:rFonts w:ascii="Arial" w:cs="Arial" w:eastAsia="Arial" w:hAnsi="Arial"/>
          <w:sz w:val="18"/>
          <w:szCs w:val="18"/>
          <w:color w:val="auto"/>
        </w:rPr>
        <w:t>SM is a rare hematologic disorder caused by the KIT D816V mutation in nearly all cases. Across advanced SM subtypes, the median overall survival is approximately 3.5 years in ASM, approximately two years in SM-AHN and less than six months in MCL.</w:t>
      </w:r>
      <w:r>
        <w:rPr>
          <w:rFonts w:ascii="Arial" w:cs="Arial" w:eastAsia="Arial" w:hAnsi="Arial"/>
          <w:sz w:val="29"/>
          <w:szCs w:val="29"/>
          <w:color w:val="auto"/>
          <w:vertAlign w:val="superscript"/>
        </w:rPr>
        <w:t>1</w:t>
      </w:r>
    </w:p>
    <w:p>
      <w:pPr>
        <w:spacing w:after="0" w:line="3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“Advanced systemic mastocytosis is a debilitating disease characterized by extensive damage in multiple organ systems due to mast cell infiltration, and new treatment options are urgently needed to address these life-threatening complications,” said Daniel DeAngelo, M.D., Ph.D., Chief of the Division of Leukemia at Dana-Farber Cancer Institute. “Avapritinib will clearly establish a new standard of care for patients with advanced systemic mastocytosis. The FDA approval was based on data showing robust and durable responses, including complete remissions, and a favorable safety profile. For advanced SM patients, the approval of avapritinib shifts the treatment paradigm toward precision therapy that targets the primary driver of mastocytosis.”</w:t>
      </w:r>
    </w:p>
    <w:p>
      <w:pPr>
        <w:spacing w:after="0" w:line="16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FDA granted full approval to AYVAKIT for adults with advanced SM based on data from the Phase 1 EXPLORER trial and Phase 2 PATHFINDER trial.</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Treatment response was evaluated using modified IWG-MRT-ECNM criteria, with assessments based on at least 12 weeks of response duration, resolution of at least </w:t>
      </w:r>
      <w:r>
        <w:rPr>
          <w:rFonts w:ascii="Arial" w:cs="Arial" w:eastAsia="Arial" w:hAnsi="Arial"/>
          <w:sz w:val="18"/>
          <w:szCs w:val="18"/>
          <w:color w:val="202124"/>
        </w:rPr>
        <w:t>one</w:t>
      </w:r>
      <w:r>
        <w:rPr>
          <w:rFonts w:ascii="Arial" w:cs="Arial" w:eastAsia="Arial" w:hAnsi="Arial"/>
          <w:sz w:val="18"/>
          <w:szCs w:val="18"/>
          <w:color w:val="auto"/>
        </w:rPr>
        <w:t xml:space="preserve"> finding of non-hematologic and hematologic organ damage, and 50 percent or greater reductions in biomarker response, mast cell burden and serum tryptase. The overall response rate (ORR) in the U.S. prescribing information is defined as complete remission with full or partial hematologic recovery (CR/CRh), or partial remission (PR).</w:t>
      </w:r>
    </w:p>
    <w:p>
      <w:pPr>
        <w:spacing w:after="0" w:line="20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AYVAKIT showed durable clinical efficacy in advanced SM patients across disease subtypes and regardless of prior therapy. In 53 evaluable patients who had a median follow-up of 11.6 months, the ORR was 57 percent (95% CI: 42%, 70%), and the proportion of patients with CR/CRh (28 percent), PR (28 percent) and clinical improvement (15 percent) is in line with previously reported results. The median duration of response was 38.3 months (95% CI: 19 months, not estimable). Warnings and precautions include intracranial hemorrhage, cognitive effects and embryo-fetal toxicity. AYVAKIT is not recommended for the treatment of patients with advanced SM with low platelet counts (less than 50,000/µL), which is consistent with current patient eligibility criteria in the EXPLORER and PATHFINDER trials. The most common adverse reactions were edema, diarrhea, nausea and fatigue/asthenia.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right="20"/>
        <w:spacing w:after="0" w:line="263" w:lineRule="auto"/>
        <w:rPr>
          <w:sz w:val="20"/>
          <w:szCs w:val="20"/>
          <w:color w:val="auto"/>
        </w:rPr>
      </w:pPr>
      <w:r>
        <w:rPr>
          <w:rFonts w:ascii="Arial" w:cs="Arial" w:eastAsia="Arial" w:hAnsi="Arial"/>
          <w:sz w:val="18"/>
          <w:szCs w:val="18"/>
          <w:color w:val="auto"/>
        </w:rPr>
        <w:t>“People with advanced systemic mastocytosis face a scary, uncertain future due to life-threatening complications of the disease, as well as debilitating symptoms that often profoundly alter their ability to perform daily activities, and the FDA approval of a new therapy, AYVAKIT, brings much needed hope to these patients,” said Valerie Slee, Board Chair of The Mast Cell Disease Society.</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“This milestone is also the culmination of many years of work across the systemic mastocytosis community, and we’re proud of the contributions The Mast Cell Disease Society has made to improve the understanding of this disease, pioneer new approaches to measuring the impact of therapeutic interventions, and support the development of important medicines like AYVAKIT,” said Lauren Denton, Executive Director of The Mast Cell Disease Society. “We look forward to continuing our collaboration with Blueprint Medicines, scientific and clinical experts, and other stakeholders across our community to improve diagnosis, treatment and care for all patients living with systemic mastocytosis.”</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Blueprint Medicines is committed to advancing precision therapies for the benefit of SM patients. The company is developing AYVAKIT for the treatment of non-advanced SM patients, and BLU-263, a next-generation KIT D816V inhibitor, to further address the range of medical needs in this patient population.</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For advanced SM patients receiving AYVAKIT, Blueprint Medicines provides access and affordability programs through YourBlueprint™. For more information, visit </w:t>
      </w:r>
      <w:r>
        <w:rPr>
          <w:rFonts w:ascii="Arial" w:cs="Arial" w:eastAsia="Arial" w:hAnsi="Arial"/>
          <w:sz w:val="17"/>
          <w:szCs w:val="17"/>
          <w:u w:val="single" w:color="auto"/>
          <w:color w:val="auto"/>
        </w:rPr>
        <w:t>YourBlueprint.com</w:t>
      </w:r>
      <w:r>
        <w:rPr>
          <w:rFonts w:ascii="Arial" w:cs="Arial" w:eastAsia="Arial" w:hAnsi="Arial"/>
          <w:sz w:val="17"/>
          <w:szCs w:val="17"/>
          <w:color w:val="auto"/>
        </w:rPr>
        <w:t xml:space="preserve"> or call 1-888-BLUPRNT (1-888-258-7768), Monday to Friday, 8:00 a.m. to 8:00 p.m. ET. Healthcare providers who prescribe AYVAKIT can fill out an enrollment form at </w:t>
      </w:r>
      <w:r>
        <w:rPr>
          <w:rFonts w:ascii="Arial" w:cs="Arial" w:eastAsia="Arial" w:hAnsi="Arial"/>
          <w:sz w:val="17"/>
          <w:szCs w:val="17"/>
          <w:u w:val="single" w:color="auto"/>
          <w:color w:val="auto"/>
        </w:rPr>
        <w:t>YourBlueprint.com/HCP</w:t>
      </w:r>
      <w:r>
        <w:rPr>
          <w:rFonts w:ascii="Arial" w:cs="Arial" w:eastAsia="Arial" w:hAnsi="Arial"/>
          <w:sz w:val="17"/>
          <w:szCs w:val="17"/>
          <w:color w:val="auto"/>
        </w:rPr>
        <w:t xml:space="preserve"> to help patients access Blueprint Medicines’ support programs.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recommended dose of AYVAKIT in advanced SM is 200 mg once daily. AYVAKIT is available in 200 mg, 100 mg, 50 mg and 25 mg dose strengths for advanced SM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Blueprint Medicines will host a live webcast beginning at 4:30 p.m. ET today to discuss the FDA approval of AYVAKIT in advanced SM. To access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live call, please dial (833) 921-1639 (domestic) or (236) 389-2650 (international) and refer to conference ID 4328214. A webcast of the conference call</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will be available under “Events and Presentations” in the Investors &amp; Media section of Blueprint Medicines’ website at </w:t>
      </w:r>
      <w:r>
        <w:rPr>
          <w:rFonts w:ascii="Arial" w:cs="Arial" w:eastAsia="Arial" w:hAnsi="Arial"/>
          <w:sz w:val="18"/>
          <w:szCs w:val="18"/>
          <w:u w:val="single" w:color="auto"/>
          <w:color w:val="auto"/>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90 days following the call.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AYVAKIT (avapritinib)</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AYVAKIT (avapritinib) is a kinase inhibitor approved by the FDA for the treatment of two indications: adults with Advanced SM, including ASM, SM-AHN and MCL, and adults with unresectable or metastatic gastrointestinal stromal tumors (GIST) harboring a PDGFRA exon 18 mutation, including PDGFRA D842V mutations. For more information, visit </w:t>
      </w:r>
      <w:r>
        <w:rPr>
          <w:rFonts w:ascii="Arial" w:cs="Arial" w:eastAsia="Arial" w:hAnsi="Arial"/>
          <w:sz w:val="18"/>
          <w:szCs w:val="18"/>
          <w:u w:val="single" w:color="auto"/>
          <w:color w:val="auto"/>
        </w:rPr>
        <w:t>AYVAKIT.com</w:t>
      </w:r>
      <w:r>
        <w:rPr>
          <w:rFonts w:ascii="Arial" w:cs="Arial" w:eastAsia="Arial" w:hAnsi="Arial"/>
          <w:sz w:val="18"/>
          <w:szCs w:val="18"/>
          <w:color w:val="auto"/>
        </w:rPr>
        <w:t>. This medicine is approved in Europe (AYVAKYT®) for the treatment of adults with unresectable or metastatic GIST harboring the PDGFRA D842V mutation, and in Mainland China (AYVAKIT®) for the treatment of adults with unresectable or metastatic PDGFRA exon 18 mutant GIST.</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AYVAKIT/AYVAKYT is not approved for the treatment of any other indication in the U.S., Europe or Greater China, or for any indication in any other jurisdiction by any other health authority.</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Blueprint Medicines is developing AYVAKIT globally for the treatment of advanced and non-advanced SM. The FDA granted breakthrough therapy designation to AYVAKIT for the treatment of advanced SM, including the subtypes of ASM, SM-AHN and MCL, and for the treatment of moderate to severe indolent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ind w:right="420"/>
        <w:spacing w:after="0" w:line="277" w:lineRule="auto"/>
        <w:rPr>
          <w:sz w:val="20"/>
          <w:szCs w:val="20"/>
          <w:color w:val="auto"/>
        </w:rPr>
      </w:pPr>
      <w:r>
        <w:rPr>
          <w:rFonts w:ascii="Arial" w:cs="Arial" w:eastAsia="Arial" w:hAnsi="Arial"/>
          <w:sz w:val="18"/>
          <w:szCs w:val="18"/>
          <w:color w:val="auto"/>
        </w:rPr>
        <w:t xml:space="preserve">To learn about ongoing or planned clinical trials, contact Blueprint Medicines at </w:t>
      </w:r>
      <w:r>
        <w:rPr>
          <w:rFonts w:ascii="Arial" w:cs="Arial" w:eastAsia="Arial" w:hAnsi="Arial"/>
          <w:sz w:val="18"/>
          <w:szCs w:val="18"/>
          <w:u w:val="single" w:color="auto"/>
          <w:color w:val="auto"/>
        </w:rPr>
        <w:t>medinfo@blueprintmedicines.com</w:t>
      </w:r>
      <w:r>
        <w:rPr>
          <w:rFonts w:ascii="Arial" w:cs="Arial" w:eastAsia="Arial" w:hAnsi="Arial"/>
          <w:sz w:val="18"/>
          <w:szCs w:val="18"/>
          <w:color w:val="auto"/>
        </w:rPr>
        <w:t xml:space="preserve"> or 1-888-BLU-PRNT (1-888-258-7768). Additional information is available at </w:t>
      </w:r>
      <w:r>
        <w:rPr>
          <w:rFonts w:ascii="Arial" w:cs="Arial" w:eastAsia="Arial" w:hAnsi="Arial"/>
          <w:sz w:val="18"/>
          <w:szCs w:val="18"/>
          <w:u w:val="single" w:color="auto"/>
          <w:color w:val="auto"/>
        </w:rPr>
        <w:t>pioneertrial.com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clinicaltrials.gov</w:t>
      </w:r>
      <w:r>
        <w:rPr>
          <w:rFonts w:ascii="Arial" w:cs="Arial" w:eastAsia="Arial" w:hAnsi="Arial"/>
          <w:sz w:val="18"/>
          <w:szCs w:val="18"/>
          <w:color w:val="auto"/>
        </w:rPr>
        <w: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AYVAKIT in Mainland China, Hong Kong, Macau and Taiwan. Blueprint Medicines retains development and commercial rights for AYVAKIT in the rest of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ASM, SM-AHN and MCL. In addition to mast cell activation symptoms, advanced SM is associated with organ damage due to mast cell infiltration and poor survival.</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Debilitating symptoms, including anaphylaxis, maculopapular rash, pruritis, diarrhea, brain fog, fatigue and bone pain, often persist across all forms of SM despite treatment with a number of symptomatic therapies. Patients often live in fear of severe, unexpected symptoms, have limited ability to work or perform daily activities, and isolate themselves to protect against unpredictable triggers. Historically, there had been no approved therapies for the treatment of SM that selectively inhibit D816V mutant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Serious intracranial hemorrhage (ICH) may occur with AYVAKIT treatment; fatal events occurred in &lt;1% of patients. Overall, ICH (eg, subdural hematoma, ICH, and cerebral hemorrhage) occurred in 2.9% of 749 patients who received AYVAKIT. In Advanced SM patients who received AYVAKIT</w:t>
      </w:r>
    </w:p>
    <w:p>
      <w:pPr>
        <w:ind w:right="40"/>
        <w:spacing w:after="0" w:line="247" w:lineRule="auto"/>
        <w:rPr>
          <w:sz w:val="20"/>
          <w:szCs w:val="20"/>
          <w:color w:val="auto"/>
        </w:rPr>
      </w:pPr>
      <w:r>
        <w:rPr>
          <w:rFonts w:ascii="Arial" w:cs="Arial" w:eastAsia="Arial" w:hAnsi="Arial"/>
          <w:sz w:val="16"/>
          <w:szCs w:val="16"/>
          <w:color w:val="auto"/>
        </w:rPr>
        <w:t>at 200 mg daily, ICH occurred in 2 of 75 patients (2.7%) who had platelet counts ≥50 x 10</w:t>
      </w:r>
      <w:r>
        <w:rPr>
          <w:rFonts w:ascii="Arial" w:cs="Arial" w:eastAsia="Arial" w:hAnsi="Arial"/>
          <w:sz w:val="26"/>
          <w:szCs w:val="26"/>
          <w:color w:val="auto"/>
          <w:vertAlign w:val="superscript"/>
        </w:rPr>
        <w:t>9</w:t>
      </w:r>
      <w:r>
        <w:rPr>
          <w:rFonts w:ascii="Arial" w:cs="Arial" w:eastAsia="Arial" w:hAnsi="Arial"/>
          <w:sz w:val="16"/>
          <w:szCs w:val="16"/>
          <w:color w:val="auto"/>
        </w:rPr>
        <w:t>/L prior to initiation of therapy and in 3 of 80 patients (3.8%) regardless of platelet counts. Monitor patients closely for risk of ICH including those with thrombocytopenia, vascular aneurysm or a history of ICH or cerebrovascular accident within the prior year. Permanently discontinue AYVAKIT if ICH of any grade occurs. A platelet count must be performed prior to</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initiating therapy. AYVAKIT is not recommended in Advanced SM patients with platelet counts &lt;50 x 10</w:t>
      </w:r>
      <w:r>
        <w:rPr>
          <w:rFonts w:ascii="Arial" w:cs="Arial" w:eastAsia="Arial" w:hAnsi="Arial"/>
          <w:sz w:val="29"/>
          <w:szCs w:val="29"/>
          <w:color w:val="auto"/>
          <w:vertAlign w:val="superscript"/>
        </w:rPr>
        <w:t>9</w:t>
      </w:r>
      <w:r>
        <w:rPr>
          <w:rFonts w:ascii="Arial" w:cs="Arial" w:eastAsia="Arial" w:hAnsi="Arial"/>
          <w:sz w:val="18"/>
          <w:szCs w:val="18"/>
          <w:color w:val="auto"/>
        </w:rPr>
        <w:t>/L. Following treatment initiation, platelet counts must be performed every 2 weeks for the first 8 weeks. After 8 weeks of treatment, monitor platelet counts every 2 weeks or as clinically indicated based on platelet counts. Manage platelet counts of &lt;50 x 10</w:t>
      </w:r>
      <w:r>
        <w:rPr>
          <w:rFonts w:ascii="Arial" w:cs="Arial" w:eastAsia="Arial" w:hAnsi="Arial"/>
          <w:sz w:val="29"/>
          <w:szCs w:val="29"/>
          <w:color w:val="auto"/>
          <w:vertAlign w:val="superscript"/>
        </w:rPr>
        <w:t>9</w:t>
      </w:r>
      <w:r>
        <w:rPr>
          <w:rFonts w:ascii="Arial" w:cs="Arial" w:eastAsia="Arial" w:hAnsi="Arial"/>
          <w:sz w:val="18"/>
          <w:szCs w:val="18"/>
          <w:color w:val="auto"/>
        </w:rPr>
        <w:t>/L by treatment interruption or dose reduction.</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Cognitive adverse reactions can occur in patients receiving AYVAKIT. Cognitive adverse reactions occurred in 39% of 749 patients and in 28% of 148 SM patients (3% were Grade &gt;3). Memory impairment occurred in 16% of patients; all events were Grade 1 or 2. Cognitive disorder occurred in 10% of patients; &lt;1% of these events were Grade 3. Confusional state occurred in 6% of patients; &lt;1% of these events were Grade 3. Other events occurred in &lt;2% of patients. Depending on the severity, withhold AYVAKIT and then resume at same dose or at a reduced dose upon improvement, or permanently discontinue.</w:t>
      </w:r>
    </w:p>
    <w:p>
      <w:pPr>
        <w:spacing w:after="0" w:line="18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AYVAKIT can cause fetal harm when administered to a pregnant woman. Advise pregnant women of the potential risk to a fetus. Advise females and males of reproductive potential to use an effective method of contraception during treatment with AYVAKIT and for 6 weeks after the final dose of AYVAKIT. Advise women not to breastfeed during treatment with AYVAKIT and for 2 weeks after the final dose.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adverse reactions (≥20%) at all doses were edema, diarrhea, nausea, and fatigue/asthenia.</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Avoid coadministration of AYVAKIT with strong and moderate CYP3A inhibitors. If coadministration with a moderate CYP3A inhibitor cannot be avoided, reduce dose of AYVAKIT. Avoid coadministration of AYVAKIT with strong and moderate CYP3A inducers.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1840"/>
        <w:spacing w:after="0" w:line="277" w:lineRule="auto"/>
        <w:rPr>
          <w:sz w:val="20"/>
          <w:szCs w:val="20"/>
          <w:color w:val="auto"/>
        </w:rPr>
      </w:pPr>
      <w:r>
        <w:rPr>
          <w:rFonts w:ascii="Arial" w:cs="Arial" w:eastAsia="Arial" w:hAnsi="Arial"/>
          <w:sz w:val="18"/>
          <w:szCs w:val="18"/>
          <w:color w:val="auto"/>
        </w:rPr>
        <w:t xml:space="preserve">To report suspected adverse reactions, contact Blueprint Medicines Corporation at 1-888-258-7768 or FDA at 1-800-FDA-1088 or </w:t>
      </w:r>
      <w:r>
        <w:rPr>
          <w:rFonts w:ascii="Arial" w:cs="Arial" w:eastAsia="Arial" w:hAnsi="Arial"/>
          <w:sz w:val="18"/>
          <w:szCs w:val="18"/>
          <w:u w:val="single" w:color="auto"/>
          <w:color w:val="auto"/>
        </w:rPr>
        <w:t>www.fda.gov/medwatch</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Please click here to see the full </w:t>
      </w:r>
      <w:r>
        <w:rPr>
          <w:rFonts w:ascii="Arial" w:cs="Arial" w:eastAsia="Arial" w:hAnsi="Arial"/>
          <w:sz w:val="18"/>
          <w:szCs w:val="18"/>
          <w:b w:val="1"/>
          <w:bCs w:val="1"/>
          <w:u w:val="single" w:color="auto"/>
          <w:color w:val="auto"/>
        </w:rPr>
        <w:t>Prescribing Information</w:t>
      </w:r>
      <w:r>
        <w:rPr>
          <w:rFonts w:ascii="Arial" w:cs="Arial" w:eastAsia="Arial" w:hAnsi="Arial"/>
          <w:sz w:val="18"/>
          <w:szCs w:val="18"/>
          <w:b w:val="1"/>
          <w:bCs w:val="1"/>
          <w:color w:val="auto"/>
        </w:rPr>
        <w:t xml:space="preserve"> for AYVAKIT.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genomically defined cancers, systemic mastocytosis, and cancer immunotherapy. For more information,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 xml:space="preserve"> </w:t>
      </w:r>
      <w:r>
        <w:rPr>
          <w:rFonts w:ascii="Arial" w:cs="Arial" w:eastAsia="Arial" w:hAnsi="Arial"/>
          <w:sz w:val="16"/>
          <w:szCs w:val="16"/>
          <w:color w:val="0A0A0A"/>
        </w:rPr>
        <w:t>and follow us 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color w:val="0A0A0A"/>
        </w:rPr>
        <w:t>(@BlueprintMeds)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0A0A0A"/>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views with respect to the approval of AYVAKIT and the implications of such approval for patients, caregivers and healthcare professionals; expectations concerning when additional dose strengths of AYVAKIT will be commercially available in the U.S.; Blueprint Medicines’ plans and ability to provide support programs for patients prescribed AYVAKIT through YourBlueprint; the potential benefits of Blueprint Medicines’ current and future approved drugs or drug candidates in treating patients, including expectations regarding the potential of AYVAKIT and BLU-263 to address non-advanced SM;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maintain a commercial infrastructure, and successfully launching, marketing and selling current or future approved products; Blueprint Medicines’ ability to successfully expand the approved indications for AYVAKIT/AYVAKYT (avapritinib) and GAVRETO® (pralsetinib) or obtain marketing approval for AYVAKIT/AYVAKYT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7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50" w:lineRule="exact"/>
        <w:rPr>
          <w:sz w:val="20"/>
          <w:szCs w:val="20"/>
          <w:color w:val="auto"/>
        </w:rPr>
      </w:pPr>
    </w:p>
    <w:p>
      <w:pPr>
        <w:ind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 xml:space="preserve">Sperr WR, Kundi M, Alvarez-Twose I, et al. International prognostic scoring system for mastocytosis (IPSM): a retrospective cohort study. </w:t>
      </w:r>
      <w:r>
        <w:rPr>
          <w:rFonts w:ascii="Arial" w:cs="Arial" w:eastAsia="Arial" w:hAnsi="Arial"/>
          <w:sz w:val="18"/>
          <w:szCs w:val="18"/>
          <w:i w:val="1"/>
          <w:iCs w:val="1"/>
          <w:color w:val="auto"/>
        </w:rPr>
        <w:t>Lancet</w:t>
      </w:r>
      <w:r>
        <w:rPr>
          <w:rFonts w:ascii="Arial" w:cs="Arial" w:eastAsia="Arial" w:hAnsi="Arial"/>
          <w:sz w:val="18"/>
          <w:szCs w:val="18"/>
          <w:color w:val="auto"/>
        </w:rPr>
        <w:t xml:space="preserve"> </w:t>
      </w:r>
      <w:r>
        <w:rPr>
          <w:rFonts w:ascii="Arial" w:cs="Arial" w:eastAsia="Arial" w:hAnsi="Arial"/>
          <w:sz w:val="18"/>
          <w:szCs w:val="18"/>
          <w:i w:val="1"/>
          <w:iCs w:val="1"/>
          <w:color w:val="auto"/>
        </w:rPr>
        <w:t>Haematol</w:t>
      </w:r>
      <w:r>
        <w:rPr>
          <w:rFonts w:ascii="Arial" w:cs="Arial" w:eastAsia="Arial" w:hAnsi="Arial"/>
          <w:sz w:val="18"/>
          <w:szCs w:val="18"/>
          <w:color w:val="auto"/>
        </w:rPr>
        <w:t>. 2019;6(12):e638-e649.</w:t>
      </w:r>
    </w:p>
    <w:p>
      <w:pPr>
        <w:spacing w:after="0" w:line="139"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AYVAKIT™ (avapritinib) Prescribing Information (U.S.). Blueprint Medicines Corporation, Cambridge, Massachusetts, USA; June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0A0A0A"/>
        </w:rPr>
        <w:t>Blueprint Medicines, AYVAKIT, AYVAKYT, GAVRETO, YourBlueprint and associated logos are trademarks of Blueprint Medicines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Andrew Law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617-844-8205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80"/>
      </w:cols>
      <w:pgMar w:left="320" w:top="90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2021-06-16T16:15:31Z</dcterms:created>
  <dcterms:modified xsi:type="dcterms:W3CDTF">2021-06-16T16:15:31Z</dcterms:modified>
</cp:coreProperties>
</file>