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7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725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02210</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4"/>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2"/>
          </w:tcPr>
          <w:p>
            <w:pPr>
              <w:jc w:val="center"/>
              <w:ind w:left="2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07"/>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40" w:type="dxa"/>
            <w:vAlign w:val="bottom"/>
            <w:gridSpan w:val="2"/>
            <w:vMerge w:val="restart"/>
          </w:tcPr>
          <w:p>
            <w:pPr>
              <w:jc w:val="center"/>
              <w:ind w:left="407"/>
              <w:spacing w:after="0"/>
              <w:rPr>
                <w:sz w:val="20"/>
                <w:szCs w:val="20"/>
                <w:color w:val="auto"/>
              </w:rPr>
            </w:pPr>
            <w:r>
              <w:rPr>
                <w:rFonts w:ascii="Arial" w:cs="Arial" w:eastAsia="Arial" w:hAnsi="Arial"/>
                <w:sz w:val="18"/>
                <w:szCs w:val="18"/>
                <w:color w:val="0000FF"/>
                <w:w w:val="88"/>
              </w:rPr>
              <w:t>11/13/2015</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9"/>
              </w:rPr>
              <w:t>1,204,280</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1,296,431</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0000FF"/>
                <w:w w:val="90"/>
              </w:rPr>
              <w:t>Footnote 1</w:t>
            </w:r>
            <w:r>
              <w:rPr>
                <w:rFonts w:ascii="Arial" w:cs="Arial" w:eastAsia="Arial" w:hAnsi="Arial"/>
                <w:sz w:val="22"/>
                <w:szCs w:val="22"/>
                <w:color w:val="008000"/>
                <w:w w:val="9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640" w:type="dxa"/>
            <w:vAlign w:val="bottom"/>
            <w:gridSpan w:val="2"/>
          </w:tcPr>
          <w:p>
            <w:pPr>
              <w:jc w:val="center"/>
              <w:ind w:left="407"/>
              <w:spacing w:after="0"/>
              <w:rPr>
                <w:sz w:val="20"/>
                <w:szCs w:val="20"/>
                <w:color w:val="auto"/>
              </w:rPr>
            </w:pPr>
            <w:r>
              <w:rPr>
                <w:rFonts w:ascii="Arial" w:cs="Arial" w:eastAsia="Arial" w:hAnsi="Arial"/>
                <w:sz w:val="18"/>
                <w:szCs w:val="18"/>
                <w:color w:val="0000FF"/>
                <w:w w:val="88"/>
              </w:rPr>
              <w:t>11/13/2015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G</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68,628</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1,227,803</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w w:val="87"/>
              </w:rPr>
              <w:t>the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640" w:type="dxa"/>
            <w:vAlign w:val="bottom"/>
            <w:gridSpan w:val="2"/>
          </w:tcPr>
          <w:p>
            <w:pPr>
              <w:jc w:val="center"/>
              <w:ind w:left="407"/>
              <w:spacing w:after="0"/>
              <w:rPr>
                <w:sz w:val="20"/>
                <w:szCs w:val="20"/>
                <w:color w:val="auto"/>
              </w:rPr>
            </w:pPr>
            <w:r>
              <w:rPr>
                <w:rFonts w:ascii="Arial" w:cs="Arial" w:eastAsia="Arial" w:hAnsi="Arial"/>
                <w:sz w:val="18"/>
                <w:szCs w:val="18"/>
                <w:color w:val="0000FF"/>
                <w:w w:val="88"/>
              </w:rPr>
              <w:t>11/13/2015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G</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4,567</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1,223,236</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w w:val="87"/>
              </w:rPr>
              <w:t>the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640" w:type="dxa"/>
            <w:vAlign w:val="bottom"/>
            <w:gridSpan w:val="2"/>
          </w:tcPr>
          <w:p>
            <w:pPr>
              <w:jc w:val="center"/>
              <w:ind w:left="407"/>
              <w:spacing w:after="0"/>
              <w:rPr>
                <w:sz w:val="20"/>
                <w:szCs w:val="20"/>
                <w:color w:val="auto"/>
              </w:rPr>
            </w:pPr>
            <w:r>
              <w:rPr>
                <w:rFonts w:ascii="Arial" w:cs="Arial" w:eastAsia="Arial" w:hAnsi="Arial"/>
                <w:sz w:val="18"/>
                <w:szCs w:val="18"/>
                <w:color w:val="0000FF"/>
                <w:w w:val="88"/>
              </w:rPr>
              <w:t>11/13/2015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G</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25,955</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1,197,281</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w w:val="87"/>
              </w:rPr>
              <w:t>the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32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8"/>
          </w:tcPr>
          <w:p>
            <w:pPr>
              <w:jc w:val="center"/>
              <w:ind w:left="5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Beacon Bioventures Fund III Limited Partnership made a pro-rata distribution to its partners, without payment of consideration, of 2,313,158 shares of Blueprint Medicines Corp. previously reported by FMR LLC. Beacon Bioventures Fund III Limited Partnership distributed 1,492,158 shares to Impresa Fund III Limited Partnership (IFLP), 17,441 shares to Beacon Bioventures Advisors Fund III Limited Partnership (BBAF) and 803,559 shares to a recipient whose shares are not subject to reporting by the undersigned (an Other Recipient). BBAF made a pro-rata distribution to its partners, without payment of</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20"/>
        <w:spacing w:after="0" w:line="239" w:lineRule="auto"/>
        <w:rPr>
          <w:sz w:val="20"/>
          <w:szCs w:val="20"/>
          <w:color w:val="auto"/>
        </w:rPr>
      </w:pPr>
      <w:r>
        <w:rPr>
          <w:rFonts w:ascii="Arial" w:cs="Arial" w:eastAsia="Arial" w:hAnsi="Arial"/>
          <w:sz w:val="14"/>
          <w:szCs w:val="14"/>
          <w:color w:val="008000"/>
        </w:rPr>
        <w:t>consideration, of 2,205 shares to F-Prime Inc. and 15,236 shares to Other Recipients. IFLP made a pro-rata distribution to its partners, without payment of consideration, of 385,485 shares to Other Recipients and 1,031,533 shares to persons and entities whose shares are subject to reporting by the undersigned.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2"/>
          <w:szCs w:val="12"/>
          <w:color w:val="008000"/>
        </w:rPr>
        <w:t>Remark 1: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75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11/17/2015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7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6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2019-12-09T03:49:15Z</dcterms:created>
  <dcterms:modified xsi:type="dcterms:W3CDTF">2019-12-09T03:49:15Z</dcterms:modified>
</cp:coreProperties>
</file>