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255270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248920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9" w:right="899" w:bottom="1440" w:gutter="0" w:footer="0" w:header="0"/>
          <w:type w:val="continuous"/>
        </w:sectPr>
      </w:pPr>
    </w:p>
    <w:p>
      <w:pPr>
        <w:spacing w:after="0" w:line="12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9" w:right="89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100330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type w:val="continuous"/>
        </w:sectPr>
      </w:pPr>
    </w:p>
    <w:bookmarkStart w:id="1" w:name="page2"/>
    <w:bookmarkEnd w:id="1"/>
    <w:p>
      <w:pPr>
        <w:spacing w:after="0" w:line="223" w:lineRule="auto"/>
        <w:framePr w:w="960" w:h="160" w:wrap="auto" w:vAnchor="page" w:hAnchor="page" w:x="2860" w:y="3613"/>
        <w:rPr>
          <w:rFonts w:ascii="Arial" w:cs="Arial" w:eastAsia="Arial" w:hAnsi="Arial"/>
          <w:sz w:val="15"/>
          <w:szCs w:val="15"/>
          <w:b w:val="1"/>
          <w:bCs w:val="1"/>
          <w:color w:val="auto"/>
        </w:rPr>
      </w:pPr>
      <w:r>
        <w:rPr>
          <w:rFonts w:ascii="Arial" w:cs="Arial" w:eastAsia="Arial" w:hAnsi="Arial"/>
          <w:sz w:val="15"/>
          <w:szCs w:val="15"/>
          <w:b w:val="1"/>
          <w:bCs w:val="1"/>
          <w:color w:val="auto"/>
        </w:rPr>
        <w:t>Description</w:t>
      </w:r>
    </w:p>
    <w:p>
      <w:pPr>
        <w:spacing w:after="0" w:line="231" w:lineRule="auto"/>
        <w:framePr w:w="8020" w:h="376" w:wrap="auto" w:vAnchor="page" w:hAnchor="page" w:x="2860" w:y="3842"/>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Seventh Amendment to Collaboration and License Agreement, effective December 17, 2019, by and among F.</w:t>
        </w:r>
      </w:hyperlink>
      <w:r>
        <w:rPr>
          <w:rFonts w:ascii="Arial" w:cs="Arial" w:eastAsia="Arial" w:hAnsi="Arial"/>
          <w:sz w:val="17"/>
          <w:szCs w:val="17"/>
          <w:b w:val="1"/>
          <w:bCs w:val="1"/>
          <w:u w:val="single" w:color="auto"/>
          <w:color w:val="0000EE"/>
        </w:rPr>
        <w:t xml:space="preserve"> </w:t>
      </w:r>
      <w:hyperlink w:anchor="page4">
        <w:r>
          <w:rPr>
            <w:rFonts w:ascii="Arial" w:cs="Arial" w:eastAsia="Arial" w:hAnsi="Arial"/>
            <w:sz w:val="17"/>
            <w:szCs w:val="17"/>
            <w:b w:val="1"/>
            <w:bCs w:val="1"/>
            <w:u w:val="single" w:color="auto"/>
            <w:color w:val="0000EE"/>
          </w:rPr>
          <w:t>Hoffmann-La Roche Ltd, Hoffmann-La Roche Inc. and Blueprint Medicines Corporation</w:t>
        </w:r>
      </w:hyperlink>
    </w:p>
    <w:p>
      <w:pPr>
        <w:spacing w:after="0" w:line="209" w:lineRule="auto"/>
        <w:framePr w:w="5860" w:h="160" w:wrap="auto" w:vAnchor="page" w:hAnchor="page" w:x="2860" w:y="4274"/>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Cover Page Interactive Data File (embedded within the Inline XBRL document)</w:t>
      </w: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rFonts w:ascii="Arial" w:cs="Arial" w:eastAsia="Arial" w:hAnsi="Arial"/>
          <w:sz w:val="16"/>
          <w:szCs w:val="16"/>
          <w:b w:val="1"/>
          <w:bCs w:val="1"/>
          <w:u w:val="single" w:color="auto"/>
          <w:color w:val="0000EE"/>
        </w:rPr>
      </w:pPr>
    </w:p>
    <w:p>
      <w:pPr>
        <w:ind w:right="100" w:firstLine="881"/>
        <w:spacing w:after="0" w:line="259" w:lineRule="auto"/>
        <w:rPr>
          <w:sz w:val="20"/>
          <w:szCs w:val="20"/>
          <w:color w:val="auto"/>
        </w:rPr>
      </w:pPr>
      <w:r>
        <w:rPr>
          <w:rFonts w:ascii="Arial" w:cs="Arial" w:eastAsia="Arial" w:hAnsi="Arial"/>
          <w:sz w:val="18"/>
          <w:szCs w:val="18"/>
          <w:color w:val="auto"/>
        </w:rPr>
        <w:t>On December 17, 2019, Blueprint Medicines Corporation (the “Company”) entered into a seventh amendment to its collaboration and license agreement, as amended, with F. Hoffmann-La Roche Ltd and Hoffmann-La Roche Inc. (collectively, “Roche”), pursuant to which the Company and Roche agreed to modify certain time periods related to Roche’s option rights for one of the collaboration programs.</w:t>
      </w:r>
    </w:p>
    <w:p>
      <w:pPr>
        <w:spacing w:after="0" w:line="187" w:lineRule="exact"/>
        <w:rPr>
          <w:rFonts w:ascii="Arial" w:cs="Arial" w:eastAsia="Arial" w:hAnsi="Arial"/>
          <w:sz w:val="16"/>
          <w:szCs w:val="16"/>
          <w:b w:val="1"/>
          <w:bCs w:val="1"/>
          <w:u w:val="single" w:color="auto"/>
          <w:color w:val="0000EE"/>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material terms of the seventh amendment to the collaboration and license agreement with Roche is qualified in its entirety by reference to the complete text of such amendment, a copy of which is attached as Exhibit 10.1 to this Current Report on Form 8-K.</w:t>
      </w:r>
    </w:p>
    <w:p>
      <w:pPr>
        <w:spacing w:after="0" w:line="177" w:lineRule="exact"/>
        <w:rPr>
          <w:rFonts w:ascii="Arial" w:cs="Arial" w:eastAsia="Arial" w:hAnsi="Arial"/>
          <w:sz w:val="16"/>
          <w:szCs w:val="16"/>
          <w:b w:val="1"/>
          <w:bCs w:val="1"/>
          <w:u w:val="single" w:color="auto"/>
          <w:color w:val="0000EE"/>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rFonts w:ascii="Arial" w:cs="Arial" w:eastAsia="Arial" w:hAnsi="Arial"/>
          <w:sz w:val="16"/>
          <w:szCs w:val="16"/>
          <w:b w:val="1"/>
          <w:bCs w:val="1"/>
          <w:u w:val="single" w:color="auto"/>
          <w:color w:val="0000EE"/>
        </w:rPr>
      </w:pPr>
    </w:p>
    <w:p>
      <w:pPr>
        <w:spacing w:after="0"/>
        <w:rPr>
          <w:sz w:val="20"/>
          <w:szCs w:val="20"/>
          <w:color w:val="auto"/>
        </w:rPr>
      </w:pPr>
      <w:r>
        <w:rPr>
          <w:rFonts w:ascii="Arial" w:cs="Arial" w:eastAsia="Arial" w:hAnsi="Arial"/>
          <w:sz w:val="18"/>
          <w:szCs w:val="18"/>
          <w:color w:val="auto"/>
        </w:rPr>
        <w:t>(d) Exhibits.</w:t>
      </w:r>
    </w:p>
    <w:p>
      <w:pPr>
        <w:spacing w:after="0" w:line="235" w:lineRule="exact"/>
        <w:rPr>
          <w:rFonts w:ascii="Arial" w:cs="Arial" w:eastAsia="Arial" w:hAnsi="Arial"/>
          <w:sz w:val="16"/>
          <w:szCs w:val="16"/>
          <w:b w:val="1"/>
          <w:bCs w:val="1"/>
          <w:u w:val="single" w:color="auto"/>
          <w:color w:val="0000EE"/>
        </w:rPr>
      </w:pPr>
    </w:p>
    <w:p>
      <w:pPr>
        <w:ind w:left="100"/>
        <w:spacing w:after="0"/>
        <w:rPr>
          <w:sz w:val="20"/>
          <w:szCs w:val="20"/>
          <w:color w:val="auto"/>
        </w:rPr>
      </w:pPr>
      <w:r>
        <w:rPr>
          <w:rFonts w:ascii="Arial" w:cs="Arial" w:eastAsia="Arial" w:hAnsi="Arial"/>
          <w:sz w:val="18"/>
          <w:szCs w:val="18"/>
          <w:b w:val="1"/>
          <w:bCs w:val="1"/>
          <w:color w:val="auto"/>
        </w:rPr>
        <w:t>Exhibit No.</w:t>
      </w:r>
    </w:p>
    <w:p>
      <w:pPr>
        <w:spacing w:after="0" w:line="27" w:lineRule="exact"/>
        <w:rPr>
          <w:rFonts w:ascii="Arial" w:cs="Arial" w:eastAsia="Arial" w:hAnsi="Arial"/>
          <w:sz w:val="16"/>
          <w:szCs w:val="16"/>
          <w:b w:val="1"/>
          <w:bCs w:val="1"/>
          <w:u w:val="single" w:color="auto"/>
          <w:color w:val="0000EE"/>
        </w:rPr>
      </w:pPr>
    </w:p>
    <w:p>
      <w:pPr>
        <w:ind w:left="100"/>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color w:val="212529"/>
        </w:rPr>
        <w:t>†</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40" w:lineRule="exact"/>
        <w:rPr>
          <w:rFonts w:ascii="Arial" w:cs="Arial" w:eastAsia="Arial" w:hAnsi="Arial"/>
          <w:sz w:val="16"/>
          <w:szCs w:val="16"/>
          <w:b w:val="1"/>
          <w:bCs w:val="1"/>
          <w:u w:val="single" w:color="auto"/>
          <w:color w:val="0000EE"/>
        </w:rPr>
      </w:pPr>
    </w:p>
    <w:p>
      <w:pPr>
        <w:ind w:left="100"/>
        <w:spacing w:after="0"/>
        <w:rPr>
          <w:sz w:val="20"/>
          <w:szCs w:val="20"/>
          <w:color w:val="auto"/>
        </w:rPr>
      </w:pPr>
      <w:r>
        <w:rPr>
          <w:rFonts w:ascii="Arial" w:cs="Arial" w:eastAsia="Arial" w:hAnsi="Arial"/>
          <w:sz w:val="18"/>
          <w:szCs w:val="18"/>
          <w:color w:val="auto"/>
        </w:rPr>
        <w:t>104</w:t>
      </w:r>
    </w:p>
    <w:p>
      <w:pPr>
        <w:spacing w:after="0" w:line="23" w:lineRule="exact"/>
        <w:rPr>
          <w:rFonts w:ascii="Arial" w:cs="Arial" w:eastAsia="Arial" w:hAnsi="Arial"/>
          <w:sz w:val="16"/>
          <w:szCs w:val="16"/>
          <w:b w:val="1"/>
          <w:bCs w:val="1"/>
          <w:u w:val="single" w:color="auto"/>
          <w:color w:val="0000EE"/>
        </w:rPr>
      </w:pPr>
    </w:p>
    <w:p>
      <w:pPr>
        <w:ind w:left="100"/>
        <w:spacing w:after="0"/>
        <w:rPr>
          <w:sz w:val="20"/>
          <w:szCs w:val="20"/>
          <w:color w:val="auto"/>
        </w:rPr>
      </w:pPr>
      <w:r>
        <w:rPr>
          <w:rFonts w:ascii="Arial" w:cs="Arial" w:eastAsia="Arial" w:hAnsi="Arial"/>
          <w:sz w:val="18"/>
          <w:szCs w:val="18"/>
          <w:color w:val="auto"/>
        </w:rPr>
        <w:t>_____________</w:t>
      </w:r>
    </w:p>
    <w:p>
      <w:pPr>
        <w:spacing w:after="0" w:line="9" w:lineRule="exact"/>
        <w:rPr>
          <w:rFonts w:ascii="Arial" w:cs="Arial" w:eastAsia="Arial" w:hAnsi="Arial"/>
          <w:sz w:val="16"/>
          <w:szCs w:val="16"/>
          <w:b w:val="1"/>
          <w:bCs w:val="1"/>
          <w:u w:val="single" w:color="auto"/>
          <w:color w:val="0000EE"/>
        </w:rPr>
      </w:pPr>
    </w:p>
    <w:p>
      <w:pPr>
        <w:ind w:left="100" w:right="660" w:firstLine="2"/>
        <w:spacing w:after="0" w:line="261" w:lineRule="auto"/>
        <w:tabs>
          <w:tab w:leader="none" w:pos="235"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Certain portions of the exhibit have been omitted pursuant to Regulation S-K Item 601(b) because it is both (i) not material to investors and (ii) likely to cause competitive harm to the Company if publicly disclosed.</w:t>
      </w: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300" w:lineRule="exact"/>
        <w:rPr>
          <w:rFonts w:ascii="Arial" w:cs="Arial" w:eastAsia="Arial" w:hAnsi="Arial"/>
          <w:sz w:val="16"/>
          <w:szCs w:val="16"/>
          <w:b w:val="1"/>
          <w:bCs w:val="1"/>
          <w:u w:val="single" w:color="auto"/>
          <w:color w:val="0000EE"/>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445" w:right="10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December 20, 2019</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14605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ind w:left="1400" w:right="359" w:hanging="1036"/>
        <w:spacing w:after="0" w:line="271" w:lineRule="auto"/>
        <w:tabs>
          <w:tab w:leader="none" w:pos="7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SEVENTH AMENDMENT TO COLLABORATION AND LICENSE AGREEMENT</w:t>
      </w:r>
    </w:p>
    <w:p>
      <w:pPr>
        <w:spacing w:after="0" w:line="202"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20"/>
          <w:szCs w:val="20"/>
          <w:color w:val="auto"/>
        </w:rPr>
        <w:t>This Seventh Amendment (this “</w:t>
      </w:r>
      <w:r>
        <w:rPr>
          <w:rFonts w:ascii="Arial" w:cs="Arial" w:eastAsia="Arial" w:hAnsi="Arial"/>
          <w:sz w:val="20"/>
          <w:szCs w:val="20"/>
          <w:b w:val="1"/>
          <w:bCs w:val="1"/>
          <w:color w:val="auto"/>
        </w:rPr>
        <w:t>Seventh Amendment</w:t>
      </w:r>
      <w:r>
        <w:rPr>
          <w:rFonts w:ascii="Arial" w:cs="Arial" w:eastAsia="Arial" w:hAnsi="Arial"/>
          <w:sz w:val="20"/>
          <w:szCs w:val="20"/>
          <w:color w:val="auto"/>
        </w:rPr>
        <w:t>”), effective December 17, 2019 (“</w:t>
      </w:r>
      <w:r>
        <w:rPr>
          <w:rFonts w:ascii="Arial" w:cs="Arial" w:eastAsia="Arial" w:hAnsi="Arial"/>
          <w:sz w:val="20"/>
          <w:szCs w:val="20"/>
          <w:b w:val="1"/>
          <w:bCs w:val="1"/>
          <w:color w:val="auto"/>
        </w:rPr>
        <w:t>Seventh Amendment Effective Date</w:t>
      </w:r>
      <w:r>
        <w:rPr>
          <w:rFonts w:ascii="Arial" w:cs="Arial" w:eastAsia="Arial" w:hAnsi="Arial"/>
          <w:sz w:val="20"/>
          <w:szCs w:val="20"/>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 and Blueprint Medicines Corporation, with a principal place of business at 45 Sidney Street, Cambridge, Massachusetts 02139 U.S.A. (“</w:t>
      </w:r>
      <w:r>
        <w:rPr>
          <w:rFonts w:ascii="Arial" w:cs="Arial" w:eastAsia="Arial" w:hAnsi="Arial"/>
          <w:sz w:val="20"/>
          <w:szCs w:val="20"/>
          <w:b w:val="1"/>
          <w:bCs w:val="1"/>
          <w:color w:val="auto"/>
        </w:rPr>
        <w:t>BPM</w:t>
      </w:r>
      <w:r>
        <w:rPr>
          <w:rFonts w:ascii="Arial" w:cs="Arial" w:eastAsia="Arial" w:hAnsi="Arial"/>
          <w:sz w:val="20"/>
          <w:szCs w:val="20"/>
          <w:color w:val="auto"/>
        </w:rPr>
        <w:t>”). Capitalized terms used and not otherwise defined in this Seventh Amendment shall have the meanings set forth in the Agreement (as defined below).</w:t>
      </w:r>
    </w:p>
    <w:p>
      <w:pPr>
        <w:spacing w:after="0" w:line="198"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20"/>
          <w:szCs w:val="20"/>
          <w:color w:val="auto"/>
        </w:rPr>
        <w:t>WHEREAS, BPM and Roche entered into a Collaboration and License Agreement, dated March 14, 2016, as amended by an amendment, effective April 15, 2016, a second amendment, effective April 27, 2016, a third amendment, effective August 4, 2016, a fourth amendment, effective February 25, 2019, a fifth amendment, effective June 28, 2019, and a sixth amendment effective November 1, 2019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99" w:lineRule="exact"/>
        <w:rPr>
          <w:sz w:val="20"/>
          <w:szCs w:val="20"/>
          <w:color w:val="auto"/>
        </w:rPr>
      </w:pPr>
    </w:p>
    <w:p>
      <w:pPr>
        <w:jc w:val="both"/>
        <w:ind w:left="160" w:right="139" w:firstLine="648"/>
        <w:spacing w:after="0" w:line="236" w:lineRule="auto"/>
        <w:rPr>
          <w:sz w:val="20"/>
          <w:szCs w:val="20"/>
          <w:color w:val="auto"/>
        </w:rPr>
      </w:pPr>
      <w:r>
        <w:rPr>
          <w:rFonts w:ascii="Arial" w:cs="Arial" w:eastAsia="Arial" w:hAnsi="Arial"/>
          <w:sz w:val="20"/>
          <w:szCs w:val="20"/>
          <w:color w:val="auto"/>
        </w:rPr>
        <w:t>WHEREAS, BPM and Roche desire to amend certain terms under the Agreement, as set forth below;</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202" w:lineRule="exact"/>
        <w:rPr>
          <w:sz w:val="20"/>
          <w:szCs w:val="20"/>
          <w:color w:val="auto"/>
        </w:rPr>
      </w:pPr>
    </w:p>
    <w:p>
      <w:pPr>
        <w:ind w:left="160" w:right="159" w:firstLine="639"/>
        <w:spacing w:after="0" w:line="236" w:lineRule="auto"/>
        <w:tabs>
          <w:tab w:leader="none" w:pos="1528"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Section 1.86 (Option Period) of the Agreement shall be deleted in its entirety and replaced by the following:</w:t>
      </w:r>
    </w:p>
    <w:p>
      <w:pPr>
        <w:spacing w:after="0" w:line="200" w:lineRule="exact"/>
        <w:rPr>
          <w:sz w:val="20"/>
          <w:szCs w:val="20"/>
          <w:color w:val="auto"/>
        </w:rPr>
      </w:pPr>
    </w:p>
    <w:p>
      <w:pPr>
        <w:spacing w:after="0" w:line="212" w:lineRule="exact"/>
        <w:rPr>
          <w:sz w:val="20"/>
          <w:szCs w:val="20"/>
          <w:color w:val="auto"/>
        </w:rPr>
      </w:pPr>
    </w:p>
    <w:p>
      <w:pPr>
        <w:jc w:val="both"/>
        <w:ind w:left="1440" w:right="139"/>
        <w:spacing w:after="0" w:line="225" w:lineRule="auto"/>
        <w:rPr>
          <w:sz w:val="20"/>
          <w:szCs w:val="20"/>
          <w:color w:val="auto"/>
        </w:rPr>
      </w:pPr>
      <w:r>
        <w:rPr>
          <w:rFonts w:ascii="Arial" w:cs="Arial" w:eastAsia="Arial" w:hAnsi="Arial"/>
          <w:sz w:val="20"/>
          <w:szCs w:val="20"/>
          <w:color w:val="auto"/>
        </w:rPr>
        <w:t>“The term ‘Option Period’ shall mean, for each Collaboration Target, the period beginning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w:t>
      </w:r>
    </w:p>
    <w:p>
      <w:pPr>
        <w:spacing w:after="0" w:line="4" w:lineRule="exact"/>
        <w:rPr>
          <w:sz w:val="20"/>
          <w:szCs w:val="20"/>
          <w:color w:val="auto"/>
        </w:rPr>
      </w:pPr>
    </w:p>
    <w:p>
      <w:pPr>
        <w:jc w:val="both"/>
        <w:ind w:left="1440" w:right="139" w:firstLine="7"/>
        <w:spacing w:after="0" w:line="225" w:lineRule="auto"/>
        <w:tabs>
          <w:tab w:leader="none" w:pos="1852"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after achievement of Lead Series Identified Criteria has been confirmed by the JRC for such Collaboration Target if Initiation of the GLP Tox Study has not been achieved for such Collaboration Target prior to such date; </w:t>
      </w:r>
      <w:r>
        <w:rPr>
          <w:rFonts w:ascii="Arial" w:cs="Arial" w:eastAsia="Arial" w:hAnsi="Arial"/>
          <w:sz w:val="20"/>
          <w:szCs w:val="20"/>
          <w:i w:val="1"/>
          <w:iCs w:val="1"/>
          <w:color w:val="auto"/>
        </w:rPr>
        <w:t>provided, however</w:t>
      </w:r>
      <w:r>
        <w:rPr>
          <w:rFonts w:ascii="Arial" w:cs="Arial" w:eastAsia="Arial" w:hAnsi="Arial"/>
          <w:sz w:val="20"/>
          <w:szCs w:val="20"/>
          <w:color w:val="auto"/>
        </w:rPr>
        <w:t>, that</w:t>
      </w:r>
    </w:p>
    <w:p>
      <w:pPr>
        <w:spacing w:after="0" w:line="1" w:lineRule="exact"/>
        <w:rPr>
          <w:rFonts w:ascii="Arial" w:cs="Arial" w:eastAsia="Arial" w:hAnsi="Arial"/>
          <w:sz w:val="20"/>
          <w:szCs w:val="20"/>
          <w:color w:val="auto"/>
        </w:rPr>
      </w:pPr>
    </w:p>
    <w:p>
      <w:pPr>
        <w:jc w:val="both"/>
        <w:ind w:left="1440" w:right="139" w:firstLine="7"/>
        <w:spacing w:after="0" w:line="232" w:lineRule="auto"/>
        <w:tabs>
          <w:tab w:leader="none" w:pos="185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for purposes of this clause 1.86(v), [***];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(1) in the event that the JRC [***], then [***]; and (2) in the event that (A) the JRC [***] and (B) if the JRC [***], then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20"/>
          <w:szCs w:val="20"/>
          <w:color w:val="auto"/>
        </w:rPr>
        <w:t>This Seventh Amendment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473710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both"/>
        <w:ind w:left="160" w:right="139" w:firstLine="648"/>
        <w:spacing w:after="0" w:line="228" w:lineRule="auto"/>
        <w:rPr>
          <w:sz w:val="20"/>
          <w:szCs w:val="20"/>
          <w:color w:val="auto"/>
        </w:rPr>
      </w:pPr>
      <w:r>
        <w:rPr>
          <w:rFonts w:ascii="Arial" w:cs="Arial" w:eastAsia="Arial" w:hAnsi="Arial"/>
          <w:sz w:val="20"/>
          <w:szCs w:val="20"/>
          <w:color w:val="auto"/>
        </w:rPr>
        <w:t>This Seventh Amendment shall be effective as of the Seventh Amendment Effective Date. On and after the Seventh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Seventh Amendment. Except as specifically amended above, the Agreement shall remain in full force and effect in accordance with its terms and is hereby ratified and confirmed.</w:t>
      </w:r>
    </w:p>
    <w:p>
      <w:pPr>
        <w:spacing w:after="0" w:line="200"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20"/>
          <w:szCs w:val="20"/>
          <w:color w:val="auto"/>
        </w:rPr>
        <w:t>This Seventh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follows.]</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336550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 w:name="page6"/>
    <w:bookmarkEnd w:id="5"/>
    <w:p>
      <w:pPr>
        <w:ind w:left="160" w:right="159" w:firstLine="648"/>
        <w:spacing w:after="0" w:line="258" w:lineRule="auto"/>
        <w:rPr>
          <w:sz w:val="20"/>
          <w:szCs w:val="20"/>
          <w:color w:val="auto"/>
        </w:rPr>
      </w:pPr>
      <w:r>
        <w:rPr>
          <w:rFonts w:ascii="Arial" w:cs="Arial" w:eastAsia="Arial" w:hAnsi="Arial"/>
          <w:sz w:val="19"/>
          <w:szCs w:val="19"/>
          <w:color w:val="auto"/>
        </w:rPr>
        <w:t>IN WITNESS WHEREOF, the Parties have caused this Seventh Amendment to be executed by their respective duly authorized representatives as of the Seventh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Blueprint Medicines Corporation</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23583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 Jeffrey W. Albers</w:t>
      </w:r>
    </w:p>
    <w:p>
      <w:pPr>
        <w:ind w:left="260"/>
        <w:spacing w:after="0"/>
        <w:tabs>
          <w:tab w:leader="none" w:pos="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4340" w:type="dxa"/>
            <w:vAlign w:val="bottom"/>
            <w:gridSpan w:val="2"/>
          </w:tcPr>
          <w:p>
            <w:pPr>
              <w:ind w:left="120"/>
              <w:spacing w:after="0"/>
              <w:rPr>
                <w:sz w:val="20"/>
                <w:szCs w:val="20"/>
                <w:color w:val="auto"/>
              </w:rPr>
            </w:pPr>
            <w:r>
              <w:rPr>
                <w:rFonts w:ascii="Arial" w:cs="Arial" w:eastAsia="Arial" w:hAnsi="Arial"/>
                <w:sz w:val="20"/>
                <w:szCs w:val="20"/>
                <w:b w:val="1"/>
                <w:bCs w:val="1"/>
                <w:color w:val="auto"/>
              </w:rPr>
              <w:t>F. Hoffmann-La Roche Ltd</w:t>
            </w:r>
          </w:p>
        </w:tc>
        <w:tc>
          <w:tcPr>
            <w:tcW w:w="4380" w:type="dxa"/>
            <w:vAlign w:val="bottom"/>
          </w:tcPr>
          <w:p>
            <w:pPr>
              <w:spacing w:after="0"/>
              <w:rPr>
                <w:sz w:val="22"/>
                <w:szCs w:val="22"/>
                <w:color w:val="auto"/>
              </w:rPr>
            </w:pPr>
          </w:p>
        </w:tc>
      </w:tr>
      <w:tr>
        <w:trPr>
          <w:trHeight w:val="415"/>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Tim Steven</w:t>
            </w:r>
          </w:p>
        </w:tc>
        <w:tc>
          <w:tcPr>
            <w:tcW w:w="620" w:type="dxa"/>
            <w:vAlign w:val="bottom"/>
          </w:tcPr>
          <w:p>
            <w:pPr>
              <w:spacing w:after="0"/>
              <w:rPr>
                <w:sz w:val="24"/>
                <w:szCs w:val="24"/>
                <w:color w:val="auto"/>
              </w:rPr>
            </w:pPr>
          </w:p>
        </w:tc>
        <w:tc>
          <w:tcPr>
            <w:tcW w:w="43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Stefan Arnold</w:t>
            </w:r>
          </w:p>
        </w:tc>
      </w:tr>
      <w:tr>
        <w:trPr>
          <w:trHeight w:val="422"/>
        </w:trPr>
        <w:tc>
          <w:tcPr>
            <w:tcW w:w="4340" w:type="dxa"/>
            <w:vAlign w:val="bottom"/>
            <w:gridSpan w:val="2"/>
          </w:tcPr>
          <w:p>
            <w:pPr>
              <w:ind w:left="120"/>
              <w:spacing w:after="0"/>
              <w:rPr>
                <w:sz w:val="20"/>
                <w:szCs w:val="20"/>
                <w:color w:val="auto"/>
              </w:rPr>
            </w:pPr>
            <w:r>
              <w:rPr>
                <w:rFonts w:ascii="Arial" w:cs="Arial" w:eastAsia="Arial" w:hAnsi="Arial"/>
                <w:sz w:val="20"/>
                <w:szCs w:val="20"/>
                <w:color w:val="auto"/>
              </w:rPr>
              <w:t>Name:Tim Steven</w:t>
            </w:r>
          </w:p>
        </w:tc>
        <w:tc>
          <w:tcPr>
            <w:tcW w:w="4380" w:type="dxa"/>
            <w:vAlign w:val="bottom"/>
          </w:tcPr>
          <w:p>
            <w:pPr>
              <w:ind w:left="120"/>
              <w:spacing w:after="0"/>
              <w:rPr>
                <w:sz w:val="20"/>
                <w:szCs w:val="20"/>
                <w:color w:val="auto"/>
              </w:rPr>
            </w:pPr>
            <w:r>
              <w:rPr>
                <w:rFonts w:ascii="Arial" w:cs="Arial" w:eastAsia="Arial" w:hAnsi="Arial"/>
                <w:sz w:val="20"/>
                <w:szCs w:val="20"/>
                <w:color w:val="auto"/>
              </w:rPr>
              <w:t>Name: Stefan Arnold</w:t>
            </w:r>
          </w:p>
        </w:tc>
      </w:tr>
      <w:tr>
        <w:trPr>
          <w:trHeight w:val="216"/>
        </w:trPr>
        <w:tc>
          <w:tcPr>
            <w:tcW w:w="434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Title:  Global Alliance and Asset</w:t>
            </w:r>
          </w:p>
        </w:tc>
        <w:tc>
          <w:tcPr>
            <w:tcW w:w="4380" w:type="dxa"/>
            <w:vAlign w:val="bottom"/>
          </w:tcPr>
          <w:p>
            <w:pPr>
              <w:ind w:left="120"/>
              <w:spacing w:after="0" w:line="216" w:lineRule="exact"/>
              <w:rPr>
                <w:sz w:val="20"/>
                <w:szCs w:val="20"/>
                <w:color w:val="auto"/>
              </w:rPr>
            </w:pPr>
            <w:r>
              <w:rPr>
                <w:rFonts w:ascii="Arial" w:cs="Arial" w:eastAsia="Arial" w:hAnsi="Arial"/>
                <w:sz w:val="20"/>
                <w:szCs w:val="20"/>
                <w:color w:val="auto"/>
              </w:rPr>
              <w:t>Title:  Head Legal Pharma</w:t>
            </w:r>
          </w:p>
        </w:tc>
      </w:tr>
      <w:tr>
        <w:trPr>
          <w:trHeight w:val="237"/>
        </w:trPr>
        <w:tc>
          <w:tcPr>
            <w:tcW w:w="4340" w:type="dxa"/>
            <w:vAlign w:val="bottom"/>
            <w:gridSpan w:val="2"/>
          </w:tcPr>
          <w:p>
            <w:pPr>
              <w:ind w:left="120"/>
              <w:spacing w:after="0"/>
              <w:rPr>
                <w:sz w:val="20"/>
                <w:szCs w:val="20"/>
                <w:color w:val="auto"/>
              </w:rPr>
            </w:pPr>
            <w:r>
              <w:rPr>
                <w:rFonts w:ascii="Arial" w:cs="Arial" w:eastAsia="Arial" w:hAnsi="Arial"/>
                <w:sz w:val="20"/>
                <w:szCs w:val="20"/>
                <w:color w:val="auto"/>
              </w:rPr>
              <w:t>Management Director</w:t>
            </w:r>
          </w:p>
        </w:tc>
        <w:tc>
          <w:tcPr>
            <w:tcW w:w="4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Hoffmann-La Roche Inc</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23583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 John P. Parise</w:t>
      </w:r>
    </w:p>
    <w:p>
      <w:pPr>
        <w:ind w:left="26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1022350</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2019-12-28T00:51:37Z</dcterms:created>
  <dcterms:modified xsi:type="dcterms:W3CDTF">2019-12-28T00:51:37Z</dcterms:modified>
</cp:coreProperties>
</file>