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406400</wp:posOffset>
            </wp:positionH>
            <wp:positionV relativeFrom="page">
              <wp:posOffset>157480</wp:posOffset>
            </wp:positionV>
            <wp:extent cx="6749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941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67494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jc w:val="center"/>
        <w:ind w:right="-40"/>
        <w:spacing w:after="0" w:line="229" w:lineRule="auto"/>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55880</wp:posOffset>
            </wp:positionV>
            <wp:extent cx="1689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35"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10-K/A</w:t>
      </w:r>
    </w:p>
    <w:p>
      <w:pPr>
        <w:spacing w:after="0" w:line="1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55880</wp:posOffset>
            </wp:positionV>
            <wp:extent cx="16897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180" w:lineRule="exact"/>
        <w:rPr>
          <w:sz w:val="24"/>
          <w:szCs w:val="24"/>
          <w:color w:val="auto"/>
        </w:rPr>
      </w:pPr>
    </w:p>
    <w:p>
      <w:pPr>
        <w:ind w:left="1"/>
        <w:spacing w:after="0"/>
        <w:rPr>
          <w:sz w:val="20"/>
          <w:szCs w:val="20"/>
          <w:color w:val="auto"/>
        </w:rPr>
      </w:pPr>
      <w:r>
        <w:rPr>
          <w:rFonts w:ascii="Arial" w:cs="Arial" w:eastAsia="Arial" w:hAnsi="Arial"/>
          <w:sz w:val="16"/>
          <w:szCs w:val="16"/>
          <w:color w:val="auto"/>
        </w:rPr>
        <w:t>(Mark One)</w:t>
      </w:r>
    </w:p>
    <w:p>
      <w:pPr>
        <w:spacing w:after="0" w:line="55" w:lineRule="exact"/>
        <w:rPr>
          <w:sz w:val="24"/>
          <w:szCs w:val="24"/>
          <w:color w:val="auto"/>
        </w:rPr>
      </w:pPr>
    </w:p>
    <w:p>
      <w:pPr>
        <w:ind w:left="1401" w:hanging="968"/>
        <w:spacing w:after="0"/>
        <w:tabs>
          <w:tab w:leader="none" w:pos="1401"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7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fiscal year ended December 31, 2017</w:t>
      </w:r>
    </w:p>
    <w:p>
      <w:pPr>
        <w:spacing w:after="0" w:line="3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401" w:hanging="968"/>
        <w:spacing w:after="0"/>
        <w:tabs>
          <w:tab w:leader="none" w:pos="1401"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7" w:lineRule="exact"/>
        <w:rPr>
          <w:sz w:val="24"/>
          <w:szCs w:val="24"/>
          <w:color w:val="auto"/>
        </w:rPr>
      </w:pPr>
    </w:p>
    <w:p>
      <w:pPr>
        <w:ind w:left="3381"/>
        <w:spacing w:after="0"/>
        <w:tabs>
          <w:tab w:leader="none" w:pos="610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3393440</wp:posOffset>
            </wp:positionH>
            <wp:positionV relativeFrom="paragraph">
              <wp:posOffset>-6985</wp:posOffset>
            </wp:positionV>
            <wp:extent cx="1083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3310" cy="88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6"/>
          <w:szCs w:val="16"/>
          <w:b w:val="1"/>
          <w:bCs w:val="1"/>
          <w:color w:val="auto"/>
        </w:rPr>
        <w:t>Commission File Number: 001-37359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60325</wp:posOffset>
            </wp:positionV>
            <wp:extent cx="1689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15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BLUEPRINT MEDICINES CORPORATION</w:t>
      </w:r>
    </w:p>
    <w:p>
      <w:pPr>
        <w:sectPr>
          <w:pgSz w:w="11900" w:h="16838" w:orient="portrait"/>
          <w:cols w:equalWidth="0" w:num="1">
            <w:col w:w="10581"/>
          </w:cols>
          <w:pgMar w:left="639" w:top="249" w:right="679" w:bottom="1440" w:gutter="0" w:footer="0" w:header="0"/>
        </w:sectPr>
      </w:pPr>
    </w:p>
    <w:p>
      <w:pPr>
        <w:spacing w:after="0" w:line="29" w:lineRule="exact"/>
        <w:rPr>
          <w:sz w:val="24"/>
          <w:szCs w:val="24"/>
          <w:color w:val="auto"/>
        </w:rPr>
      </w:pPr>
    </w:p>
    <w:p>
      <w:pPr>
        <w:jc w:val="right"/>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60325</wp:posOffset>
            </wp:positionV>
            <wp:extent cx="16897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183" w:lineRule="exact"/>
        <w:rPr>
          <w:sz w:val="24"/>
          <w:szCs w:val="24"/>
          <w:color w:val="auto"/>
        </w:rPr>
      </w:pPr>
    </w:p>
    <w:p>
      <w:pPr>
        <w:jc w:val="center"/>
        <w:ind w:right="1599"/>
        <w:spacing w:after="0"/>
        <w:rPr>
          <w:sz w:val="20"/>
          <w:szCs w:val="20"/>
          <w:color w:val="auto"/>
        </w:rPr>
      </w:pPr>
      <w:r>
        <w:rPr>
          <w:rFonts w:ascii="Arial" w:cs="Arial" w:eastAsia="Arial" w:hAnsi="Arial"/>
          <w:sz w:val="16"/>
          <w:szCs w:val="16"/>
          <w:b w:val="1"/>
          <w:bCs w:val="1"/>
          <w:color w:val="auto"/>
        </w:rPr>
        <w:t>Delaware</w:t>
      </w:r>
    </w:p>
    <w:p>
      <w:pPr>
        <w:spacing w:after="0" w:line="1" w:lineRule="exact"/>
        <w:rPr>
          <w:sz w:val="24"/>
          <w:szCs w:val="24"/>
          <w:color w:val="auto"/>
        </w:rPr>
      </w:pPr>
    </w:p>
    <w:p>
      <w:pPr>
        <w:ind w:left="1741"/>
        <w:spacing w:after="0"/>
        <w:rPr>
          <w:sz w:val="20"/>
          <w:szCs w:val="20"/>
          <w:color w:val="auto"/>
        </w:rPr>
      </w:pPr>
      <w:r>
        <w:rPr>
          <w:rFonts w:ascii="Arial" w:cs="Arial" w:eastAsia="Arial" w:hAnsi="Arial"/>
          <w:sz w:val="16"/>
          <w:szCs w:val="16"/>
          <w:i w:val="1"/>
          <w:iCs w:val="1"/>
          <w:color w:val="auto"/>
        </w:rPr>
        <w:t>(State or other jurisdiction of</w:t>
      </w:r>
    </w:p>
    <w:p>
      <w:pPr>
        <w:ind w:left="1801"/>
        <w:spacing w:after="0"/>
        <w:rPr>
          <w:sz w:val="20"/>
          <w:szCs w:val="20"/>
          <w:color w:val="auto"/>
        </w:rPr>
      </w:pPr>
      <w:r>
        <w:rPr>
          <w:rFonts w:ascii="Arial" w:cs="Arial" w:eastAsia="Arial" w:hAnsi="Arial"/>
          <w:sz w:val="16"/>
          <w:szCs w:val="16"/>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26-3632015</w:t>
      </w:r>
    </w:p>
    <w:p>
      <w:pPr>
        <w:jc w:val="center"/>
        <w:ind w:right="1920"/>
        <w:spacing w:after="0" w:line="211" w:lineRule="auto"/>
        <w:rPr>
          <w:sz w:val="20"/>
          <w:szCs w:val="20"/>
          <w:color w:val="auto"/>
        </w:rPr>
      </w:pPr>
      <w:r>
        <w:rPr>
          <w:rFonts w:ascii="Arial" w:cs="Arial" w:eastAsia="Arial" w:hAnsi="Arial"/>
          <w:sz w:val="16"/>
          <w:szCs w:val="16"/>
          <w:i w:val="1"/>
          <w:iCs w:val="1"/>
          <w:color w:val="auto"/>
        </w:rPr>
        <w:t>(IRS Employer</w:t>
      </w:r>
    </w:p>
    <w:p>
      <w:pPr>
        <w:jc w:val="center"/>
        <w:ind w:right="1920"/>
        <w:spacing w:after="0"/>
        <w:rPr>
          <w:sz w:val="20"/>
          <w:szCs w:val="20"/>
          <w:color w:val="auto"/>
        </w:rPr>
      </w:pPr>
      <w:r>
        <w:rPr>
          <w:rFonts w:ascii="Arial" w:cs="Arial" w:eastAsia="Arial" w:hAnsi="Arial"/>
          <w:sz w:val="15"/>
          <w:szCs w:val="15"/>
          <w:i w:val="1"/>
          <w:iCs w:val="1"/>
          <w:color w:val="auto"/>
        </w:rPr>
        <w:t>Identification No.)</w:t>
      </w:r>
    </w:p>
    <w:p>
      <w:pPr>
        <w:spacing w:after="0" w:line="12" w:lineRule="exact"/>
        <w:rPr>
          <w:sz w:val="24"/>
          <w:szCs w:val="24"/>
          <w:color w:val="auto"/>
        </w:rPr>
      </w:pPr>
    </w:p>
    <w:p>
      <w:pPr>
        <w:sectPr>
          <w:pgSz w:w="11900" w:h="16838" w:orient="portrait"/>
          <w:cols w:equalWidth="0" w:num="2">
            <w:col w:w="7001" w:space="460"/>
            <w:col w:w="3120"/>
          </w:cols>
          <w:pgMar w:left="639" w:top="249" w:right="679" w:bottom="1440" w:gutter="0" w:footer="0" w:header="0"/>
          <w:type w:val="continuous"/>
        </w:sectPr>
      </w:pPr>
    </w:p>
    <w:tbl>
      <w:tblPr>
        <w:tblLayout w:type="fixed"/>
        <w:tblInd w:w="1421" w:type="dxa"/>
        <w:tblCellMar>
          <w:top w:w="0" w:type="dxa"/>
          <w:left w:w="0" w:type="dxa"/>
          <w:bottom w:w="0" w:type="dxa"/>
          <w:right w:w="0" w:type="dxa"/>
        </w:tblCellMar>
      </w:tblPr>
      <w:tr>
        <w:trPr>
          <w:trHeight w:val="149"/>
        </w:trPr>
        <w:tc>
          <w:tcPr>
            <w:tcW w:w="4400" w:type="dxa"/>
            <w:vAlign w:val="bottom"/>
          </w:tcPr>
          <w:p>
            <w:pPr>
              <w:jc w:val="center"/>
              <w:ind w:right="1799"/>
              <w:spacing w:after="0" w:line="149" w:lineRule="exact"/>
              <w:rPr>
                <w:sz w:val="20"/>
                <w:szCs w:val="20"/>
                <w:color w:val="auto"/>
              </w:rPr>
            </w:pPr>
            <w:r>
              <w:rPr>
                <w:rFonts w:ascii="Arial" w:cs="Arial" w:eastAsia="Arial" w:hAnsi="Arial"/>
                <w:sz w:val="16"/>
                <w:szCs w:val="16"/>
                <w:b w:val="1"/>
                <w:bCs w:val="1"/>
                <w:color w:val="auto"/>
                <w:w w:val="89"/>
              </w:rPr>
              <w:t>45 Sidney Street</w:t>
            </w:r>
          </w:p>
        </w:tc>
        <w:tc>
          <w:tcPr>
            <w:tcW w:w="25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02139</w:t>
            </w:r>
          </w:p>
        </w:tc>
        <w:tc>
          <w:tcPr>
            <w:tcW w:w="0" w:type="dxa"/>
            <w:vAlign w:val="bottom"/>
          </w:tcPr>
          <w:p>
            <w:pPr>
              <w:spacing w:after="0"/>
              <w:rPr>
                <w:sz w:val="1"/>
                <w:szCs w:val="1"/>
                <w:color w:val="auto"/>
              </w:rPr>
            </w:pPr>
          </w:p>
        </w:tc>
      </w:tr>
      <w:tr>
        <w:trPr>
          <w:trHeight w:val="166"/>
        </w:trPr>
        <w:tc>
          <w:tcPr>
            <w:tcW w:w="4400" w:type="dxa"/>
            <w:vAlign w:val="bottom"/>
          </w:tcPr>
          <w:p>
            <w:pPr>
              <w:jc w:val="center"/>
              <w:ind w:right="1779"/>
              <w:spacing w:after="0" w:line="166" w:lineRule="exact"/>
              <w:rPr>
                <w:sz w:val="20"/>
                <w:szCs w:val="20"/>
                <w:color w:val="auto"/>
              </w:rPr>
            </w:pPr>
            <w:r>
              <w:rPr>
                <w:rFonts w:ascii="Arial" w:cs="Arial" w:eastAsia="Arial" w:hAnsi="Arial"/>
                <w:sz w:val="16"/>
                <w:szCs w:val="16"/>
                <w:b w:val="1"/>
                <w:bCs w:val="1"/>
                <w:color w:val="auto"/>
                <w:w w:val="97"/>
              </w:rPr>
              <w:t>Cambridge, MA</w:t>
            </w:r>
          </w:p>
        </w:tc>
        <w:tc>
          <w:tcPr>
            <w:tcW w:w="2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400" w:type="dxa"/>
            <w:vAlign w:val="bottom"/>
          </w:tcPr>
          <w:p>
            <w:pPr>
              <w:jc w:val="center"/>
              <w:ind w:right="1779"/>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2580" w:type="dxa"/>
            <w:vAlign w:val="bottom"/>
          </w:tcPr>
          <w:p>
            <w:pPr>
              <w:jc w:val="center"/>
              <w:ind w:left="1799"/>
              <w:spacing w:after="0"/>
              <w:rPr>
                <w:sz w:val="20"/>
                <w:szCs w:val="20"/>
                <w:color w:val="auto"/>
              </w:rPr>
            </w:pPr>
            <w:r>
              <w:rPr>
                <w:rFonts w:ascii="Arial" w:cs="Arial" w:eastAsia="Arial" w:hAnsi="Arial"/>
                <w:sz w:val="16"/>
                <w:szCs w:val="16"/>
                <w:i w:val="1"/>
                <w:iCs w:val="1"/>
                <w:color w:val="auto"/>
                <w:w w:val="92"/>
              </w:rPr>
              <w:t>(Zip Code)</w:t>
            </w:r>
          </w:p>
        </w:tc>
        <w:tc>
          <w:tcPr>
            <w:tcW w:w="0" w:type="dxa"/>
            <w:vAlign w:val="bottom"/>
          </w:tcPr>
          <w:p>
            <w:pPr>
              <w:spacing w:after="0"/>
              <w:rPr>
                <w:sz w:val="1"/>
                <w:szCs w:val="1"/>
                <w:color w:val="auto"/>
              </w:rPr>
            </w:pPr>
          </w:p>
        </w:tc>
      </w:tr>
    </w:tbl>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6"/>
          <w:szCs w:val="16"/>
          <w:i w:val="1"/>
          <w:iCs w:val="1"/>
          <w:color w:val="auto"/>
        </w:rPr>
        <w:t xml:space="preserve">Registrant’s telephone number, including area code: </w:t>
      </w:r>
      <w:r>
        <w:rPr>
          <w:rFonts w:ascii="Arial" w:cs="Arial" w:eastAsia="Arial" w:hAnsi="Arial"/>
          <w:sz w:val="16"/>
          <w:szCs w:val="16"/>
          <w:b w:val="1"/>
          <w:bCs w:val="1"/>
          <w:color w:val="auto"/>
        </w:rPr>
        <w:t>(617) 374-7580</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6"/>
          <w:szCs w:val="16"/>
          <w:i w:val="1"/>
          <w:iCs w:val="1"/>
          <w:color w:val="auto"/>
        </w:rPr>
        <w:t>Securities registered pursuant to Section 12(b) of the Act:</w:t>
      </w:r>
    </w:p>
    <w:p>
      <w:pPr>
        <w:spacing w:after="0" w:line="18" w:lineRule="exact"/>
        <w:rPr>
          <w:sz w:val="24"/>
          <w:szCs w:val="24"/>
          <w:color w:val="auto"/>
        </w:rPr>
      </w:pPr>
    </w:p>
    <w:tbl>
      <w:tblPr>
        <w:tblLayout w:type="fixed"/>
        <w:tblInd w:w="1381" w:type="dxa"/>
        <w:tblCellMar>
          <w:top w:w="0" w:type="dxa"/>
          <w:left w:w="0" w:type="dxa"/>
          <w:bottom w:w="0" w:type="dxa"/>
          <w:right w:w="0" w:type="dxa"/>
        </w:tblCellMar>
      </w:tblPr>
      <w:tr>
        <w:trPr>
          <w:trHeight w:val="199"/>
        </w:trPr>
        <w:tc>
          <w:tcPr>
            <w:tcW w:w="4540" w:type="dxa"/>
            <w:vAlign w:val="bottom"/>
            <w:gridSpan w:val="2"/>
          </w:tcPr>
          <w:p>
            <w:pPr>
              <w:jc w:val="center"/>
              <w:ind w:right="820"/>
              <w:spacing w:after="0"/>
              <w:rPr>
                <w:sz w:val="20"/>
                <w:szCs w:val="20"/>
                <w:color w:val="auto"/>
              </w:rPr>
            </w:pPr>
            <w:r>
              <w:rPr>
                <w:rFonts w:ascii="Arial" w:cs="Arial" w:eastAsia="Arial" w:hAnsi="Arial"/>
                <w:sz w:val="16"/>
                <w:szCs w:val="16"/>
                <w:i w:val="1"/>
                <w:iCs w:val="1"/>
                <w:color w:val="auto"/>
                <w:w w:val="90"/>
              </w:rPr>
              <w:t>Title of Class</w:t>
            </w:r>
          </w:p>
        </w:tc>
        <w:tc>
          <w:tcPr>
            <w:tcW w:w="3340" w:type="dxa"/>
            <w:vAlign w:val="bottom"/>
          </w:tcPr>
          <w:p>
            <w:pPr>
              <w:jc w:val="center"/>
              <w:spacing w:after="0"/>
              <w:rPr>
                <w:sz w:val="20"/>
                <w:szCs w:val="20"/>
                <w:color w:val="auto"/>
              </w:rPr>
            </w:pPr>
            <w:r>
              <w:rPr>
                <w:rFonts w:ascii="Arial" w:cs="Arial" w:eastAsia="Arial" w:hAnsi="Arial"/>
                <w:sz w:val="16"/>
                <w:szCs w:val="16"/>
                <w:i w:val="1"/>
                <w:iCs w:val="1"/>
                <w:color w:val="auto"/>
                <w:w w:val="90"/>
              </w:rPr>
              <w:t>Name of Exchange on Which Registered</w:t>
            </w:r>
          </w:p>
        </w:tc>
      </w:tr>
      <w:tr>
        <w:trPr>
          <w:trHeight w:val="204"/>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Common Stock, par value $0.001 per share</w:t>
            </w:r>
          </w:p>
        </w:tc>
        <w:tc>
          <w:tcPr>
            <w:tcW w:w="820" w:type="dxa"/>
            <w:vAlign w:val="bottom"/>
          </w:tcPr>
          <w:p>
            <w:pPr>
              <w:spacing w:after="0"/>
              <w:rPr>
                <w:sz w:val="17"/>
                <w:szCs w:val="17"/>
                <w:color w:val="auto"/>
              </w:rPr>
            </w:pP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Nasdaq Global Select Market</w:t>
            </w:r>
          </w:p>
        </w:tc>
      </w:tr>
    </w:tbl>
    <w:p>
      <w:pPr>
        <w:jc w:val="center"/>
        <w:ind w:right="-40"/>
        <w:spacing w:after="0"/>
        <w:rPr>
          <w:sz w:val="20"/>
          <w:szCs w:val="20"/>
          <w:color w:val="auto"/>
        </w:rPr>
      </w:pPr>
      <w:r>
        <w:rPr>
          <w:rFonts w:ascii="Arial" w:cs="Arial" w:eastAsia="Arial" w:hAnsi="Arial"/>
          <w:sz w:val="16"/>
          <w:szCs w:val="16"/>
          <w:i w:val="1"/>
          <w:iCs w:val="1"/>
          <w:color w:val="auto"/>
        </w:rPr>
        <w:t xml:space="preserve">Securities registered pursuant to Section 12(g) of the Act: </w:t>
      </w: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66675</wp:posOffset>
            </wp:positionV>
            <wp:extent cx="1689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54" w:lineRule="exact"/>
        <w:rPr>
          <w:sz w:val="24"/>
          <w:szCs w:val="24"/>
          <w:color w:val="auto"/>
        </w:rPr>
      </w:pPr>
    </w:p>
    <w:p>
      <w:pPr>
        <w:ind w:left="321" w:right="1420"/>
        <w:spacing w:after="0" w:line="218"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ind w:left="1" w:firstLine="324"/>
        <w:spacing w:after="0" w:line="17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ind w:left="1" w:right="40" w:firstLine="324"/>
        <w:spacing w:after="0" w:line="176"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ind w:left="1" w:right="20" w:firstLine="324"/>
        <w:spacing w:after="0" w:line="237"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41" w:hanging="241"/>
        <w:spacing w:after="0" w:line="184" w:lineRule="exact"/>
        <w:tabs>
          <w:tab w:leader="none" w:pos="241"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11" w:lineRule="exact"/>
        <w:rPr>
          <w:sz w:val="24"/>
          <w:szCs w:val="24"/>
          <w:color w:val="auto"/>
        </w:rPr>
      </w:pPr>
    </w:p>
    <w:p>
      <w:pPr>
        <w:ind w:left="1" w:right="380" w:firstLine="324"/>
        <w:spacing w:after="0" w:line="251"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tbl>
      <w:tblPr>
        <w:tblLayout w:type="fixed"/>
        <w:tblInd w:w="1181" w:type="dxa"/>
        <w:tblCellMar>
          <w:top w:w="0" w:type="dxa"/>
          <w:left w:w="0" w:type="dxa"/>
          <w:bottom w:w="0" w:type="dxa"/>
          <w:right w:w="0" w:type="dxa"/>
        </w:tblCellMar>
      </w:tblPr>
      <w:tr>
        <w:trPr>
          <w:trHeight w:val="189"/>
        </w:trPr>
        <w:tc>
          <w:tcPr>
            <w:tcW w:w="2140" w:type="dxa"/>
            <w:vAlign w:val="bottom"/>
          </w:tcPr>
          <w:p>
            <w:pPr>
              <w:jc w:val="center"/>
              <w:ind w:left="539"/>
              <w:spacing w:after="0"/>
              <w:rPr>
                <w:sz w:val="20"/>
                <w:szCs w:val="20"/>
                <w:color w:val="auto"/>
              </w:rPr>
            </w:pPr>
            <w:r>
              <w:rPr>
                <w:rFonts w:ascii="Arial" w:cs="Arial" w:eastAsia="Arial" w:hAnsi="Arial"/>
                <w:sz w:val="16"/>
                <w:szCs w:val="16"/>
                <w:color w:val="auto"/>
                <w:w w:val="90"/>
              </w:rPr>
              <w:t>Large accelerated filer</w:t>
            </w:r>
          </w:p>
        </w:tc>
        <w:tc>
          <w:tcPr>
            <w:tcW w:w="224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3380" w:type="dxa"/>
            <w:vAlign w:val="bottom"/>
          </w:tcPr>
          <w:p>
            <w:pPr>
              <w:jc w:val="center"/>
              <w:ind w:left="1299"/>
              <w:spacing w:after="0" w:line="184" w:lineRule="exact"/>
              <w:rPr>
                <w:sz w:val="20"/>
                <w:szCs w:val="20"/>
                <w:color w:val="auto"/>
              </w:rPr>
            </w:pPr>
            <w:r>
              <w:rPr>
                <w:rFonts w:ascii="Arial" w:cs="Arial" w:eastAsia="Arial" w:hAnsi="Arial"/>
                <w:sz w:val="16"/>
                <w:szCs w:val="16"/>
                <w:color w:val="auto"/>
                <w:w w:val="97"/>
              </w:rPr>
              <w:t xml:space="preserve">Accelerated filer </w:t>
            </w:r>
            <w:r>
              <w:rPr>
                <w:rFonts w:ascii="MS PGothic" w:cs="MS PGothic" w:eastAsia="MS PGothic" w:hAnsi="MS PGothic"/>
                <w:sz w:val="16"/>
                <w:szCs w:val="16"/>
                <w:color w:val="auto"/>
                <w:w w:val="97"/>
              </w:rPr>
              <w:t>☐</w:t>
            </w:r>
          </w:p>
        </w:tc>
      </w:tr>
      <w:tr>
        <w:trPr>
          <w:trHeight w:val="192"/>
        </w:trPr>
        <w:tc>
          <w:tcPr>
            <w:tcW w:w="2140" w:type="dxa"/>
            <w:vAlign w:val="bottom"/>
          </w:tcPr>
          <w:p>
            <w:pPr>
              <w:jc w:val="center"/>
              <w:ind w:left="579"/>
              <w:spacing w:after="0"/>
              <w:rPr>
                <w:sz w:val="20"/>
                <w:szCs w:val="20"/>
                <w:color w:val="auto"/>
              </w:rPr>
            </w:pPr>
            <w:r>
              <w:rPr>
                <w:rFonts w:ascii="Arial" w:cs="Arial" w:eastAsia="Arial" w:hAnsi="Arial"/>
                <w:sz w:val="16"/>
                <w:szCs w:val="16"/>
                <w:color w:val="auto"/>
                <w:w w:val="92"/>
              </w:rPr>
              <w:t>Non-accelerated filer</w:t>
            </w:r>
          </w:p>
        </w:tc>
        <w:tc>
          <w:tcPr>
            <w:tcW w:w="224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3380" w:type="dxa"/>
            <w:vAlign w:val="bottom"/>
          </w:tcPr>
          <w:p>
            <w:pPr>
              <w:jc w:val="center"/>
              <w:ind w:left="1299"/>
              <w:spacing w:after="0" w:line="184" w:lineRule="exact"/>
              <w:rPr>
                <w:sz w:val="20"/>
                <w:szCs w:val="20"/>
                <w:color w:val="auto"/>
              </w:rPr>
            </w:pPr>
            <w:r>
              <w:rPr>
                <w:rFonts w:ascii="Arial" w:cs="Arial" w:eastAsia="Arial" w:hAnsi="Arial"/>
                <w:sz w:val="16"/>
                <w:szCs w:val="16"/>
                <w:color w:val="auto"/>
                <w:w w:val="94"/>
              </w:rPr>
              <w:t xml:space="preserve">Smaller reporting company </w:t>
            </w:r>
            <w:r>
              <w:rPr>
                <w:rFonts w:ascii="MS PGothic" w:cs="MS PGothic" w:eastAsia="MS PGothic" w:hAnsi="MS PGothic"/>
                <w:sz w:val="16"/>
                <w:szCs w:val="16"/>
                <w:color w:val="auto"/>
                <w:w w:val="94"/>
              </w:rPr>
              <w:t>☐</w:t>
            </w:r>
          </w:p>
        </w:tc>
      </w:tr>
      <w:tr>
        <w:trPr>
          <w:trHeight w:val="265"/>
        </w:trPr>
        <w:tc>
          <w:tcPr>
            <w:tcW w:w="4380" w:type="dxa"/>
            <w:vAlign w:val="bottom"/>
            <w:gridSpan w:val="2"/>
          </w:tcPr>
          <w:p>
            <w:pPr>
              <w:spacing w:after="0"/>
              <w:rPr>
                <w:sz w:val="20"/>
                <w:szCs w:val="20"/>
                <w:color w:val="auto"/>
              </w:rPr>
            </w:pPr>
            <w:r>
              <w:rPr>
                <w:rFonts w:ascii="Arial" w:cs="Arial" w:eastAsia="Arial" w:hAnsi="Arial"/>
                <w:sz w:val="16"/>
                <w:szCs w:val="16"/>
                <w:color w:val="auto"/>
              </w:rPr>
              <w:t>(Do not check if a smaller reporting company)</w:t>
            </w:r>
          </w:p>
        </w:tc>
        <w:tc>
          <w:tcPr>
            <w:tcW w:w="3380" w:type="dxa"/>
            <w:vAlign w:val="bottom"/>
          </w:tcPr>
          <w:p>
            <w:pPr>
              <w:jc w:val="center"/>
              <w:ind w:left="1299"/>
              <w:spacing w:after="0" w:line="184" w:lineRule="exact"/>
              <w:rPr>
                <w:sz w:val="20"/>
                <w:szCs w:val="20"/>
                <w:color w:val="auto"/>
              </w:rPr>
            </w:pPr>
            <w:r>
              <w:rPr>
                <w:rFonts w:ascii="Arial" w:cs="Arial" w:eastAsia="Arial" w:hAnsi="Arial"/>
                <w:sz w:val="16"/>
                <w:szCs w:val="16"/>
                <w:color w:val="auto"/>
                <w:w w:val="94"/>
              </w:rPr>
              <w:t xml:space="preserve">Emerging growth company </w:t>
            </w:r>
            <w:r>
              <w:rPr>
                <w:rFonts w:ascii="MS PGothic" w:cs="MS PGothic" w:eastAsia="MS PGothic" w:hAnsi="MS PGothic"/>
                <w:sz w:val="16"/>
                <w:szCs w:val="16"/>
                <w:color w:val="auto"/>
                <w:w w:val="94"/>
              </w:rPr>
              <w:t>☐</w:t>
            </w:r>
          </w:p>
        </w:tc>
      </w:tr>
    </w:tbl>
    <w:p>
      <w:pPr>
        <w:spacing w:after="0" w:line="19" w:lineRule="exact"/>
        <w:rPr>
          <w:sz w:val="24"/>
          <w:szCs w:val="24"/>
          <w:color w:val="auto"/>
        </w:rPr>
      </w:pPr>
    </w:p>
    <w:p>
      <w:pPr>
        <w:ind w:left="1" w:right="120" w:firstLine="324"/>
        <w:spacing w:after="0" w:line="18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321"/>
        <w:spacing w:after="0" w:line="184" w:lineRule="exact"/>
        <w:tabs>
          <w:tab w:leader="none" w:pos="76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5" w:lineRule="exact"/>
        <w:rPr>
          <w:sz w:val="24"/>
          <w:szCs w:val="24"/>
          <w:color w:val="auto"/>
        </w:rPr>
      </w:pPr>
    </w:p>
    <w:p>
      <w:pPr>
        <w:ind w:left="1" w:right="520" w:firstLine="324"/>
        <w:spacing w:after="0" w:line="223" w:lineRule="auto"/>
        <w:rPr>
          <w:sz w:val="20"/>
          <w:szCs w:val="20"/>
          <w:color w:val="auto"/>
        </w:rPr>
      </w:pPr>
      <w:r>
        <w:rPr>
          <w:rFonts w:ascii="Arial" w:cs="Arial" w:eastAsia="Arial" w:hAnsi="Arial"/>
          <w:sz w:val="16"/>
          <w:szCs w:val="16"/>
          <w:color w:val="auto"/>
        </w:rPr>
        <w:t>As of June 30, 2017, the aggregate market value of the voting and non-voting common equity held by non-affiliates of the registrant, based on the last reported sales price for the registrant’s common stock, par value $0.001 per share, on the Nasdaq Global Select Market on such date, was approximately $1,953,767,657.</w:t>
      </w:r>
    </w:p>
    <w:p>
      <w:pPr>
        <w:ind w:left="321"/>
        <w:spacing w:after="0"/>
        <w:rPr>
          <w:sz w:val="20"/>
          <w:szCs w:val="20"/>
          <w:color w:val="auto"/>
        </w:rPr>
      </w:pPr>
      <w:r>
        <w:rPr>
          <w:rFonts w:ascii="Arial" w:cs="Arial" w:eastAsia="Arial" w:hAnsi="Arial"/>
          <w:sz w:val="16"/>
          <w:szCs w:val="16"/>
          <w:color w:val="auto"/>
        </w:rPr>
        <w:t>Number of shares of the registrant’s common stock, par value $0.001 per share, outstanding on February 15, 2018: 43,704,031</w:t>
      </w:r>
    </w:p>
    <w:p>
      <w:pPr>
        <w:spacing w:after="0" w:line="8" w:lineRule="exact"/>
        <w:rPr>
          <w:sz w:val="24"/>
          <w:szCs w:val="24"/>
          <w:color w:val="auto"/>
        </w:rPr>
      </w:pPr>
    </w:p>
    <w:p>
      <w:pPr>
        <w:ind w:left="3461"/>
        <w:spacing w:after="0"/>
        <w:rPr>
          <w:sz w:val="20"/>
          <w:szCs w:val="20"/>
          <w:color w:val="auto"/>
        </w:rPr>
      </w:pPr>
      <w:r>
        <w:rPr>
          <w:rFonts w:ascii="Arial" w:cs="Arial" w:eastAsia="Arial" w:hAnsi="Arial"/>
          <w:sz w:val="16"/>
          <w:szCs w:val="16"/>
          <w:b w:val="1"/>
          <w:bCs w:val="1"/>
          <w:color w:val="auto"/>
        </w:rPr>
        <w:t>DOCUMENTS INCORPORATED BY REFERENCE</w:t>
      </w:r>
    </w:p>
    <w:p>
      <w:pPr>
        <w:spacing w:after="0" w:line="19" w:lineRule="exact"/>
        <w:rPr>
          <w:sz w:val="24"/>
          <w:szCs w:val="24"/>
          <w:color w:val="auto"/>
        </w:rPr>
      </w:pPr>
    </w:p>
    <w:p>
      <w:pPr>
        <w:ind w:left="1" w:right="20" w:firstLine="324"/>
        <w:spacing w:after="0" w:line="229" w:lineRule="auto"/>
        <w:rPr>
          <w:sz w:val="20"/>
          <w:szCs w:val="20"/>
          <w:color w:val="auto"/>
        </w:rPr>
      </w:pPr>
      <w:r>
        <w:rPr>
          <w:rFonts w:ascii="Arial" w:cs="Arial" w:eastAsia="Arial" w:hAnsi="Arial"/>
          <w:sz w:val="16"/>
          <w:szCs w:val="16"/>
          <w:color w:val="auto"/>
        </w:rPr>
        <w:t>Portions of the registrant’s definitive proxy statement for its 2018 Annual Meeting of Stockholders, which the registrant intends to file with the Securities and Exchange Commission pursuant to Regulation 14A within 120 days after the end of the registrant’s fiscal year ended December 31, 2017,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67494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81280</wp:posOffset>
            </wp:positionV>
            <wp:extent cx="67494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492760</wp:posOffset>
            </wp:positionV>
            <wp:extent cx="67494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9415" cy="26035"/>
                    </a:xfrm>
                    <a:prstGeom prst="rect">
                      <a:avLst/>
                    </a:prstGeom>
                    <a:noFill/>
                  </pic:spPr>
                </pic:pic>
              </a:graphicData>
            </a:graphic>
          </wp:anchor>
        </w:drawing>
      </w:r>
    </w:p>
    <w:p>
      <w:pPr>
        <w:sectPr>
          <w:pgSz w:w="11900" w:h="16838" w:orient="portrait"/>
          <w:cols w:equalWidth="0" w:num="1">
            <w:col w:w="10581"/>
          </w:cols>
          <w:pgMar w:left="639" w:top="249" w:right="67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EXPLANATORY NOTE</w:t>
      </w:r>
    </w:p>
    <w:p>
      <w:pPr>
        <w:spacing w:after="0" w:line="189" w:lineRule="exact"/>
        <w:rPr>
          <w:sz w:val="20"/>
          <w:szCs w:val="20"/>
          <w:color w:val="auto"/>
        </w:rPr>
      </w:pPr>
    </w:p>
    <w:p>
      <w:pPr>
        <w:ind w:right="100" w:firstLine="648"/>
        <w:spacing w:after="0" w:line="211" w:lineRule="auto"/>
        <w:rPr>
          <w:sz w:val="20"/>
          <w:szCs w:val="20"/>
          <w:color w:val="auto"/>
        </w:rPr>
      </w:pPr>
      <w:r>
        <w:rPr>
          <w:rFonts w:ascii="Arial" w:cs="Arial" w:eastAsia="Arial" w:hAnsi="Arial"/>
          <w:sz w:val="18"/>
          <w:szCs w:val="18"/>
          <w:color w:val="auto"/>
        </w:rPr>
        <w:t>This Amendment No. 1 to Form 10-K/A (this “Amendment”) amends the Annual Report on Form 10-K of Blueprint Medicines Corporation (the “Company”) for the year ended December 31, 2017, originally filed with the Securities and Exchange Commission (“SEC”) on February 21, 2018 (the “Original Filing”). This Amendment is being filed solely to include revised Exhibits 31.1 and 31.2, which replace the previously filed versions of those exhibits, to add language regarding internal control over financial reporting in the introduction of paragraph 4 of the certifications of its principal executive officer and principal financial officer pursuant to Section 302 of the Sarbanes-Oxley Act of 2002 (the “Section 302 Certifications”) as required by Item 601(b)(31) of Regulation S-K. This language was inadvertently omitted from the Section 302 Certifications attached to the Original Filing.</w:t>
      </w:r>
    </w:p>
    <w:p>
      <w:pPr>
        <w:spacing w:after="0" w:line="165" w:lineRule="exact"/>
        <w:rPr>
          <w:sz w:val="20"/>
          <w:szCs w:val="20"/>
          <w:color w:val="auto"/>
        </w:rPr>
      </w:pPr>
    </w:p>
    <w:p>
      <w:pPr>
        <w:ind w:right="220" w:firstLine="648"/>
        <w:spacing w:after="0" w:line="241" w:lineRule="auto"/>
        <w:rPr>
          <w:sz w:val="20"/>
          <w:szCs w:val="20"/>
          <w:color w:val="auto"/>
        </w:rPr>
      </w:pPr>
      <w:r>
        <w:rPr>
          <w:rFonts w:ascii="Arial" w:cs="Arial" w:eastAsia="Arial" w:hAnsi="Arial"/>
          <w:sz w:val="16"/>
          <w:szCs w:val="16"/>
          <w:color w:val="auto"/>
        </w:rPr>
        <w:t>Except as described as above, no changes have been made to the Original Filing. The Original Filing continues to speak as of the date of the Original Filing, and the Company has not updated the disclosures contained therein to reflect any events that have occurred as of a date subsequent to the date of the Original Filing. Accordingly, this Amendment should be read in conjunction with the Original Filing and the Company’s filings made with the SEC subsequent to the filing of the Original Filing. The filing of this Amendment is not an admission that the Original Filing, when filed, included any untrue statement of a material fact or omitted to state a material fact necessary to make a statement not misleading.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89" w:lineRule="exact"/>
        <w:rPr>
          <w:sz w:val="20"/>
          <w:szCs w:val="20"/>
          <w:color w:val="auto"/>
        </w:rPr>
      </w:pPr>
    </w:p>
    <w:p>
      <w:pPr>
        <w:ind w:left="1220" w:hanging="569"/>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as part of this Amendment.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6"/>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40" w:type="dxa"/>
            <w:vAlign w:val="bottom"/>
            <w:gridSpan w:val="6"/>
            <w:vMerge w:val="restart"/>
          </w:tcPr>
          <w:p>
            <w:pPr>
              <w:ind w:left="1300"/>
              <w:spacing w:after="0"/>
              <w:rPr>
                <w:sz w:val="20"/>
                <w:szCs w:val="20"/>
                <w:color w:val="auto"/>
              </w:rPr>
            </w:pPr>
            <w:r>
              <w:rPr>
                <w:rFonts w:ascii="Arial" w:cs="Arial" w:eastAsia="Arial" w:hAnsi="Arial"/>
                <w:sz w:val="14"/>
                <w:szCs w:val="14"/>
                <w:b w:val="1"/>
                <w:bCs w:val="1"/>
                <w:color w:val="auto"/>
              </w:rPr>
              <w:t>Description of Exhibit</w:t>
            </w:r>
          </w:p>
        </w:tc>
        <w:tc>
          <w:tcPr>
            <w:tcW w:w="72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Form</w:t>
            </w:r>
          </w:p>
        </w:tc>
        <w:tc>
          <w:tcPr>
            <w:tcW w:w="104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4"/>
                <w:szCs w:val="14"/>
                <w:b w:val="1"/>
                <w:bCs w:val="1"/>
                <w:color w:val="auto"/>
              </w:rPr>
              <w:t>File No.</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jc w:val="right"/>
              <w:ind w:right="22"/>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40" w:type="dxa"/>
            <w:vAlign w:val="bottom"/>
            <w:gridSpan w:val="6"/>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Borders>
              <w:top w:val="single" w:sz="8" w:color="auto"/>
            </w:tcBorders>
          </w:tcPr>
          <w:p>
            <w:pPr>
              <w:jc w:val="right"/>
              <w:ind w:right="302"/>
              <w:spacing w:after="0" w:line="156" w:lineRule="exact"/>
              <w:rPr>
                <w:sz w:val="20"/>
                <w:szCs w:val="20"/>
                <w:color w:val="auto"/>
              </w:rPr>
            </w:pPr>
            <w:r>
              <w:rPr>
                <w:rFonts w:ascii="Arial" w:cs="Arial" w:eastAsia="Arial" w:hAnsi="Arial"/>
                <w:sz w:val="18"/>
                <w:szCs w:val="18"/>
                <w:color w:val="auto"/>
                <w:w w:val="79"/>
              </w:rPr>
              <w:t>31.1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auto"/>
            </w:tcBorders>
            <w:gridSpan w:val="5"/>
          </w:tcPr>
          <w:p>
            <w:pPr>
              <w:spacing w:after="0" w:line="15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Certification of Principal Executive Officer pursuant to</w:t>
              </w:r>
            </w:hyperlink>
          </w:p>
        </w:tc>
        <w:tc>
          <w:tcPr>
            <w:tcW w:w="1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6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Rule 13a-14(a) or Rule 15d-14(a) of the Exchange Act,</w:t>
              </w:r>
            </w:hyperlink>
          </w:p>
        </w:tc>
        <w:tc>
          <w:tcPr>
            <w:tcW w:w="20" w:type="dxa"/>
            <w:vAlign w:val="bottom"/>
            <w:tcBorders>
              <w:bottom w:val="single" w:sz="8" w:color="0000EE"/>
            </w:tcBorders>
          </w:tcPr>
          <w:p>
            <w:pPr>
              <w:spacing w:after="0"/>
              <w:rPr>
                <w:sz w:val="13"/>
                <w:szCs w:val="13"/>
                <w:color w:val="auto"/>
              </w:rPr>
            </w:pPr>
          </w:p>
        </w:tc>
        <w:tc>
          <w:tcPr>
            <w:tcW w:w="18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80" w:type="dxa"/>
            <w:vAlign w:val="bottom"/>
            <w:gridSpan w:val="5"/>
          </w:tcPr>
          <w:p>
            <w:pPr>
              <w:spacing w:after="0" w:line="15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as adopted pursuant to Section 302 of the Sarbanes-</w:t>
              </w:r>
            </w:hyperlink>
          </w:p>
        </w:tc>
        <w:tc>
          <w:tcPr>
            <w:tcW w:w="18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Oxley Act of 2002</w:t>
              </w:r>
            </w:hyperlink>
          </w:p>
        </w:tc>
        <w:tc>
          <w:tcPr>
            <w:tcW w:w="2380" w:type="dxa"/>
            <w:vAlign w:val="bottom"/>
            <w:tcBorders>
              <w:top w:val="single" w:sz="8" w:color="0000EE"/>
            </w:tcBorders>
          </w:tcPr>
          <w:p>
            <w:pPr>
              <w:spacing w:after="0"/>
              <w:rPr>
                <w:sz w:val="13"/>
                <w:szCs w:val="13"/>
                <w:color w:val="auto"/>
              </w:rPr>
            </w:pPr>
          </w:p>
        </w:tc>
        <w:tc>
          <w:tcPr>
            <w:tcW w:w="440" w:type="dxa"/>
            <w:vAlign w:val="bottom"/>
            <w:gridSpan w:val="4"/>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700" w:type="dxa"/>
            <w:vAlign w:val="bottom"/>
            <w:gridSpan w:val="2"/>
          </w:tcPr>
          <w:p>
            <w:pPr>
              <w:jc w:val="right"/>
              <w:ind w:right="302"/>
              <w:spacing w:after="0"/>
              <w:rPr>
                <w:sz w:val="20"/>
                <w:szCs w:val="20"/>
                <w:color w:val="auto"/>
              </w:rPr>
            </w:pPr>
            <w:r>
              <w:rPr>
                <w:rFonts w:ascii="Arial" w:cs="Arial" w:eastAsia="Arial" w:hAnsi="Arial"/>
                <w:sz w:val="18"/>
                <w:szCs w:val="18"/>
                <w:color w:val="auto"/>
                <w:w w:val="85"/>
              </w:rPr>
              <w:t>31.2</w:t>
            </w:r>
          </w:p>
        </w:tc>
        <w:tc>
          <w:tcPr>
            <w:tcW w:w="160" w:type="dxa"/>
            <w:vAlign w:val="bottom"/>
          </w:tcPr>
          <w:p>
            <w:pPr>
              <w:spacing w:after="0"/>
              <w:rPr>
                <w:sz w:val="23"/>
                <w:szCs w:val="23"/>
                <w:color w:val="auto"/>
              </w:rPr>
            </w:pPr>
          </w:p>
        </w:tc>
        <w:tc>
          <w:tcPr>
            <w:tcW w:w="4160" w:type="dxa"/>
            <w:vAlign w:val="bottom"/>
            <w:gridSpan w:val="7"/>
          </w:tcPr>
          <w:p>
            <w:pPr>
              <w:spacing w:after="0"/>
              <w:rPr>
                <w:rFonts w:ascii="Arial" w:cs="Arial" w:eastAsia="Arial" w:hAnsi="Arial"/>
                <w:sz w:val="18"/>
                <w:szCs w:val="18"/>
                <w:u w:val="single" w:color="auto"/>
                <w:color w:val="0000EE"/>
                <w:w w:val="98"/>
              </w:rPr>
            </w:pPr>
            <w:hyperlink w:anchor="page5">
              <w:r>
                <w:rPr>
                  <w:rFonts w:ascii="Arial" w:cs="Arial" w:eastAsia="Arial" w:hAnsi="Arial"/>
                  <w:sz w:val="18"/>
                  <w:szCs w:val="18"/>
                  <w:u w:val="single" w:color="auto"/>
                  <w:color w:val="0000EE"/>
                  <w:w w:val="98"/>
                </w:rPr>
                <w:t>Certification of Principal Financial Officer pursuant to</w:t>
              </w:r>
            </w:hyperlink>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ind w:left="860"/>
        <w:spacing w:after="0" w:line="203"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Rule 13a-14(a) or Rule 15d-14(a) of the Exchange Act,</w:t>
        </w:r>
      </w:hyperlink>
    </w:p>
    <w:p>
      <w:pPr>
        <w:ind w:left="860"/>
        <w:spacing w:after="0" w:line="204"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as adopted pursuant to Section 302 of the Sarbanes-</w:t>
        </w:r>
      </w:hyperlink>
    </w:p>
    <w:p>
      <w:pPr>
        <w:ind w:left="8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14408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6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40"/>
          </w:cols>
          <w:pgMar w:left="1420" w:top="121" w:right="1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39" w:firstLine="648"/>
        <w:spacing w:after="0" w:line="23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BLUEPRINT MEDICINES CORPORATION</w:t>
      </w:r>
    </w:p>
    <w:p>
      <w:pPr>
        <w:spacing w:after="0" w:line="216" w:lineRule="exact"/>
        <w:rPr>
          <w:sz w:val="20"/>
          <w:szCs w:val="20"/>
          <w:color w:val="auto"/>
        </w:rPr>
      </w:pPr>
    </w:p>
    <w:p>
      <w:pPr>
        <w:spacing w:after="0"/>
        <w:tabs>
          <w:tab w:leader="none" w:pos="4860" w:val="left"/>
          <w:tab w:leader="none" w:pos="538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6350</wp:posOffset>
            </wp:positionV>
            <wp:extent cx="23241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4"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Jeffrey W. Albers</w:t>
      </w:r>
    </w:p>
    <w:p>
      <w:pPr>
        <w:ind w:left="54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82" w:lineRule="exact"/>
        <w:rPr>
          <w:sz w:val="20"/>
          <w:szCs w:val="20"/>
          <w:color w:val="auto"/>
        </w:rPr>
      </w:pPr>
    </w:p>
    <w:p>
      <w:pPr>
        <w:spacing w:after="0"/>
        <w:tabs>
          <w:tab w:leader="none" w:pos="4860" w:val="left"/>
          <w:tab w:leader="none" w:pos="538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6350</wp:posOffset>
            </wp:positionV>
            <wp:extent cx="23241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4"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Michael Landsittel</w:t>
      </w:r>
    </w:p>
    <w:p>
      <w:pPr>
        <w:ind w:left="5400"/>
        <w:spacing w:after="0"/>
        <w:rPr>
          <w:sz w:val="20"/>
          <w:szCs w:val="20"/>
          <w:color w:val="auto"/>
        </w:rPr>
      </w:pPr>
      <w:r>
        <w:rPr>
          <w:rFonts w:ascii="Arial" w:cs="Arial" w:eastAsia="Arial" w:hAnsi="Arial"/>
          <w:sz w:val="18"/>
          <w:szCs w:val="18"/>
          <w:i w:val="1"/>
          <w:iCs w:val="1"/>
          <w:color w:val="auto"/>
        </w:rPr>
        <w:t>Vice President of Finance</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3" w:name="page4"/>
    <w:bookmarkEnd w:id="3"/>
    <w:p>
      <w:pPr>
        <w:jc w:val="right"/>
        <w:ind w:right="13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Jeffrey W. Albers, certify that:</w:t>
      </w:r>
    </w:p>
    <w:p>
      <w:pPr>
        <w:spacing w:after="0" w:line="185" w:lineRule="exact"/>
        <w:rPr>
          <w:sz w:val="20"/>
          <w:szCs w:val="20"/>
          <w:color w:val="auto"/>
        </w:rPr>
      </w:pPr>
    </w:p>
    <w:p>
      <w:pPr>
        <w:ind w:left="1460" w:hanging="661"/>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159" w:firstLine="639"/>
        <w:spacing w:after="0" w:line="259" w:lineRule="auto"/>
        <w:tabs>
          <w:tab w:leader="none" w:pos="147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00" w:right="259" w:firstLine="647"/>
        <w:spacing w:after="0" w:line="219" w:lineRule="auto"/>
        <w:tabs>
          <w:tab w:leader="none" w:pos="209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00" w:right="239" w:firstLine="647"/>
        <w:spacing w:after="0" w:line="219" w:lineRule="auto"/>
        <w:tabs>
          <w:tab w:leader="none" w:pos="210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800" w:right="259" w:firstLine="647"/>
        <w:spacing w:after="0" w:line="224" w:lineRule="auto"/>
        <w:tabs>
          <w:tab w:leader="none" w:pos="2125"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160" w:right="179" w:firstLine="639"/>
        <w:spacing w:after="0" w:line="224" w:lineRule="auto"/>
        <w:tabs>
          <w:tab w:leader="none" w:pos="147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48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-635</wp:posOffset>
            </wp:positionV>
            <wp:extent cx="26073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Jeffrey W. Albers</w:t>
      </w:r>
    </w:p>
    <w:p>
      <w:pPr>
        <w:ind w:left="4760"/>
        <w:spacing w:after="0" w:line="204" w:lineRule="auto"/>
        <w:rPr>
          <w:sz w:val="20"/>
          <w:szCs w:val="20"/>
          <w:color w:val="auto"/>
        </w:rPr>
      </w:pPr>
      <w:r>
        <w:rPr>
          <w:rFonts w:ascii="Arial" w:cs="Arial" w:eastAsia="Arial" w:hAnsi="Arial"/>
          <w:sz w:val="18"/>
          <w:szCs w:val="18"/>
          <w:color w:val="auto"/>
        </w:rPr>
        <w:t>President and Chief Executive Officer</w:t>
      </w:r>
    </w:p>
    <w:p>
      <w:pPr>
        <w:ind w:left="4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Michael Landsittel, certify that:</w:t>
      </w:r>
    </w:p>
    <w:p>
      <w:pPr>
        <w:spacing w:after="0" w:line="185" w:lineRule="exact"/>
        <w:rPr>
          <w:sz w:val="20"/>
          <w:szCs w:val="20"/>
          <w:color w:val="auto"/>
        </w:rPr>
      </w:pPr>
    </w:p>
    <w:p>
      <w:pPr>
        <w:ind w:left="1460" w:hanging="661"/>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159" w:firstLine="639"/>
        <w:spacing w:after="0" w:line="259" w:lineRule="auto"/>
        <w:tabs>
          <w:tab w:leader="none" w:pos="147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00" w:right="259" w:firstLine="647"/>
        <w:spacing w:after="0" w:line="219" w:lineRule="auto"/>
        <w:tabs>
          <w:tab w:leader="none" w:pos="209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00" w:right="239" w:firstLine="647"/>
        <w:spacing w:after="0" w:line="219" w:lineRule="auto"/>
        <w:tabs>
          <w:tab w:leader="none" w:pos="210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800" w:right="259" w:firstLine="647"/>
        <w:spacing w:after="0" w:line="224" w:lineRule="auto"/>
        <w:tabs>
          <w:tab w:leader="none" w:pos="2125"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160" w:right="179" w:firstLine="639"/>
        <w:spacing w:after="0" w:line="224" w:lineRule="auto"/>
        <w:tabs>
          <w:tab w:leader="none" w:pos="147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46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-635</wp:posOffset>
            </wp:positionV>
            <wp:extent cx="26155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Michael Landsittel</w:t>
      </w:r>
    </w:p>
    <w:p>
      <w:pPr>
        <w:ind w:left="4760"/>
        <w:spacing w:after="0" w:line="204" w:lineRule="auto"/>
        <w:rPr>
          <w:sz w:val="20"/>
          <w:szCs w:val="20"/>
          <w:color w:val="auto"/>
        </w:rPr>
      </w:pPr>
      <w:r>
        <w:rPr>
          <w:rFonts w:ascii="Arial" w:cs="Arial" w:eastAsia="Arial" w:hAnsi="Arial"/>
          <w:sz w:val="18"/>
          <w:szCs w:val="18"/>
          <w:color w:val="auto"/>
        </w:rPr>
        <w:t>Vice President of Finance</w:t>
      </w:r>
    </w:p>
    <w:p>
      <w:pPr>
        <w:ind w:left="47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416560</wp:posOffset>
            </wp:positionV>
            <wp:extent cx="554863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1"/>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2019-12-28T21:04:31Z</dcterms:created>
  <dcterms:modified xsi:type="dcterms:W3CDTF">2019-12-28T21:04:31Z</dcterms:modified>
</cp:coreProperties>
</file>