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712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124700"/>
                    </a:xfrm>
                    <a:prstGeom prst="rect">
                      <a:avLst/>
                    </a:prstGeom>
                    <a:noFill/>
                  </pic:spPr>
                </pic:pic>
              </a:graphicData>
            </a:graphic>
          </wp:anchor>
        </w:drawing>
      </w:r>
    </w:p>
    <w:p>
      <w:pPr>
        <w:spacing w:after="0" w:line="1176" w:lineRule="exact"/>
        <w:rPr>
          <w:sz w:val="24"/>
          <w:szCs w:val="24"/>
          <w:color w:val="auto"/>
        </w:rPr>
      </w:pPr>
    </w:p>
    <w:p>
      <w:pPr>
        <w:sectPr>
          <w:pgSz w:w="11900" w:h="1684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Carter Percy H.</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801"/>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2" w:lineRule="exact"/>
        <w:rPr>
          <w:sz w:val="20"/>
          <w:szCs w:val="20"/>
          <w:color w:val="auto"/>
        </w:rPr>
      </w:pPr>
    </w:p>
    <w:p>
      <w:pPr>
        <w:sectPr>
          <w:pgSz w:w="11900" w:h="16848" w:orient="portrait"/>
          <w:cols w:equalWidth="0" w:num="2">
            <w:col w:w="7680" w:space="59"/>
            <w:col w:w="3341"/>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80" w:type="dxa"/>
            <w:vAlign w:val="bottom"/>
            <w:gridSpan w:val="6"/>
          </w:tcPr>
          <w:p>
            <w:pPr>
              <w:jc w:val="center"/>
              <w:ind w:right="8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07/17/2025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8"/>
              </w:rPr>
              <w:t>21,353</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74,508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07/17/2025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8"/>
              </w:rPr>
              <w:t>56,614</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74"/>
              <w:spacing w:after="0"/>
              <w:rPr>
                <w:sz w:val="20"/>
                <w:szCs w:val="20"/>
                <w:color w:val="auto"/>
              </w:rPr>
            </w:pPr>
            <w:r>
              <w:rPr>
                <w:rFonts w:ascii="Times New Roman" w:cs="Times New Roman" w:eastAsia="Times New Roman" w:hAnsi="Times New Roman"/>
                <w:sz w:val="11"/>
                <w:szCs w:val="11"/>
                <w:color w:val="008000"/>
                <w:w w:val="98"/>
              </w:rPr>
              <w:t>(3)(4)(5)</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17,894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1"/>
              <w:spacing w:after="0"/>
              <w:rPr>
                <w:sz w:val="20"/>
                <w:szCs w:val="20"/>
                <w:color w:val="auto"/>
              </w:rPr>
            </w:pPr>
            <w:r>
              <w:rPr>
                <w:rFonts w:ascii="Times New Roman" w:cs="Times New Roman" w:eastAsia="Times New Roman" w:hAnsi="Times New Roman"/>
                <w:sz w:val="17"/>
                <w:szCs w:val="17"/>
                <w:color w:val="0000FF"/>
                <w:w w:val="98"/>
              </w:rPr>
              <w:t>07/17/2025</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8"/>
              </w:rPr>
              <w:t>17,894</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34"/>
              <w:spacing w:after="0"/>
              <w:rPr>
                <w:sz w:val="20"/>
                <w:szCs w:val="20"/>
                <w:color w:val="auto"/>
              </w:rPr>
            </w:pPr>
            <w:r>
              <w:rPr>
                <w:rFonts w:ascii="Times New Roman" w:cs="Times New Roman" w:eastAsia="Times New Roman" w:hAnsi="Times New Roman"/>
                <w:sz w:val="11"/>
                <w:szCs w:val="11"/>
                <w:color w:val="008000"/>
              </w:rPr>
              <w:t>(5)</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58"/>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89.16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39,200</w:t>
            </w:r>
          </w:p>
        </w:tc>
        <w:tc>
          <w:tcPr>
            <w:tcW w:w="80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39,200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right"/>
              <w:ind w:right="161"/>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17,500</w:t>
            </w:r>
          </w:p>
        </w:tc>
        <w:tc>
          <w:tcPr>
            <w:tcW w:w="80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17,500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right"/>
              <w:ind w:right="161"/>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25,000</w:t>
            </w:r>
          </w:p>
        </w:tc>
        <w:tc>
          <w:tcPr>
            <w:tcW w:w="80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right"/>
              <w:ind w:right="161"/>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25,000</w:t>
            </w:r>
          </w:p>
        </w:tc>
        <w:tc>
          <w:tcPr>
            <w:tcW w:w="80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right"/>
              <w:ind w:right="161"/>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color w:val="0000FF"/>
              </w:rPr>
              <w:t>22,000</w:t>
            </w:r>
          </w:p>
        </w:tc>
        <w:tc>
          <w:tcPr>
            <w:tcW w:w="80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22,000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right"/>
              <w:ind w:right="161"/>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44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transacted pursuant to the Agreement and Plan of Merger (the "Merger Agreement") by and among the Issuer, SANOFI, a French societe anonyme ("Parent"), Aventis Inc., a Pennsylvania corporation and wholly owned subsidiary of Parent ("Aventis"), and Rothko Merger Sub, Inc., a Delaware corporation and wholly owned subsidiary of Aventis ("Purchaser").</w:t>
      </w:r>
    </w:p>
    <w:p>
      <w:pPr>
        <w:spacing w:after="0" w:line="1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Purchaser completed a tender offer to acquire all of the issued and outstanding shares of common stock of the Issuer, par value $0.001 per share (the "Common Stock"), for</w:t>
      </w:r>
    </w:p>
    <w:p>
      <w:pPr>
        <w:spacing w:after="0" w:line="5" w:lineRule="exact"/>
        <w:rPr>
          <w:rFonts w:ascii="Times New Roman" w:cs="Times New Roman" w:eastAsia="Times New Roman" w:hAnsi="Times New Roman"/>
          <w:sz w:val="13"/>
          <w:szCs w:val="13"/>
          <w:color w:val="008000"/>
        </w:rPr>
      </w:pPr>
    </w:p>
    <w:p>
      <w:pPr>
        <w:ind w:left="40" w:right="220"/>
        <w:spacing w:after="0" w:line="232"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3"/>
          <w:szCs w:val="13"/>
          <w:color w:val="008000"/>
        </w:rPr>
      </w:pPr>
    </w:p>
    <w:p>
      <w:pPr>
        <w:jc w:val="both"/>
        <w:ind w:left="40" w:right="200" w:firstLine="1"/>
        <w:spacing w:after="0" w:line="23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6" w:lineRule="exact"/>
        <w:rPr>
          <w:rFonts w:ascii="Times New Roman" w:cs="Times New Roman" w:eastAsia="Times New Roman" w:hAnsi="Times New Roman"/>
          <w:sz w:val="13"/>
          <w:szCs w:val="13"/>
          <w:color w:val="008000"/>
        </w:rPr>
      </w:pPr>
    </w:p>
    <w:p>
      <w:pPr>
        <w:ind w:left="40" w:right="32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824 shares of Common Stock held by the Reporting Person were cancelled and automatically converted into the right to receive the Offer</w:t>
      </w:r>
    </w:p>
    <w:p>
      <w:pPr>
        <w:sectPr>
          <w:pgSz w:w="11900" w:h="1684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Consideration, and the remaining 17,894 shares of Common Stock held by the Reporting Person were tendered in exchange for the Offer Consideration.</w:t>
      </w:r>
    </w:p>
    <w:p>
      <w:pPr>
        <w:spacing w:after="0" w:line="43" w:lineRule="exact"/>
        <w:rPr>
          <w:sz w:val="20"/>
          <w:szCs w:val="20"/>
          <w:color w:val="auto"/>
        </w:rPr>
      </w:pPr>
    </w:p>
    <w:p>
      <w:pPr>
        <w:ind w:firstLine="1"/>
        <w:spacing w:after="0" w:line="235" w:lineRule="auto"/>
        <w:tabs>
          <w:tab w:leader="none" w:pos="12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6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6302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2025-07-21T18:49:48Z</dcterms:created>
  <dcterms:modified xsi:type="dcterms:W3CDTF">2025-07-21T18:49:48Z</dcterms:modified>
</cp:coreProperties>
</file>