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26, 2019</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695515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2730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2609215</wp:posOffset>
            </wp:positionH>
            <wp:positionV relativeFrom="paragraph">
              <wp:posOffset>93980</wp:posOffset>
            </wp:positionV>
            <wp:extent cx="1738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8630" cy="8890"/>
                    </a:xfrm>
                    <a:prstGeom prst="rect">
                      <a:avLst/>
                    </a:prstGeom>
                    <a:noFill/>
                  </pic:spPr>
                </pic:pic>
              </a:graphicData>
            </a:graphic>
          </wp:anchor>
        </w:drawing>
      </w:r>
    </w:p>
    <w:p>
      <w:pPr>
        <w:spacing w:after="0" w:line="232" w:lineRule="exact"/>
        <w:rPr>
          <w:sz w:val="24"/>
          <w:szCs w:val="24"/>
          <w:color w:val="auto"/>
        </w:rPr>
      </w:pPr>
    </w:p>
    <w:tbl>
      <w:tblPr>
        <w:tblLayout w:type="fixed"/>
        <w:tblInd w:w="1480" w:type="dxa"/>
        <w:tblCellMar>
          <w:top w:w="0" w:type="dxa"/>
          <w:left w:w="0" w:type="dxa"/>
          <w:bottom w:w="0" w:type="dxa"/>
          <w:right w:w="0" w:type="dxa"/>
        </w:tblCellMar>
      </w:tblPr>
      <w:tr>
        <w:trPr>
          <w:trHeight w:val="314"/>
        </w:trPr>
        <w:tc>
          <w:tcPr>
            <w:tcW w:w="2620" w:type="dxa"/>
            <w:vAlign w:val="bottom"/>
          </w:tcPr>
          <w:p>
            <w:pPr>
              <w:spacing w:after="0"/>
              <w:rPr>
                <w:sz w:val="24"/>
                <w:szCs w:val="24"/>
                <w:color w:val="auto"/>
              </w:rPr>
            </w:pPr>
          </w:p>
        </w:tc>
        <w:tc>
          <w:tcPr>
            <w:tcW w:w="3440" w:type="dxa"/>
            <w:vAlign w:val="bottom"/>
            <w:gridSpan w:val="2"/>
          </w:tcPr>
          <w:p>
            <w:pPr>
              <w:jc w:val="center"/>
              <w:ind w:right="680"/>
              <w:spacing w:after="0"/>
              <w:rPr>
                <w:sz w:val="20"/>
                <w:szCs w:val="20"/>
                <w:color w:val="auto"/>
              </w:rPr>
            </w:pPr>
            <w:r>
              <w:rPr>
                <w:rFonts w:ascii="Arial" w:cs="Arial" w:eastAsia="Arial" w:hAnsi="Arial"/>
                <w:sz w:val="27"/>
                <w:szCs w:val="27"/>
                <w:b w:val="1"/>
                <w:bCs w:val="1"/>
                <w:color w:val="auto"/>
                <w:w w:val="96"/>
              </w:rPr>
              <w:t>FORM S-8</w:t>
            </w:r>
          </w:p>
        </w:tc>
        <w:tc>
          <w:tcPr>
            <w:tcW w:w="1300" w:type="dxa"/>
            <w:vAlign w:val="bottom"/>
          </w:tcPr>
          <w:p>
            <w:pPr>
              <w:spacing w:after="0"/>
              <w:rPr>
                <w:sz w:val="24"/>
                <w:szCs w:val="24"/>
                <w:color w:val="auto"/>
              </w:rPr>
            </w:pPr>
          </w:p>
        </w:tc>
      </w:tr>
      <w:tr>
        <w:trPr>
          <w:trHeight w:val="324"/>
        </w:trPr>
        <w:tc>
          <w:tcPr>
            <w:tcW w:w="6060" w:type="dxa"/>
            <w:vAlign w:val="bottom"/>
            <w:gridSpan w:val="3"/>
          </w:tcPr>
          <w:p>
            <w:pPr>
              <w:jc w:val="center"/>
              <w:ind w:left="1855"/>
              <w:spacing w:after="0"/>
              <w:rPr>
                <w:sz w:val="20"/>
                <w:szCs w:val="20"/>
                <w:color w:val="auto"/>
              </w:rPr>
            </w:pPr>
            <w:r>
              <w:rPr>
                <w:rFonts w:ascii="Arial" w:cs="Arial" w:eastAsia="Arial" w:hAnsi="Arial"/>
                <w:sz w:val="27"/>
                <w:szCs w:val="27"/>
                <w:b w:val="1"/>
                <w:bCs w:val="1"/>
                <w:color w:val="auto"/>
                <w:w w:val="99"/>
              </w:rPr>
              <w:t>REGISTRATION STATEMENT</w:t>
            </w:r>
          </w:p>
        </w:tc>
        <w:tc>
          <w:tcPr>
            <w:tcW w:w="1300" w:type="dxa"/>
            <w:vAlign w:val="bottom"/>
          </w:tcPr>
          <w:p>
            <w:pPr>
              <w:spacing w:after="0"/>
              <w:rPr>
                <w:sz w:val="24"/>
                <w:szCs w:val="24"/>
                <w:color w:val="auto"/>
              </w:rPr>
            </w:pPr>
          </w:p>
        </w:tc>
      </w:tr>
      <w:tr>
        <w:trPr>
          <w:trHeight w:val="228"/>
        </w:trPr>
        <w:tc>
          <w:tcPr>
            <w:tcW w:w="2620" w:type="dxa"/>
            <w:vAlign w:val="bottom"/>
          </w:tcPr>
          <w:p>
            <w:pPr>
              <w:spacing w:after="0"/>
              <w:rPr>
                <w:sz w:val="19"/>
                <w:szCs w:val="19"/>
                <w:color w:val="auto"/>
              </w:rPr>
            </w:pPr>
          </w:p>
        </w:tc>
        <w:tc>
          <w:tcPr>
            <w:tcW w:w="3440" w:type="dxa"/>
            <w:vAlign w:val="bottom"/>
            <w:gridSpan w:val="2"/>
          </w:tcPr>
          <w:p>
            <w:pPr>
              <w:jc w:val="center"/>
              <w:ind w:right="700"/>
              <w:spacing w:after="0"/>
              <w:rPr>
                <w:sz w:val="20"/>
                <w:szCs w:val="20"/>
                <w:color w:val="auto"/>
              </w:rPr>
            </w:pPr>
            <w:r>
              <w:rPr>
                <w:rFonts w:ascii="Arial" w:cs="Arial" w:eastAsia="Arial" w:hAnsi="Arial"/>
                <w:sz w:val="19"/>
                <w:szCs w:val="19"/>
                <w:b w:val="1"/>
                <w:bCs w:val="1"/>
                <w:i w:val="1"/>
                <w:iCs w:val="1"/>
                <w:color w:val="auto"/>
                <w:w w:val="99"/>
              </w:rPr>
              <w:t>UNDER THE</w:t>
            </w:r>
          </w:p>
        </w:tc>
        <w:tc>
          <w:tcPr>
            <w:tcW w:w="1300" w:type="dxa"/>
            <w:vAlign w:val="bottom"/>
          </w:tcPr>
          <w:p>
            <w:pPr>
              <w:spacing w:after="0"/>
              <w:rPr>
                <w:sz w:val="19"/>
                <w:szCs w:val="19"/>
                <w:color w:val="auto"/>
              </w:rPr>
            </w:pPr>
          </w:p>
        </w:tc>
      </w:tr>
      <w:tr>
        <w:trPr>
          <w:trHeight w:val="241"/>
        </w:trPr>
        <w:tc>
          <w:tcPr>
            <w:tcW w:w="2620" w:type="dxa"/>
            <w:vAlign w:val="bottom"/>
          </w:tcPr>
          <w:p>
            <w:pPr>
              <w:spacing w:after="0"/>
              <w:rPr>
                <w:sz w:val="20"/>
                <w:szCs w:val="20"/>
                <w:color w:val="auto"/>
              </w:rPr>
            </w:pPr>
          </w:p>
        </w:tc>
        <w:tc>
          <w:tcPr>
            <w:tcW w:w="3440" w:type="dxa"/>
            <w:vAlign w:val="bottom"/>
            <w:gridSpan w:val="2"/>
          </w:tcPr>
          <w:p>
            <w:pPr>
              <w:jc w:val="center"/>
              <w:ind w:right="680"/>
              <w:spacing w:after="0"/>
              <w:rPr>
                <w:sz w:val="20"/>
                <w:szCs w:val="20"/>
                <w:color w:val="auto"/>
              </w:rPr>
            </w:pPr>
            <w:r>
              <w:rPr>
                <w:rFonts w:ascii="Arial" w:cs="Arial" w:eastAsia="Arial" w:hAnsi="Arial"/>
                <w:sz w:val="19"/>
                <w:szCs w:val="19"/>
                <w:b w:val="1"/>
                <w:bCs w:val="1"/>
                <w:i w:val="1"/>
                <w:iCs w:val="1"/>
                <w:color w:val="auto"/>
                <w:w w:val="95"/>
              </w:rPr>
              <w:t>SECURITIES ACT OF 1933</w:t>
            </w:r>
          </w:p>
        </w:tc>
        <w:tc>
          <w:tcPr>
            <w:tcW w:w="1300" w:type="dxa"/>
            <w:vAlign w:val="bottom"/>
          </w:tcPr>
          <w:p>
            <w:pPr>
              <w:spacing w:after="0"/>
              <w:rPr>
                <w:sz w:val="20"/>
                <w:szCs w:val="20"/>
                <w:color w:val="auto"/>
              </w:rPr>
            </w:pPr>
          </w:p>
        </w:tc>
      </w:tr>
      <w:tr>
        <w:trPr>
          <w:trHeight w:val="158"/>
        </w:trPr>
        <w:tc>
          <w:tcPr>
            <w:tcW w:w="26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46"/>
        </w:trPr>
        <w:tc>
          <w:tcPr>
            <w:tcW w:w="6060" w:type="dxa"/>
            <w:vAlign w:val="bottom"/>
            <w:gridSpan w:val="3"/>
          </w:tcPr>
          <w:p>
            <w:pPr>
              <w:jc w:val="center"/>
              <w:ind w:left="1855"/>
              <w:spacing w:after="0"/>
              <w:rPr>
                <w:sz w:val="20"/>
                <w:szCs w:val="20"/>
                <w:color w:val="auto"/>
              </w:rPr>
            </w:pPr>
            <w:r>
              <w:rPr>
                <w:rFonts w:ascii="Arial" w:cs="Arial" w:eastAsia="Arial" w:hAnsi="Arial"/>
                <w:sz w:val="27"/>
                <w:szCs w:val="27"/>
                <w:b w:val="1"/>
                <w:bCs w:val="1"/>
                <w:color w:val="auto"/>
                <w:w w:val="90"/>
              </w:rPr>
              <w:t>Blueprint Medicines Corporation</w:t>
            </w:r>
          </w:p>
        </w:tc>
        <w:tc>
          <w:tcPr>
            <w:tcW w:w="1300" w:type="dxa"/>
            <w:vAlign w:val="bottom"/>
          </w:tcPr>
          <w:p>
            <w:pPr>
              <w:spacing w:after="0"/>
              <w:rPr>
                <w:sz w:val="24"/>
                <w:szCs w:val="24"/>
                <w:color w:val="auto"/>
              </w:rPr>
            </w:pPr>
          </w:p>
        </w:tc>
      </w:tr>
      <w:tr>
        <w:trPr>
          <w:trHeight w:val="191"/>
        </w:trPr>
        <w:tc>
          <w:tcPr>
            <w:tcW w:w="6060" w:type="dxa"/>
            <w:vAlign w:val="bottom"/>
            <w:gridSpan w:val="3"/>
          </w:tcPr>
          <w:p>
            <w:pPr>
              <w:jc w:val="center"/>
              <w:ind w:left="1835"/>
              <w:spacing w:after="0"/>
              <w:rPr>
                <w:sz w:val="20"/>
                <w:szCs w:val="20"/>
                <w:color w:val="auto"/>
              </w:rPr>
            </w:pPr>
            <w:r>
              <w:rPr>
                <w:rFonts w:ascii="Arial" w:cs="Arial" w:eastAsia="Arial" w:hAnsi="Arial"/>
                <w:sz w:val="15"/>
                <w:szCs w:val="15"/>
                <w:color w:val="auto"/>
                <w:w w:val="91"/>
              </w:rPr>
              <w:t>(Exact name of registrant as specified in its charter)</w:t>
            </w:r>
          </w:p>
        </w:tc>
        <w:tc>
          <w:tcPr>
            <w:tcW w:w="1300" w:type="dxa"/>
            <w:vAlign w:val="bottom"/>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89"/>
        </w:trPr>
        <w:tc>
          <w:tcPr>
            <w:tcW w:w="6060" w:type="dxa"/>
            <w:vAlign w:val="bottom"/>
            <w:gridSpan w:val="3"/>
          </w:tcPr>
          <w:p>
            <w:pPr>
              <w:jc w:val="center"/>
              <w:ind w:right="3640"/>
              <w:spacing w:after="0"/>
              <w:rPr>
                <w:sz w:val="20"/>
                <w:szCs w:val="20"/>
                <w:color w:val="auto"/>
              </w:rPr>
            </w:pPr>
            <w:r>
              <w:rPr>
                <w:rFonts w:ascii="Arial" w:cs="Arial" w:eastAsia="Arial" w:hAnsi="Arial"/>
                <w:sz w:val="15"/>
                <w:szCs w:val="15"/>
                <w:b w:val="1"/>
                <w:bCs w:val="1"/>
                <w:color w:val="auto"/>
                <w:w w:val="94"/>
              </w:rPr>
              <w:t>Delaware</w:t>
            </w:r>
          </w:p>
        </w:tc>
        <w:tc>
          <w:tcPr>
            <w:tcW w:w="1300" w:type="dxa"/>
            <w:vAlign w:val="bottom"/>
          </w:tcPr>
          <w:p>
            <w:pPr>
              <w:jc w:val="right"/>
              <w:ind w:right="124"/>
              <w:spacing w:after="0"/>
              <w:rPr>
                <w:sz w:val="20"/>
                <w:szCs w:val="20"/>
                <w:color w:val="auto"/>
              </w:rPr>
            </w:pPr>
            <w:r>
              <w:rPr>
                <w:rFonts w:ascii="Arial" w:cs="Arial" w:eastAsia="Arial" w:hAnsi="Arial"/>
                <w:sz w:val="15"/>
                <w:szCs w:val="15"/>
                <w:b w:val="1"/>
                <w:bCs w:val="1"/>
                <w:color w:val="auto"/>
              </w:rPr>
              <w:t>26-3632015</w:t>
            </w:r>
          </w:p>
        </w:tc>
      </w:tr>
      <w:tr>
        <w:trPr>
          <w:trHeight w:val="157"/>
        </w:trPr>
        <w:tc>
          <w:tcPr>
            <w:tcW w:w="6060" w:type="dxa"/>
            <w:vAlign w:val="bottom"/>
            <w:gridSpan w:val="3"/>
          </w:tcPr>
          <w:p>
            <w:pPr>
              <w:jc w:val="center"/>
              <w:ind w:right="3640"/>
              <w:spacing w:after="0" w:line="157" w:lineRule="exact"/>
              <w:rPr>
                <w:sz w:val="20"/>
                <w:szCs w:val="20"/>
                <w:color w:val="auto"/>
              </w:rPr>
            </w:pPr>
            <w:r>
              <w:rPr>
                <w:rFonts w:ascii="Arial" w:cs="Arial" w:eastAsia="Arial" w:hAnsi="Arial"/>
                <w:sz w:val="15"/>
                <w:szCs w:val="15"/>
                <w:color w:val="auto"/>
                <w:w w:val="92"/>
              </w:rPr>
              <w:t>(State or other jurisdiction</w:t>
            </w:r>
          </w:p>
        </w:tc>
        <w:tc>
          <w:tcPr>
            <w:tcW w:w="1300" w:type="dxa"/>
            <w:vAlign w:val="bottom"/>
          </w:tcPr>
          <w:p>
            <w:pPr>
              <w:jc w:val="center"/>
              <w:ind w:left="104"/>
              <w:spacing w:after="0" w:line="157" w:lineRule="exact"/>
              <w:rPr>
                <w:sz w:val="20"/>
                <w:szCs w:val="20"/>
                <w:color w:val="auto"/>
              </w:rPr>
            </w:pPr>
            <w:r>
              <w:rPr>
                <w:rFonts w:ascii="Arial" w:cs="Arial" w:eastAsia="Arial" w:hAnsi="Arial"/>
                <w:sz w:val="15"/>
                <w:szCs w:val="15"/>
                <w:color w:val="auto"/>
                <w:w w:val="94"/>
              </w:rPr>
              <w:t>(I.R.S. Employer</w:t>
            </w:r>
          </w:p>
        </w:tc>
      </w:tr>
      <w:tr>
        <w:trPr>
          <w:trHeight w:val="191"/>
        </w:trPr>
        <w:tc>
          <w:tcPr>
            <w:tcW w:w="6060" w:type="dxa"/>
            <w:vAlign w:val="bottom"/>
            <w:gridSpan w:val="3"/>
          </w:tcPr>
          <w:p>
            <w:pPr>
              <w:jc w:val="center"/>
              <w:ind w:right="3640"/>
              <w:spacing w:after="0"/>
              <w:rPr>
                <w:sz w:val="20"/>
                <w:szCs w:val="20"/>
                <w:color w:val="auto"/>
              </w:rPr>
            </w:pPr>
            <w:r>
              <w:rPr>
                <w:rFonts w:ascii="Arial" w:cs="Arial" w:eastAsia="Arial" w:hAnsi="Arial"/>
                <w:sz w:val="15"/>
                <w:szCs w:val="15"/>
                <w:color w:val="auto"/>
                <w:w w:val="94"/>
              </w:rPr>
              <w:t>of incorporation)</w:t>
            </w:r>
          </w:p>
        </w:tc>
        <w:tc>
          <w:tcPr>
            <w:tcW w:w="1300" w:type="dxa"/>
            <w:vAlign w:val="bottom"/>
          </w:tcPr>
          <w:p>
            <w:pPr>
              <w:jc w:val="center"/>
              <w:ind w:left="84"/>
              <w:spacing w:after="0"/>
              <w:rPr>
                <w:sz w:val="20"/>
                <w:szCs w:val="20"/>
                <w:color w:val="auto"/>
              </w:rPr>
            </w:pPr>
            <w:r>
              <w:rPr>
                <w:rFonts w:ascii="Arial" w:cs="Arial" w:eastAsia="Arial" w:hAnsi="Arial"/>
                <w:sz w:val="15"/>
                <w:szCs w:val="15"/>
                <w:color w:val="auto"/>
                <w:w w:val="97"/>
              </w:rPr>
              <w:t>Identification No.)</w:t>
            </w:r>
          </w:p>
        </w:tc>
      </w:tr>
      <w:tr>
        <w:trPr>
          <w:trHeight w:val="275"/>
        </w:trPr>
        <w:tc>
          <w:tcPr>
            <w:tcW w:w="6060" w:type="dxa"/>
            <w:vAlign w:val="bottom"/>
            <w:gridSpan w:val="3"/>
          </w:tcPr>
          <w:p>
            <w:pPr>
              <w:jc w:val="center"/>
              <w:ind w:right="3640"/>
              <w:spacing w:after="0"/>
              <w:rPr>
                <w:sz w:val="20"/>
                <w:szCs w:val="20"/>
                <w:color w:val="auto"/>
              </w:rPr>
            </w:pPr>
            <w:r>
              <w:rPr>
                <w:rFonts w:ascii="Arial" w:cs="Arial" w:eastAsia="Arial" w:hAnsi="Arial"/>
                <w:sz w:val="15"/>
                <w:szCs w:val="15"/>
                <w:b w:val="1"/>
                <w:bCs w:val="1"/>
                <w:color w:val="auto"/>
                <w:w w:val="90"/>
              </w:rPr>
              <w:t>45 Sidney Street</w:t>
            </w:r>
          </w:p>
        </w:tc>
        <w:tc>
          <w:tcPr>
            <w:tcW w:w="1300" w:type="dxa"/>
            <w:vAlign w:val="bottom"/>
          </w:tcPr>
          <w:p>
            <w:pPr>
              <w:spacing w:after="0"/>
              <w:rPr>
                <w:sz w:val="23"/>
                <w:szCs w:val="23"/>
                <w:color w:val="auto"/>
              </w:rPr>
            </w:pPr>
          </w:p>
        </w:tc>
      </w:tr>
      <w:tr>
        <w:trPr>
          <w:trHeight w:val="161"/>
        </w:trPr>
        <w:tc>
          <w:tcPr>
            <w:tcW w:w="6060" w:type="dxa"/>
            <w:vAlign w:val="bottom"/>
            <w:gridSpan w:val="3"/>
          </w:tcPr>
          <w:p>
            <w:pPr>
              <w:jc w:val="center"/>
              <w:ind w:right="3640"/>
              <w:spacing w:after="0" w:line="161" w:lineRule="exact"/>
              <w:rPr>
                <w:sz w:val="20"/>
                <w:szCs w:val="20"/>
                <w:color w:val="auto"/>
              </w:rPr>
            </w:pPr>
            <w:r>
              <w:rPr>
                <w:rFonts w:ascii="Arial" w:cs="Arial" w:eastAsia="Arial" w:hAnsi="Arial"/>
                <w:sz w:val="15"/>
                <w:szCs w:val="15"/>
                <w:b w:val="1"/>
                <w:bCs w:val="1"/>
                <w:color w:val="auto"/>
                <w:w w:val="89"/>
              </w:rPr>
              <w:t>Cambridge, Massachusetts</w:t>
            </w:r>
          </w:p>
        </w:tc>
        <w:tc>
          <w:tcPr>
            <w:tcW w:w="1300" w:type="dxa"/>
            <w:vAlign w:val="bottom"/>
          </w:tcPr>
          <w:p>
            <w:pPr>
              <w:jc w:val="right"/>
              <w:ind w:right="304"/>
              <w:spacing w:after="0" w:line="161" w:lineRule="exact"/>
              <w:rPr>
                <w:sz w:val="20"/>
                <w:szCs w:val="20"/>
                <w:color w:val="auto"/>
              </w:rPr>
            </w:pPr>
            <w:r>
              <w:rPr>
                <w:rFonts w:ascii="Arial" w:cs="Arial" w:eastAsia="Arial" w:hAnsi="Arial"/>
                <w:sz w:val="15"/>
                <w:szCs w:val="15"/>
                <w:b w:val="1"/>
                <w:bCs w:val="1"/>
                <w:color w:val="auto"/>
              </w:rPr>
              <w:t>02139</w:t>
            </w:r>
          </w:p>
        </w:tc>
      </w:tr>
      <w:tr>
        <w:trPr>
          <w:trHeight w:val="191"/>
        </w:trPr>
        <w:tc>
          <w:tcPr>
            <w:tcW w:w="6060" w:type="dxa"/>
            <w:vAlign w:val="bottom"/>
            <w:gridSpan w:val="3"/>
          </w:tcPr>
          <w:p>
            <w:pPr>
              <w:jc w:val="center"/>
              <w:ind w:right="3640"/>
              <w:spacing w:after="0"/>
              <w:rPr>
                <w:sz w:val="20"/>
                <w:szCs w:val="20"/>
                <w:color w:val="auto"/>
              </w:rPr>
            </w:pPr>
            <w:r>
              <w:rPr>
                <w:rFonts w:ascii="Arial" w:cs="Arial" w:eastAsia="Arial" w:hAnsi="Arial"/>
                <w:sz w:val="15"/>
                <w:szCs w:val="15"/>
                <w:color w:val="auto"/>
                <w:w w:val="94"/>
              </w:rPr>
              <w:t>(Address of principal executive offices)</w:t>
            </w:r>
          </w:p>
        </w:tc>
        <w:tc>
          <w:tcPr>
            <w:tcW w:w="1300" w:type="dxa"/>
            <w:vAlign w:val="bottom"/>
          </w:tcPr>
          <w:p>
            <w:pPr>
              <w:jc w:val="center"/>
              <w:ind w:left="84"/>
              <w:spacing w:after="0"/>
              <w:rPr>
                <w:sz w:val="20"/>
                <w:szCs w:val="20"/>
                <w:color w:val="auto"/>
              </w:rPr>
            </w:pPr>
            <w:r>
              <w:rPr>
                <w:rFonts w:ascii="Arial" w:cs="Arial" w:eastAsia="Arial" w:hAnsi="Arial"/>
                <w:sz w:val="15"/>
                <w:szCs w:val="15"/>
                <w:color w:val="auto"/>
                <w:w w:val="93"/>
              </w:rPr>
              <w:t>(Zip Code)</w:t>
            </w:r>
          </w:p>
        </w:tc>
      </w:tr>
      <w:tr>
        <w:trPr>
          <w:trHeight w:val="161"/>
        </w:trPr>
        <w:tc>
          <w:tcPr>
            <w:tcW w:w="2620" w:type="dxa"/>
            <w:vAlign w:val="bottom"/>
          </w:tcPr>
          <w:p>
            <w:pPr>
              <w:spacing w:after="0"/>
              <w:rPr>
                <w:sz w:val="14"/>
                <w:szCs w:val="14"/>
                <w:color w:val="auto"/>
              </w:rPr>
            </w:pPr>
          </w:p>
        </w:tc>
        <w:tc>
          <w:tcPr>
            <w:tcW w:w="3440" w:type="dxa"/>
            <w:vAlign w:val="bottom"/>
            <w:gridSpan w:val="2"/>
          </w:tcPr>
          <w:p>
            <w:pPr>
              <w:jc w:val="center"/>
              <w:ind w:right="680"/>
              <w:spacing w:after="0" w:line="161" w:lineRule="exact"/>
              <w:rPr>
                <w:sz w:val="20"/>
                <w:szCs w:val="20"/>
                <w:color w:val="auto"/>
              </w:rPr>
            </w:pPr>
            <w:r>
              <w:rPr>
                <w:rFonts w:ascii="Arial" w:cs="Arial" w:eastAsia="Arial" w:hAnsi="Arial"/>
                <w:sz w:val="15"/>
                <w:szCs w:val="15"/>
                <w:b w:val="1"/>
                <w:bCs w:val="1"/>
                <w:color w:val="auto"/>
                <w:w w:val="91"/>
              </w:rPr>
              <w:t>2015 Stock Option and Incentive Plan</w:t>
            </w:r>
          </w:p>
        </w:tc>
        <w:tc>
          <w:tcPr>
            <w:tcW w:w="1300" w:type="dxa"/>
            <w:vAlign w:val="bottom"/>
          </w:tcPr>
          <w:p>
            <w:pPr>
              <w:spacing w:after="0"/>
              <w:rPr>
                <w:sz w:val="14"/>
                <w:szCs w:val="14"/>
                <w:color w:val="auto"/>
              </w:rPr>
            </w:pPr>
          </w:p>
        </w:tc>
      </w:tr>
      <w:tr>
        <w:trPr>
          <w:trHeight w:val="161"/>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61" w:lineRule="exact"/>
              <w:rPr>
                <w:sz w:val="20"/>
                <w:szCs w:val="20"/>
                <w:color w:val="auto"/>
              </w:rPr>
            </w:pPr>
            <w:r>
              <w:rPr>
                <w:rFonts w:ascii="Arial" w:cs="Arial" w:eastAsia="Arial" w:hAnsi="Arial"/>
                <w:sz w:val="15"/>
                <w:szCs w:val="15"/>
                <w:b w:val="1"/>
                <w:bCs w:val="1"/>
                <w:color w:val="auto"/>
                <w:w w:val="90"/>
              </w:rPr>
              <w:t>2015 Employee Stock Purchase Plan</w:t>
            </w:r>
          </w:p>
        </w:tc>
        <w:tc>
          <w:tcPr>
            <w:tcW w:w="1300" w:type="dxa"/>
            <w:vAlign w:val="bottom"/>
          </w:tcPr>
          <w:p>
            <w:pPr>
              <w:spacing w:after="0"/>
              <w:rPr>
                <w:sz w:val="13"/>
                <w:szCs w:val="13"/>
                <w:color w:val="auto"/>
              </w:rPr>
            </w:pPr>
          </w:p>
        </w:tc>
      </w:tr>
      <w:tr>
        <w:trPr>
          <w:trHeight w:val="191"/>
        </w:trPr>
        <w:tc>
          <w:tcPr>
            <w:tcW w:w="2620" w:type="dxa"/>
            <w:vAlign w:val="bottom"/>
          </w:tcPr>
          <w:p>
            <w:pPr>
              <w:spacing w:after="0"/>
              <w:rPr>
                <w:sz w:val="16"/>
                <w:szCs w:val="16"/>
                <w:color w:val="auto"/>
              </w:rPr>
            </w:pPr>
          </w:p>
        </w:tc>
        <w:tc>
          <w:tcPr>
            <w:tcW w:w="3440" w:type="dxa"/>
            <w:vAlign w:val="bottom"/>
            <w:gridSpan w:val="2"/>
          </w:tcPr>
          <w:p>
            <w:pPr>
              <w:jc w:val="center"/>
              <w:ind w:right="680"/>
              <w:spacing w:after="0"/>
              <w:rPr>
                <w:sz w:val="20"/>
                <w:szCs w:val="20"/>
                <w:color w:val="auto"/>
              </w:rPr>
            </w:pPr>
            <w:r>
              <w:rPr>
                <w:rFonts w:ascii="Arial" w:cs="Arial" w:eastAsia="Arial" w:hAnsi="Arial"/>
                <w:sz w:val="15"/>
                <w:szCs w:val="15"/>
                <w:color w:val="auto"/>
                <w:w w:val="95"/>
              </w:rPr>
              <w:t>(Full titles of the plans)</w:t>
            </w:r>
          </w:p>
        </w:tc>
        <w:tc>
          <w:tcPr>
            <w:tcW w:w="1300" w:type="dxa"/>
            <w:vAlign w:val="bottom"/>
          </w:tcPr>
          <w:p>
            <w:pPr>
              <w:spacing w:after="0"/>
              <w:rPr>
                <w:sz w:val="16"/>
                <w:szCs w:val="16"/>
                <w:color w:val="auto"/>
              </w:rPr>
            </w:pPr>
          </w:p>
        </w:tc>
      </w:tr>
      <w:tr>
        <w:trPr>
          <w:trHeight w:val="161"/>
        </w:trPr>
        <w:tc>
          <w:tcPr>
            <w:tcW w:w="2620" w:type="dxa"/>
            <w:vAlign w:val="bottom"/>
          </w:tcPr>
          <w:p>
            <w:pPr>
              <w:spacing w:after="0"/>
              <w:rPr>
                <w:sz w:val="14"/>
                <w:szCs w:val="14"/>
                <w:color w:val="auto"/>
              </w:rPr>
            </w:pPr>
          </w:p>
        </w:tc>
        <w:tc>
          <w:tcPr>
            <w:tcW w:w="3440" w:type="dxa"/>
            <w:vAlign w:val="bottom"/>
            <w:gridSpan w:val="2"/>
          </w:tcPr>
          <w:p>
            <w:pPr>
              <w:jc w:val="center"/>
              <w:ind w:right="680"/>
              <w:spacing w:after="0" w:line="161" w:lineRule="exact"/>
              <w:rPr>
                <w:sz w:val="20"/>
                <w:szCs w:val="20"/>
                <w:color w:val="auto"/>
              </w:rPr>
            </w:pPr>
            <w:r>
              <w:rPr>
                <w:rFonts w:ascii="Arial" w:cs="Arial" w:eastAsia="Arial" w:hAnsi="Arial"/>
                <w:sz w:val="15"/>
                <w:szCs w:val="15"/>
                <w:b w:val="1"/>
                <w:bCs w:val="1"/>
                <w:color w:val="auto"/>
                <w:w w:val="91"/>
              </w:rPr>
              <w:t>Jeffrey W. Albers</w:t>
            </w:r>
          </w:p>
        </w:tc>
        <w:tc>
          <w:tcPr>
            <w:tcW w:w="1300" w:type="dxa"/>
            <w:vAlign w:val="bottom"/>
          </w:tcPr>
          <w:p>
            <w:pPr>
              <w:spacing w:after="0"/>
              <w:rPr>
                <w:sz w:val="14"/>
                <w:szCs w:val="14"/>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700"/>
              <w:spacing w:after="0" w:line="157" w:lineRule="exact"/>
              <w:rPr>
                <w:sz w:val="20"/>
                <w:szCs w:val="20"/>
                <w:color w:val="auto"/>
              </w:rPr>
            </w:pPr>
            <w:r>
              <w:rPr>
                <w:rFonts w:ascii="Arial" w:cs="Arial" w:eastAsia="Arial" w:hAnsi="Arial"/>
                <w:sz w:val="15"/>
                <w:szCs w:val="15"/>
                <w:b w:val="1"/>
                <w:bCs w:val="1"/>
                <w:color w:val="auto"/>
                <w:w w:val="91"/>
              </w:rPr>
              <w:t>President and Chief Executive Officer</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92"/>
              </w:rPr>
              <w:t>Blueprint Medicines Corporation</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89"/>
              </w:rPr>
              <w:t>45 Sidney Street</w:t>
            </w:r>
          </w:p>
        </w:tc>
        <w:tc>
          <w:tcPr>
            <w:tcW w:w="1300" w:type="dxa"/>
            <w:vAlign w:val="bottom"/>
          </w:tcPr>
          <w:p>
            <w:pPr>
              <w:spacing w:after="0"/>
              <w:rPr>
                <w:sz w:val="13"/>
                <w:szCs w:val="13"/>
                <w:color w:val="auto"/>
              </w:rPr>
            </w:pPr>
          </w:p>
        </w:tc>
      </w:tr>
      <w:tr>
        <w:trPr>
          <w:trHeight w:val="161"/>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61" w:lineRule="exact"/>
              <w:rPr>
                <w:sz w:val="20"/>
                <w:szCs w:val="20"/>
                <w:color w:val="auto"/>
              </w:rPr>
            </w:pPr>
            <w:r>
              <w:rPr>
                <w:rFonts w:ascii="Arial" w:cs="Arial" w:eastAsia="Arial" w:hAnsi="Arial"/>
                <w:sz w:val="15"/>
                <w:szCs w:val="15"/>
                <w:b w:val="1"/>
                <w:bCs w:val="1"/>
                <w:color w:val="auto"/>
                <w:w w:val="89"/>
              </w:rPr>
              <w:t>Cambridge, Massachusetts 02139</w:t>
            </w:r>
          </w:p>
        </w:tc>
        <w:tc>
          <w:tcPr>
            <w:tcW w:w="1300" w:type="dxa"/>
            <w:vAlign w:val="bottom"/>
          </w:tcPr>
          <w:p>
            <w:pPr>
              <w:spacing w:after="0"/>
              <w:rPr>
                <w:sz w:val="13"/>
                <w:szCs w:val="13"/>
                <w:color w:val="auto"/>
              </w:rPr>
            </w:pPr>
          </w:p>
        </w:tc>
      </w:tr>
      <w:tr>
        <w:trPr>
          <w:trHeight w:val="191"/>
        </w:trPr>
        <w:tc>
          <w:tcPr>
            <w:tcW w:w="2620" w:type="dxa"/>
            <w:vAlign w:val="bottom"/>
          </w:tcPr>
          <w:p>
            <w:pPr>
              <w:spacing w:after="0"/>
              <w:rPr>
                <w:sz w:val="16"/>
                <w:szCs w:val="16"/>
                <w:color w:val="auto"/>
              </w:rPr>
            </w:pPr>
          </w:p>
        </w:tc>
        <w:tc>
          <w:tcPr>
            <w:tcW w:w="3440" w:type="dxa"/>
            <w:vAlign w:val="bottom"/>
            <w:gridSpan w:val="2"/>
          </w:tcPr>
          <w:p>
            <w:pPr>
              <w:jc w:val="center"/>
              <w:ind w:right="680"/>
              <w:spacing w:after="0"/>
              <w:rPr>
                <w:sz w:val="20"/>
                <w:szCs w:val="20"/>
                <w:color w:val="auto"/>
              </w:rPr>
            </w:pPr>
            <w:r>
              <w:rPr>
                <w:rFonts w:ascii="Arial" w:cs="Arial" w:eastAsia="Arial" w:hAnsi="Arial"/>
                <w:sz w:val="15"/>
                <w:szCs w:val="15"/>
                <w:color w:val="auto"/>
                <w:w w:val="90"/>
              </w:rPr>
              <w:t>(Name and address of agent for service)</w:t>
            </w:r>
          </w:p>
        </w:tc>
        <w:tc>
          <w:tcPr>
            <w:tcW w:w="1300" w:type="dxa"/>
            <w:vAlign w:val="bottom"/>
          </w:tcPr>
          <w:p>
            <w:pPr>
              <w:spacing w:after="0"/>
              <w:rPr>
                <w:sz w:val="16"/>
                <w:szCs w:val="16"/>
                <w:color w:val="auto"/>
              </w:rPr>
            </w:pPr>
          </w:p>
        </w:tc>
      </w:tr>
      <w:tr>
        <w:trPr>
          <w:trHeight w:val="179"/>
        </w:trPr>
        <w:tc>
          <w:tcPr>
            <w:tcW w:w="5360" w:type="dxa"/>
            <w:vAlign w:val="bottom"/>
            <w:gridSpan w:val="2"/>
          </w:tcPr>
          <w:p>
            <w:pPr>
              <w:jc w:val="center"/>
              <w:ind w:left="2515"/>
              <w:spacing w:after="0"/>
              <w:rPr>
                <w:sz w:val="20"/>
                <w:szCs w:val="20"/>
                <w:color w:val="auto"/>
              </w:rPr>
            </w:pPr>
            <w:r>
              <w:rPr>
                <w:rFonts w:ascii="Arial" w:cs="Arial" w:eastAsia="Arial" w:hAnsi="Arial"/>
                <w:sz w:val="15"/>
                <w:szCs w:val="15"/>
                <w:b w:val="1"/>
                <w:bCs w:val="1"/>
                <w:color w:val="auto"/>
                <w:w w:val="93"/>
              </w:rPr>
              <w:t>(617) 374-7580</w:t>
            </w:r>
          </w:p>
        </w:tc>
        <w:tc>
          <w:tcPr>
            <w:tcW w:w="7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6060" w:type="dxa"/>
            <w:vAlign w:val="bottom"/>
            <w:gridSpan w:val="3"/>
          </w:tcPr>
          <w:p>
            <w:pPr>
              <w:jc w:val="center"/>
              <w:ind w:left="1855"/>
              <w:spacing w:after="0"/>
              <w:rPr>
                <w:sz w:val="20"/>
                <w:szCs w:val="20"/>
                <w:color w:val="auto"/>
              </w:rPr>
            </w:pPr>
            <w:r>
              <w:rPr>
                <w:rFonts w:ascii="Arial" w:cs="Arial" w:eastAsia="Arial" w:hAnsi="Arial"/>
                <w:sz w:val="15"/>
                <w:szCs w:val="15"/>
                <w:color w:val="auto"/>
                <w:w w:val="91"/>
              </w:rPr>
              <w:t>(Telephone number, including area code, of agent for service)</w:t>
            </w:r>
          </w:p>
        </w:tc>
        <w:tc>
          <w:tcPr>
            <w:tcW w:w="1300" w:type="dxa"/>
            <w:vAlign w:val="bottom"/>
          </w:tcPr>
          <w:p>
            <w:pPr>
              <w:spacing w:after="0"/>
              <w:rPr>
                <w:sz w:val="16"/>
                <w:szCs w:val="16"/>
                <w:color w:val="auto"/>
              </w:rPr>
            </w:pPr>
          </w:p>
        </w:tc>
      </w:tr>
      <w:tr>
        <w:trPr>
          <w:trHeight w:val="175"/>
        </w:trPr>
        <w:tc>
          <w:tcPr>
            <w:tcW w:w="6060" w:type="dxa"/>
            <w:vAlign w:val="bottom"/>
            <w:gridSpan w:val="3"/>
          </w:tcPr>
          <w:p>
            <w:pPr>
              <w:jc w:val="center"/>
              <w:ind w:left="1855"/>
              <w:spacing w:after="0"/>
              <w:rPr>
                <w:sz w:val="20"/>
                <w:szCs w:val="20"/>
                <w:color w:val="auto"/>
              </w:rPr>
            </w:pPr>
            <w:r>
              <w:rPr>
                <w:rFonts w:ascii="Arial" w:cs="Arial" w:eastAsia="Arial" w:hAnsi="Arial"/>
                <w:sz w:val="15"/>
                <w:szCs w:val="15"/>
                <w:b w:val="1"/>
                <w:bCs w:val="1"/>
                <w:color w:val="auto"/>
                <w:w w:val="87"/>
              </w:rPr>
              <w:t>Please send copies of all communications to:</w:t>
            </w:r>
          </w:p>
        </w:tc>
        <w:tc>
          <w:tcPr>
            <w:tcW w:w="1300" w:type="dxa"/>
            <w:vAlign w:val="bottom"/>
          </w:tcPr>
          <w:p>
            <w:pPr>
              <w:spacing w:after="0"/>
              <w:rPr>
                <w:sz w:val="15"/>
                <w:szCs w:val="15"/>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92"/>
              </w:rPr>
              <w:t>Kingsley L. Taft, Esq.</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93"/>
              </w:rPr>
              <w:t>Danielle M. Lauzon, Esq.</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93"/>
              </w:rPr>
              <w:t>Goodwin Procter LLP</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92"/>
              </w:rPr>
              <w:t>100 Northern Avenue</w:t>
            </w:r>
          </w:p>
        </w:tc>
        <w:tc>
          <w:tcPr>
            <w:tcW w:w="1300" w:type="dxa"/>
            <w:vAlign w:val="bottom"/>
          </w:tcPr>
          <w:p>
            <w:pPr>
              <w:spacing w:after="0"/>
              <w:rPr>
                <w:sz w:val="13"/>
                <w:szCs w:val="13"/>
                <w:color w:val="auto"/>
              </w:rPr>
            </w:pPr>
          </w:p>
        </w:tc>
      </w:tr>
      <w:tr>
        <w:trPr>
          <w:trHeight w:val="157"/>
        </w:trPr>
        <w:tc>
          <w:tcPr>
            <w:tcW w:w="2620" w:type="dxa"/>
            <w:vAlign w:val="bottom"/>
          </w:tcPr>
          <w:p>
            <w:pPr>
              <w:spacing w:after="0"/>
              <w:rPr>
                <w:sz w:val="13"/>
                <w:szCs w:val="13"/>
                <w:color w:val="auto"/>
              </w:rPr>
            </w:pPr>
          </w:p>
        </w:tc>
        <w:tc>
          <w:tcPr>
            <w:tcW w:w="3440" w:type="dxa"/>
            <w:vAlign w:val="bottom"/>
            <w:gridSpan w:val="2"/>
          </w:tcPr>
          <w:p>
            <w:pPr>
              <w:jc w:val="center"/>
              <w:ind w:right="680"/>
              <w:spacing w:after="0" w:line="157" w:lineRule="exact"/>
              <w:rPr>
                <w:sz w:val="20"/>
                <w:szCs w:val="20"/>
                <w:color w:val="auto"/>
              </w:rPr>
            </w:pPr>
            <w:r>
              <w:rPr>
                <w:rFonts w:ascii="Arial" w:cs="Arial" w:eastAsia="Arial" w:hAnsi="Arial"/>
                <w:sz w:val="15"/>
                <w:szCs w:val="15"/>
                <w:b w:val="1"/>
                <w:bCs w:val="1"/>
                <w:color w:val="auto"/>
                <w:w w:val="88"/>
              </w:rPr>
              <w:t>Boston, Massachusetts 02210</w:t>
            </w:r>
          </w:p>
        </w:tc>
        <w:tc>
          <w:tcPr>
            <w:tcW w:w="1300" w:type="dxa"/>
            <w:vAlign w:val="bottom"/>
          </w:tcPr>
          <w:p>
            <w:pPr>
              <w:spacing w:after="0"/>
              <w:rPr>
                <w:sz w:val="13"/>
                <w:szCs w:val="13"/>
                <w:color w:val="auto"/>
              </w:rPr>
            </w:pPr>
          </w:p>
        </w:tc>
      </w:tr>
      <w:tr>
        <w:trPr>
          <w:trHeight w:val="195"/>
        </w:trPr>
        <w:tc>
          <w:tcPr>
            <w:tcW w:w="5360" w:type="dxa"/>
            <w:vAlign w:val="bottom"/>
            <w:gridSpan w:val="2"/>
          </w:tcPr>
          <w:p>
            <w:pPr>
              <w:jc w:val="center"/>
              <w:ind w:left="2555"/>
              <w:spacing w:after="0"/>
              <w:rPr>
                <w:sz w:val="20"/>
                <w:szCs w:val="20"/>
                <w:color w:val="auto"/>
              </w:rPr>
            </w:pPr>
            <w:r>
              <w:rPr>
                <w:rFonts w:ascii="Arial" w:cs="Arial" w:eastAsia="Arial" w:hAnsi="Arial"/>
                <w:sz w:val="15"/>
                <w:szCs w:val="15"/>
                <w:b w:val="1"/>
                <w:bCs w:val="1"/>
                <w:color w:val="auto"/>
                <w:w w:val="93"/>
              </w:rPr>
              <w:t>(617) 570-1000</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2609215</wp:posOffset>
            </wp:positionH>
            <wp:positionV relativeFrom="paragraph">
              <wp:posOffset>62865</wp:posOffset>
            </wp:positionV>
            <wp:extent cx="1738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8630" cy="8890"/>
                    </a:xfrm>
                    <a:prstGeom prst="rect">
                      <a:avLst/>
                    </a:prstGeom>
                    <a:noFill/>
                  </pic:spPr>
                </pic:pic>
              </a:graphicData>
            </a:graphic>
          </wp:anchor>
        </w:drawing>
      </w:r>
    </w:p>
    <w:p>
      <w:pPr>
        <w:spacing w:after="0" w:line="188" w:lineRule="exact"/>
        <w:rPr>
          <w:sz w:val="24"/>
          <w:szCs w:val="24"/>
          <w:color w:val="auto"/>
        </w:rPr>
      </w:pPr>
    </w:p>
    <w:p>
      <w:pPr>
        <w:ind w:right="160" w:firstLine="684"/>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40" w:type="dxa"/>
            <w:vAlign w:val="bottom"/>
          </w:tcPr>
          <w:p>
            <w:pPr>
              <w:jc w:val="center"/>
              <w:ind w:left="1824"/>
              <w:spacing w:after="0"/>
              <w:rPr>
                <w:sz w:val="20"/>
                <w:szCs w:val="20"/>
                <w:color w:val="auto"/>
              </w:rPr>
            </w:pPr>
            <w:r>
              <w:rPr>
                <w:rFonts w:ascii="Arial" w:cs="Arial" w:eastAsia="Arial" w:hAnsi="Arial"/>
                <w:sz w:val="15"/>
                <w:szCs w:val="15"/>
                <w:color w:val="auto"/>
                <w:w w:val="91"/>
              </w:rPr>
              <w:t>Large accelerated filer</w:t>
            </w:r>
          </w:p>
        </w:tc>
        <w:tc>
          <w:tcPr>
            <w:tcW w:w="1980" w:type="dxa"/>
            <w:vAlign w:val="bottom"/>
            <w:gridSpan w:val="3"/>
          </w:tcPr>
          <w:p>
            <w:pPr>
              <w:jc w:val="right"/>
              <w:ind w:right="1724"/>
              <w:spacing w:after="0" w:line="151" w:lineRule="exact"/>
              <w:rPr>
                <w:sz w:val="20"/>
                <w:szCs w:val="20"/>
                <w:color w:val="auto"/>
              </w:rPr>
            </w:pPr>
            <w:r>
              <w:rPr>
                <w:rFonts w:ascii="MS PGothic" w:cs="MS PGothic" w:eastAsia="MS PGothic" w:hAnsi="MS PGothic"/>
                <w:sz w:val="15"/>
                <w:szCs w:val="15"/>
                <w:color w:val="auto"/>
              </w:rPr>
              <w: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right="164"/>
              <w:spacing w:after="0" w:line="173" w:lineRule="exact"/>
              <w:rPr>
                <w:sz w:val="20"/>
                <w:szCs w:val="20"/>
                <w:color w:val="auto"/>
              </w:rPr>
            </w:pPr>
            <w:r>
              <w:rPr>
                <w:rFonts w:ascii="Arial" w:cs="Arial" w:eastAsia="Arial" w:hAnsi="Arial"/>
                <w:sz w:val="15"/>
                <w:szCs w:val="15"/>
                <w:color w:val="auto"/>
                <w:w w:val="97"/>
              </w:rPr>
              <w:t xml:space="preserve">Accelerated filer </w:t>
            </w:r>
            <w:r>
              <w:rPr>
                <w:rFonts w:ascii="MS PGothic" w:cs="MS PGothic" w:eastAsia="MS PGothic" w:hAnsi="MS PGothic"/>
                <w:sz w:val="15"/>
                <w:szCs w:val="15"/>
                <w:color w:val="auto"/>
                <w:w w:val="97"/>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40" w:type="dxa"/>
            <w:vAlign w:val="bottom"/>
          </w:tcPr>
          <w:p>
            <w:pPr>
              <w:jc w:val="center"/>
              <w:ind w:left="1864"/>
              <w:spacing w:after="0"/>
              <w:rPr>
                <w:sz w:val="20"/>
                <w:szCs w:val="20"/>
                <w:color w:val="auto"/>
              </w:rPr>
            </w:pPr>
            <w:r>
              <w:rPr>
                <w:rFonts w:ascii="Arial" w:cs="Arial" w:eastAsia="Arial" w:hAnsi="Arial"/>
                <w:sz w:val="15"/>
                <w:szCs w:val="15"/>
                <w:color w:val="auto"/>
                <w:w w:val="92"/>
              </w:rPr>
              <w:t>Non-accelerated filer</w:t>
            </w:r>
          </w:p>
        </w:tc>
        <w:tc>
          <w:tcPr>
            <w:tcW w:w="1980" w:type="dxa"/>
            <w:vAlign w:val="bottom"/>
            <w:gridSpan w:val="3"/>
          </w:tcPr>
          <w:p>
            <w:pPr>
              <w:jc w:val="right"/>
              <w:ind w:right="1744"/>
              <w:spacing w:after="0" w:line="151" w:lineRule="exact"/>
              <w:rPr>
                <w:sz w:val="20"/>
                <w:szCs w:val="20"/>
                <w:color w:val="auto"/>
              </w:rPr>
            </w:pPr>
            <w:r>
              <w:rPr>
                <w:rFonts w:ascii="MS PGothic" w:cs="MS PGothic" w:eastAsia="MS PGothic" w:hAnsi="MS PGothic"/>
                <w:sz w:val="15"/>
                <w:szCs w:val="15"/>
                <w:color w:val="auto"/>
                <w:w w:val="93"/>
              </w:rPr>
              <w: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center"/>
              <w:spacing w:after="0" w:line="173" w:lineRule="exact"/>
              <w:rPr>
                <w:sz w:val="20"/>
                <w:szCs w:val="20"/>
                <w:color w:val="auto"/>
              </w:rPr>
            </w:pPr>
            <w:r>
              <w:rPr>
                <w:rFonts w:ascii="Arial" w:cs="Arial" w:eastAsia="Arial" w:hAnsi="Arial"/>
                <w:sz w:val="15"/>
                <w:szCs w:val="15"/>
                <w:color w:val="auto"/>
                <w:w w:val="94"/>
              </w:rPr>
              <w:t xml:space="preserve">Smaller reporting company </w:t>
            </w:r>
            <w:r>
              <w:rPr>
                <w:rFonts w:ascii="MS PGothic" w:cs="MS PGothic" w:eastAsia="MS PGothic" w:hAnsi="MS PGothic"/>
                <w:sz w:val="15"/>
                <w:szCs w:val="15"/>
                <w:color w:val="auto"/>
                <w:w w:val="94"/>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gridSpan w:val="4"/>
          </w:tcPr>
          <w:p>
            <w:pPr>
              <w:ind w:left="1340"/>
              <w:spacing w:after="0"/>
              <w:rPr>
                <w:sz w:val="20"/>
                <w:szCs w:val="20"/>
                <w:color w:val="auto"/>
              </w:rPr>
            </w:pPr>
            <w:r>
              <w:rPr>
                <w:rFonts w:ascii="Arial" w:cs="Arial" w:eastAsia="Arial" w:hAnsi="Arial"/>
                <w:sz w:val="15"/>
                <w:szCs w:val="15"/>
                <w:color w:val="auto"/>
              </w:rPr>
              <w:t>(Do not check if a smaller reporting company)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2"/>
          </w:tcPr>
          <w:p>
            <w:pPr>
              <w:jc w:val="center"/>
              <w:spacing w:after="0" w:line="173" w:lineRule="exact"/>
              <w:rPr>
                <w:sz w:val="20"/>
                <w:szCs w:val="20"/>
                <w:color w:val="auto"/>
              </w:rPr>
            </w:pPr>
            <w:r>
              <w:rPr>
                <w:rFonts w:ascii="Arial" w:cs="Arial" w:eastAsia="Arial" w:hAnsi="Arial"/>
                <w:sz w:val="15"/>
                <w:szCs w:val="15"/>
                <w:color w:val="auto"/>
                <w:w w:val="95"/>
              </w:rPr>
              <w:t xml:space="preserve">Emerging growth company </w:t>
            </w:r>
            <w:r>
              <w:rPr>
                <w:rFonts w:ascii="MS PGothic" w:cs="MS PGothic" w:eastAsia="MS PGothic" w:hAnsi="MS PGothic"/>
                <w:sz w:val="15"/>
                <w:szCs w:val="15"/>
                <w:color w:val="auto"/>
                <w:w w:val="95"/>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940" w:type="dxa"/>
            <w:vAlign w:val="bottom"/>
            <w:gridSpan w:val="13"/>
          </w:tcPr>
          <w:p>
            <w:pPr>
              <w:jc w:val="right"/>
              <w:ind w:right="204"/>
              <w:spacing w:after="0"/>
              <w:rPr>
                <w:sz w:val="20"/>
                <w:szCs w:val="20"/>
                <w:color w:val="auto"/>
              </w:rPr>
            </w:pPr>
            <w:r>
              <w:rPr>
                <w:rFonts w:ascii="Arial" w:cs="Arial" w:eastAsia="Arial" w:hAnsi="Arial"/>
                <w:sz w:val="15"/>
                <w:szCs w:val="15"/>
                <w:color w:val="auto"/>
                <w:w w:val="98"/>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39"/>
        </w:trPr>
        <w:tc>
          <w:tcPr>
            <w:tcW w:w="5620" w:type="dxa"/>
            <w:vAlign w:val="bottom"/>
            <w:gridSpan w:val="6"/>
          </w:tcPr>
          <w:p>
            <w:pPr>
              <w:spacing w:after="0" w:line="173" w:lineRule="exact"/>
              <w:rPr>
                <w:sz w:val="20"/>
                <w:szCs w:val="20"/>
                <w:color w:val="auto"/>
              </w:rPr>
            </w:pPr>
            <w:r>
              <w:rPr>
                <w:rFonts w:ascii="Arial" w:cs="Arial" w:eastAsia="Arial" w:hAnsi="Arial"/>
                <w:sz w:val="15"/>
                <w:szCs w:val="15"/>
                <w:color w:val="auto"/>
                <w:w w:val="94"/>
              </w:rPr>
              <w:t>financial accounting standards provided pursuant to Section 13(a) of the Exchange Act.</w:t>
            </w:r>
            <w:r>
              <w:rPr>
                <w:rFonts w:ascii="MS PGothic" w:cs="MS PGothic" w:eastAsia="MS PGothic" w:hAnsi="MS PGothic"/>
                <w:sz w:val="15"/>
                <w:szCs w:val="15"/>
                <w:color w:val="auto"/>
                <w:w w:val="94"/>
              </w:rPr>
              <w: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2"/>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CALCULATION OF REGISTRATION FEE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Borders>
              <w:right w:val="single" w:sz="8" w:color="auto"/>
            </w:tcBorders>
            <w:vMerge w:val="restart"/>
          </w:tcPr>
          <w:p>
            <w:pPr>
              <w:jc w:val="center"/>
              <w:ind w:right="264"/>
              <w:spacing w:after="0"/>
              <w:rPr>
                <w:sz w:val="20"/>
                <w:szCs w:val="20"/>
                <w:color w:val="auto"/>
              </w:rPr>
            </w:pPr>
            <w:r>
              <w:rPr>
                <w:rFonts w:ascii="Arial" w:cs="Arial" w:eastAsia="Arial" w:hAnsi="Arial"/>
                <w:sz w:val="15"/>
                <w:szCs w:val="15"/>
                <w:b w:val="1"/>
                <w:bCs w:val="1"/>
                <w:color w:val="auto"/>
                <w:w w:val="95"/>
              </w:rPr>
              <w:t>Amount</w:t>
            </w:r>
          </w:p>
        </w:tc>
        <w:tc>
          <w:tcPr>
            <w:tcW w:w="280" w:type="dxa"/>
            <w:vAlign w:val="bottom"/>
          </w:tcPr>
          <w:p>
            <w:pPr>
              <w:spacing w:after="0"/>
              <w:rPr>
                <w:sz w:val="11"/>
                <w:szCs w:val="11"/>
                <w:color w:val="auto"/>
              </w:rPr>
            </w:pPr>
          </w:p>
        </w:tc>
        <w:tc>
          <w:tcPr>
            <w:tcW w:w="1360" w:type="dxa"/>
            <w:vAlign w:val="bottom"/>
            <w:gridSpan w:val="2"/>
          </w:tcPr>
          <w:p>
            <w:pPr>
              <w:jc w:val="center"/>
              <w:ind w:right="80"/>
              <w:spacing w:after="0" w:line="134" w:lineRule="exact"/>
              <w:rPr>
                <w:sz w:val="20"/>
                <w:szCs w:val="20"/>
                <w:color w:val="auto"/>
              </w:rPr>
            </w:pPr>
            <w:r>
              <w:rPr>
                <w:rFonts w:ascii="Arial" w:cs="Arial" w:eastAsia="Arial" w:hAnsi="Arial"/>
                <w:sz w:val="15"/>
                <w:szCs w:val="15"/>
                <w:b w:val="1"/>
                <w:bCs w:val="1"/>
                <w:color w:val="auto"/>
                <w:w w:val="86"/>
              </w:rPr>
              <w:t>Proposed</w:t>
            </w:r>
          </w:p>
        </w:tc>
        <w:tc>
          <w:tcPr>
            <w:tcW w:w="2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jc w:val="center"/>
              <w:spacing w:after="0" w:line="134" w:lineRule="exact"/>
              <w:rPr>
                <w:sz w:val="20"/>
                <w:szCs w:val="20"/>
                <w:color w:val="auto"/>
              </w:rPr>
            </w:pPr>
            <w:r>
              <w:rPr>
                <w:rFonts w:ascii="Arial" w:cs="Arial" w:eastAsia="Arial" w:hAnsi="Arial"/>
                <w:sz w:val="15"/>
                <w:szCs w:val="15"/>
                <w:b w:val="1"/>
                <w:bCs w:val="1"/>
                <w:color w:val="auto"/>
                <w:w w:val="86"/>
              </w:rPr>
              <w:t>Proposed</w:t>
            </w: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80"/>
              <w:spacing w:after="0" w:line="151" w:lineRule="exact"/>
              <w:rPr>
                <w:sz w:val="20"/>
                <w:szCs w:val="20"/>
                <w:color w:val="auto"/>
              </w:rPr>
            </w:pPr>
            <w:r>
              <w:rPr>
                <w:rFonts w:ascii="Arial" w:cs="Arial" w:eastAsia="Arial" w:hAnsi="Arial"/>
                <w:sz w:val="15"/>
                <w:szCs w:val="15"/>
                <w:b w:val="1"/>
                <w:bCs w:val="1"/>
                <w:color w:val="auto"/>
                <w:w w:val="98"/>
              </w:rPr>
              <w:t>Maximum</w:t>
            </w: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8"/>
              </w:rPr>
              <w:t>Maximum</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40" w:type="dxa"/>
            <w:vAlign w:val="bottom"/>
          </w:tcPr>
          <w:p>
            <w:pPr>
              <w:ind w:left="1300"/>
              <w:spacing w:after="0" w:line="157" w:lineRule="exact"/>
              <w:rPr>
                <w:sz w:val="20"/>
                <w:szCs w:val="20"/>
                <w:color w:val="auto"/>
              </w:rPr>
            </w:pPr>
            <w:r>
              <w:rPr>
                <w:rFonts w:ascii="Arial" w:cs="Arial" w:eastAsia="Arial" w:hAnsi="Arial"/>
                <w:sz w:val="15"/>
                <w:szCs w:val="15"/>
                <w:b w:val="1"/>
                <w:bCs w:val="1"/>
                <w:color w:val="auto"/>
              </w:rPr>
              <w:t>Title of Securities</w:t>
            </w:r>
          </w:p>
        </w:tc>
        <w:tc>
          <w:tcPr>
            <w:tcW w:w="4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right w:val="single" w:sz="8" w:color="auto"/>
            </w:tcBorders>
          </w:tcPr>
          <w:p>
            <w:pPr>
              <w:jc w:val="center"/>
              <w:ind w:right="264"/>
              <w:spacing w:after="0" w:line="157" w:lineRule="exact"/>
              <w:rPr>
                <w:sz w:val="20"/>
                <w:szCs w:val="20"/>
                <w:color w:val="auto"/>
              </w:rPr>
            </w:pPr>
            <w:r>
              <w:rPr>
                <w:rFonts w:ascii="Arial" w:cs="Arial" w:eastAsia="Arial" w:hAnsi="Arial"/>
                <w:sz w:val="15"/>
                <w:szCs w:val="15"/>
                <w:b w:val="1"/>
                <w:bCs w:val="1"/>
                <w:color w:val="auto"/>
                <w:w w:val="83"/>
              </w:rPr>
              <w:t>to be</w:t>
            </w:r>
          </w:p>
        </w:tc>
        <w:tc>
          <w:tcPr>
            <w:tcW w:w="28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4"/>
              </w:rPr>
              <w:t>Offering Price</w:t>
            </w: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8"/>
              </w:rPr>
              <w:t>Aggregate</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344"/>
              <w:spacing w:after="0" w:line="157" w:lineRule="exact"/>
              <w:rPr>
                <w:sz w:val="20"/>
                <w:szCs w:val="20"/>
                <w:color w:val="auto"/>
              </w:rPr>
            </w:pPr>
            <w:r>
              <w:rPr>
                <w:rFonts w:ascii="Arial" w:cs="Arial" w:eastAsia="Arial" w:hAnsi="Arial"/>
                <w:sz w:val="15"/>
                <w:szCs w:val="15"/>
                <w:b w:val="1"/>
                <w:bCs w:val="1"/>
                <w:color w:val="auto"/>
              </w:rPr>
              <w:t>Amount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5"/>
                <w:szCs w:val="15"/>
                <w:b w:val="1"/>
                <w:bCs w:val="1"/>
                <w:color w:val="auto"/>
              </w:rPr>
              <w:t>to be Registered</w:t>
            </w:r>
          </w:p>
        </w:tc>
        <w:tc>
          <w:tcPr>
            <w:tcW w:w="4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Registered (1)</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1"/>
              </w:rPr>
              <w:t>Per Share</w:t>
            </w:r>
          </w:p>
        </w:tc>
        <w:tc>
          <w:tcPr>
            <w:tcW w:w="2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Offering Price</w:t>
            </w:r>
          </w:p>
        </w:tc>
        <w:tc>
          <w:tcPr>
            <w:tcW w:w="28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5"/>
              </w:rPr>
              <w:t>Registration Fee</w:t>
            </w:r>
          </w:p>
        </w:tc>
        <w:tc>
          <w:tcPr>
            <w:tcW w:w="0" w:type="dxa"/>
            <w:vAlign w:val="bottom"/>
          </w:tcPr>
          <w:p>
            <w:pPr>
              <w:spacing w:after="0"/>
              <w:rPr>
                <w:sz w:val="1"/>
                <w:szCs w:val="1"/>
                <w:color w:val="auto"/>
              </w:rPr>
            </w:pPr>
          </w:p>
        </w:tc>
      </w:tr>
      <w:tr>
        <w:trPr>
          <w:trHeight w:val="151"/>
        </w:trPr>
        <w:tc>
          <w:tcPr>
            <w:tcW w:w="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line="151" w:lineRule="exact"/>
              <w:rPr>
                <w:sz w:val="20"/>
                <w:szCs w:val="20"/>
                <w:color w:val="auto"/>
              </w:rPr>
            </w:pPr>
            <w:r>
              <w:rPr>
                <w:rFonts w:ascii="Arial" w:cs="Arial" w:eastAsia="Arial" w:hAnsi="Arial"/>
                <w:sz w:val="15"/>
                <w:szCs w:val="15"/>
                <w:color w:val="auto"/>
              </w:rPr>
              <w:t>Common Stock, $0.001 par value per share</w:t>
            </w:r>
          </w:p>
        </w:tc>
        <w:tc>
          <w:tcPr>
            <w:tcW w:w="4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gridSpan w:val="2"/>
          </w:tcPr>
          <w:p>
            <w:pPr>
              <w:jc w:val="right"/>
              <w:spacing w:after="0" w:line="151" w:lineRule="exact"/>
              <w:rPr>
                <w:sz w:val="20"/>
                <w:szCs w:val="20"/>
                <w:color w:val="auto"/>
              </w:rPr>
            </w:pPr>
            <w:r>
              <w:rPr>
                <w:rFonts w:ascii="Arial" w:cs="Arial" w:eastAsia="Arial" w:hAnsi="Arial"/>
                <w:sz w:val="15"/>
                <w:szCs w:val="15"/>
                <w:color w:val="auto"/>
              </w:rPr>
              <w:t>1,761,481</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gridSpan w:val="2"/>
          </w:tcPr>
          <w:p>
            <w:pPr>
              <w:jc w:val="right"/>
              <w:ind w:right="120"/>
              <w:spacing w:after="0" w:line="151" w:lineRule="exact"/>
              <w:rPr>
                <w:sz w:val="20"/>
                <w:szCs w:val="20"/>
                <w:color w:val="auto"/>
              </w:rPr>
            </w:pPr>
            <w:r>
              <w:rPr>
                <w:rFonts w:ascii="Arial" w:cs="Arial" w:eastAsia="Arial" w:hAnsi="Arial"/>
                <w:sz w:val="15"/>
                <w:szCs w:val="15"/>
                <w:color w:val="auto"/>
              </w:rPr>
              <w:t>74.67</w:t>
            </w:r>
          </w:p>
        </w:tc>
        <w:tc>
          <w:tcPr>
            <w:tcW w:w="220" w:type="dxa"/>
            <w:vAlign w:val="bottom"/>
            <w:tcBorders>
              <w:bottom w:val="single" w:sz="8" w:color="auto"/>
              <w:right w:val="single" w:sz="8" w:color="auto"/>
            </w:tcBorders>
          </w:tcPr>
          <w:p>
            <w:pPr>
              <w:jc w:val="right"/>
              <w:spacing w:after="0" w:line="151" w:lineRule="exact"/>
              <w:rPr>
                <w:sz w:val="20"/>
                <w:szCs w:val="20"/>
                <w:color w:val="auto"/>
              </w:rPr>
            </w:pPr>
            <w:r>
              <w:rPr>
                <w:rFonts w:ascii="Arial" w:cs="Arial" w:eastAsia="Arial" w:hAnsi="Arial"/>
                <w:sz w:val="15"/>
                <w:szCs w:val="15"/>
                <w:color w:val="auto"/>
                <w:w w:val="97"/>
              </w:rPr>
              <w:t>(2)</w:t>
            </w:r>
          </w:p>
        </w:tc>
        <w:tc>
          <w:tcPr>
            <w:tcW w:w="220" w:type="dxa"/>
            <w:vAlign w:val="bottom"/>
            <w:tcBorders>
              <w:bottom w:val="single" w:sz="8" w:color="auto"/>
            </w:tcBorders>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131,529,786.27</w:t>
            </w:r>
          </w:p>
        </w:tc>
        <w:tc>
          <w:tcPr>
            <w:tcW w:w="280" w:type="dxa"/>
            <w:vAlign w:val="bottom"/>
            <w:tcBorders>
              <w:bottom w:val="single" w:sz="8" w:color="auto"/>
              <w:right w:val="single" w:sz="8" w:color="auto"/>
            </w:tcBorders>
          </w:tcPr>
          <w:p>
            <w:pPr>
              <w:jc w:val="right"/>
              <w:spacing w:after="0" w:line="151" w:lineRule="exact"/>
              <w:rPr>
                <w:sz w:val="20"/>
                <w:szCs w:val="20"/>
                <w:color w:val="auto"/>
              </w:rPr>
            </w:pPr>
            <w:r>
              <w:rPr>
                <w:rFonts w:ascii="Arial" w:cs="Arial" w:eastAsia="Arial" w:hAnsi="Arial"/>
                <w:sz w:val="15"/>
                <w:szCs w:val="15"/>
                <w:color w:val="auto"/>
              </w:rPr>
              <w:t>(2)</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15,941.42</w:t>
            </w:r>
          </w:p>
        </w:tc>
        <w:tc>
          <w:tcPr>
            <w:tcW w:w="0" w:type="dxa"/>
            <w:vAlign w:val="bottom"/>
          </w:tcPr>
          <w:p>
            <w:pPr>
              <w:spacing w:after="0"/>
              <w:rPr>
                <w:sz w:val="1"/>
                <w:szCs w:val="1"/>
                <w:color w:val="auto"/>
              </w:rPr>
            </w:pPr>
          </w:p>
        </w:tc>
      </w:tr>
      <w:tr>
        <w:trPr>
          <w:trHeight w:val="151"/>
        </w:trPr>
        <w:tc>
          <w:tcPr>
            <w:tcW w:w="336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color w:val="auto"/>
              </w:rPr>
              <w:t>Common Stock, $0.001 par value per share</w:t>
            </w:r>
          </w:p>
        </w:tc>
        <w:tc>
          <w:tcPr>
            <w:tcW w:w="4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gridSpan w:val="2"/>
          </w:tcPr>
          <w:p>
            <w:pPr>
              <w:jc w:val="right"/>
              <w:spacing w:after="0" w:line="151" w:lineRule="exact"/>
              <w:rPr>
                <w:sz w:val="20"/>
                <w:szCs w:val="20"/>
                <w:color w:val="auto"/>
              </w:rPr>
            </w:pPr>
            <w:r>
              <w:rPr>
                <w:rFonts w:ascii="Arial" w:cs="Arial" w:eastAsia="Arial" w:hAnsi="Arial"/>
                <w:sz w:val="15"/>
                <w:szCs w:val="15"/>
                <w:color w:val="auto"/>
              </w:rPr>
              <w:t>440,370</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gridSpan w:val="2"/>
          </w:tcPr>
          <w:p>
            <w:pPr>
              <w:jc w:val="right"/>
              <w:ind w:right="120"/>
              <w:spacing w:after="0" w:line="151" w:lineRule="exact"/>
              <w:rPr>
                <w:sz w:val="20"/>
                <w:szCs w:val="20"/>
                <w:color w:val="auto"/>
              </w:rPr>
            </w:pPr>
            <w:r>
              <w:rPr>
                <w:rFonts w:ascii="Arial" w:cs="Arial" w:eastAsia="Arial" w:hAnsi="Arial"/>
                <w:sz w:val="15"/>
                <w:szCs w:val="15"/>
                <w:color w:val="auto"/>
              </w:rPr>
              <w:t>63.47</w:t>
            </w:r>
          </w:p>
        </w:tc>
        <w:tc>
          <w:tcPr>
            <w:tcW w:w="220" w:type="dxa"/>
            <w:vAlign w:val="bottom"/>
            <w:tcBorders>
              <w:bottom w:val="single" w:sz="8" w:color="auto"/>
              <w:right w:val="single" w:sz="8" w:color="auto"/>
            </w:tcBorders>
          </w:tcPr>
          <w:p>
            <w:pPr>
              <w:jc w:val="right"/>
              <w:spacing w:after="0" w:line="151" w:lineRule="exact"/>
              <w:rPr>
                <w:sz w:val="20"/>
                <w:szCs w:val="20"/>
                <w:color w:val="auto"/>
              </w:rPr>
            </w:pPr>
            <w:r>
              <w:rPr>
                <w:rFonts w:ascii="Arial" w:cs="Arial" w:eastAsia="Arial" w:hAnsi="Arial"/>
                <w:sz w:val="15"/>
                <w:szCs w:val="15"/>
                <w:color w:val="auto"/>
                <w:w w:val="97"/>
              </w:rPr>
              <w:t>(3)</w:t>
            </w:r>
          </w:p>
        </w:tc>
        <w:tc>
          <w:tcPr>
            <w:tcW w:w="220" w:type="dxa"/>
            <w:vAlign w:val="bottom"/>
            <w:tcBorders>
              <w:bottom w:val="single" w:sz="8" w:color="auto"/>
            </w:tcBorders>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27,950,283.90</w:t>
            </w:r>
          </w:p>
        </w:tc>
        <w:tc>
          <w:tcPr>
            <w:tcW w:w="280" w:type="dxa"/>
            <w:vAlign w:val="bottom"/>
            <w:tcBorders>
              <w:bottom w:val="single" w:sz="8" w:color="auto"/>
              <w:right w:val="single" w:sz="8" w:color="auto"/>
            </w:tcBorders>
          </w:tcPr>
          <w:p>
            <w:pPr>
              <w:jc w:val="right"/>
              <w:spacing w:after="0" w:line="151" w:lineRule="exact"/>
              <w:rPr>
                <w:sz w:val="20"/>
                <w:szCs w:val="20"/>
                <w:color w:val="auto"/>
              </w:rPr>
            </w:pPr>
            <w:r>
              <w:rPr>
                <w:rFonts w:ascii="Arial" w:cs="Arial" w:eastAsia="Arial" w:hAnsi="Arial"/>
                <w:sz w:val="15"/>
                <w:szCs w:val="15"/>
                <w:color w:val="auto"/>
              </w:rPr>
              <w:t>(3)</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3,387.58</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gridSpan w:val="2"/>
          </w:tcPr>
          <w:p>
            <w:pPr>
              <w:jc w:val="right"/>
              <w:spacing w:after="0" w:line="151" w:lineRule="exact"/>
              <w:rPr>
                <w:sz w:val="20"/>
                <w:szCs w:val="20"/>
                <w:color w:val="auto"/>
              </w:rPr>
            </w:pPr>
            <w:r>
              <w:rPr>
                <w:rFonts w:ascii="Arial" w:cs="Arial" w:eastAsia="Arial" w:hAnsi="Arial"/>
                <w:sz w:val="15"/>
                <w:szCs w:val="15"/>
                <w:color w:val="auto"/>
              </w:rPr>
              <w:t>2,201,851</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159,480,070.17</w:t>
            </w:r>
          </w:p>
        </w:tc>
        <w:tc>
          <w:tcPr>
            <w:tcW w:w="2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19,329.00</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680" w:right="60" w:hanging="334"/>
        <w:spacing w:after="0" w:line="227" w:lineRule="auto"/>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5" w:lineRule="exact"/>
        <w:rPr>
          <w:rFonts w:ascii="Arial" w:cs="Arial" w:eastAsia="Arial" w:hAnsi="Arial"/>
          <w:sz w:val="15"/>
          <w:szCs w:val="15"/>
          <w:color w:val="auto"/>
        </w:rPr>
      </w:pPr>
    </w:p>
    <w:p>
      <w:pPr>
        <w:ind w:left="680" w:right="60" w:hanging="334"/>
        <w:spacing w:after="0" w:line="244" w:lineRule="auto"/>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21, 2019.</w:t>
      </w:r>
    </w:p>
    <w:p>
      <w:pPr>
        <w:spacing w:after="0" w:line="20" w:lineRule="exact"/>
        <w:rPr>
          <w:rFonts w:ascii="Arial" w:cs="Arial" w:eastAsia="Arial" w:hAnsi="Arial"/>
          <w:sz w:val="15"/>
          <w:szCs w:val="15"/>
          <w:color w:val="auto"/>
        </w:rPr>
      </w:pPr>
    </w:p>
    <w:p>
      <w:pPr>
        <w:jc w:val="both"/>
        <w:ind w:left="680" w:right="40" w:hanging="334"/>
        <w:spacing w:after="0" w:line="234" w:lineRule="auto"/>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21, 2019, multiplied by 85%, which is the percentage of the price per share applicable to purchasers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6955155"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27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407035</wp:posOffset>
            </wp:positionV>
            <wp:extent cx="6955155"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27305"/>
                    </a:xfrm>
                    <a:prstGeom prst="rect">
                      <a:avLst/>
                    </a:prstGeom>
                    <a:noFill/>
                  </pic:spPr>
                </pic:pic>
              </a:graphicData>
            </a:graphic>
          </wp:anchor>
        </w:drawing>
      </w:r>
    </w:p>
    <w:p>
      <w:pPr>
        <w:sectPr>
          <w:pgSz w:w="12240" w:h="15840" w:orient="portrait"/>
          <w:cols w:equalWidth="0" w:num="1">
            <w:col w:w="10960"/>
          </w:cols>
          <w:pgMar w:left="640" w:top="98" w:right="6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9"/>
          <w:szCs w:val="19"/>
          <w:b w:val="1"/>
          <w:bCs w:val="1"/>
          <w:color w:val="auto"/>
        </w:rPr>
        <w:t>EXPLANATORY NOTE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This Registration Statement on Form S-8 relating to the 2015 Stock Option and Incentive Plan (the “2015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Employee Stock Purchase Plan (the “2015 ESPP”) of Blueprint Medicines Corporation (the “Registrant”) is being filed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 of registering additional securities of the same class as other securities for which a Registration Statement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on Form S-8 has previously been filed and is effective. Accordingly, this Registration Statement on Form S-8 incorporates by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reference the contents of (i) the Registration Statement on Form S-8 (File No. 333-203749) filed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“SEC”) on April 30, 2015 by the Registrant, relating to the 2015 Plan and the 2015 ESPP, (ii)</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on Form S-8 (File No. 333-210125) filed with the SEC on March 11, 2016 by the Registrant,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2015 Plan and the 2015 ESPP, (iii) the Registration Statement on Form S-8 (File No. 333-216575) filed with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SEC on March 9, 2017 by the Registrant, relating to the 2015 Plan and the 2015 ESPP and (iv)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 on Form S-8 (File No. 333-223131) filed with the SEC on February 21, 2018 by the Registrant, relating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2015 Plan and the 2015 ESPP, in each case, except for “Item 8. Exhibits” with respect to which the Exhibit Index set forth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below is incorporated herein by reference.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EXHIBIT INDEX</w:t>
      </w:r>
    </w:p>
    <w:p>
      <w:pPr>
        <w:sectPr>
          <w:pgSz w:w="12240" w:h="15840" w:orient="portrait"/>
          <w:cols w:equalWidth="0" w:num="1">
            <w:col w:w="9540"/>
          </w:cols>
          <w:pgMar w:left="1360" w:top="0" w:right="13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Exhibit</w:t>
      </w:r>
    </w:p>
    <w:p>
      <w:pPr>
        <w:ind w:left="80"/>
        <w:spacing w:after="0"/>
        <w:tabs>
          <w:tab w:leader="none" w:pos="238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3477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7260" cy="8890"/>
                    </a:xfrm>
                    <a:prstGeom prst="rect">
                      <a:avLst/>
                    </a:prstGeom>
                    <a:noFill/>
                  </pic:spPr>
                </pic:pic>
              </a:graphicData>
            </a:graphic>
          </wp:anchor>
        </w:drawing>
      </w:r>
    </w:p>
    <w:p>
      <w:pPr>
        <w:ind w:left="780" w:right="140" w:hanging="783"/>
        <w:spacing w:after="0" w:line="258" w:lineRule="auto"/>
        <w:tabs>
          <w:tab w:leader="none" w:pos="760" w:val="left"/>
        </w:tabs>
        <w:rPr>
          <w:rFonts w:ascii="Arial" w:cs="Arial" w:eastAsia="Arial" w:hAnsi="Arial"/>
          <w:sz w:val="19"/>
          <w:szCs w:val="19"/>
          <w:u w:val="single" w:color="auto"/>
          <w:color w:val="0000EE"/>
        </w:rPr>
      </w:pPr>
      <w:r>
        <w:rPr>
          <w:rFonts w:ascii="Arial" w:cs="Arial" w:eastAsia="Arial" w:hAnsi="Arial"/>
          <w:sz w:val="19"/>
          <w:szCs w:val="19"/>
          <w:color w:val="auto"/>
        </w:rPr>
        <w:t>3.1</w:t>
      </w:r>
      <w:r>
        <w:rPr>
          <w:sz w:val="20"/>
          <w:szCs w:val="20"/>
          <w:color w:val="auto"/>
        </w:rPr>
        <w:tab/>
      </w:r>
      <w:hyperlink r:id="rId14">
        <w:r>
          <w:rPr>
            <w:rFonts w:ascii="Arial" w:cs="Arial" w:eastAsia="Arial" w:hAnsi="Arial"/>
            <w:sz w:val="19"/>
            <w:szCs w:val="19"/>
            <w:u w:val="single" w:color="auto"/>
            <w:color w:val="0000EE"/>
          </w:rPr>
          <w:t>Fifth Amended and Restated Certificate of Incorporation of</w:t>
        </w:r>
      </w:hyperlink>
      <w:r>
        <w:rPr>
          <w:rFonts w:ascii="Arial" w:cs="Arial" w:eastAsia="Arial" w:hAnsi="Arial"/>
          <w:sz w:val="19"/>
          <w:szCs w:val="19"/>
          <w:u w:val="single" w:color="auto"/>
          <w:color w:val="0000EE"/>
        </w:rPr>
        <w:t xml:space="preserve"> </w:t>
      </w:r>
      <w:hyperlink r:id="rId14">
        <w:r>
          <w:rPr>
            <w:rFonts w:ascii="Arial" w:cs="Arial" w:eastAsia="Arial" w:hAnsi="Arial"/>
            <w:sz w:val="19"/>
            <w:szCs w:val="19"/>
            <w:u w:val="single" w:color="auto"/>
            <w:color w:val="0000EE"/>
          </w:rPr>
          <w:t>the Registrant</w:t>
        </w:r>
      </w:hyperlink>
    </w:p>
    <w:p>
      <w:pPr>
        <w:spacing w:after="0" w:line="85"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9"/>
          <w:szCs w:val="19"/>
          <w:color w:val="auto"/>
        </w:rPr>
        <w:t>3.2</w:t>
      </w:r>
      <w:r>
        <w:rPr>
          <w:sz w:val="20"/>
          <w:szCs w:val="20"/>
          <w:color w:val="auto"/>
        </w:rPr>
        <w:tab/>
      </w:r>
      <w:hyperlink r:id="rId15">
        <w:r>
          <w:rPr>
            <w:rFonts w:ascii="Arial" w:cs="Arial" w:eastAsia="Arial" w:hAnsi="Arial"/>
            <w:sz w:val="17"/>
            <w:szCs w:val="17"/>
            <w:u w:val="single" w:color="auto"/>
            <w:color w:val="0000EE"/>
          </w:rPr>
          <w:t>Amended and Restated Bylaws of the Registrant</w:t>
        </w:r>
      </w:hyperlink>
    </w:p>
    <w:p>
      <w:pPr>
        <w:spacing w:after="0" w:line="124"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9"/>
          <w:szCs w:val="19"/>
          <w:color w:val="auto"/>
        </w:rPr>
        <w:t>4.1</w:t>
      </w:r>
      <w:r>
        <w:rPr>
          <w:sz w:val="20"/>
          <w:szCs w:val="20"/>
          <w:color w:val="auto"/>
        </w:rPr>
        <w:tab/>
      </w:r>
      <w:hyperlink r:id="rId16">
        <w:r>
          <w:rPr>
            <w:rFonts w:ascii="Arial" w:cs="Arial" w:eastAsia="Arial" w:hAnsi="Arial"/>
            <w:sz w:val="17"/>
            <w:szCs w:val="17"/>
            <w:u w:val="single" w:color="auto"/>
            <w:color w:val="0000EE"/>
          </w:rPr>
          <w:t>Specimen Common Stock Certificate</w:t>
        </w:r>
      </w:hyperlink>
    </w:p>
    <w:p>
      <w:pPr>
        <w:spacing w:after="0" w:line="124" w:lineRule="exact"/>
        <w:rPr>
          <w:sz w:val="20"/>
          <w:szCs w:val="20"/>
          <w:color w:val="auto"/>
        </w:rPr>
      </w:pPr>
    </w:p>
    <w:p>
      <w:pPr>
        <w:jc w:val="both"/>
        <w:ind w:left="780" w:hanging="783"/>
        <w:spacing w:after="0" w:line="263" w:lineRule="auto"/>
        <w:tabs>
          <w:tab w:leader="none" w:pos="760" w:val="left"/>
        </w:tabs>
        <w:rPr>
          <w:rFonts w:ascii="Arial" w:cs="Arial" w:eastAsia="Arial" w:hAnsi="Arial"/>
          <w:sz w:val="19"/>
          <w:szCs w:val="19"/>
          <w:u w:val="single" w:color="auto"/>
          <w:color w:val="0000EE"/>
        </w:rPr>
      </w:pPr>
      <w:r>
        <w:rPr>
          <w:rFonts w:ascii="Arial" w:cs="Arial" w:eastAsia="Arial" w:hAnsi="Arial"/>
          <w:sz w:val="19"/>
          <w:szCs w:val="19"/>
          <w:color w:val="auto"/>
        </w:rPr>
        <w:t>4.2</w:t>
      </w:r>
      <w:r>
        <w:rPr>
          <w:sz w:val="20"/>
          <w:szCs w:val="20"/>
          <w:color w:val="auto"/>
        </w:rPr>
        <w:tab/>
      </w:r>
      <w:hyperlink r:id="rId17">
        <w:r>
          <w:rPr>
            <w:rFonts w:ascii="Arial" w:cs="Arial" w:eastAsia="Arial" w:hAnsi="Arial"/>
            <w:sz w:val="19"/>
            <w:szCs w:val="19"/>
            <w:u w:val="single" w:color="auto"/>
            <w:color w:val="0000EE"/>
          </w:rPr>
          <w:t>Second Amended and Restated Investors’ Rights Agreement,</w:t>
        </w:r>
      </w:hyperlink>
      <w:r>
        <w:rPr>
          <w:rFonts w:ascii="Arial" w:cs="Arial" w:eastAsia="Arial" w:hAnsi="Arial"/>
          <w:sz w:val="19"/>
          <w:szCs w:val="19"/>
          <w:u w:val="single" w:color="auto"/>
          <w:color w:val="0000EE"/>
        </w:rPr>
        <w:t xml:space="preserve"> </w:t>
      </w:r>
      <w:hyperlink r:id="rId17">
        <w:r>
          <w:rPr>
            <w:rFonts w:ascii="Arial" w:cs="Arial" w:eastAsia="Arial" w:hAnsi="Arial"/>
            <w:sz w:val="19"/>
            <w:szCs w:val="19"/>
            <w:u w:val="single" w:color="auto"/>
            <w:color w:val="0000EE"/>
          </w:rPr>
          <w:t>dated as of November 7, 2014, by and among the Registrant</w:t>
        </w:r>
      </w:hyperlink>
      <w:r>
        <w:rPr>
          <w:rFonts w:ascii="Arial" w:cs="Arial" w:eastAsia="Arial" w:hAnsi="Arial"/>
          <w:sz w:val="19"/>
          <w:szCs w:val="19"/>
          <w:u w:val="single" w:color="auto"/>
          <w:color w:val="0000EE"/>
        </w:rPr>
        <w:t xml:space="preserve"> </w:t>
      </w:r>
      <w:hyperlink r:id="rId17">
        <w:r>
          <w:rPr>
            <w:rFonts w:ascii="Arial" w:cs="Arial" w:eastAsia="Arial" w:hAnsi="Arial"/>
            <w:sz w:val="19"/>
            <w:szCs w:val="19"/>
            <w:u w:val="single" w:color="auto"/>
            <w:color w:val="0000EE"/>
          </w:rPr>
          <w:t>and the Investors listed therein</w:t>
        </w:r>
      </w:hyperlink>
    </w:p>
    <w:p>
      <w:pPr>
        <w:spacing w:after="0" w:line="80" w:lineRule="exact"/>
        <w:rPr>
          <w:rFonts w:ascii="Arial" w:cs="Arial" w:eastAsia="Arial" w:hAnsi="Arial"/>
          <w:sz w:val="19"/>
          <w:szCs w:val="19"/>
          <w:u w:val="single" w:color="auto"/>
          <w:color w:val="0000EE"/>
        </w:rPr>
      </w:pPr>
    </w:p>
    <w:p>
      <w:pPr>
        <w:spacing w:after="0"/>
        <w:tabs>
          <w:tab w:leader="none" w:pos="76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0000EE"/>
        </w:rPr>
        <w:t>Opinion of Goodwin Procter LLP, counsel to the Registrant</w:t>
      </w:r>
    </w:p>
    <w:p>
      <w:pPr>
        <w:spacing w:after="0" w:line="124" w:lineRule="exact"/>
        <w:rPr>
          <w:rFonts w:ascii="Arial" w:cs="Arial" w:eastAsia="Arial" w:hAnsi="Arial"/>
          <w:sz w:val="19"/>
          <w:szCs w:val="19"/>
          <w:u w:val="single" w:color="auto"/>
          <w:color w:val="0000EE"/>
        </w:rPr>
      </w:pPr>
    </w:p>
    <w:p>
      <w:pPr>
        <w:ind w:left="780" w:right="240" w:hanging="783"/>
        <w:spacing w:after="0" w:line="275" w:lineRule="auto"/>
        <w:tabs>
          <w:tab w:leader="none" w:pos="760" w:val="left"/>
        </w:tabs>
        <w:rPr>
          <w:sz w:val="20"/>
          <w:szCs w:val="20"/>
          <w:color w:val="auto"/>
        </w:rPr>
      </w:pPr>
      <w:r>
        <w:rPr>
          <w:rFonts w:ascii="Arial" w:cs="Arial" w:eastAsia="Arial" w:hAnsi="Arial"/>
          <w:sz w:val="19"/>
          <w:szCs w:val="19"/>
          <w:color w:val="auto"/>
        </w:rPr>
        <w:t>23.1</w:t>
      </w:r>
      <w:r>
        <w:rPr>
          <w:sz w:val="20"/>
          <w:szCs w:val="20"/>
          <w:color w:val="auto"/>
        </w:rPr>
        <w:tab/>
      </w:r>
      <w:r>
        <w:rPr>
          <w:rFonts w:ascii="Arial" w:cs="Arial" w:eastAsia="Arial" w:hAnsi="Arial"/>
          <w:sz w:val="19"/>
          <w:szCs w:val="19"/>
          <w:u w:val="single" w:color="auto"/>
          <w:color w:val="0000EE"/>
        </w:rPr>
        <w:t>Consent of Ernst &amp; Young LLP, an independent registered public accounting firm</w:t>
      </w:r>
    </w:p>
    <w:p>
      <w:pPr>
        <w:spacing w:after="0" w:line="70" w:lineRule="exact"/>
        <w:rPr>
          <w:rFonts w:ascii="Arial" w:cs="Arial" w:eastAsia="Arial" w:hAnsi="Arial"/>
          <w:sz w:val="19"/>
          <w:szCs w:val="19"/>
          <w:u w:val="single" w:color="auto"/>
          <w:color w:val="0000EE"/>
        </w:rPr>
      </w:pPr>
    </w:p>
    <w:p>
      <w:pPr>
        <w:spacing w:after="0"/>
        <w:tabs>
          <w:tab w:leader="none" w:pos="760" w:val="left"/>
        </w:tabs>
        <w:rPr>
          <w:sz w:val="20"/>
          <w:szCs w:val="20"/>
          <w:color w:val="auto"/>
        </w:rPr>
      </w:pPr>
      <w:r>
        <w:rPr>
          <w:rFonts w:ascii="Arial" w:cs="Arial" w:eastAsia="Arial" w:hAnsi="Arial"/>
          <w:sz w:val="19"/>
          <w:szCs w:val="19"/>
          <w:color w:val="auto"/>
        </w:rPr>
        <w:t>23.2</w:t>
      </w:r>
      <w:r>
        <w:rPr>
          <w:sz w:val="20"/>
          <w:szCs w:val="20"/>
          <w:color w:val="auto"/>
        </w:rPr>
        <w:tab/>
      </w:r>
      <w:r>
        <w:rPr>
          <w:rFonts w:ascii="Arial" w:cs="Arial" w:eastAsia="Arial" w:hAnsi="Arial"/>
          <w:sz w:val="17"/>
          <w:szCs w:val="17"/>
          <w:u w:val="single" w:color="auto"/>
          <w:color w:val="0000EE"/>
        </w:rPr>
        <w:t>Consent of Goodwin Procter LLP (included in Exhibit 5.1)</w:t>
      </w:r>
    </w:p>
    <w:p>
      <w:pPr>
        <w:spacing w:after="0" w:line="124" w:lineRule="exact"/>
        <w:rPr>
          <w:rFonts w:ascii="Arial" w:cs="Arial" w:eastAsia="Arial" w:hAnsi="Arial"/>
          <w:sz w:val="19"/>
          <w:szCs w:val="19"/>
          <w:u w:val="single" w:color="auto"/>
          <w:color w:val="0000EE"/>
        </w:rPr>
      </w:pPr>
    </w:p>
    <w:p>
      <w:pPr>
        <w:ind w:left="780" w:right="260" w:hanging="783"/>
        <w:spacing w:after="0" w:line="275" w:lineRule="auto"/>
        <w:tabs>
          <w:tab w:leader="none" w:pos="760" w:val="left"/>
        </w:tabs>
        <w:rPr>
          <w:rFonts w:ascii="Arial" w:cs="Arial" w:eastAsia="Arial" w:hAnsi="Arial"/>
          <w:sz w:val="19"/>
          <w:szCs w:val="19"/>
          <w:u w:val="single" w:color="auto"/>
          <w:color w:val="0000EE"/>
        </w:rPr>
      </w:pPr>
      <w:r>
        <w:rPr>
          <w:rFonts w:ascii="Arial" w:cs="Arial" w:eastAsia="Arial" w:hAnsi="Arial"/>
          <w:sz w:val="19"/>
          <w:szCs w:val="19"/>
          <w:color w:val="auto"/>
        </w:rPr>
        <w:t>24.1</w:t>
      </w:r>
      <w:r>
        <w:rPr>
          <w:sz w:val="20"/>
          <w:szCs w:val="20"/>
          <w:color w:val="auto"/>
        </w:rPr>
        <w:tab/>
      </w:r>
      <w:hyperlink w:anchor="page3">
        <w:r>
          <w:rPr>
            <w:rFonts w:ascii="Arial" w:cs="Arial" w:eastAsia="Arial" w:hAnsi="Arial"/>
            <w:sz w:val="19"/>
            <w:szCs w:val="19"/>
            <w:u w:val="single" w:color="auto"/>
            <w:color w:val="0000EE"/>
          </w:rPr>
          <w:t>Power of attorney (included on the signature pages of this</w:t>
        </w:r>
      </w:hyperlink>
      <w:r>
        <w:rPr>
          <w:rFonts w:ascii="Arial" w:cs="Arial" w:eastAsia="Arial" w:hAnsi="Arial"/>
          <w:sz w:val="19"/>
          <w:szCs w:val="19"/>
          <w:u w:val="single" w:color="auto"/>
          <w:color w:val="0000EE"/>
        </w:rPr>
        <w:t xml:space="preserve"> </w:t>
      </w:r>
      <w:hyperlink w:anchor="page3">
        <w:r>
          <w:rPr>
            <w:rFonts w:ascii="Arial" w:cs="Arial" w:eastAsia="Arial" w:hAnsi="Arial"/>
            <w:sz w:val="19"/>
            <w:szCs w:val="19"/>
            <w:u w:val="single" w:color="auto"/>
            <w:color w:val="0000EE"/>
          </w:rPr>
          <w:t>registration statement)</w:t>
        </w:r>
      </w:hyperlink>
    </w:p>
    <w:p>
      <w:pPr>
        <w:spacing w:after="0" w:line="70"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9"/>
          <w:szCs w:val="19"/>
          <w:color w:val="auto"/>
        </w:rPr>
        <w:t>99.1</w:t>
      </w:r>
      <w:r>
        <w:rPr>
          <w:sz w:val="20"/>
          <w:szCs w:val="20"/>
          <w:color w:val="auto"/>
        </w:rPr>
        <w:tab/>
      </w:r>
      <w:hyperlink r:id="rId18">
        <w:r>
          <w:rPr>
            <w:rFonts w:ascii="Arial" w:cs="Arial" w:eastAsia="Arial" w:hAnsi="Arial"/>
            <w:sz w:val="17"/>
            <w:szCs w:val="17"/>
            <w:u w:val="single" w:color="auto"/>
            <w:color w:val="0000EE"/>
          </w:rPr>
          <w:t>2015 Stock Option and Incentive Plan</w:t>
        </w:r>
      </w:hyperlink>
    </w:p>
    <w:p>
      <w:pPr>
        <w:spacing w:after="0" w:line="124"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9"/>
          <w:szCs w:val="19"/>
          <w:color w:val="auto"/>
        </w:rPr>
        <w:t>99.2</w:t>
      </w:r>
      <w:r>
        <w:rPr>
          <w:sz w:val="20"/>
          <w:szCs w:val="20"/>
          <w:color w:val="auto"/>
        </w:rPr>
        <w:tab/>
      </w:r>
      <w:hyperlink r:id="rId19">
        <w:r>
          <w:rPr>
            <w:rFonts w:ascii="Arial" w:cs="Arial" w:eastAsia="Arial" w:hAnsi="Arial"/>
            <w:sz w:val="16"/>
            <w:szCs w:val="16"/>
            <w:u w:val="single" w:color="auto"/>
            <w:color w:val="0000EE"/>
          </w:rPr>
          <w:t>2015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1512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512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440" w:type="dxa"/>
            <w:vAlign w:val="bottom"/>
            <w:gridSpan w:val="6"/>
          </w:tcPr>
          <w:p>
            <w:pPr>
              <w:ind w:left="320"/>
              <w:spacing w:after="0"/>
              <w:rPr>
                <w:sz w:val="20"/>
                <w:szCs w:val="20"/>
                <w:color w:val="auto"/>
              </w:rPr>
            </w:pPr>
            <w:r>
              <w:rPr>
                <w:rFonts w:ascii="Arial" w:cs="Arial" w:eastAsia="Arial" w:hAnsi="Arial"/>
                <w:sz w:val="15"/>
                <w:szCs w:val="15"/>
                <w:b w:val="1"/>
                <w:bCs w:val="1"/>
                <w:color w:val="auto"/>
              </w:rPr>
              <w:t>Incorporated by Reference</w:t>
            </w:r>
          </w:p>
        </w:tc>
        <w:tc>
          <w:tcPr>
            <w:tcW w:w="1480" w:type="dxa"/>
            <w:vAlign w:val="bottom"/>
          </w:tcPr>
          <w:p>
            <w:pPr>
              <w:spacing w:after="0"/>
              <w:rPr>
                <w:sz w:val="15"/>
                <w:szCs w:val="15"/>
                <w:color w:val="auto"/>
              </w:rPr>
            </w:pPr>
          </w:p>
        </w:tc>
      </w:tr>
      <w:tr>
        <w:trPr>
          <w:trHeight w:val="128"/>
        </w:trPr>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80"/>
        </w:trPr>
        <w:tc>
          <w:tcPr>
            <w:tcW w:w="5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5"/>
              </w:rPr>
              <w:t>Form</w:t>
            </w:r>
          </w:p>
        </w:tc>
        <w:tc>
          <w:tcPr>
            <w:tcW w:w="1020" w:type="dxa"/>
            <w:vAlign w:val="bottom"/>
            <w:gridSpan w:val="2"/>
          </w:tcPr>
          <w:p>
            <w:pPr>
              <w:ind w:left="220"/>
              <w:spacing w:after="0"/>
              <w:rPr>
                <w:sz w:val="20"/>
                <w:szCs w:val="20"/>
                <w:color w:val="auto"/>
              </w:rPr>
            </w:pPr>
            <w:r>
              <w:rPr>
                <w:rFonts w:ascii="Arial" w:cs="Arial" w:eastAsia="Arial" w:hAnsi="Arial"/>
                <w:sz w:val="15"/>
                <w:szCs w:val="15"/>
                <w:b w:val="1"/>
                <w:bCs w:val="1"/>
                <w:color w:val="auto"/>
              </w:rPr>
              <w:t>File No.</w:t>
            </w:r>
          </w:p>
        </w:tc>
        <w:tc>
          <w:tcPr>
            <w:tcW w:w="8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5"/>
              </w:rPr>
              <w:t>Number</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3"/>
              </w:rPr>
              <w:t>Filing Date</w:t>
            </w:r>
          </w:p>
        </w:tc>
      </w:tr>
      <w:tr>
        <w:trPr>
          <w:trHeight w:val="236"/>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10-Q</w:t>
            </w:r>
          </w:p>
        </w:tc>
        <w:tc>
          <w:tcPr>
            <w:tcW w:w="8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001-37359</w:t>
            </w:r>
          </w:p>
        </w:tc>
        <w:tc>
          <w:tcPr>
            <w:tcW w:w="6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3.1</w:t>
            </w:r>
          </w:p>
        </w:tc>
        <w:tc>
          <w:tcPr>
            <w:tcW w:w="6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November 9, 2015</w:t>
            </w:r>
          </w:p>
        </w:tc>
      </w:tr>
      <w:tr>
        <w:trPr>
          <w:trHeight w:val="542"/>
        </w:trPr>
        <w:tc>
          <w:tcPr>
            <w:tcW w:w="1600" w:type="dxa"/>
            <w:vAlign w:val="bottom"/>
            <w:gridSpan w:val="4"/>
          </w:tcPr>
          <w:p>
            <w:pPr>
              <w:ind w:left="60"/>
              <w:spacing w:after="0"/>
              <w:rPr>
                <w:sz w:val="20"/>
                <w:szCs w:val="20"/>
                <w:color w:val="auto"/>
              </w:rPr>
            </w:pPr>
            <w:r>
              <w:rPr>
                <w:rFonts w:ascii="Arial" w:cs="Arial" w:eastAsia="Arial" w:hAnsi="Arial"/>
                <w:sz w:val="19"/>
                <w:szCs w:val="19"/>
                <w:color w:val="auto"/>
              </w:rPr>
              <w:t>10-Q  001-37359</w:t>
            </w:r>
          </w:p>
        </w:tc>
        <w:tc>
          <w:tcPr>
            <w:tcW w:w="780" w:type="dxa"/>
            <w:vAlign w:val="bottom"/>
          </w:tcPr>
          <w:p>
            <w:pPr>
              <w:jc w:val="center"/>
              <w:spacing w:after="0"/>
              <w:rPr>
                <w:sz w:val="20"/>
                <w:szCs w:val="20"/>
                <w:color w:val="auto"/>
              </w:rPr>
            </w:pPr>
            <w:r>
              <w:rPr>
                <w:rFonts w:ascii="Arial" w:cs="Arial" w:eastAsia="Arial" w:hAnsi="Arial"/>
                <w:sz w:val="19"/>
                <w:szCs w:val="19"/>
                <w:color w:val="auto"/>
                <w:w w:val="90"/>
              </w:rPr>
              <w:t>3.2</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90"/>
              </w:rPr>
              <w:t>November 9, 2015</w:t>
            </w:r>
          </w:p>
        </w:tc>
      </w:tr>
      <w:tr>
        <w:trPr>
          <w:trHeight w:val="342"/>
        </w:trPr>
        <w:tc>
          <w:tcPr>
            <w:tcW w:w="580" w:type="dxa"/>
            <w:vAlign w:val="bottom"/>
            <w:gridSpan w:val="2"/>
          </w:tcPr>
          <w:p>
            <w:pPr>
              <w:jc w:val="center"/>
              <w:ind w:right="80"/>
              <w:spacing w:after="0"/>
              <w:rPr>
                <w:sz w:val="20"/>
                <w:szCs w:val="20"/>
                <w:color w:val="auto"/>
              </w:rPr>
            </w:pPr>
            <w:r>
              <w:rPr>
                <w:rFonts w:ascii="Arial" w:cs="Arial" w:eastAsia="Arial" w:hAnsi="Arial"/>
                <w:sz w:val="19"/>
                <w:szCs w:val="19"/>
                <w:color w:val="auto"/>
                <w:w w:val="96"/>
              </w:rPr>
              <w:t>S-1/A</w:t>
            </w:r>
          </w:p>
        </w:tc>
        <w:tc>
          <w:tcPr>
            <w:tcW w:w="960" w:type="dxa"/>
            <w:vAlign w:val="bottom"/>
          </w:tcPr>
          <w:p>
            <w:pPr>
              <w:jc w:val="center"/>
              <w:spacing w:after="0"/>
              <w:rPr>
                <w:sz w:val="20"/>
                <w:szCs w:val="20"/>
                <w:color w:val="auto"/>
              </w:rPr>
            </w:pPr>
            <w:r>
              <w:rPr>
                <w:rFonts w:ascii="Arial" w:cs="Arial" w:eastAsia="Arial" w:hAnsi="Arial"/>
                <w:sz w:val="19"/>
                <w:szCs w:val="19"/>
                <w:color w:val="auto"/>
                <w:w w:val="90"/>
              </w:rPr>
              <w:t>333-202938</w:t>
            </w:r>
          </w:p>
        </w:tc>
        <w:tc>
          <w:tcPr>
            <w:tcW w:w="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0"/>
              </w:rPr>
              <w:t>4.1</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95"/>
              </w:rPr>
              <w:t>April 20, 2015</w:t>
            </w:r>
          </w:p>
        </w:tc>
      </w:tr>
      <w:tr>
        <w:trPr>
          <w:trHeight w:val="342"/>
        </w:trPr>
        <w:tc>
          <w:tcPr>
            <w:tcW w:w="580" w:type="dxa"/>
            <w:vAlign w:val="bottom"/>
            <w:gridSpan w:val="2"/>
          </w:tcPr>
          <w:p>
            <w:pPr>
              <w:jc w:val="center"/>
              <w:ind w:right="80"/>
              <w:spacing w:after="0"/>
              <w:rPr>
                <w:sz w:val="20"/>
                <w:szCs w:val="20"/>
                <w:color w:val="auto"/>
              </w:rPr>
            </w:pPr>
            <w:r>
              <w:rPr>
                <w:rFonts w:ascii="Arial" w:cs="Arial" w:eastAsia="Arial" w:hAnsi="Arial"/>
                <w:sz w:val="19"/>
                <w:szCs w:val="19"/>
                <w:color w:val="auto"/>
                <w:w w:val="87"/>
              </w:rPr>
              <w:t>S-1</w:t>
            </w:r>
          </w:p>
        </w:tc>
        <w:tc>
          <w:tcPr>
            <w:tcW w:w="960" w:type="dxa"/>
            <w:vAlign w:val="bottom"/>
          </w:tcPr>
          <w:p>
            <w:pPr>
              <w:jc w:val="center"/>
              <w:spacing w:after="0"/>
              <w:rPr>
                <w:sz w:val="20"/>
                <w:szCs w:val="20"/>
                <w:color w:val="auto"/>
              </w:rPr>
            </w:pPr>
            <w:r>
              <w:rPr>
                <w:rFonts w:ascii="Arial" w:cs="Arial" w:eastAsia="Arial" w:hAnsi="Arial"/>
                <w:sz w:val="19"/>
                <w:szCs w:val="19"/>
                <w:color w:val="auto"/>
                <w:w w:val="90"/>
              </w:rPr>
              <w:t>333-202938</w:t>
            </w:r>
          </w:p>
        </w:tc>
        <w:tc>
          <w:tcPr>
            <w:tcW w:w="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0"/>
              </w:rPr>
              <w:t>4.4</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90"/>
              </w:rPr>
              <w:t>March 23, 2015</w:t>
            </w:r>
          </w:p>
        </w:tc>
      </w:tr>
      <w:tr>
        <w:trPr>
          <w:trHeight w:val="7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3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57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3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570"/>
        </w:trPr>
        <w:tc>
          <w:tcPr>
            <w:tcW w:w="1600" w:type="dxa"/>
            <w:vAlign w:val="bottom"/>
            <w:gridSpan w:val="4"/>
          </w:tcPr>
          <w:p>
            <w:pPr>
              <w:ind w:left="60"/>
              <w:spacing w:after="0"/>
              <w:rPr>
                <w:sz w:val="20"/>
                <w:szCs w:val="20"/>
                <w:color w:val="auto"/>
              </w:rPr>
            </w:pPr>
            <w:r>
              <w:rPr>
                <w:rFonts w:ascii="Arial" w:cs="Arial" w:eastAsia="Arial" w:hAnsi="Arial"/>
                <w:sz w:val="19"/>
                <w:szCs w:val="19"/>
                <w:color w:val="auto"/>
              </w:rPr>
              <w:t>10-K  001-37359</w:t>
            </w:r>
          </w:p>
        </w:tc>
        <w:tc>
          <w:tcPr>
            <w:tcW w:w="780" w:type="dxa"/>
            <w:vAlign w:val="bottom"/>
          </w:tcPr>
          <w:p>
            <w:pPr>
              <w:jc w:val="center"/>
              <w:spacing w:after="0"/>
              <w:rPr>
                <w:sz w:val="20"/>
                <w:szCs w:val="20"/>
                <w:color w:val="auto"/>
              </w:rPr>
            </w:pPr>
            <w:r>
              <w:rPr>
                <w:rFonts w:ascii="Arial" w:cs="Arial" w:eastAsia="Arial" w:hAnsi="Arial"/>
                <w:sz w:val="19"/>
                <w:szCs w:val="19"/>
                <w:color w:val="auto"/>
                <w:w w:val="86"/>
              </w:rPr>
              <w:t>10.2</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90"/>
              </w:rPr>
              <w:t>March 11, 2016</w:t>
            </w:r>
          </w:p>
        </w:tc>
      </w:tr>
      <w:tr>
        <w:trPr>
          <w:trHeight w:val="342"/>
        </w:trPr>
        <w:tc>
          <w:tcPr>
            <w:tcW w:w="580" w:type="dxa"/>
            <w:vAlign w:val="bottom"/>
            <w:gridSpan w:val="2"/>
          </w:tcPr>
          <w:p>
            <w:pPr>
              <w:jc w:val="center"/>
              <w:ind w:right="80"/>
              <w:spacing w:after="0"/>
              <w:rPr>
                <w:sz w:val="20"/>
                <w:szCs w:val="20"/>
                <w:color w:val="auto"/>
              </w:rPr>
            </w:pPr>
            <w:r>
              <w:rPr>
                <w:rFonts w:ascii="Arial" w:cs="Arial" w:eastAsia="Arial" w:hAnsi="Arial"/>
                <w:sz w:val="19"/>
                <w:szCs w:val="19"/>
                <w:color w:val="auto"/>
                <w:w w:val="87"/>
              </w:rPr>
              <w:t>S-8</w:t>
            </w:r>
          </w:p>
        </w:tc>
        <w:tc>
          <w:tcPr>
            <w:tcW w:w="960" w:type="dxa"/>
            <w:vAlign w:val="bottom"/>
          </w:tcPr>
          <w:p>
            <w:pPr>
              <w:jc w:val="center"/>
              <w:spacing w:after="0"/>
              <w:rPr>
                <w:sz w:val="20"/>
                <w:szCs w:val="20"/>
                <w:color w:val="auto"/>
              </w:rPr>
            </w:pPr>
            <w:r>
              <w:rPr>
                <w:rFonts w:ascii="Arial" w:cs="Arial" w:eastAsia="Arial" w:hAnsi="Arial"/>
                <w:sz w:val="19"/>
                <w:szCs w:val="19"/>
                <w:color w:val="auto"/>
                <w:w w:val="90"/>
              </w:rPr>
              <w:t>333-203749</w:t>
            </w:r>
          </w:p>
        </w:tc>
        <w:tc>
          <w:tcPr>
            <w:tcW w:w="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86"/>
              </w:rPr>
              <w:t>99.3</w:t>
            </w: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95"/>
              </w:rPr>
              <w:t>April 30, 2015</w:t>
            </w:r>
          </w:p>
        </w:tc>
      </w:tr>
    </w:tbl>
    <w:p>
      <w:pPr>
        <w:spacing w:after="0" w:line="200" w:lineRule="exact"/>
        <w:rPr>
          <w:sz w:val="20"/>
          <w:szCs w:val="20"/>
          <w:color w:val="auto"/>
        </w:rPr>
      </w:pPr>
    </w:p>
    <w:p>
      <w:pPr>
        <w:sectPr>
          <w:pgSz w:w="12240" w:h="15840" w:orient="portrait"/>
          <w:cols w:equalWidth="0" w:num="2">
            <w:col w:w="5440" w:space="180"/>
            <w:col w:w="3920"/>
          </w:cols>
          <w:pgMar w:left="1360" w:top="0" w:right="1340" w:bottom="1440" w:gutter="0" w:footer="0" w:header="0"/>
          <w:type w:val="continuous"/>
        </w:sectPr>
      </w:pP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04901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6049010" cy="27305"/>
                    </a:xfrm>
                    <a:prstGeom prst="rect">
                      <a:avLst/>
                    </a:prstGeom>
                    <a:noFill/>
                  </pic:spPr>
                </pic:pic>
              </a:graphicData>
            </a:graphic>
          </wp:anchor>
        </w:drawing>
      </w:r>
    </w:p>
    <w:p>
      <w:pPr>
        <w:sectPr>
          <w:pgSz w:w="12240" w:h="15840" w:orient="portrait"/>
          <w:cols w:equalWidth="0" w:num="1">
            <w:col w:w="9540"/>
          </w:cols>
          <w:pgMar w:left="1360" w:top="0" w:right="1340"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SIGNATURES</w:t>
      </w:r>
    </w:p>
    <w:p>
      <w:pPr>
        <w:spacing w:after="0" w:line="110" w:lineRule="exact"/>
        <w:rPr>
          <w:sz w:val="20"/>
          <w:szCs w:val="20"/>
          <w:color w:val="auto"/>
        </w:rPr>
      </w:pPr>
    </w:p>
    <w:p>
      <w:pPr>
        <w:ind w:right="360" w:firstLine="684"/>
        <w:spacing w:after="0" w:line="259" w:lineRule="auto"/>
        <w:rPr>
          <w:sz w:val="20"/>
          <w:szCs w:val="20"/>
          <w:color w:val="auto"/>
        </w:rPr>
      </w:pPr>
      <w:r>
        <w:rPr>
          <w:rFonts w:ascii="Arial" w:cs="Arial" w:eastAsia="Arial" w:hAnsi="Arial"/>
          <w:sz w:val="19"/>
          <w:szCs w:val="19"/>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26</w:t>
      </w:r>
      <w:r>
        <w:rPr>
          <w:rFonts w:ascii="Arial" w:cs="Arial" w:eastAsia="Arial" w:hAnsi="Arial"/>
          <w:sz w:val="9"/>
          <w:szCs w:val="9"/>
          <w:color w:val="auto"/>
        </w:rPr>
        <w:t>th</w:t>
      </w:r>
      <w:r>
        <w:rPr>
          <w:rFonts w:ascii="Arial" w:cs="Arial" w:eastAsia="Arial" w:hAnsi="Arial"/>
          <w:sz w:val="19"/>
          <w:szCs w:val="19"/>
          <w:color w:val="auto"/>
        </w:rPr>
        <w:t xml:space="preserve"> day of February, 2019.</w:t>
      </w:r>
    </w:p>
    <w:p>
      <w:pPr>
        <w:spacing w:after="0" w:line="206"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 /s/ Jeffrey W.</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6985</wp:posOffset>
            </wp:positionV>
            <wp:extent cx="249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499360"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9"/>
          <w:szCs w:val="19"/>
          <w:color w:val="auto"/>
        </w:rPr>
        <w:t>Jeffrey W. Albers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President and Chief Executive Officer</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POWER OF ATTORNEY AND SIGNATURES</w:t>
      </w:r>
    </w:p>
    <w:p>
      <w:pPr>
        <w:spacing w:after="0" w:line="130" w:lineRule="exact"/>
        <w:rPr>
          <w:sz w:val="20"/>
          <w:szCs w:val="20"/>
          <w:color w:val="auto"/>
        </w:rPr>
      </w:pPr>
    </w:p>
    <w:p>
      <w:pPr>
        <w:ind w:right="140" w:firstLine="684"/>
        <w:spacing w:after="0" w:line="288"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63" w:lineRule="exact"/>
        <w:rPr>
          <w:sz w:val="20"/>
          <w:szCs w:val="20"/>
          <w:color w:val="auto"/>
        </w:rPr>
      </w:pPr>
    </w:p>
    <w:p>
      <w:pPr>
        <w:ind w:right="140" w:firstLine="684"/>
        <w:spacing w:after="0" w:line="275" w:lineRule="auto"/>
        <w:rPr>
          <w:sz w:val="20"/>
          <w:szCs w:val="20"/>
          <w:color w:val="auto"/>
        </w:rPr>
      </w:pPr>
      <w:r>
        <w:rPr>
          <w:rFonts w:ascii="Arial" w:cs="Arial" w:eastAsia="Arial" w:hAnsi="Arial"/>
          <w:sz w:val="19"/>
          <w:szCs w:val="19"/>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4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Signature</w:t>
            </w:r>
          </w:p>
        </w:tc>
        <w:tc>
          <w:tcPr>
            <w:tcW w:w="260" w:type="dxa"/>
            <w:vAlign w:val="bottom"/>
          </w:tcPr>
          <w:p>
            <w:pPr>
              <w:spacing w:after="0"/>
              <w:rPr>
                <w:sz w:val="15"/>
                <w:szCs w:val="15"/>
                <w:color w:val="auto"/>
              </w:rPr>
            </w:pPr>
          </w:p>
        </w:tc>
        <w:tc>
          <w:tcPr>
            <w:tcW w:w="3920" w:type="dxa"/>
            <w:vAlign w:val="bottom"/>
            <w:tcBorders>
              <w:bottom w:val="single" w:sz="8" w:color="auto"/>
            </w:tcBorders>
          </w:tcPr>
          <w:p>
            <w:pPr>
              <w:ind w:left="1800"/>
              <w:spacing w:after="0"/>
              <w:rPr>
                <w:sz w:val="20"/>
                <w:szCs w:val="20"/>
                <w:color w:val="auto"/>
              </w:rPr>
            </w:pPr>
            <w:r>
              <w:rPr>
                <w:rFonts w:ascii="Arial" w:cs="Arial" w:eastAsia="Arial" w:hAnsi="Arial"/>
                <w:sz w:val="15"/>
                <w:szCs w:val="15"/>
                <w:b w:val="1"/>
                <w:bCs w:val="1"/>
                <w:color w:val="auto"/>
              </w:rPr>
              <w:t>Title</w:t>
            </w:r>
          </w:p>
        </w:tc>
        <w:tc>
          <w:tcPr>
            <w:tcW w:w="2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321"/>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Jeffrey W. Albers</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President, Chief Executive Officer and 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7"/>
        </w:trPr>
        <w:tc>
          <w:tcPr>
            <w:tcW w:w="3240" w:type="dxa"/>
            <w:vAlign w:val="bottom"/>
          </w:tcPr>
          <w:p>
            <w:pPr>
              <w:spacing w:after="0"/>
              <w:rPr>
                <w:sz w:val="20"/>
                <w:szCs w:val="20"/>
                <w:color w:val="auto"/>
              </w:rPr>
            </w:pPr>
            <w:r>
              <w:rPr>
                <w:rFonts w:ascii="Arial" w:cs="Arial" w:eastAsia="Arial" w:hAnsi="Arial"/>
                <w:sz w:val="19"/>
                <w:szCs w:val="19"/>
                <w:color w:val="auto"/>
              </w:rPr>
              <w:t>Jeffrey W. Albers</w:t>
            </w:r>
          </w:p>
        </w:tc>
        <w:tc>
          <w:tcPr>
            <w:tcW w:w="4420" w:type="dxa"/>
            <w:vAlign w:val="bottom"/>
            <w:gridSpan w:val="3"/>
          </w:tcPr>
          <w:p>
            <w:pPr>
              <w:ind w:left="260"/>
              <w:spacing w:after="0"/>
              <w:rPr>
                <w:sz w:val="20"/>
                <w:szCs w:val="20"/>
                <w:color w:val="auto"/>
              </w:rPr>
            </w:pPr>
            <w:r>
              <w:rPr>
                <w:rFonts w:ascii="Arial" w:cs="Arial" w:eastAsia="Arial" w:hAnsi="Arial"/>
                <w:sz w:val="19"/>
                <w:szCs w:val="19"/>
                <w:i w:val="1"/>
                <w:iCs w:val="1"/>
                <w:color w:val="auto"/>
              </w:rPr>
              <w:t>(Principal Executive Officer)</w:t>
            </w: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Michael Landsittel</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Chief Financial Officer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7"/>
        </w:trPr>
        <w:tc>
          <w:tcPr>
            <w:tcW w:w="3240" w:type="dxa"/>
            <w:vAlign w:val="bottom"/>
          </w:tcPr>
          <w:p>
            <w:pPr>
              <w:spacing w:after="0"/>
              <w:rPr>
                <w:sz w:val="20"/>
                <w:szCs w:val="20"/>
                <w:color w:val="auto"/>
              </w:rPr>
            </w:pPr>
            <w:r>
              <w:rPr>
                <w:rFonts w:ascii="Arial" w:cs="Arial" w:eastAsia="Arial" w:hAnsi="Arial"/>
                <w:sz w:val="19"/>
                <w:szCs w:val="19"/>
                <w:color w:val="auto"/>
              </w:rPr>
              <w:t>Michael Landsittel</w:t>
            </w:r>
          </w:p>
        </w:tc>
        <w:tc>
          <w:tcPr>
            <w:tcW w:w="4420" w:type="dxa"/>
            <w:vAlign w:val="bottom"/>
            <w:gridSpan w:val="3"/>
          </w:tcPr>
          <w:p>
            <w:pPr>
              <w:ind w:left="260"/>
              <w:spacing w:after="0"/>
              <w:rPr>
                <w:sz w:val="20"/>
                <w:szCs w:val="20"/>
                <w:color w:val="auto"/>
              </w:rPr>
            </w:pPr>
            <w:r>
              <w:rPr>
                <w:rFonts w:ascii="Arial" w:cs="Arial" w:eastAsia="Arial" w:hAnsi="Arial"/>
                <w:sz w:val="19"/>
                <w:szCs w:val="19"/>
                <w:i w:val="1"/>
                <w:iCs w:val="1"/>
                <w:color w:val="auto"/>
              </w:rPr>
              <w:t>(Principal Financial and Accounting Officer)</w:t>
            </w: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S. Lynch</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Chairman of the Board</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Daniel S. Lynch</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Nicholas Lydon</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Nicholas Lydon, Ph.D.</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Alexis Borisy</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Alexis Borisy</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Mark Goldberg</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Mark Goldberg, M.D.</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Charles A. Rowland, Jr.</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Charles A. Rowland, Jr.</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George Demetri</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George Demetri, M.D.</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Lonnel Coats</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Lonnel Coats</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14"/>
        </w:trPr>
        <w:tc>
          <w:tcPr>
            <w:tcW w:w="3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Lynn Seely</w:t>
            </w:r>
          </w:p>
        </w:tc>
        <w:tc>
          <w:tcPr>
            <w:tcW w:w="4420" w:type="dxa"/>
            <w:vAlign w:val="bottom"/>
            <w:gridSpan w:val="3"/>
          </w:tcPr>
          <w:p>
            <w:pPr>
              <w:ind w:left="26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0"/>
              </w:rPr>
              <w:t>February 26, 2019</w:t>
            </w:r>
          </w:p>
        </w:tc>
      </w:tr>
      <w:tr>
        <w:trPr>
          <w:trHeight w:val="236"/>
        </w:trPr>
        <w:tc>
          <w:tcPr>
            <w:tcW w:w="3240" w:type="dxa"/>
            <w:vAlign w:val="bottom"/>
          </w:tcPr>
          <w:p>
            <w:pPr>
              <w:spacing w:after="0"/>
              <w:rPr>
                <w:sz w:val="20"/>
                <w:szCs w:val="20"/>
                <w:color w:val="auto"/>
              </w:rPr>
            </w:pPr>
            <w:r>
              <w:rPr>
                <w:rFonts w:ascii="Arial" w:cs="Arial" w:eastAsia="Arial" w:hAnsi="Arial"/>
                <w:sz w:val="19"/>
                <w:szCs w:val="19"/>
                <w:color w:val="auto"/>
              </w:rPr>
              <w:t>Lynn Seely, M.D.</w:t>
            </w: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922"/>
        </w:trPr>
        <w:tc>
          <w:tcPr>
            <w:tcW w:w="3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2240" w:h="15840" w:orient="portrait"/>
          <w:cols w:equalWidth="0" w:num="1">
            <w:col w:w="9520"/>
          </w:cols>
          <w:pgMar w:left="1360" w:top="0" w:right="136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5.1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February 26,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45 Sidney Street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Cambridge, MA 02139</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Securities Being Registered under Registration Statement on Form S-8</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38"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2,201,851 shares (the “Shares”) of Common Stock, $0.001 par value per share, of Blueprint Medicines Corporation, a Delaware corporation (the “Company”), that may be issued pursuant to the Company’s 2015 Stock Option and Incentive Plan and 2015 Employee Stock Purchase Plan (collectively, the “Plans”).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opinion set forth below is limited to the Delaware General Corporation Law.</w:t>
      </w:r>
    </w:p>
    <w:p>
      <w:pPr>
        <w:spacing w:after="0" w:line="238" w:lineRule="exact"/>
        <w:rPr>
          <w:sz w:val="20"/>
          <w:szCs w:val="20"/>
          <w:color w:val="auto"/>
        </w:rPr>
      </w:pPr>
    </w:p>
    <w:p>
      <w:pPr>
        <w:jc w:val="both"/>
        <w:ind w:right="400"/>
        <w:spacing w:after="0" w:line="372" w:lineRule="auto"/>
        <w:rPr>
          <w:sz w:val="20"/>
          <w:szCs w:val="20"/>
          <w:color w:val="auto"/>
        </w:rPr>
      </w:pPr>
      <w:r>
        <w:rPr>
          <w:rFonts w:ascii="Arial" w:cs="Arial" w:eastAsia="Arial" w:hAnsi="Arial"/>
          <w:sz w:val="16"/>
          <w:szCs w:val="16"/>
          <w:color w:val="auto"/>
        </w:rPr>
        <w:t>For purposes of the opinion set forth below, we have assumed that no event occurs that causes the number of authorized shares of the Common Stock available for issuance by the Company to be less than the number of then unissued Shares.</w:t>
      </w:r>
    </w:p>
    <w:p>
      <w:pPr>
        <w:spacing w:after="0" w:line="114" w:lineRule="exact"/>
        <w:rPr>
          <w:sz w:val="20"/>
          <w:szCs w:val="20"/>
          <w:color w:val="auto"/>
        </w:rPr>
      </w:pPr>
    </w:p>
    <w:p>
      <w:pPr>
        <w:ind w:right="360"/>
        <w:spacing w:after="0" w:line="336"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37"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GOODWIN PROCTER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377190</wp:posOffset>
            </wp:positionV>
            <wp:extent cx="604901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049010" cy="27305"/>
                    </a:xfrm>
                    <a:prstGeom prst="rect">
                      <a:avLst/>
                    </a:prstGeom>
                    <a:noFill/>
                  </pic:spPr>
                </pic:pic>
              </a:graphicData>
            </a:graphic>
          </wp:anchor>
        </w:drawing>
      </w:r>
    </w:p>
    <w:p>
      <w:pPr>
        <w:sectPr>
          <w:pgSz w:w="12240" w:h="15840" w:orient="portrait"/>
          <w:cols w:equalWidth="0" w:num="1">
            <w:col w:w="9520"/>
          </w:cols>
          <w:pgMar w:left="1360" w:top="0" w:right="1360" w:bottom="1440" w:gutter="0" w:footer="0" w:header="0"/>
        </w:sectPr>
      </w:pPr>
    </w:p>
    <w:bookmarkStart w:id="4" w:name="page5"/>
    <w:bookmarkEnd w:id="4"/>
    <w:p>
      <w:pPr>
        <w:jc w:val="right"/>
        <w:ind w:right="100"/>
        <w:spacing w:after="0"/>
        <w:rPr>
          <w:sz w:val="20"/>
          <w:szCs w:val="20"/>
          <w:color w:val="auto"/>
        </w:rPr>
      </w:pPr>
      <w:r>
        <w:rPr>
          <w:rFonts w:ascii="Arial" w:cs="Arial" w:eastAsia="Arial" w:hAnsi="Arial"/>
          <w:sz w:val="19"/>
          <w:szCs w:val="19"/>
          <w:b w:val="1"/>
          <w:bCs w:val="1"/>
          <w:color w:val="auto"/>
        </w:rPr>
        <w:t>Exhibit 23.1</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44" w:lineRule="exact"/>
        <w:rPr>
          <w:sz w:val="20"/>
          <w:szCs w:val="20"/>
          <w:color w:val="auto"/>
        </w:rPr>
      </w:pPr>
    </w:p>
    <w:p>
      <w:pPr>
        <w:jc w:val="both"/>
        <w:ind w:left="80" w:right="100"/>
        <w:spacing w:after="0" w:line="255"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2015 Stock Option and Incentive Plan and the 2015 Employee Stock Purchase Plan of Blueprint Medicines Corporation of our reports dated February 26, 2019, with respect to the consolidated financial statements of Blueprint Medicines Corporation and the effectiveness of internal control over financial reporting of Blueprint Medicines Corporation included in its Annual Report (Form 10-K) for the year ended December 31, 2018, filed with the Securities and Exchange Commission.</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9"/>
          <w:szCs w:val="19"/>
          <w:color w:val="auto"/>
        </w:rPr>
        <w:t>/s/ Ernst &amp; Young LLP</w:t>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Boston, Massachusetts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9"/>
          <w:szCs w:val="19"/>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151765</wp:posOffset>
            </wp:positionV>
            <wp:extent cx="583184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831840" cy="27305"/>
                    </a:xfrm>
                    <a:prstGeom prst="rect">
                      <a:avLst/>
                    </a:prstGeom>
                    <a:noFill/>
                  </pic:spPr>
                </pic:pic>
              </a:graphicData>
            </a:graphic>
          </wp:anchor>
        </w:drawing>
      </w:r>
    </w:p>
    <w:sectPr>
      <w:pgSz w:w="12240" w:h="15840" w:orient="portrait"/>
      <w:cols w:equalWidth="0" w:num="1">
        <w:col w:w="9360"/>
      </w:cols>
      <w:pgMar w:left="144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4" Type="http://schemas.openxmlformats.org/officeDocument/2006/relationships/hyperlink" Target="http://www.sec.gov/Archives/edgar/data/1597264/000155837015002529/bpmc-20150930ex3100367a3.htm" TargetMode="External"/><Relationship Id="rId15" Type="http://schemas.openxmlformats.org/officeDocument/2006/relationships/hyperlink" Target="http://www.sec.gov/Archives/edgar/data/1597264/000155837015002529/bpmc-20150930ex32d28c430.htm" TargetMode="External"/><Relationship Id="rId16" Type="http://schemas.openxmlformats.org/officeDocument/2006/relationships/hyperlink" Target="http://www.sec.gov/Archives/edgar/data/1597264/000104746915003668/a2224211zex-4_1.htm" TargetMode="External"/><Relationship Id="rId17" Type="http://schemas.openxmlformats.org/officeDocument/2006/relationships/hyperlink" Target="http://www.sec.gov/Archives/edgar/data/1597264/000104746915002608/a2223883zex-4_4.htm" TargetMode="External"/><Relationship Id="rId18" Type="http://schemas.openxmlformats.org/officeDocument/2006/relationships/hyperlink" Target="http://www.sec.gov/Archives/edgar/data/1597264/000155837016004066/bpmc-20151231ex102677f1d.htm" TargetMode="External"/><Relationship Id="rId19" Type="http://schemas.openxmlformats.org/officeDocument/2006/relationships/hyperlink" Target="http://www.sec.gov/Archives/edgar/data/1597264/000110465915032381/a15-10041_1ex99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2019-12-21T04:44:30Z</dcterms:created>
  <dcterms:modified xsi:type="dcterms:W3CDTF">2019-12-21T04:44:30Z</dcterms:modified>
</cp:coreProperties>
</file>