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209550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206375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Blueprint Medicines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193675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ind w:left="6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40" w:space="720"/>
            <w:col w:w="3480" w:space="720"/>
            <w:col w:w="2560"/>
          </w:cols>
          <w:pgMar w:left="240" w:top="697"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Cambridge, Massachusetts 02139</w:t>
      </w:r>
    </w:p>
    <w:p>
      <w:pPr>
        <w:spacing w:after="0" w:line="21"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69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186690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9240"/>
        <w:spacing w:after="0"/>
        <w:rPr>
          <w:sz w:val="20"/>
          <w:szCs w:val="20"/>
          <w:color w:val="auto"/>
        </w:rPr>
      </w:pPr>
      <w:r>
        <w:rPr>
          <w:rFonts w:ascii="Arial" w:cs="Arial" w:eastAsia="Arial" w:hAnsi="Arial"/>
          <w:sz w:val="17"/>
          <w:szCs w:val="17"/>
          <w:color w:val="auto"/>
        </w:rPr>
        <w:t>Emerging growth company o</w:t>
      </w:r>
    </w:p>
    <w:p>
      <w:pPr>
        <w:spacing w:after="0" w:line="237"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4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symbol(s)</w:t>
            </w:r>
          </w:p>
        </w:tc>
        <w:tc>
          <w:tcPr>
            <w:tcW w:w="4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68"/>
        </w:trPr>
        <w:tc>
          <w:tcPr>
            <w:tcW w:w="4480" w:type="dxa"/>
            <w:vAlign w:val="bottom"/>
            <w:tcBorders>
              <w:left w:val="single" w:sz="8" w:color="auto"/>
              <w:bottom w:val="single" w:sz="8" w:color="auto"/>
              <w:right w:val="single" w:sz="8" w:color="auto"/>
            </w:tcBorders>
          </w:tcPr>
          <w:p>
            <w:pPr>
              <w:spacing w:after="0"/>
              <w:rPr>
                <w:sz w:val="5"/>
                <w:szCs w:val="5"/>
                <w:color w:val="auto"/>
              </w:rPr>
            </w:pPr>
          </w:p>
        </w:tc>
        <w:tc>
          <w:tcPr>
            <w:tcW w:w="2160" w:type="dxa"/>
            <w:vAlign w:val="bottom"/>
            <w:tcBorders>
              <w:bottom w:val="single" w:sz="8" w:color="auto"/>
              <w:right w:val="single" w:sz="8" w:color="auto"/>
            </w:tcBorders>
          </w:tcPr>
          <w:p>
            <w:pPr>
              <w:spacing w:after="0"/>
              <w:rPr>
                <w:sz w:val="5"/>
                <w:szCs w:val="5"/>
                <w:color w:val="auto"/>
              </w:rPr>
            </w:pPr>
          </w:p>
        </w:tc>
        <w:tc>
          <w:tcPr>
            <w:tcW w:w="4780" w:type="dxa"/>
            <w:vAlign w:val="bottom"/>
            <w:tcBorders>
              <w:bottom w:val="single" w:sz="8" w:color="auto"/>
              <w:right w:val="single" w:sz="8" w:color="auto"/>
            </w:tcBorders>
          </w:tcPr>
          <w:p>
            <w:pPr>
              <w:spacing w:after="0"/>
              <w:rPr>
                <w:sz w:val="5"/>
                <w:szCs w:val="5"/>
                <w:color w:val="auto"/>
              </w:rPr>
            </w:pPr>
          </w:p>
        </w:tc>
      </w:tr>
      <w:tr>
        <w:trPr>
          <w:trHeight w:val="237"/>
        </w:trPr>
        <w:tc>
          <w:tcPr>
            <w:tcW w:w="4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68"/>
        </w:trPr>
        <w:tc>
          <w:tcPr>
            <w:tcW w:w="4480" w:type="dxa"/>
            <w:vAlign w:val="bottom"/>
            <w:tcBorders>
              <w:left w:val="single" w:sz="8" w:color="auto"/>
              <w:bottom w:val="single" w:sz="8" w:color="auto"/>
              <w:right w:val="single" w:sz="8" w:color="auto"/>
            </w:tcBorders>
          </w:tcPr>
          <w:p>
            <w:pPr>
              <w:spacing w:after="0"/>
              <w:rPr>
                <w:sz w:val="5"/>
                <w:szCs w:val="5"/>
                <w:color w:val="auto"/>
              </w:rPr>
            </w:pPr>
          </w:p>
        </w:tc>
        <w:tc>
          <w:tcPr>
            <w:tcW w:w="2160" w:type="dxa"/>
            <w:vAlign w:val="bottom"/>
            <w:tcBorders>
              <w:bottom w:val="single" w:sz="8" w:color="auto"/>
              <w:right w:val="single" w:sz="8" w:color="auto"/>
            </w:tcBorders>
          </w:tcPr>
          <w:p>
            <w:pPr>
              <w:spacing w:after="0"/>
              <w:rPr>
                <w:sz w:val="5"/>
                <w:szCs w:val="5"/>
                <w:color w:val="auto"/>
              </w:rPr>
            </w:pPr>
          </w:p>
        </w:tc>
        <w:tc>
          <w:tcPr>
            <w:tcW w:w="4780" w:type="dxa"/>
            <w:vAlign w:val="bottom"/>
            <w:tcBorders>
              <w:bottom w:val="single" w:sz="8" w:color="auto"/>
              <w:right w:val="single" w:sz="8" w:color="auto"/>
            </w:tcBorders>
          </w:tcPr>
          <w:p>
            <w:pPr>
              <w:spacing w:after="0"/>
              <w:rPr>
                <w:sz w:val="5"/>
                <w:szCs w:val="5"/>
                <w:color w:val="auto"/>
              </w:rPr>
            </w:pPr>
          </w:p>
        </w:tc>
      </w:tr>
      <w:tr>
        <w:trPr>
          <w:trHeight w:val="264"/>
        </w:trPr>
        <w:tc>
          <w:tcPr>
            <w:tcW w:w="448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4780" w:type="dxa"/>
            <w:vAlign w:val="bottom"/>
            <w:tcBorders>
              <w:bottom w:val="single" w:sz="8" w:color="auto"/>
            </w:tcBorders>
          </w:tcPr>
          <w:p>
            <w:pPr>
              <w:spacing w:after="0"/>
              <w:rPr>
                <w:sz w:val="22"/>
                <w:szCs w:val="22"/>
                <w:color w:val="auto"/>
              </w:rPr>
            </w:pPr>
          </w:p>
        </w:tc>
      </w:tr>
      <w:tr>
        <w:trPr>
          <w:trHeight w:val="28"/>
        </w:trPr>
        <w:tc>
          <w:tcPr>
            <w:tcW w:w="44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459"/>
        </w:trPr>
        <w:tc>
          <w:tcPr>
            <w:tcW w:w="44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7" w:right="239" w:bottom="1440" w:gutter="0" w:footer="0" w:header="0"/>
          <w:type w:val="continuous"/>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left="120" w:firstLine="617"/>
        <w:spacing w:after="0" w:line="272" w:lineRule="auto"/>
        <w:rPr>
          <w:sz w:val="20"/>
          <w:szCs w:val="20"/>
          <w:color w:val="auto"/>
        </w:rPr>
      </w:pPr>
      <w:r>
        <w:rPr>
          <w:rFonts w:ascii="Arial" w:cs="Arial" w:eastAsia="Arial" w:hAnsi="Arial"/>
          <w:sz w:val="17"/>
          <w:szCs w:val="17"/>
          <w:color w:val="auto"/>
        </w:rPr>
        <w:t>On January 22, 2020, Blueprint Medicines Corporation (the “Company”) entered into an underwriting agreement (the “Underwriting Agreement”) with Goldman Sachs &amp; Co. LLC and Cowen and Company, LLC, as representatives of the underwriters named therein (collectively, the “Underwriters”), relating to an underwritten public offering (the “Offering”) of 4,710,144 shares of the Company’s common stock, $0.001 par value per share (the “Common Stock”), at a price to the public of $69.00 per share (the “Offering Price”). The Company has also granted the Underwriters a 30-day option to purchase up to an additional 706,521 shares of Common Stock at the Offering Price. After deducting the underwriting discounts and commissions and estimated offering expenses, the Company expects to receive net proceeds from the Offering of approximately $308.2 million (or approximately $354.6 million if the underwriters exercise in full their option to purchase additional shares).</w:t>
      </w:r>
    </w:p>
    <w:p>
      <w:pPr>
        <w:spacing w:after="0" w:line="178" w:lineRule="exact"/>
        <w:rPr>
          <w:sz w:val="20"/>
          <w:szCs w:val="20"/>
          <w:color w:val="auto"/>
        </w:rPr>
      </w:pPr>
    </w:p>
    <w:p>
      <w:pPr>
        <w:jc w:val="both"/>
        <w:ind w:left="120" w:right="40" w:firstLine="617"/>
        <w:spacing w:after="0" w:line="264" w:lineRule="auto"/>
        <w:rPr>
          <w:sz w:val="20"/>
          <w:szCs w:val="20"/>
          <w:color w:val="auto"/>
        </w:rPr>
      </w:pPr>
      <w:r>
        <w:rPr>
          <w:rFonts w:ascii="Arial" w:cs="Arial" w:eastAsia="Arial" w:hAnsi="Arial"/>
          <w:sz w:val="18"/>
          <w:szCs w:val="18"/>
          <w:color w:val="auto"/>
        </w:rPr>
        <w:t>The Offering was made pursuant to the Company’s effective automatic shelf registration statement on Form S-3ASR (File No. 333-216573), as supplemented by a prospectus supplement dated January 22, 2020, filed on January 23, 2020. The Offering is expected to close on or about January 27, 2020, subject to the satisfaction of customary closing conditions.</w:t>
      </w:r>
    </w:p>
    <w:p>
      <w:pPr>
        <w:spacing w:after="0" w:line="181" w:lineRule="exact"/>
        <w:rPr>
          <w:sz w:val="20"/>
          <w:szCs w:val="20"/>
          <w:color w:val="auto"/>
        </w:rPr>
      </w:pPr>
    </w:p>
    <w:p>
      <w:pPr>
        <w:jc w:val="both"/>
        <w:ind w:left="120" w:right="40" w:firstLine="617"/>
        <w:spacing w:after="0" w:line="342" w:lineRule="auto"/>
        <w:rPr>
          <w:sz w:val="20"/>
          <w:szCs w:val="20"/>
          <w:color w:val="auto"/>
        </w:rPr>
      </w:pPr>
      <w:r>
        <w:rPr>
          <w:rFonts w:ascii="Arial" w:cs="Arial" w:eastAsia="Arial" w:hAnsi="Arial"/>
          <w:sz w:val="16"/>
          <w:szCs w:val="16"/>
          <w:color w:val="auto"/>
        </w:rPr>
        <w:t>A copy of the Underwriting Agreement is attached as Exhibit 1.1 to this Current Report on Form 8-K and is incorporated herein by reference. The foregoing description of the Underwriting Agreement does not purport to be complete and is qualified in its entirety by reference to such exhibit.</w:t>
      </w:r>
    </w:p>
    <w:p>
      <w:pPr>
        <w:spacing w:after="0" w:line="124" w:lineRule="exact"/>
        <w:rPr>
          <w:sz w:val="20"/>
          <w:szCs w:val="20"/>
          <w:color w:val="auto"/>
        </w:rPr>
      </w:pPr>
    </w:p>
    <w:p>
      <w:pPr>
        <w:ind w:left="120" w:right="300" w:firstLine="617"/>
        <w:spacing w:after="0" w:line="277" w:lineRule="auto"/>
        <w:rPr>
          <w:sz w:val="20"/>
          <w:szCs w:val="20"/>
          <w:color w:val="auto"/>
        </w:rPr>
      </w:pPr>
      <w:r>
        <w:rPr>
          <w:rFonts w:ascii="Arial" w:cs="Arial" w:eastAsia="Arial" w:hAnsi="Arial"/>
          <w:sz w:val="18"/>
          <w:szCs w:val="18"/>
          <w:color w:val="auto"/>
        </w:rPr>
        <w:t>A copy of the legal opinion of Goodwin Procter LLP relating to the legality of the issuance and sale of the shares in the Offering is attached as Exhibit 5.1 to this Current Report on Form 8-K.</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On January 22, 2020, the Company issued a press release announcing the pricing of the Offering. A copy of this press release is attached to this Current Report on Form 8-K as Exhibit 99.1 and is incorporated herein by reference.</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40" w:lineRule="exact"/>
        <w:rPr>
          <w:sz w:val="20"/>
          <w:szCs w:val="20"/>
          <w:color w:val="auto"/>
        </w:rPr>
      </w:pPr>
    </w:p>
    <w:p>
      <w:pPr>
        <w:ind w:left="1300" w:right="360" w:hanging="814"/>
        <w:spacing w:after="0" w:line="277" w:lineRule="auto"/>
        <w:tabs>
          <w:tab w:leader="none" w:pos="1280" w:val="left"/>
        </w:tabs>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1.1</w:t>
        </w:r>
      </w:hyperlink>
      <w:r>
        <w:rPr>
          <w:rFonts w:ascii="Arial" w:cs="Arial" w:eastAsia="Arial" w:hAnsi="Arial"/>
          <w:sz w:val="18"/>
          <w:szCs w:val="18"/>
          <w:u w:val="single" w:color="auto"/>
          <w:color w:val="0000EE"/>
        </w:rPr>
        <w:tab/>
      </w:r>
      <w:hyperlink w:anchor="page4">
        <w:r>
          <w:rPr>
            <w:rFonts w:ascii="Arial" w:cs="Arial" w:eastAsia="Arial" w:hAnsi="Arial"/>
            <w:sz w:val="18"/>
            <w:szCs w:val="18"/>
            <w:u w:val="single" w:color="auto"/>
            <w:color w:val="0000EE"/>
          </w:rPr>
          <w:t>Underwriting Agreement, dated as of January 22, 2020, among Blueprint Medicines Corporation and Goldman Sachs &amp; Co. LLC and</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Cowen and Company, LLC, as representatives of the underwriters named therein</w:t>
        </w:r>
      </w:hyperlink>
    </w:p>
    <w:p>
      <w:pPr>
        <w:spacing w:after="0" w:line="8" w:lineRule="exact"/>
        <w:rPr>
          <w:rFonts w:ascii="Arial" w:cs="Arial" w:eastAsia="Arial" w:hAnsi="Arial"/>
          <w:sz w:val="18"/>
          <w:szCs w:val="18"/>
          <w:u w:val="single" w:color="auto"/>
          <w:color w:val="0000EE"/>
        </w:rPr>
      </w:pPr>
    </w:p>
    <w:p>
      <w:pPr>
        <w:ind w:left="480"/>
        <w:spacing w:after="0"/>
        <w:tabs>
          <w:tab w:leader="none" w:pos="1280" w:val="left"/>
        </w:tabs>
        <w:rPr>
          <w:rFonts w:ascii="Arial" w:cs="Arial" w:eastAsia="Arial" w:hAnsi="Arial"/>
          <w:sz w:val="16"/>
          <w:szCs w:val="16"/>
          <w:u w:val="single" w:color="auto"/>
          <w:color w:val="0000EE"/>
        </w:rPr>
      </w:pPr>
      <w:hyperlink w:anchor="page45">
        <w:r>
          <w:rPr>
            <w:rFonts w:ascii="Arial" w:cs="Arial" w:eastAsia="Arial" w:hAnsi="Arial"/>
            <w:sz w:val="18"/>
            <w:szCs w:val="18"/>
            <w:u w:val="single" w:color="auto"/>
            <w:color w:val="0000EE"/>
          </w:rPr>
          <w:t>5.1</w:t>
        </w:r>
      </w:hyperlink>
      <w:r>
        <w:rPr>
          <w:rFonts w:ascii="Arial" w:cs="Arial" w:eastAsia="Arial" w:hAnsi="Arial"/>
          <w:sz w:val="18"/>
          <w:szCs w:val="18"/>
          <w:u w:val="single" w:color="auto"/>
          <w:color w:val="0000EE"/>
        </w:rPr>
        <w:tab/>
      </w:r>
      <w:hyperlink w:anchor="page45">
        <w:r>
          <w:rPr>
            <w:rFonts w:ascii="Arial" w:cs="Arial" w:eastAsia="Arial" w:hAnsi="Arial"/>
            <w:sz w:val="16"/>
            <w:szCs w:val="16"/>
            <w:u w:val="single" w:color="auto"/>
            <w:color w:val="0000EE"/>
          </w:rPr>
          <w:t>Opinion of Goodwin Procter LLP</w:t>
        </w:r>
      </w:hyperlink>
    </w:p>
    <w:p>
      <w:pPr>
        <w:spacing w:after="0" w:line="63" w:lineRule="exact"/>
        <w:rPr>
          <w:sz w:val="20"/>
          <w:szCs w:val="20"/>
          <w:color w:val="auto"/>
        </w:rPr>
      </w:pPr>
    </w:p>
    <w:p>
      <w:pPr>
        <w:ind w:left="440"/>
        <w:spacing w:after="0"/>
        <w:tabs>
          <w:tab w:leader="none" w:pos="1280" w:val="left"/>
        </w:tabs>
        <w:rPr>
          <w:rFonts w:ascii="Arial" w:cs="Arial" w:eastAsia="Arial" w:hAnsi="Arial"/>
          <w:sz w:val="16"/>
          <w:szCs w:val="16"/>
          <w:u w:val="single" w:color="auto"/>
          <w:color w:val="0000EE"/>
        </w:rPr>
      </w:pPr>
      <w:hyperlink w:anchor="page45">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45">
        <w:r>
          <w:rPr>
            <w:rFonts w:ascii="Arial" w:cs="Arial" w:eastAsia="Arial" w:hAnsi="Arial"/>
            <w:sz w:val="16"/>
            <w:szCs w:val="16"/>
            <w:u w:val="single" w:color="auto"/>
            <w:color w:val="0000EE"/>
          </w:rPr>
          <w:t>Consent of Goodwin Procter LLP (included in Exhibit 5.1)</w:t>
        </w:r>
      </w:hyperlink>
    </w:p>
    <w:p>
      <w:pPr>
        <w:spacing w:after="0" w:line="63" w:lineRule="exact"/>
        <w:rPr>
          <w:sz w:val="20"/>
          <w:szCs w:val="20"/>
          <w:color w:val="auto"/>
        </w:rPr>
      </w:pPr>
    </w:p>
    <w:p>
      <w:pPr>
        <w:ind w:left="440"/>
        <w:spacing w:after="0"/>
        <w:tabs>
          <w:tab w:leader="none" w:pos="1280" w:val="left"/>
        </w:tabs>
        <w:rPr>
          <w:rFonts w:ascii="Arial" w:cs="Arial" w:eastAsia="Arial" w:hAnsi="Arial"/>
          <w:sz w:val="16"/>
          <w:szCs w:val="16"/>
          <w:u w:val="single" w:color="auto"/>
          <w:color w:val="0000EE"/>
        </w:rPr>
      </w:pPr>
      <w:hyperlink w:anchor="page46">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6">
        <w:r>
          <w:rPr>
            <w:rFonts w:ascii="Arial" w:cs="Arial" w:eastAsia="Arial" w:hAnsi="Arial"/>
            <w:sz w:val="16"/>
            <w:szCs w:val="16"/>
            <w:u w:val="single" w:color="auto"/>
            <w:color w:val="0000EE"/>
          </w:rPr>
          <w:t>Press release issued by Blueprint Medicines Corporation on January 22, 2020</w:t>
        </w:r>
      </w:hyperlink>
    </w:p>
    <w:p>
      <w:pPr>
        <w:spacing w:after="0" w:line="63"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20" w:firstLine="61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2100"/>
              <w:spacing w:after="0"/>
              <w:rPr>
                <w:sz w:val="20"/>
                <w:szCs w:val="20"/>
                <w:color w:val="auto"/>
              </w:rPr>
            </w:pPr>
            <w:r>
              <w:rPr>
                <w:rFonts w:ascii="Arial" w:cs="Arial" w:eastAsia="Arial" w:hAnsi="Arial"/>
                <w:sz w:val="18"/>
                <w:szCs w:val="18"/>
                <w:b w:val="1"/>
                <w:bCs w:val="1"/>
                <w:color w:val="auto"/>
              </w:rPr>
              <w:t>BLUEPRINT MEDICINES CORPORATION</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January 23, 2020</w:t>
            </w:r>
          </w:p>
        </w:tc>
        <w:tc>
          <w:tcPr>
            <w:tcW w:w="7620" w:type="dxa"/>
            <w:vAlign w:val="bottom"/>
            <w:gridSpan w:val="2"/>
          </w:tcPr>
          <w:p>
            <w:pPr>
              <w:ind w:left="2100"/>
              <w:spacing w:after="0"/>
              <w:rPr>
                <w:sz w:val="20"/>
                <w:szCs w:val="20"/>
                <w:color w:val="auto"/>
              </w:rPr>
            </w:pPr>
            <w:r>
              <w:rPr>
                <w:rFonts w:ascii="Arial" w:cs="Arial" w:eastAsia="Arial" w:hAnsi="Arial"/>
                <w:sz w:val="18"/>
                <w:szCs w:val="18"/>
                <w:color w:val="auto"/>
              </w:rPr>
              <w:t>By:/s/ Jeffrey W. Albers</w:t>
            </w:r>
          </w:p>
        </w:tc>
      </w:tr>
      <w:tr>
        <w:trPr>
          <w:trHeight w:val="195"/>
        </w:trPr>
        <w:tc>
          <w:tcPr>
            <w:tcW w:w="3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8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1.1</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Blueprint Medicines Corporation, a Delaware corporation (the “Company”), proposes, subject to the terms and conditions stated herein, to issue and sell to the Underwriters named in Schedule I hereto (the “Underwriters”), for whom you are acting as representatives (the “Representatives”), an aggregate of 4,710,144 shares (the “Firm Shares”) and, at the election of the Underwriters, up to 706,521 additional shares (the “Optional Shares”) of Common Stock, par value $0.001 per share (“Stock”), of the Company (the Firm Shares and the Optional Shares that the Underwriters elect to purchase pursuant to Section 2 hereof being collectively called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t>1. The Company represents and warrants to, and agrees with, each of the Underwriters that:</w:t>
      </w:r>
    </w:p>
    <w:p>
      <w:pPr>
        <w:spacing w:after="0" w:line="225" w:lineRule="exact"/>
        <w:rPr>
          <w:sz w:val="20"/>
          <w:szCs w:val="20"/>
          <w:color w:val="auto"/>
        </w:rPr>
      </w:pPr>
    </w:p>
    <w:p>
      <w:pPr>
        <w:jc w:val="both"/>
        <w:ind w:left="-656" w:firstLine="656"/>
        <w:spacing w:after="0" w:line="284" w:lineRule="auto"/>
        <w:tabs>
          <w:tab w:leader="none" w:pos="614"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“automatic shelf registration statement” (as defined in Rule 405 under the Securities Act of 1933, as amended (the “Act”)) on Form S-3ASR (File No. 333-216573) (the “Automatic Registration Statement”), in respect of the Shares has been filed with the Securities and Exchange Commission (the “Commission”) not earlier than three years prior to the date hereof; the Automatic Registration Statement and any post-effective amendment thereto became effective upon filing; no other document with respect to the Automatic Registration Statement or any document incorporated by reference therein has heretofore been filed, or transmitted for filing, with the Commission (other than (i) prospectuses filed pursuant to Rule 424(b) of the rules and regulations of the Commission under the Act, each such prospectus relating to the Shares in the form heretofore delivered to the Representatives, and (ii) reports and proxy or information statements required to be filed by the Company with the Commission pursuant to the Securities Exchange Act of 1934, as amended (the “Exchange Act”)); and no stop order suspending the effectiveness of the Automatic Registration Statement or any part thereof or any post-effective amendment thereto, has been issued and no proceeding for that purpose has been initiated or threatened by the Commission, and no notice of objection of the Commission to the use of the Automatic Registration Statement or any post-effective amendment thereto pursuant to Rule 401(g)(2) under the Act has been received by the Company (the base prospectus filed as part of the Automatic Registration Statement, in the form in which it has most recently been filed with the Commission on or prior to the date of this Agreement, is hereinafter called the “Basic Prospectus”; any preliminary prospectus (including any preliminary prospectus supplement) relating to the Shares filed with the Commission pursuant to Rule 424(b) under the Act is hereinafter called a “Preliminary Prospectus”; the various parts of the Automatic Registration Statement, including all exhibits thereto and including any prospectus supplement relating to the Shares that is filed with the Commission and deemed by virtue of Rule 430B under the Act to be part of the Automatic Registration Statement, each as amended at the time such part of the Automatic Registration Statement became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Shares filed with the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12 of Form S-3,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Shares filed with the Commission pursuant to Rule 424(b) under the Act, and any documents filed under the Exchange Act,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oral or written communication with potential investors undertaken in reliance on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253365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5" w:name="page6"/>
    <w:bookmarkEnd w:id="5"/>
    <w:p>
      <w:pPr>
        <w:jc w:val="both"/>
        <w:ind w:left="-656" w:firstLine="656"/>
        <w:spacing w:after="0" w:line="273"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No order preventing or suspending the use of any Preliminary Prospectus or any Issuer Free Writing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representation and warranty shall not apply to any statements or omissions made in reliance upon and in conformity with information furnished in writing to the Company by an Underwriter through a Representative expressly for use therein;</w:t>
      </w:r>
    </w:p>
    <w:p>
      <w:pPr>
        <w:spacing w:after="0" w:line="178" w:lineRule="exact"/>
        <w:rPr>
          <w:rFonts w:ascii="Arial" w:cs="Arial" w:eastAsia="Arial" w:hAnsi="Arial"/>
          <w:sz w:val="17"/>
          <w:szCs w:val="17"/>
          <w:color w:val="auto"/>
        </w:rPr>
      </w:pPr>
    </w:p>
    <w:p>
      <w:pPr>
        <w:jc w:val="both"/>
        <w:ind w:left="-656" w:firstLine="656"/>
        <w:spacing w:after="0" w:line="269" w:lineRule="auto"/>
        <w:tabs>
          <w:tab w:leader="none" w:pos="57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For the purposes of this Agreement, the “Applicable Time” is 5:45 pm (Eastern time) on the date of this Agreement. The Pricing Prospectus, as supplemented by those Issuer Free Writing Prospectuses and other documents and information listed on Schedule II(b) hereto, taken together (collectively, the “Pricing Disclosure Package”),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Schedule II(a) hereto and each Written Testing-the-Waters Communication does not conflict with the information contained in the Registration Statement, the Pricing Prospectus or the Prospectus and each such Issuer Free Writing Prospectus and each Written Testing-the-Waters Communication,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this representation and warranty shall not apply to statements or omissions made in the Pricing Disclosure Package or any Issuer Free Writing Prospectus in reliance upon and in conformity with information furnished in writing to the Company by an Underwriter through a Representative expressly for use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262255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6" w:name="page7"/>
    <w:bookmarkEnd w:id="6"/>
    <w:p>
      <w:pPr>
        <w:jc w:val="both"/>
        <w:ind w:left="-656" w:firstLine="656"/>
        <w:spacing w:after="0" w:line="269" w:lineRule="auto"/>
        <w:tabs>
          <w:tab w:leader="none" w:pos="666"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documents incorporated by reference in the Pricing Prospectus and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representation and warranty shall not apply to any statements or omissions made in reliance upon and in conformity with information furnished in writing to the Company by an Underwriter through a Representative expressly for use therein; and no such documents were filed with the Commission since the Commission’s close of business on the business day immediately prior to the date of this Agreement and prior to the execution of this Agreement, except as set forth on Schedule II(c) hereto;</w:t>
      </w:r>
    </w:p>
    <w:p>
      <w:pPr>
        <w:spacing w:after="0" w:line="182" w:lineRule="exact"/>
        <w:rPr>
          <w:rFonts w:ascii="Arial" w:cs="Arial" w:eastAsia="Arial" w:hAnsi="Arial"/>
          <w:sz w:val="17"/>
          <w:szCs w:val="17"/>
          <w:color w:val="auto"/>
        </w:rPr>
      </w:pPr>
    </w:p>
    <w:p>
      <w:pPr>
        <w:ind w:left="564" w:hanging="564"/>
        <w:spacing w:after="0"/>
        <w:tabs>
          <w:tab w:leader="none" w:pos="56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56" w:firstLine="656"/>
        <w:spacing w:after="0" w:line="293" w:lineRule="auto"/>
        <w:tabs>
          <w:tab w:leader="none" w:pos="57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and as of the applicable filing date as to the Prospectus and any amendment or supplement thereto, contain an untrue statement of a material fact or omit to state a material fact required to be stated therein or necessary to make the statements therein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representation and warranty shall not apply to any statements or omissions made in reliance upon and in conformity with information furnished in writing to the Company by an Underwriter through a Representative expressly for use therein;</w:t>
      </w:r>
    </w:p>
    <w:p>
      <w:pPr>
        <w:spacing w:after="0" w:line="164" w:lineRule="exact"/>
        <w:rPr>
          <w:rFonts w:ascii="Arial" w:cs="Arial" w:eastAsia="Arial" w:hAnsi="Arial"/>
          <w:sz w:val="16"/>
          <w:szCs w:val="16"/>
          <w:color w:val="auto"/>
        </w:rPr>
      </w:pPr>
    </w:p>
    <w:p>
      <w:pPr>
        <w:jc w:val="both"/>
        <w:ind w:left="-656" w:firstLine="656"/>
        <w:spacing w:after="0" w:line="287" w:lineRule="auto"/>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sustained since the date of the latest audited financial statements included or incorporated by reference in the Pricing Prospectus any material loss or material interference with its business from fire, explosion, flood or other calamity, whether or not covered by insurance, or from any labor dispute or court or governmental action, order or decree, otherwise than as set forth or contemplated in the Registration Statement and the Pricing Prospectus; and, since the respective dates as of which information is given in the Registration Statement and the Pricing Prospectus, (i) there has not been any change in the capital stock (other than as a result of the exercise of stock options or the award of stock options or restricted stock in the ordinary course of business pursuant to the Company’s equity plans that are described or incorporated by reference in the Pricing Prospectus) or long-term debt of the Company or any of its subsidiaries, (ii) neither the Company nor any of its subsidiaries has incurred any liability or obligation, direct or contingent, other than liabilities and obligations which were incurred in the ordinary course of business, (iii) neither the Company nor any of its subsidiaries has declared or paid any dividends on its capital stock, and (iv) there has not been any material adverse change, or any development involving a prospective material adverse change, in or affecting the general affairs, management, financial position, stockholders’ equity, results of operations or prospects of the Company and its subsidiaries, otherwise than as set forth or contemplated in the Pricing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255905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7" w:name="page8"/>
    <w:bookmarkEnd w:id="7"/>
    <w:p>
      <w:pPr>
        <w:jc w:val="both"/>
        <w:ind w:left="-656" w:firstLine="656"/>
        <w:spacing w:after="0" w:line="289" w:lineRule="auto"/>
        <w:tabs>
          <w:tab w:leader="none" w:pos="507" w:val="left"/>
        </w:tabs>
        <w:numPr>
          <w:ilvl w:val="0"/>
          <w:numId w:val="5"/>
        </w:numPr>
        <w:rPr>
          <w:rFonts w:ascii="Arial" w:cs="Arial" w:eastAsia="Arial" w:hAnsi="Arial"/>
          <w:sz w:val="16"/>
          <w:szCs w:val="16"/>
          <w:color w:val="auto"/>
        </w:rPr>
      </w:pPr>
      <w:r>
        <w:rPr>
          <w:rFonts w:ascii="Arial" w:cs="Arial" w:eastAsia="Arial" w:hAnsi="Arial"/>
          <w:sz w:val="16"/>
          <w:szCs w:val="16"/>
          <w:color w:val="auto"/>
        </w:rPr>
        <w:t>Neither the Company nor any of its subsidiaries owns any real property. The Company and its subsidiaries have good and marketable title to all personal property owned by them, in each case free and clear of all liens, encumbrances and defects except such as are described in the Pricing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to the Company’s knowledge, under valid, subsisting and enforceable leases (subject to the effects of (i) bankruptcy, insolvency, fraudulent conveyance, fraudulent transfer, reorganization, moratorium or other similar laws relating to or affecting the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 and public policy with respect to rights to indemnity and contribution) with such exceptions as are not material and do not interfere with the use made and proposed to be made of such property and buildings by the Company and its subsidiaries;</w:t>
      </w:r>
    </w:p>
    <w:p>
      <w:pPr>
        <w:spacing w:after="0" w:line="166" w:lineRule="exact"/>
        <w:rPr>
          <w:rFonts w:ascii="Arial" w:cs="Arial" w:eastAsia="Arial" w:hAnsi="Arial"/>
          <w:sz w:val="16"/>
          <w:szCs w:val="16"/>
          <w:color w:val="auto"/>
        </w:rPr>
      </w:pPr>
    </w:p>
    <w:p>
      <w:pPr>
        <w:jc w:val="both"/>
        <w:ind w:left="-656" w:firstLine="656"/>
        <w:spacing w:after="0" w:line="272" w:lineRule="auto"/>
        <w:tabs>
          <w:tab w:leader="none" w:pos="53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has been duly incorporated and is validly existing as a corporation in good standing under the laws of the State of Delaware, with power and authority (corporate and other) to own its properties and conduct its business as described in the Pricing Prospectus, and has been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or be in good standing in such jurisdictions would not, individually or in the aggregate, have a material adverse effect on the current or future financial position, stockholders’ equity, results of operations or prospects of the Company (a “Material Adverse Effect”); and each subsidiary of the Company has been duly incorporated and is validly existing as a corporation in good standing under the laws of its jurisdiction of incorporation;</w:t>
      </w:r>
    </w:p>
    <w:p>
      <w:pPr>
        <w:spacing w:after="0" w:line="177" w:lineRule="exact"/>
        <w:rPr>
          <w:rFonts w:ascii="Arial" w:cs="Arial" w:eastAsia="Arial" w:hAnsi="Arial"/>
          <w:sz w:val="17"/>
          <w:szCs w:val="17"/>
          <w:color w:val="auto"/>
        </w:rPr>
      </w:pPr>
    </w:p>
    <w:p>
      <w:pPr>
        <w:jc w:val="both"/>
        <w:ind w:left="-656" w:firstLine="656"/>
        <w:spacing w:after="0" w:line="302" w:lineRule="auto"/>
        <w:tabs>
          <w:tab w:leader="none" w:pos="55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an authorized, issued and outstanding capitalization as set forth in the Pricing Prospectus and all of the issued shares of capital stock of the Company have been duly authorized and validly issued and are fully paid and non-assessable and conform to the description of the Stock contained in the Pricing Prospectus and Prospectus; and all of the issued shares of capital stock of each subsidiary of the Company have been duly authorized and validly issued and are fully paid and non-assessable and are owned directly by the Company, free and clear of all liens, encumbrances, equities or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244475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8" w:name="page9"/>
    <w:bookmarkEnd w:id="8"/>
    <w:p>
      <w:pPr>
        <w:jc w:val="both"/>
        <w:ind w:left="-656" w:firstLine="656"/>
        <w:spacing w:after="0" w:line="297" w:lineRule="auto"/>
        <w:tabs>
          <w:tab w:leader="none" w:pos="49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Shares to be issued and sold by the Company to the Underwriters hereunder have been duly and validly authorized and, when issued and delivered against payment therefor as provided herein, will be duly and validly issued and fully paid and non-assessable and will conform to the description of the Stock contained in the Prospectus and the issuance of the Shares is not subject to any preemptive rights, rights of first refusal or similar rights pursuant to the General Corporation Law of the State of Delaware or the Company’s Certificate of Incorporation or Bylaws or any agreement or other instrument to which the Company is a party, except for such rights that have been complied with or effectively waived prior to the date hereof;</w:t>
      </w:r>
    </w:p>
    <w:p>
      <w:pPr>
        <w:spacing w:after="0" w:line="158" w:lineRule="exact"/>
        <w:rPr>
          <w:rFonts w:ascii="Arial" w:cs="Arial" w:eastAsia="Arial" w:hAnsi="Arial"/>
          <w:sz w:val="16"/>
          <w:szCs w:val="16"/>
          <w:color w:val="auto"/>
        </w:rPr>
      </w:pPr>
    </w:p>
    <w:p>
      <w:pPr>
        <w:jc w:val="both"/>
        <w:ind w:left="-656" w:firstLine="656"/>
        <w:spacing w:after="0" w:line="269" w:lineRule="auto"/>
        <w:tabs>
          <w:tab w:leader="none" w:pos="57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issue and sale of the Shares and the compliance by the Company with this Agreement and the consummation by the Company of the transactions herein contemplated will not conflict with or result in a breach or violation of any of the terms or provisions of, or constitute a default under, (i) any indenture, mortgage, lease,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the Company’s Certificate of Incorporation or Bylaws or (iii) any statute or any order, rule or regulation of any court or governmental agency or body having jurisdiction over the Company or any of its subsidiaries or any of their properties, except in the case of (i) and (iii) for such violations or defaults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the registration under the Act of the Shares, the approval by the Financial Industry Regulatory Authority (“FINRA”) of the underwriting terms, if applicable, the approval of the listing of the Shares on the NASDAQ Global Select Market, and such consents, approvals, authorizations, registrations, orders or qualifications as may be required under state securities or Blue Sky laws in connection with the purchase and distribution of the Shares by the Underwriters;</w:t>
      </w:r>
    </w:p>
    <w:p>
      <w:pPr>
        <w:spacing w:after="0" w:line="179" w:lineRule="exact"/>
        <w:rPr>
          <w:rFonts w:ascii="Arial" w:cs="Arial" w:eastAsia="Arial" w:hAnsi="Arial"/>
          <w:sz w:val="17"/>
          <w:szCs w:val="17"/>
          <w:color w:val="auto"/>
        </w:rPr>
      </w:pPr>
    </w:p>
    <w:p>
      <w:pPr>
        <w:jc w:val="both"/>
        <w:ind w:left="-656" w:firstLine="656"/>
        <w:spacing w:after="0" w:line="255" w:lineRule="auto"/>
        <w:tabs>
          <w:tab w:leader="none" w:pos="493" w:val="left"/>
        </w:tabs>
        <w:numPr>
          <w:ilvl w:val="0"/>
          <w:numId w:val="6"/>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 in violation of its respective Certificate of Incorporation or Bylaws, (ii)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 or (iii) in violation of any law or statute or any judgment, order, rule or regulation of any court or arbitrator or governmental or regulatory authority (collectively, the “Regulatory Authorities”), except in the case of (ii) and (iii) for such violations or defaults as would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268605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9" w:name="page10"/>
    <w:bookmarkEnd w:id="9"/>
    <w:p>
      <w:pPr>
        <w:jc w:val="both"/>
        <w:ind w:left="-656" w:firstLine="656"/>
        <w:spacing w:after="0" w:line="257" w:lineRule="auto"/>
        <w:tabs>
          <w:tab w:leader="none" w:pos="4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statements set forth in the Pricing Prospectus and the Prospectus under the caption “Description of Capital Stock” insofar as they purport to constitute a summary of the terms of the Stock and under the caption “Underwriting” insofar as they purport to describe the provisions of the laws and documents referred to therein are accurate, materially complete and fair, and the statements set forth in the Pricing Prospectus and the Prospectus under the caption “Material U.S. Federal Income Tax Considerations for Non-U.S. Holders” insofar as they purport to describe the provisions of the laws and documents referred to therein are accurate in all material respects;</w:t>
      </w:r>
    </w:p>
    <w:p>
      <w:pPr>
        <w:spacing w:after="0" w:line="188" w:lineRule="exact"/>
        <w:rPr>
          <w:rFonts w:ascii="Arial" w:cs="Arial" w:eastAsia="Arial" w:hAnsi="Arial"/>
          <w:sz w:val="18"/>
          <w:szCs w:val="18"/>
          <w:color w:val="auto"/>
        </w:rPr>
      </w:pPr>
    </w:p>
    <w:p>
      <w:pPr>
        <w:jc w:val="both"/>
        <w:ind w:left="-656" w:firstLine="656"/>
        <w:spacing w:after="0" w:line="279" w:lineRule="auto"/>
        <w:tabs>
          <w:tab w:leader="none" w:pos="502"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than as set forth in the Pricing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reasonably be expected to have a Material Adverse Effect; and, to the best of the Company’s knowledge, no such proceedings are threatened or contemplated by Regulatory Authorities or threatened by others;</w:t>
      </w:r>
    </w:p>
    <w:p>
      <w:pPr>
        <w:spacing w:after="0" w:line="171" w:lineRule="exact"/>
        <w:rPr>
          <w:rFonts w:ascii="Arial" w:cs="Arial" w:eastAsia="Arial" w:hAnsi="Arial"/>
          <w:sz w:val="17"/>
          <w:szCs w:val="17"/>
          <w:color w:val="auto"/>
        </w:rPr>
      </w:pPr>
    </w:p>
    <w:p>
      <w:pPr>
        <w:jc w:val="both"/>
        <w:ind w:left="-656" w:firstLine="656"/>
        <w:spacing w:after="0" w:line="264" w:lineRule="auto"/>
        <w:tabs>
          <w:tab w:leader="none" w:pos="51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Pricing Disclosure Package, will not be an “investment company”, as such term is defined in the Investment Company Act of 1940, as amended (the “Investment Company Act”);</w:t>
      </w:r>
    </w:p>
    <w:p>
      <w:pPr>
        <w:spacing w:after="0" w:line="181" w:lineRule="exact"/>
        <w:rPr>
          <w:rFonts w:ascii="Arial" w:cs="Arial" w:eastAsia="Arial" w:hAnsi="Arial"/>
          <w:sz w:val="18"/>
          <w:szCs w:val="18"/>
          <w:color w:val="auto"/>
        </w:rPr>
      </w:pPr>
    </w:p>
    <w:p>
      <w:pPr>
        <w:jc w:val="both"/>
        <w:ind w:left="-656" w:firstLine="656"/>
        <w:spacing w:after="0" w:line="272" w:lineRule="auto"/>
        <w:tabs>
          <w:tab w:leader="none" w:pos="651" w:val="left"/>
        </w:tabs>
        <w:numPr>
          <w:ilvl w:val="0"/>
          <w:numId w:val="7"/>
        </w:numPr>
        <w:rPr>
          <w:rFonts w:ascii="Arial" w:cs="Arial" w:eastAsia="Arial" w:hAnsi="Arial"/>
          <w:sz w:val="17"/>
          <w:szCs w:val="17"/>
          <w:color w:val="auto"/>
        </w:rPr>
      </w:pPr>
      <w:r>
        <w:rPr>
          <w:rFonts w:ascii="Arial" w:cs="Arial" w:eastAsia="Arial" w:hAnsi="Arial"/>
          <w:sz w:val="17"/>
          <w:szCs w:val="17"/>
          <w:color w:val="auto"/>
        </w:rPr>
        <w:t>(A)(i) At the time of filing the Automatic Registration Statement, (ii) at the time of the most recent amendment thereto for purposes of complying with Section 10(a)(3) of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Shares in reliance on the exemption of Rule 163 under the Act, the Company was a “well-known seasoned issuer” as defined in Rule 405 under the Act; and (B) at the earliest time after the filing of the Automatic Registration Statement that the Company or another offering participant made a bona fide offer (within the meaning of Rule 164(h)(2) under the Act) of the Shares, the Company was not and, as of the date hereof is not an “ineligible issuer,” as defined under Rule 405 under the Act;</w:t>
      </w:r>
    </w:p>
    <w:p>
      <w:pPr>
        <w:spacing w:after="0" w:line="177" w:lineRule="exact"/>
        <w:rPr>
          <w:rFonts w:ascii="Arial" w:cs="Arial" w:eastAsia="Arial" w:hAnsi="Arial"/>
          <w:sz w:val="17"/>
          <w:szCs w:val="17"/>
          <w:color w:val="auto"/>
        </w:rPr>
      </w:pPr>
    </w:p>
    <w:p>
      <w:pPr>
        <w:ind w:left="-656" w:firstLine="656"/>
        <w:spacing w:after="0" w:line="27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Ernst &amp; Young LLP, who have certified certain financial statements of the Company, is an independent registered public accountant as required by the Act and the rules and regulations of the Commission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254635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0" w:name="page11"/>
    <w:bookmarkEnd w:id="10"/>
    <w:p>
      <w:pPr>
        <w:jc w:val="both"/>
        <w:ind w:left="-656" w:firstLine="656"/>
        <w:spacing w:after="0" w:line="269" w:lineRule="auto"/>
        <w:tabs>
          <w:tab w:leader="none" w:pos="50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maintains a system of internal control over financial reporting (as such term is defined in Rule 13a-15(f) under the Exchange Act) that complies with the requirements of the Exchange Act applicable to the Company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U.S. generally accepted accounting principles (“GAAP”). The Company’s internal accounting controls have been designed to provide reasonable assurance regarding the reliability of financial reporting and the preparation of financial statements for external purposes in accordance with GAAP. The Company’s internal accounting controls are sufficient to provide reasonable assurance that (i) transactions are executed in accordance with the general or specific authorizations of the Company’s management; (ii) transactions are recorded as necessary to permit preparation of financial statements in conformity with GAAP and to maintain asset accountability; (iii) access to assets is permitted only in accordance with the general or specific authorization of the Company’s management; and (iv) the recorded accountability for assets is compared with the existing assets at reasonable intervals and appropriate action is taken with respect to any differences. The Company is not aware of any material weaknesses in its internal control over financial reporting;</w:t>
      </w:r>
    </w:p>
    <w:p>
      <w:pPr>
        <w:spacing w:after="0" w:line="182" w:lineRule="exact"/>
        <w:rPr>
          <w:rFonts w:ascii="Arial" w:cs="Arial" w:eastAsia="Arial" w:hAnsi="Arial"/>
          <w:sz w:val="17"/>
          <w:szCs w:val="17"/>
          <w:color w:val="auto"/>
        </w:rPr>
      </w:pPr>
    </w:p>
    <w:p>
      <w:pPr>
        <w:jc w:val="both"/>
        <w:ind w:left="-656" w:firstLine="656"/>
        <w:spacing w:after="0" w:line="264" w:lineRule="auto"/>
        <w:tabs>
          <w:tab w:leader="none" w:pos="529" w:val="left"/>
        </w:tabs>
        <w:numPr>
          <w:ilvl w:val="0"/>
          <w:numId w:val="8"/>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or incorporated by reference in the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81" w:lineRule="exact"/>
        <w:rPr>
          <w:rFonts w:ascii="Arial" w:cs="Arial" w:eastAsia="Arial" w:hAnsi="Arial"/>
          <w:sz w:val="18"/>
          <w:szCs w:val="18"/>
          <w:color w:val="auto"/>
        </w:rPr>
      </w:pPr>
    </w:p>
    <w:p>
      <w:pPr>
        <w:jc w:val="both"/>
        <w:ind w:left="-656" w:firstLine="656"/>
        <w:spacing w:after="0" w:line="259" w:lineRule="auto"/>
        <w:tabs>
          <w:tab w:leader="none" w:pos="62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under the Exchange Act) that are designed to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86" w:lineRule="exact"/>
        <w:rPr>
          <w:rFonts w:ascii="Arial" w:cs="Arial" w:eastAsia="Arial" w:hAnsi="Arial"/>
          <w:sz w:val="18"/>
          <w:szCs w:val="18"/>
          <w:color w:val="auto"/>
        </w:rPr>
      </w:pPr>
    </w:p>
    <w:p>
      <w:pPr>
        <w:jc w:val="both"/>
        <w:ind w:left="-656" w:firstLine="656"/>
        <w:spacing w:after="0" w:line="264"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261620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1" w:name="page12"/>
    <w:bookmarkEnd w:id="11"/>
    <w:p>
      <w:pPr>
        <w:jc w:val="both"/>
        <w:ind w:left="-656" w:firstLine="656"/>
        <w:spacing w:after="0" w:line="283" w:lineRule="auto"/>
        <w:tabs>
          <w:tab w:leader="none" w:pos="599"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Except as disclosed in the Pricing Prospectus, the Company owns or has valid, binding and enforceable licenses or other rights under the patents and patent applications, copyrights, trademarks, trademark registrations, service marks, service mark registrations, trade names, service names, know-how (including trade secrets and other unpatented and/or unpatentable proprietary or confidential information, systems or procedures) and other intellectual property (collectively, “Intellectual Property”) that is necessary for, or used in the conduct of, or the proposed conduct of, the business of the Company in the manner described in the Pricing Prospectus (collectively, the “Company Intellectual Property”). To the Company’s knowledge, none of the patents and patent applications contained in the Company Intellectual Property, are invalid or unenforceable, in whole or in part, and the Company is unaware of any facts that would form a reasonable basis for such a determination. None of the rights within the Company Intellectual Property, other than patents and patent applications, are invalid or unenforceable, in whole or in part, and the Company is unaware of any facts that would form a reasonable basis for such a determination. Except as disclosed in the Pricing Prospectus, the Company is not obligated to pay a material royalty, grant a license or provide other material consideration to any third party in connection with the Company Intellectual Property. There is no pending or, to the Company’s knowledge, threatened action, suit, proceeding or claim by a third party (i) challenging the Company’s rights in or to any Company Intellectual Property, including with respect to ownership and inventorship; (ii) challenging the validity, enforceability or scope of any Company Intellectual Property; or (iii) asserting that the Company has infringed, misappropriated or otherwise violated, or would, upon the commercialization of any products described in the Pricing Prospectus as under development, infringe, misappropriate or otherwise violate, any Intellectual Property rights of others; and, in each of the foregoing cases, the Company (a) is unaware of any facts that would form a reasonable basis for any such action, suit, proceeding or claim and (b) has not received any written notice alleging any such claim or conflict. To the knowledge of the Company, (1) neither the commercial development nor the sale of any of the products, proposed products or processes of the Company, as described in the Pricing Prospectus, infringes, misappropriates or otherwise violates, or would, upon the commercialization of such products or proposed products, infringe, misappropriate or otherwise violate, any Intellectual Property rights of any third party; (2) the Company believes it can acquire, on reasonable terms, any licenses under third-party Intellectual Property that may be necessary for or used in its business, as currently conducted or as proposed to be conducted, as described in the Pricing Prospectus; (3) no third party has any ownership right in or to any Company Intellectual Property that is owned by the Company, other than any co-owner of a patent or patent application within the Company Intellectual Property who is listed on the records of the U.S. Patent and Trademark Office (the “USPTO”) as co-owner of such patent or named in such patent application; (4) no third party has any ownership right in or to any Company Intellectual Property, in any field of use, other than the respective licensor to the Company of such Company Intellectual Property; (5) no employee of the Company is in or has ever been in violation, in any material respect, of any term of any employment contract, patent disclosure agreement, invention assignment agreement, non-competition agreement, non-solicitation agreement, nondisclosure agreement or other restrictive covenant to or with a former employer where the basis of such violation relates to such employee’s employment, or to actions undertaken by the employee while employed, with the Company; and (6) each current and former employee and consultant of the Company (A) has executed an inventions assignment and confidentiality agreement with the Company, on or about the respective date of hire, in substantially the form made available to the Underwriter and its counsel; and (B) has assigned or agreed to assign to the Company any and all Intellectual Property rights he or she may possess or may have possessed that are related to the Company’s business, as currently conducted and as proposed to be conducted, as described in the Pricing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267335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2" w:name="page13"/>
    <w:bookmarkEnd w:id="12"/>
    <w:p>
      <w:pPr>
        <w:jc w:val="both"/>
        <w:ind w:left="-656" w:firstLine="656"/>
        <w:spacing w:after="0" w:line="276" w:lineRule="auto"/>
        <w:tabs>
          <w:tab w:leader="none" w:pos="551"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patents and patent applications owned by or licensed to the Company or under which the Company has rights have, to the knowledge of the Company, been duly and properly filed and maintained; to the knowledge of the Company, the parties prosecuting such applications have complied with their duty of candor and disclosure to the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spacing w:after="0" w:line="172" w:lineRule="exact"/>
        <w:rPr>
          <w:rFonts w:ascii="Arial" w:cs="Arial" w:eastAsia="Arial" w:hAnsi="Arial"/>
          <w:sz w:val="17"/>
          <w:szCs w:val="17"/>
          <w:color w:val="auto"/>
        </w:rPr>
      </w:pPr>
    </w:p>
    <w:p>
      <w:pPr>
        <w:jc w:val="both"/>
        <w:ind w:left="-656" w:firstLine="656"/>
        <w:spacing w:after="0" w:line="287" w:lineRule="auto"/>
        <w:tabs>
          <w:tab w:leader="none" w:pos="65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preclinical studies and clinical trials conducted by, on behalf of or sponsored by the Company were and, if still pending are being, conducted in all material respects in accordance with the experimental protocols or clinical trial protocols established for each study or trial and with all applicable local, state and federal laws, rules and regulations, including, without limitation, the Federal Food, Drug, and Cosmetic Act and its applicable implementing regulations at 21 C.F.R. Parts 50, 54, 56, 58, 312, and 812; except where the failure to so conduct would not, individually or in the aggregate, reasonably be expected to have a Material Adverse Effect; the descriptions of the results of such studies and trials contained in any Pricing Prospectus or Prospectus did not include any untrue statement of a material fact or omit to state any material fact necessary in order to make the statements therein, in the light of the circumstances under which they were made, not misleading; except to the extent disclosed in the Pricing Prospectus or Prospectus, the Company is not aware of any studies or trials, the results of which are inconsistent with or otherwise call into question the study or trial results described or referred to in the Pricing Prospectus or Prospectus; and neither the U.S. Food and Drug Administration, (“FDA”) nor any applicable foreign Regulatory Agency has commenced, or, to the knowledge of the Company, threatened to initiate, any action to place a clinical hold on, or otherwise terminate, delay or suspend, any proposed or ongoing preclinical study or clinical investigation conducted or proposed to be conducted by or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255905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3" w:name="page14"/>
    <w:bookmarkEnd w:id="13"/>
    <w:p>
      <w:pPr>
        <w:jc w:val="both"/>
        <w:ind w:left="-656" w:firstLine="656"/>
        <w:spacing w:after="0" w:line="284" w:lineRule="auto"/>
        <w:tabs>
          <w:tab w:leader="none" w:pos="5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has operated and currently is in compliance in all respects with all applicable Health Care Laws (as defined in this Section 1(z)), including, without limitation, the rules and regulations of the FDA, the U.S. Department of Health and Human Services Office of Inspector General, the Centers for Medicare &amp; Medicaid Services, the Office for Civil Rights, the Department of Justice or any other Regulatory Authority having jurisdiction over the Company or any of its properties, and has not engaged in activities which are, as applicable, cause for false claims liability, civil penalties, or mandatory or permissive exclusion from Medicare, Medicaid, or any other state or federal health care program. For purposes of this Agreement, “Health Care Laws” shall mean 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and 287, and the health care fraud criminal provisions under the Health Insurance Portability and Accountability Act of 1996 (42 U.S.C. § 1320d et seq.) (“HIPAA”), the exclusion laws (42 U.S.C. § 1320a-7), the civil monetary penalties law (42 U.S.C. § 1320a-7a), HIPAA, as amended by the Health Information Technology for Economic and Clinical Health Act (42 U.S.C. §§ 17921 et seq.), Medicare (Title XVIII of the Social Security Act), Medicaid (Title XIX of the Social Security Act), the Federal Food, Drug, and Cosmetic Act (21 U.S.C. §§ 301 et seq.), the regulations promulgated pursuant to such laws, and any similar federal, state and local laws and regulations, including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 The Company has not received any FDA Form 483, notice of adverse finding, warning letter, untitled letter or other correspondence or notice from the FDA or any other Regulatory Authority alleging or asserting noncompliance with any Health Care Laws applicable to the Company. Except as would not, individually or in the aggregate, reasonably be expected to have a Material Adverse Effect, the Company has not, either voluntarily or involuntarily, initiated, conducted, or issued or caused to be initiated, conducted or issued, any post-market recall, market withdrawal or replacement, safety alert, post-sale warning, “dear doctor” letter, or other notice or action relating to any lack of safety, efficacy or regulatory compliance of any product or any alleged defect or violation with respect to any product and, to the Company’s knowledge, no third party has initiated or conducted any such notice or action and, to the Company’s knowledge, there are no facts which are reasonably likely to cause, and the Company has not received any written notice from the FDA or any other regulatory agency requesting, a post-market recall, market withdrawal or replacement of any product sold or intended to be sold by the Company, a change in the marketing classification or a change in the labeling of any such products, or a termination or suspension of the manufacturing of any such products. Additionally, the Company is not a party to nor has any ongoing reporting obligations pursuant to any corporate integrity agreements, deferred prosecution agreements, monitoring agreements, consent decrees, settlement orders, plans of correction or similar agreements with or imposed by any Regulatory Authority. Neither the Company, nor, to the knowledge of the Company, any of its respective employees, officers or directors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390525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4" w:name="page15"/>
    <w:bookmarkEnd w:id="14"/>
    <w:p>
      <w:pPr>
        <w:jc w:val="both"/>
        <w:ind w:left="-656" w:firstLine="656"/>
        <w:spacing w:after="0" w:line="253" w:lineRule="auto"/>
        <w:tabs>
          <w:tab w:leader="none" w:pos="5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possesses all material permits, licenses, approvals, clearances, exemptions, registrations, consents and other authorizations (collectively, “Permits”) issued by the appropriate Regulatory Authorities, including without limitation, all such Permits required by the FDA or any component thereof, necessary to conduct the businesses now operated by it, except where the failure to possess such Permit would not, individually or in the aggregate, reasonably be expected to have a Material Adverse Effect; the Company is in compliance with the terms and conditions of all such Permits, except where the failure to comply would not, individually or in the aggregate, reasonably be expected to have a Material Adverse Effect; no event has occurred which allows, or after notice or lapse of time would allow, revocation or termination thereof, or results in any other impairment of the rights of the holder of any Permit, except where such event would not, individually or in the aggregate, reasonably be expected to have a Material Adverse Effect; all of the Permits are valid and in full force and effect; the Company has not received notice of proceedings relating to the revocation or material modification of any such Permits; and to the knowledge of the Company, no Regulatory Authority granting any such Permit has taken any action to limit, suspend or revoke the same in any material respect;</w:t>
      </w:r>
    </w:p>
    <w:p>
      <w:pPr>
        <w:spacing w:after="0" w:line="194" w:lineRule="exact"/>
        <w:rPr>
          <w:rFonts w:ascii="Arial" w:cs="Arial" w:eastAsia="Arial" w:hAnsi="Arial"/>
          <w:sz w:val="18"/>
          <w:szCs w:val="18"/>
          <w:color w:val="auto"/>
        </w:rPr>
      </w:pPr>
    </w:p>
    <w:p>
      <w:pPr>
        <w:jc w:val="both"/>
        <w:ind w:left="-656" w:right="20" w:firstLine="656"/>
        <w:spacing w:after="0" w:line="264" w:lineRule="auto"/>
        <w:tabs>
          <w:tab w:leader="none" w:pos="4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described in the Pricing Prospectus and the Prospectus, there are no contracts, agreements or understandings between the Company and any person granting such person the right to require the Company to file a registration statement under the Act with respect to any securities of the Company owned or to be owned by such person;</w:t>
      </w:r>
    </w:p>
    <w:p>
      <w:pPr>
        <w:spacing w:after="0" w:line="181" w:lineRule="exact"/>
        <w:rPr>
          <w:rFonts w:ascii="Arial" w:cs="Arial" w:eastAsia="Arial" w:hAnsi="Arial"/>
          <w:sz w:val="18"/>
          <w:szCs w:val="18"/>
          <w:color w:val="auto"/>
        </w:rPr>
      </w:pPr>
    </w:p>
    <w:p>
      <w:pPr>
        <w:jc w:val="both"/>
        <w:ind w:left="-656" w:firstLine="656"/>
        <w:spacing w:after="0" w:line="272" w:lineRule="auto"/>
        <w:tabs>
          <w:tab w:leader="none" w:pos="541"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as described in the Pricing Prospectus and the Prospectus, the Company has timely filed all material federal, state, local and foreign income and franchise tax returns required to be filed through the date hereof, subject to permitted extensions, and has paid all material taxes due thereon and, if due and payable, any related or similar assessment, fine or penalty levied against the Company except as may be being contested in good faith and by appropriate proceedings. Except as described in the Pricing Disclosure Package, no material tax deficiency has been determined adversely to the Company, and the Company has not received written notice of any actual or proposed additional material tax assessment from a tax authority of any jurisdiction. The Company has made adequate charges, accruals and reserves in the applicable financial statements referred to in Section 1(ii) in respect of all federal, state, local and foreign taxes not yet due and payable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259080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5" w:name="page16"/>
    <w:bookmarkEnd w:id="15"/>
    <w:p>
      <w:pPr>
        <w:jc w:val="both"/>
        <w:ind w:left="-8" w:firstLine="656"/>
        <w:spacing w:after="0" w:line="255" w:lineRule="auto"/>
        <w:tabs>
          <w:tab w:leader="none" w:pos="1272" w:val="left"/>
        </w:tabs>
        <w:numPr>
          <w:ilvl w:val="1"/>
          <w:numId w:val="13"/>
        </w:numPr>
        <w:rPr>
          <w:rFonts w:ascii="Arial" w:cs="Arial" w:eastAsia="Arial" w:hAnsi="Arial"/>
          <w:sz w:val="18"/>
          <w:szCs w:val="18"/>
          <w:color w:val="auto"/>
        </w:rPr>
      </w:pPr>
      <w:r>
        <w:rPr>
          <w:rFonts w:ascii="Arial" w:cs="Arial" w:eastAsia="Arial" w:hAnsi="Arial"/>
          <w:sz w:val="18"/>
          <w:szCs w:val="18"/>
          <w:color w:val="auto"/>
        </w:rPr>
        <w:t>Neither the Company, any of its subsidiaries, nor, to the knowledge of the Company, any director, officer, agent, employee, affiliate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(iv) violated or is in violation of any provision of the Bribery Act 2010 of the United Kingdom; or (v) made any bribe, rebate, payoff, influence payment, kickback or other unlawful payment;</w:t>
      </w:r>
    </w:p>
    <w:p>
      <w:pPr>
        <w:spacing w:after="0" w:line="193" w:lineRule="exact"/>
        <w:rPr>
          <w:rFonts w:ascii="Arial" w:cs="Arial" w:eastAsia="Arial" w:hAnsi="Arial"/>
          <w:sz w:val="18"/>
          <w:szCs w:val="18"/>
          <w:color w:val="auto"/>
        </w:rPr>
      </w:pPr>
    </w:p>
    <w:p>
      <w:pPr>
        <w:jc w:val="both"/>
        <w:ind w:left="-8" w:firstLine="656"/>
        <w:spacing w:after="0" w:line="273" w:lineRule="auto"/>
        <w:tabs>
          <w:tab w:leader="none" w:pos="1232"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material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having jurisdiction over the Company and its subsidiaries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8" w:lineRule="exact"/>
        <w:rPr>
          <w:rFonts w:ascii="Arial" w:cs="Arial" w:eastAsia="Arial" w:hAnsi="Arial"/>
          <w:sz w:val="17"/>
          <w:szCs w:val="17"/>
          <w:color w:val="auto"/>
        </w:rPr>
      </w:pPr>
    </w:p>
    <w:p>
      <w:pPr>
        <w:jc w:val="both"/>
        <w:ind w:left="-8" w:firstLine="656"/>
        <w:spacing w:after="0" w:line="272" w:lineRule="auto"/>
        <w:tabs>
          <w:tab w:leader="none" w:pos="1407" w:val="left"/>
        </w:tabs>
        <w:numPr>
          <w:ilvl w:val="1"/>
          <w:numId w:val="13"/>
        </w:numPr>
        <w:rPr>
          <w:rFonts w:ascii="Arial" w:cs="Arial" w:eastAsia="Arial" w:hAnsi="Arial"/>
          <w:sz w:val="17"/>
          <w:szCs w:val="17"/>
          <w:color w:val="auto"/>
        </w:rPr>
      </w:pPr>
      <w:r>
        <w:rPr>
          <w:rFonts w:ascii="Arial" w:cs="Arial" w:eastAsia="Arial" w:hAnsi="Arial"/>
          <w:sz w:val="17"/>
          <w:szCs w:val="17"/>
          <w:color w:val="auto"/>
        </w:rPr>
        <w:t>Neither the Company, its subsidiaries, nor, to the knowledge of the Company, any director, officer, agent, employee or affiliate of the Company or any of its subsidiaries is currently the subject or the target of any sanctions administered or enforced by the U.S. Government, including, without limitation, the Office of Foreign Assets Control of the U.S. Department of the Treasury (“OFAC”), or other relevant sanctions authority (collectively, “Sanctions”), and the Company will not directly or indirectly use the proceeds of the offering of the Shares hereunder, or lend, contribute or otherwise make available such proceeds to any subsidiary, joint venture partner or other person or entity (i) to fund any activities of or business with any person, or in any country or territory, that, at the time of such funding, is the subject of Sanctions or (ii) in any other manner that will result in a violation by any person (including any person participating in the transaction, whether as underwriter, advisor, investor or otherwise) of Sanctions;</w:t>
      </w:r>
    </w:p>
    <w:p>
      <w:pPr>
        <w:spacing w:after="0" w:line="177" w:lineRule="exact"/>
        <w:rPr>
          <w:rFonts w:ascii="Arial" w:cs="Arial" w:eastAsia="Arial" w:hAnsi="Arial"/>
          <w:sz w:val="17"/>
          <w:szCs w:val="17"/>
          <w:color w:val="auto"/>
        </w:rPr>
      </w:pPr>
    </w:p>
    <w:p>
      <w:pPr>
        <w:jc w:val="both"/>
        <w:ind w:left="-8" w:firstLine="656"/>
        <w:spacing w:after="0" w:line="286" w:lineRule="auto"/>
        <w:tabs>
          <w:tab w:leader="none" w:pos="1445"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Company and its subsidiaries have insurance covering their properties, operations, personnel and businesses, including business interruption insurance, which insurance insures against such risks and is in such amounts as are, in the Company’s reasonable judgment, commercially reasonable for the conduct of its and its subsidiaries business; and neither the Company nor any of its subsidiaries has (i) received written notice from any insurer or agent of such insurer that capital improvements or other expenditures are required or necessary to be made in order to continue such insurance or</w:t>
      </w:r>
    </w:p>
    <w:p>
      <w:pPr>
        <w:spacing w:after="0" w:line="1" w:lineRule="exact"/>
        <w:rPr>
          <w:rFonts w:ascii="Arial" w:cs="Arial" w:eastAsia="Arial" w:hAnsi="Arial"/>
          <w:sz w:val="16"/>
          <w:szCs w:val="16"/>
          <w:color w:val="auto"/>
        </w:rPr>
      </w:pPr>
    </w:p>
    <w:p>
      <w:pPr>
        <w:ind w:left="-8" w:right="20" w:firstLine="8"/>
        <w:spacing w:after="0" w:line="261" w:lineRule="auto"/>
        <w:tabs>
          <w:tab w:leader="none" w:pos="2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reason to believe that it will not be able to renew its existing insurance coverage as and when such coverage expires or to obtain similar coverage from similar insurers as may be necessary to continue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6" w:name="page17"/>
    <w:bookmarkEnd w:id="16"/>
    <w:p>
      <w:pPr>
        <w:jc w:val="both"/>
        <w:ind w:left="-656" w:firstLine="656"/>
        <w:spacing w:after="0" w:line="269" w:lineRule="auto"/>
        <w:tabs>
          <w:tab w:leader="none" w:pos="56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and its subsidiaries (i) are in compliance with all, and have not violated any, laws, regulations, ordinances, rules, orders, judgments, decrees, permits or other legal requirements of any Regulatory Authority, including without limitation any international, national, state, provincial, regional, or local authority, relating to the protection of human health or safety, the environment, or natural resources, or to hazardous or toxic substances or wastes, pollutants or contaminants (“Environmental Laws”) applicable to the Company or its subsidiaries, which compliance includes, without limitation, obtaining, maintaining and complying with all permits and authorizations and approvals required by Environmental Laws to conduct its business, and (ii) have not received written notice of any actual or alleged violation of Environmental Laws, or of any potential liability for or other obligation concerning the presence, disposal or release of hazardous or toxic substances or wastes, pollutants or contaminants, except in the case of (i) and (ii) where the failure to comply or the potential liability or obligation would not, individually or in the aggregate, reasonably be expected to have a Material Adverse Effect. Except as described in the Pricing Disclosure Package and the Prospectus, (A) there are no proceedings that are pending against the Company under Environmental Laws in which a Regulatory Authority is also a party and (B) the Company is not aware of any non-compliance with Environmental Laws, or liabilities under Environmental Laws, which would reasonably be expected to have a Material Adverse Effect;</w:t>
      </w:r>
    </w:p>
    <w:p>
      <w:pPr>
        <w:spacing w:after="0" w:line="182" w:lineRule="exact"/>
        <w:rPr>
          <w:rFonts w:ascii="Arial" w:cs="Arial" w:eastAsia="Arial" w:hAnsi="Arial"/>
          <w:sz w:val="17"/>
          <w:szCs w:val="17"/>
          <w:color w:val="auto"/>
        </w:rPr>
      </w:pPr>
    </w:p>
    <w:p>
      <w:pPr>
        <w:jc w:val="both"/>
        <w:ind w:left="-656" w:firstLine="656"/>
        <w:spacing w:after="0" w:line="270" w:lineRule="auto"/>
        <w:tabs>
          <w:tab w:leader="none" w:pos="721"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financial statements included or incorporated by reference in the Registration Statement, the Pricing Disclosure Package and the Prospectus, together with the related schedules and notes, present fairly in all material respects the financial position of the Company and its subsidiaries as of the dates indicated, and for the periods indicated therein, subject in the case of unaudited financial statements to normal year-end audit adjustments; said financial statements have been prepared in conformity with GAAP applied on a consistent basis throughout the periods involved, except as otherwise stated in the Registration Statement, the Pricing Disclosure Package and the Prospectus. The supporting schedules, if any, present fairly in all material respects in accordance with GAAP the information required to be stated therein. The selected financial data and the summary financial information included in the Registration Statement, the Pricing Disclosure Package and the Prospectus present fairly in all material respects the information shown therein and have been compiled on a basis consistent with that of the financial statements included or incorporated by reference therein. Except as included therein, no historical or pro forma financial statements or supporting schedules are required to be included in the Registration Statement, the Pricing Disclosure Package or the Prospectus under the Act or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259080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7" w:name="page18"/>
    <w:bookmarkEnd w:id="17"/>
    <w:p>
      <w:pPr>
        <w:ind w:left="-8" w:firstLine="656"/>
        <w:spacing w:after="0" w:line="277" w:lineRule="auto"/>
        <w:tabs>
          <w:tab w:leader="none" w:pos="121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There are no debt securities or preferred stock of, or guaranteed by, the Company that are rated by a “nationally recognized statistical rating organization,” as such term is defined in Section 3(a)(62) of the Exchange Act;</w:t>
      </w:r>
    </w:p>
    <w:p>
      <w:pPr>
        <w:spacing w:after="0" w:line="170" w:lineRule="exact"/>
        <w:rPr>
          <w:rFonts w:ascii="Arial" w:cs="Arial" w:eastAsia="Arial" w:hAnsi="Arial"/>
          <w:sz w:val="18"/>
          <w:szCs w:val="18"/>
          <w:color w:val="auto"/>
        </w:rPr>
      </w:pPr>
    </w:p>
    <w:p>
      <w:pPr>
        <w:jc w:val="both"/>
        <w:ind w:left="-8" w:firstLine="656"/>
        <w:spacing w:after="0" w:line="284" w:lineRule="auto"/>
        <w:tabs>
          <w:tab w:leader="none" w:pos="1228" w:val="left"/>
        </w:tabs>
        <w:numPr>
          <w:ilvl w:val="1"/>
          <w:numId w:val="16"/>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result in a material liability to the Company or any of its subsidiaries, (i) each “employee benefit plan” within the meaning of the Employee Retirement Income Security Act of 1974, as amended (“ERISA”), whether or not subject to ERISA, for which the Company or any member of its “Controlled Group” (defined as any organization which is a member of a controlled group of corporations within the meaning of Section 414 of the Internal Revenue Code of 1986, as amended (the “Code”)) would have any liability (each a “Plan”) has been maintained in compliance with its terms and with the requirements of all applicable statutes, rules and regulations including ERISA and the Code; (ii) neither the Company nor any member of its Controlled Group has incurred, or reasonably expects to incur, any liability under Title IV of ERISA in respect of a Plan (including a “multiemployer plan,” within the meaning of Section 4001(c)(3) of ERISA); (iii) each Plan that is intended to be qualified under Section 401(a) of the Code is so qualified and nothing has occurred, whether by action or by failure to act, which would cause the loss of such qualification;</w:t>
      </w:r>
    </w:p>
    <w:p>
      <w:pPr>
        <w:spacing w:after="0" w:line="1" w:lineRule="exact"/>
        <w:rPr>
          <w:rFonts w:ascii="Arial" w:cs="Arial" w:eastAsia="Arial" w:hAnsi="Arial"/>
          <w:sz w:val="16"/>
          <w:szCs w:val="16"/>
          <w:color w:val="auto"/>
        </w:rPr>
      </w:pPr>
    </w:p>
    <w:p>
      <w:pPr>
        <w:jc w:val="both"/>
        <w:ind w:left="-8" w:firstLine="8"/>
        <w:spacing w:after="0" w:line="273" w:lineRule="auto"/>
        <w:tabs>
          <w:tab w:leader="none" w:pos="30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is no pending audit or investigation by the Internal Revenue Service, the U.S. Department of Labor, the Pension Benefit Guaranty Corporation or any other governmental agency with respect to any Plan that could reasonably be expected to result in material liability to the Company or any of its subsidiaries; and (v) the Company and its subsidiaries have not incurred any liability for any prohibited transaction, the failure of any Plan to meet the minimum funding standards required by law, including by ERISA or the Code, or any complete or partial withdrawal liability with respect to any Plan;</w:t>
      </w:r>
    </w:p>
    <w:p>
      <w:pPr>
        <w:spacing w:after="0" w:line="176" w:lineRule="exact"/>
        <w:rPr>
          <w:rFonts w:ascii="Arial" w:cs="Arial" w:eastAsia="Arial" w:hAnsi="Arial"/>
          <w:sz w:val="17"/>
          <w:szCs w:val="17"/>
          <w:color w:val="auto"/>
        </w:rPr>
      </w:pPr>
    </w:p>
    <w:p>
      <w:pPr>
        <w:jc w:val="both"/>
        <w:ind w:left="-8" w:firstLine="656"/>
        <w:spacing w:after="0" w:line="264" w:lineRule="auto"/>
        <w:tabs>
          <w:tab w:leader="none" w:pos="1221"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There are no existing or, to the knowledge of the Company, threatened labor disputes with employees of the Company, and the Company is not aware of any existing or threatened labor disturbance by the employees of any of its principal suppliers, manufacturers, customers or contractors that, individually or in the aggregate, could reasonably be expected to result in a material liability to the Company;</w:t>
      </w:r>
    </w:p>
    <w:p>
      <w:pPr>
        <w:spacing w:after="0" w:line="181" w:lineRule="exact"/>
        <w:rPr>
          <w:rFonts w:ascii="Arial" w:cs="Arial" w:eastAsia="Arial" w:hAnsi="Arial"/>
          <w:sz w:val="18"/>
          <w:szCs w:val="18"/>
          <w:color w:val="auto"/>
        </w:rPr>
      </w:pPr>
    </w:p>
    <w:p>
      <w:pPr>
        <w:jc w:val="both"/>
        <w:ind w:left="-8" w:firstLine="656"/>
        <w:spacing w:after="0" w:line="342" w:lineRule="auto"/>
        <w:tabs>
          <w:tab w:leader="none" w:pos="1172"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interactive data in the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23" w:lineRule="exact"/>
        <w:rPr>
          <w:rFonts w:ascii="Arial" w:cs="Arial" w:eastAsia="Arial" w:hAnsi="Arial"/>
          <w:sz w:val="16"/>
          <w:szCs w:val="16"/>
          <w:color w:val="auto"/>
        </w:rPr>
      </w:pPr>
    </w:p>
    <w:p>
      <w:pPr>
        <w:jc w:val="both"/>
        <w:ind w:left="-8" w:firstLine="656"/>
        <w:spacing w:after="0" w:line="264" w:lineRule="auto"/>
        <w:tabs>
          <w:tab w:leader="none" w:pos="112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There are no relationships, direct or indirect, or related-party transactions involving the Company or any other person required to be described in the Registration Statement, Pricing Prospectus and the Prospectus which have not been described in such documents and the Pricing Disclosure Package as required;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8" w:name="page19"/>
    <w:bookmarkEnd w:id="18"/>
    <w:p>
      <w:pPr>
        <w:jc w:val="both"/>
        <w:ind w:left="-656" w:firstLine="656"/>
        <w:spacing w:after="0" w:line="289" w:lineRule="auto"/>
        <w:tabs>
          <w:tab w:leader="none" w:pos="438" w:val="left"/>
        </w:tabs>
        <w:numPr>
          <w:ilvl w:val="0"/>
          <w:numId w:val="18"/>
        </w:numPr>
        <w:rPr>
          <w:rFonts w:ascii="Arial" w:cs="Arial" w:eastAsia="Arial" w:hAnsi="Arial"/>
          <w:sz w:val="16"/>
          <w:szCs w:val="16"/>
          <w:color w:val="auto"/>
        </w:rPr>
      </w:pPr>
      <w:r>
        <w:rPr>
          <w:rFonts w:ascii="Arial" w:cs="Arial" w:eastAsia="Arial" w:hAnsi="Arial"/>
          <w:sz w:val="16"/>
          <w:szCs w:val="16"/>
          <w:color w:val="auto"/>
        </w:rPr>
        <w:t>(i)(x) To the Company’s knowledge, there has been no material security breach or other compromise of or relating to any of the Company’s or its subsidiaries’ information technology and computer systems, networks, hardware, software, data (including the data of their respective customers, employees, suppliers, vendors and any third party data maintained by or on behalf of them), equipment or technology (collectively, “IT Systems and Data”) and (y) the Company and its subsidiaries have not been notified of, and have no knowledge of any event or condition that would reasonably be expected to result in, any material security breach; (ii) the Company and its subsidiaries are presently in compliance with all applicable laws or statutes and all judgments, orders, rules and regulations of any court or arbitrator or governmental or regulatory authority, published privacy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have a Material Adverse Effect; and (iii) the Company and its subsidiaries have implemented backup and disaster recovery technology consistent with industry standards and practices.</w:t>
      </w:r>
    </w:p>
    <w:p>
      <w:pPr>
        <w:spacing w:after="0" w:line="167" w:lineRule="exact"/>
        <w:rPr>
          <w:sz w:val="20"/>
          <w:szCs w:val="20"/>
          <w:color w:val="auto"/>
        </w:rPr>
      </w:pPr>
    </w:p>
    <w:p>
      <w:pPr>
        <w:jc w:val="both"/>
        <w:ind w:left="-656" w:firstLine="656"/>
        <w:spacing w:after="0" w:line="270"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Subject to the terms and conditions herein set forth, (a) the Company agrees to issue and sell to each of the Underwriters, and each of the Underwriters agrees, severally and not jointly, to purchase from the Company, at a purchase price per share of $65.55,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261620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9" w:name="page20"/>
    <w:bookmarkEnd w:id="19"/>
    <w:p>
      <w:pPr>
        <w:jc w:val="both"/>
        <w:ind w:firstLine="648"/>
        <w:spacing w:after="0" w:line="272" w:lineRule="auto"/>
        <w:rPr>
          <w:sz w:val="20"/>
          <w:szCs w:val="20"/>
          <w:color w:val="auto"/>
        </w:rPr>
      </w:pPr>
      <w:r>
        <w:rPr>
          <w:rFonts w:ascii="Arial" w:cs="Arial" w:eastAsia="Arial" w:hAnsi="Arial"/>
          <w:sz w:val="17"/>
          <w:szCs w:val="17"/>
          <w:color w:val="auto"/>
        </w:rPr>
        <w:t xml:space="preserve">The Company hereby grants to the Underwriters the right to purchase at their election up to 706,521 Optional Shares, at the purchase price per share set forth in the paragraph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4 hereof) or, unless you and the Company otherwise agree in writing, earlier than two or later than ten business days after the date of such notice.</w:t>
      </w:r>
    </w:p>
    <w:p>
      <w:pPr>
        <w:spacing w:after="0" w:line="178" w:lineRule="exact"/>
        <w:rPr>
          <w:sz w:val="20"/>
          <w:szCs w:val="20"/>
          <w:color w:val="auto"/>
        </w:rPr>
      </w:pPr>
    </w:p>
    <w:p>
      <w:pPr>
        <w:ind w:firstLine="656"/>
        <w:spacing w:after="0" w:line="277" w:lineRule="auto"/>
        <w:tabs>
          <w:tab w:leader="none" w:pos="11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Firm Shares, the several Underwriters propose to offer the Firm Shares for sale upon the terms and conditions set forth in the Prospectus.</w:t>
      </w:r>
    </w:p>
    <w:p>
      <w:pPr>
        <w:spacing w:after="0" w:line="170" w:lineRule="exact"/>
        <w:rPr>
          <w:rFonts w:ascii="Arial" w:cs="Arial" w:eastAsia="Arial" w:hAnsi="Arial"/>
          <w:sz w:val="18"/>
          <w:szCs w:val="18"/>
          <w:color w:val="auto"/>
        </w:rPr>
      </w:pPr>
    </w:p>
    <w:p>
      <w:pPr>
        <w:jc w:val="both"/>
        <w:ind w:firstLine="656"/>
        <w:spacing w:after="0" w:line="288" w:lineRule="auto"/>
        <w:tabs>
          <w:tab w:leader="none" w:pos="1193"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The Shares to be purchased by each Underwriter hereunder, in electronic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time and date of such delivery and payment shall be, with respect to the Firm Shares, 9:30 a.m., New York City time, on January 27, 2020 or such other time and date as the Representatives and the Company may agree upon in writing, and, with respect to the Optional Shares, 9:30 a.m., New York City time, on the date specified by the Representatives in each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69" w:lineRule="exact"/>
        <w:rPr>
          <w:sz w:val="20"/>
          <w:szCs w:val="20"/>
          <w:color w:val="auto"/>
        </w:rPr>
      </w:pPr>
    </w:p>
    <w:p>
      <w:pPr>
        <w:jc w:val="both"/>
        <w:ind w:firstLine="656"/>
        <w:spacing w:after="0" w:line="291" w:lineRule="auto"/>
        <w:tabs>
          <w:tab w:leader="none" w:pos="11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documents to be delivered at each Time of Delivery by or on behalf of the parties hereto pursuant to Section 8 hereof, including the cross receipt for the Shares and any additional documents requested by the Underwriters pursuant to Section 8(k) hereof, will be delivered at the offices of Latham</w:t>
      </w:r>
    </w:p>
    <w:p>
      <w:pPr>
        <w:jc w:val="both"/>
        <w:ind w:firstLine="8"/>
        <w:spacing w:after="0" w:line="252" w:lineRule="auto"/>
        <w:tabs>
          <w:tab w:leader="none" w:pos="1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Watkins LLP, 200 Clarendon Street, Boston, MA 02116 (the “Closing Location”), and the Shares will be delivered at the office of DTC or its designated location, all at such Time of Delivery. A meeting will be held at the Closing Location or via teleconference at 4:00 p.m., New York City time, on the New York Business Day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left="444" w:hanging="444"/>
        <w:spacing w:after="0"/>
        <w:tabs>
          <w:tab w:leader="none" w:pos="4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agrees with each of the Underwriters:</w:t>
      </w:r>
    </w:p>
    <w:p>
      <w:pPr>
        <w:spacing w:after="0" w:line="225" w:lineRule="exact"/>
        <w:rPr>
          <w:sz w:val="20"/>
          <w:szCs w:val="20"/>
          <w:color w:val="auto"/>
        </w:rPr>
      </w:pPr>
    </w:p>
    <w:p>
      <w:pPr>
        <w:jc w:val="both"/>
        <w:ind w:left="-656" w:firstLine="656"/>
        <w:spacing w:after="0" w:line="285" w:lineRule="auto"/>
        <w:tabs>
          <w:tab w:leader="none" w:pos="497"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prepare the Prospectus in a form approved by you and to file such Prospectus pursuant to Rule 424(b) under the Act not later than the Commission’s close of business on the second business day following the execution and delivery of this Agreement, or such earlier time as may be required under the Act; to make no further amendment or any supplement to the Registration Statement, the Basic Prospectus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within the time required for such rule;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Shares; to advise you, promptly after it receives notice thereof, of the issuance by the Commission of any stop order or of any order preventing or suspending the use of any Preliminary Prospectus or other prospectus in respect of the Shares, of any notice of objection of the Commission to the use of the Registration Statement or any post-effective amendment thereto pursuant to Rule 401(g)(2) under the Act,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reasonable best efforts to obtain the withdrawal of such order; and in the event of any issuance of a notice of objection referred to above, promptly use its reasonable best efforts to take such steps including, without limitation, amending the Automatic Registration Statement or filing a new registration statement, at its own expense, as may be necessary to permit offers and sales of the Shares by the Underwriters (references herein to the Automatic Registration Statement shall include any such amendment or new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254635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1" w:name="page22"/>
    <w:bookmarkEnd w:id="21"/>
    <w:p>
      <w:pPr>
        <w:jc w:val="both"/>
        <w:ind w:left="-656" w:firstLine="656"/>
        <w:spacing w:after="0" w:line="264" w:lineRule="auto"/>
        <w:tabs>
          <w:tab w:leader="none" w:pos="4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required by Rule 430B(h) under the Act, to prepare a form of prospectus in a form approved by you and to file such form of prospectus pursuant to Rule 424(b) under the Act not later than may be required by Rule 424(b) under the Act; and to make no further amendment or supplement to such form of prospectus which shall be disapproved by you promptly after reasonable notice thereof;</w:t>
      </w:r>
    </w:p>
    <w:p>
      <w:pPr>
        <w:spacing w:after="0" w:line="181" w:lineRule="exact"/>
        <w:rPr>
          <w:rFonts w:ascii="Arial" w:cs="Arial" w:eastAsia="Arial" w:hAnsi="Arial"/>
          <w:sz w:val="18"/>
          <w:szCs w:val="18"/>
          <w:color w:val="auto"/>
        </w:rPr>
      </w:pPr>
    </w:p>
    <w:p>
      <w:pPr>
        <w:jc w:val="both"/>
        <w:ind w:left="-656" w:firstLine="656"/>
        <w:spacing w:after="0" w:line="271" w:lineRule="auto"/>
        <w:tabs>
          <w:tab w:leader="none" w:pos="477"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by the third anniversary (the “Renewal Deadline”) of the initial effective date of the Automatic Registration Statement, any of the Shares remain unsold by the Underwriters, the Company will file, if it has not already done so and is eligible to do so, a new automatic shelf registration statement relating to the Shares, in a form satisfactory to you. If at the Renewal Deadline the Company is no longer eligible to file an automatic shelf registration statement, the Company will, if it has not already done so, file a new shelf registration statement relating to the Shares, in a form satisfactory to you, and will use its best efforts to cause such registration statement to be declared effective within 180 days after the Renewal Deadline. The Company will take all other action necessary or appropriate to permit the public offering and sale of the Shares to continue as contemplated in the expired registration statement relating to the Shares. References herein to the Automatic Registration Statement shall include such new automatic shelf registration statement or such new shelf registration statement, as the case may be;</w:t>
      </w:r>
    </w:p>
    <w:p>
      <w:pPr>
        <w:spacing w:after="0" w:line="178" w:lineRule="exact"/>
        <w:rPr>
          <w:rFonts w:ascii="Arial" w:cs="Arial" w:eastAsia="Arial" w:hAnsi="Arial"/>
          <w:sz w:val="17"/>
          <w:szCs w:val="17"/>
          <w:color w:val="auto"/>
        </w:rPr>
      </w:pPr>
    </w:p>
    <w:p>
      <w:pPr>
        <w:jc w:val="both"/>
        <w:ind w:left="-656" w:firstLine="656"/>
        <w:spacing w:after="0" w:line="257" w:lineRule="auto"/>
        <w:tabs>
          <w:tab w:leader="none" w:pos="4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therewith the Company shall not be required to qualify as a foreign corporation or to file a general consent to service of process in any jurisdiction, or subject itself to taxation in any such jurisdiction in which it was not otherwise subject to taxation;</w:t>
      </w:r>
    </w:p>
    <w:p>
      <w:pPr>
        <w:spacing w:after="0" w:line="188" w:lineRule="exact"/>
        <w:rPr>
          <w:rFonts w:ascii="Arial" w:cs="Arial" w:eastAsia="Arial" w:hAnsi="Arial"/>
          <w:sz w:val="18"/>
          <w:szCs w:val="18"/>
          <w:color w:val="auto"/>
        </w:rPr>
      </w:pPr>
    </w:p>
    <w:p>
      <w:pPr>
        <w:jc w:val="both"/>
        <w:ind w:left="-656" w:firstLine="656"/>
        <w:spacing w:after="0" w:line="286" w:lineRule="auto"/>
        <w:tabs>
          <w:tab w:leader="none" w:pos="471"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Prior to 10:00 a.m., New York City time, on the New York Business Day next succeeding the date of this Agreement (or such other time as may be agreed to by the Representatives and the Company)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each Underwriter and to any dealer in securities (whose name and address the Underwriters shall furnish to the Company)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253365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2" w:name="page23"/>
    <w:bookmarkEnd w:id="22"/>
    <w:p>
      <w:pPr>
        <w:jc w:val="both"/>
        <w:ind w:left="-656" w:firstLine="656"/>
        <w:spacing w:after="0" w:line="302" w:lineRule="auto"/>
        <w:tabs>
          <w:tab w:leader="none" w:pos="47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make generally available to its security 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54" w:lineRule="exact"/>
        <w:rPr>
          <w:rFonts w:ascii="Arial" w:cs="Arial" w:eastAsia="Arial" w:hAnsi="Arial"/>
          <w:sz w:val="16"/>
          <w:szCs w:val="16"/>
          <w:color w:val="auto"/>
        </w:rPr>
      </w:pPr>
    </w:p>
    <w:p>
      <w:pPr>
        <w:jc w:val="both"/>
        <w:ind w:left="-656" w:firstLine="656"/>
        <w:spacing w:after="0" w:line="284" w:lineRule="auto"/>
        <w:tabs>
          <w:tab w:leader="none" w:pos="477"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During the period beginning from the date hereof and continuing to and including the date 60 days after the date of the Prospectus (the “Lock-Up Period”), not to (i) offer, sell, contract to sell, pledge, grant any option to purchase, make any short sale or otherwise transfer or dispose of, directly or indirectly, or file with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Stock or any such other securities, whether any such transaction described in clause (i) or (ii) above is to be settled by delivery of Stock or such other securities, in cash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foregoing restrictions shall not apply to (A) the Shares to be sold hereunder, (B) the grant of any options and other awards pursuant to the Company’s equity plans disclosed in the Pricing Prospectus, (C) any shares of Stock issued by the Company upon the exercise or settlement of options or restricted stock units pursuant to the Company’s equity plans disclosed in the Pricing Prospectus, (D) the sale of any shares of Stock on behalf of the Company’s employees upon vesting and settlement of restricted stock units outstanding pursuant to the Company’s equity plans disclosed in the Pricing Prospectus, in each case, only in an amount necessary to satisfy the payment of taxes due as a result of such vesting (or the Company entering into any amendment to restricted stock units outstanding to effect the foregoing), (E) issuances of securities under the Company’s employee stock purchase plan disclosed in the Pricing Prospectus, (F) the filing by the Company of any registration statement on Form S-8 or a successor form thereto relating to the shares of Stock granted pursuant to or reserved for issuance under the Company’s equity plans disclosed in the Pricing Prospectus or (G) the issuance by the Company of any shares of Stock or any security convertible into or exercisable for shares of Stock in connection with a transaction with an unaffiliated third party that includes a bona fide commercial relationship (including joint ventures, marketing or distribution arrangements, collaboration agreements or intellectual property license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 (G), the aggregate number of shares of Stock that the Company may sell or issue or agree to sell or issue pursuant to clause (G) shall not exceed 5% of the total number of shares of Stock issued and outstanding immediately following the completion of the transactions contemplated by this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the case of clause (G) the Company shall (i) cause each recipient of such securities to execute and deliver to you, on or prior to the issuance of such securities, a lock-up agreement on substantially the same terms as the lock-up agreements referenced in Section 8(i) hereof for the remainder of the Company Lock-Up Period, and (ii) enter stop transfer instructions with the Company’s transfer agent and registrar on such securities, which the Company agrees it will not waive or amend without the prior written consent of each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259715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3" w:name="page24"/>
    <w:bookmarkEnd w:id="23"/>
    <w:p>
      <w:pPr>
        <w:jc w:val="both"/>
        <w:ind w:left="-656" w:firstLine="656"/>
        <w:spacing w:after="0" w:line="255" w:lineRule="auto"/>
        <w:tabs>
          <w:tab w:leader="none" w:pos="5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for such quarter in reasonable detail;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reports, documents or other information needs to be furnished pursuant to this Section 5(h) to the extent they are available on EDGAR;</w:t>
      </w:r>
    </w:p>
    <w:p>
      <w:pPr>
        <w:spacing w:after="0" w:line="189" w:lineRule="exact"/>
        <w:rPr>
          <w:rFonts w:ascii="Arial" w:cs="Arial" w:eastAsia="Arial" w:hAnsi="Arial"/>
          <w:sz w:val="18"/>
          <w:szCs w:val="18"/>
          <w:color w:val="auto"/>
        </w:rPr>
      </w:pPr>
    </w:p>
    <w:p>
      <w:pPr>
        <w:jc w:val="both"/>
        <w:ind w:left="-656" w:firstLine="656"/>
        <w:spacing w:after="0" w:line="279" w:lineRule="auto"/>
        <w:tabs>
          <w:tab w:leader="none" w:pos="691"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During a period of three years from the effective date of the Registration Statement, to furnish to you copies of all reports or other communications (financial or other) furnished to stockholders, and to deliver to you as soon as they are available, copies of any reports and financial statements furnished to or filed with the Commission or any national securities exchange on which any class of securities of the Company is listed;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reports, documents or other information needs to be furnished pursuant to this Section 5(i) to the extent they are available on 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255270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4" w:name="page25"/>
    <w:bookmarkEnd w:id="24"/>
    <w:p>
      <w:pPr>
        <w:ind w:left="-656" w:firstLine="656"/>
        <w:spacing w:after="0" w:line="277"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in the manner specified in the Pricing Prospectus under the caption “Use of Proceeds”;</w:t>
      </w:r>
    </w:p>
    <w:p>
      <w:pPr>
        <w:spacing w:after="0" w:line="170" w:lineRule="exact"/>
        <w:rPr>
          <w:rFonts w:ascii="Arial" w:cs="Arial" w:eastAsia="Arial" w:hAnsi="Arial"/>
          <w:sz w:val="18"/>
          <w:szCs w:val="18"/>
          <w:color w:val="auto"/>
        </w:rPr>
      </w:pPr>
    </w:p>
    <w:p>
      <w:pPr>
        <w:ind w:left="484" w:hanging="484"/>
        <w:spacing w:after="0"/>
        <w:tabs>
          <w:tab w:leader="none" w:pos="4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use its best efforts to list, subject to notice of issuance, the Shares on The NASDAQ Global Select Market;</w:t>
      </w:r>
    </w:p>
    <w:p>
      <w:pPr>
        <w:spacing w:after="0" w:line="225" w:lineRule="exact"/>
        <w:rPr>
          <w:rFonts w:ascii="Arial" w:cs="Arial" w:eastAsia="Arial" w:hAnsi="Arial"/>
          <w:sz w:val="18"/>
          <w:szCs w:val="18"/>
          <w:color w:val="auto"/>
        </w:rPr>
      </w:pPr>
    </w:p>
    <w:p>
      <w:pPr>
        <w:jc w:val="both"/>
        <w:ind w:left="-656" w:firstLine="656"/>
        <w:spacing w:after="0" w:line="259"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License shall be used solely for the purpose described above, is granted without any fee and may not be assigned or transferred; and</w:t>
      </w:r>
    </w:p>
    <w:p>
      <w:pPr>
        <w:spacing w:after="0" w:line="186" w:lineRule="exact"/>
        <w:rPr>
          <w:rFonts w:ascii="Arial" w:cs="Arial" w:eastAsia="Arial" w:hAnsi="Arial"/>
          <w:sz w:val="18"/>
          <w:szCs w:val="18"/>
          <w:color w:val="auto"/>
        </w:rPr>
      </w:pPr>
    </w:p>
    <w:p>
      <w:pPr>
        <w:ind w:left="-656" w:firstLine="656"/>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pay the required Commission filing fees relating to the Shares within the time required by Rule 456(b)(1) under the Act without regard to the proviso therein and otherwise in accordance with Rules 456(b) and 457(r) under the Act.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jc w:val="both"/>
        <w:ind w:left="-656" w:firstLine="656"/>
        <w:spacing w:after="0" w:line="257" w:lineRule="auto"/>
        <w:tabs>
          <w:tab w:leader="none" w:pos="46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any such free writing prospectus the use of which has been consented to by the Company and the Representatives is listed on Schedule II(a) or Schedule II(b) hereto;</w:t>
      </w:r>
    </w:p>
    <w:p>
      <w:pPr>
        <w:spacing w:after="0" w:line="188" w:lineRule="exact"/>
        <w:rPr>
          <w:rFonts w:ascii="Arial" w:cs="Arial" w:eastAsia="Arial" w:hAnsi="Arial"/>
          <w:sz w:val="18"/>
          <w:szCs w:val="18"/>
          <w:color w:val="auto"/>
        </w:rPr>
      </w:pPr>
    </w:p>
    <w:p>
      <w:pPr>
        <w:jc w:val="both"/>
        <w:ind w:left="-656" w:firstLine="656"/>
        <w:spacing w:after="0" w:line="286" w:lineRule="auto"/>
        <w:tabs>
          <w:tab w:leader="none" w:pos="64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65" w:lineRule="exact"/>
        <w:rPr>
          <w:rFonts w:ascii="Arial" w:cs="Arial" w:eastAsia="Arial" w:hAnsi="Arial"/>
          <w:sz w:val="17"/>
          <w:szCs w:val="17"/>
          <w:color w:val="auto"/>
        </w:rPr>
      </w:pPr>
    </w:p>
    <w:p>
      <w:pPr>
        <w:jc w:val="both"/>
        <w:ind w:left="-656" w:firstLine="656"/>
        <w:spacing w:after="0" w:line="270" w:lineRule="auto"/>
        <w:tabs>
          <w:tab w:leader="none" w:pos="576"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Company agrees that if at any time following issuance of an Issuer Free Writing Prospectus prepared or authorized by it or Written Testing-the-Waters Communication any event occurred or occurs as a result of which such Issuer Free Writing Prospectus prepared or authorized by it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prepared or authorized by it, Written Testing-the-Waters Communication or other document which will correct such conflict, statement or omission;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covenant shall not apply to any statements or omissions in an Issuer Free Writing Prospectus prepared or authorized by it made in reliance upon and in conformity with information furnished in writing to the Company by an Underwriter through the Representatives expressly for use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261620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5" w:name="page26"/>
    <w:bookmarkEnd w:id="25"/>
    <w:p>
      <w:pPr>
        <w:jc w:val="both"/>
        <w:ind w:firstLine="656"/>
        <w:spacing w:after="0" w:line="288" w:lineRule="auto"/>
        <w:tabs>
          <w:tab w:leader="none" w:pos="126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w:t>
      </w:r>
    </w:p>
    <w:p>
      <w:pPr>
        <w:jc w:val="both"/>
        <w:spacing w:after="0" w:line="277" w:lineRule="auto"/>
        <w:rPr>
          <w:rFonts w:ascii="Arial" w:cs="Arial" w:eastAsia="Arial" w:hAnsi="Arial"/>
          <w:sz w:val="16"/>
          <w:szCs w:val="16"/>
          <w:color w:val="auto"/>
        </w:rPr>
      </w:pPr>
      <w:r>
        <w:rPr>
          <w:rFonts w:ascii="Arial" w:cs="Arial" w:eastAsia="Arial" w:hAnsi="Arial"/>
          <w:sz w:val="17"/>
          <w:szCs w:val="17"/>
          <w:color w:val="auto"/>
        </w:rPr>
        <w:t>(2), (a)(3), (a)(7) or (a)(8) under the Act; and (ii) it has not distributed, or authorized any other person to distribute, any Written Testing-the-Waters Communication, other than those distributed with the prior consent of the Representatives that are listed on Schedule II(d) hereto; and the Company reconfirms that the Underwriters have been authorized to act on its behalf in engaging in Testing-the-Waters Communications; and</w:t>
      </w:r>
    </w:p>
    <w:p>
      <w:pPr>
        <w:spacing w:after="0" w:line="173" w:lineRule="exact"/>
        <w:rPr>
          <w:rFonts w:ascii="Arial" w:cs="Arial" w:eastAsia="Arial" w:hAnsi="Arial"/>
          <w:sz w:val="16"/>
          <w:szCs w:val="16"/>
          <w:color w:val="auto"/>
        </w:rPr>
      </w:pPr>
    </w:p>
    <w:p>
      <w:pPr>
        <w:jc w:val="both"/>
        <w:ind w:firstLine="656"/>
        <w:spacing w:after="0" w:line="264" w:lineRule="auto"/>
        <w:tabs>
          <w:tab w:leader="none" w:pos="1361"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w:t>
      </w:r>
    </w:p>
    <w:p>
      <w:pPr>
        <w:spacing w:after="0" w:line="181" w:lineRule="exact"/>
        <w:rPr>
          <w:sz w:val="20"/>
          <w:szCs w:val="20"/>
          <w:color w:val="auto"/>
        </w:rPr>
      </w:pPr>
    </w:p>
    <w:p>
      <w:pPr>
        <w:jc w:val="both"/>
        <w:ind w:firstLine="656"/>
        <w:spacing w:after="0" w:line="283" w:lineRule="auto"/>
        <w:tabs>
          <w:tab w:leader="none" w:pos="1158"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the Basic Prospectus,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any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5(d) hereof, including the fees and disbursements of counsel for the Underwriters in connection with such qualification and in connection with the Blue Sky survey (iv) all fees and expenses in connection with listing the Shares on The NASDAQ Global Select Market; (v) the filing fees incident to, and the fees and disbursements of counsel for the Underwriters in connection with, any required review by FINRA of the terms of the sale of the Shares; (vi) the cost of preparing stock certificates; (vii) the cost and charges of any transfer agent or registrar; (viii) all costs and expenses of the Company related to investor presentations on any “road show” undertaken in connection with the marketing of the Shares,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(not including the Underwriters and their representatives)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Underwriters and the Company shall each pay 50% of the cost of any aircraft chartered in connection with any road show meetings); and</w:t>
      </w:r>
    </w:p>
    <w:p>
      <w:pPr>
        <w:spacing w:after="0" w:line="1" w:lineRule="exact"/>
        <w:rPr>
          <w:rFonts w:ascii="Arial" w:cs="Arial" w:eastAsia="Arial" w:hAnsi="Arial"/>
          <w:sz w:val="16"/>
          <w:szCs w:val="16"/>
          <w:color w:val="auto"/>
        </w:rPr>
      </w:pPr>
    </w:p>
    <w:p>
      <w:pPr>
        <w:jc w:val="both"/>
        <w:ind w:firstLine="8"/>
        <w:spacing w:after="0" w:line="271" w:lineRule="auto"/>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all other costs and expenses incident to the performance of its obligations hereunder which are not otherwise specifically provided for in this Section;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amount payable by the Company pursuant to subsections (iii) and (v) and for the fees and disbursements of counsel to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described in subsections (iii) and (v) of this Section 7 shall not exceed $5,000 in the aggregate.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left="-656" w:firstLine="656"/>
        <w:spacing w:after="0" w:line="314" w:lineRule="auto"/>
        <w:tabs>
          <w:tab w:leader="none" w:pos="43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obligations of the Underwriters hereunder</w:t>
      </w:r>
      <w:r>
        <w:rPr>
          <w:rFonts w:ascii="Arial" w:cs="Arial" w:eastAsia="Arial" w:hAnsi="Arial"/>
          <w:sz w:val="16"/>
          <w:szCs w:val="16"/>
          <w:b w:val="1"/>
          <w:bCs w:val="1"/>
          <w:color w:val="auto"/>
        </w:rPr>
        <w:t>,</w:t>
      </w:r>
      <w:r>
        <w:rPr>
          <w:rFonts w:ascii="Arial" w:cs="Arial" w:eastAsia="Arial" w:hAnsi="Arial"/>
          <w:sz w:val="16"/>
          <w:szCs w:val="16"/>
          <w:color w:val="auto"/>
        </w:rPr>
        <w:t xml:space="preserve"> as to the Shares to be delivered at each Time of Delivery, shall be subject, in their discretion, to the condition that all representations and warranties and other statements of the Company herein are, at and as of such Time of Delivery, true and correct, the condition that the Company shall have performed all of its obligations hereunder theretofore to be performed, and the following additional conditions:</w:t>
      </w:r>
    </w:p>
    <w:p>
      <w:pPr>
        <w:spacing w:after="0" w:line="146" w:lineRule="exact"/>
        <w:rPr>
          <w:rFonts w:ascii="Arial" w:cs="Arial" w:eastAsia="Arial" w:hAnsi="Arial"/>
          <w:sz w:val="16"/>
          <w:szCs w:val="16"/>
          <w:color w:val="auto"/>
        </w:rPr>
      </w:pPr>
    </w:p>
    <w:p>
      <w:pPr>
        <w:jc w:val="both"/>
        <w:ind w:left="4" w:firstLine="401"/>
        <w:spacing w:after="0" w:line="290" w:lineRule="auto"/>
        <w:tabs>
          <w:tab w:leader="none" w:pos="1029"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no stop order suspending the effectiveness of the Registration Statement or any part thereof shall have been issued and no proceeding for that purpose shall have been initiated or threatened by the Commission and no notice of objection of the Commission to the use of the Registration Statement or any post-effective amendment thereto pursuant to Rule 401(g)(2) under the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252095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27" w:name="page28"/>
    <w:bookmarkEnd w:id="27"/>
    <w:p>
      <w:pPr>
        <w:jc w:val="both"/>
        <w:ind w:left="-401" w:firstLine="401"/>
        <w:spacing w:after="0" w:line="264" w:lineRule="auto"/>
        <w:tabs>
          <w:tab w:leader="none" w:pos="5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Latham &amp; Watkins LLP, counsel for the Underwriters, shall have furnished to you their written opinion, dated such Time of Delivery, in form and substance satisfactory to you, as well as such other related matters as you may reasonably request, and such counsel shall have received such papers and information as they may reasonably request to enable them to pass upon such matters;</w:t>
      </w:r>
    </w:p>
    <w:p>
      <w:pPr>
        <w:spacing w:after="0" w:line="181" w:lineRule="exact"/>
        <w:rPr>
          <w:rFonts w:ascii="Arial" w:cs="Arial" w:eastAsia="Arial" w:hAnsi="Arial"/>
          <w:sz w:val="18"/>
          <w:szCs w:val="18"/>
          <w:color w:val="auto"/>
        </w:rPr>
      </w:pPr>
    </w:p>
    <w:p>
      <w:pPr>
        <w:ind w:left="-401" w:firstLine="401"/>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Goodwin Procter LLP, counsel for the Company, shall have furnished to you their written opinion and negative assurance letter, each in form and substance satisfactory to you, dated such Time of Delivery;</w:t>
      </w:r>
    </w:p>
    <w:p>
      <w:pPr>
        <w:spacing w:after="0" w:line="170" w:lineRule="exact"/>
        <w:rPr>
          <w:rFonts w:ascii="Arial" w:cs="Arial" w:eastAsia="Arial" w:hAnsi="Arial"/>
          <w:sz w:val="18"/>
          <w:szCs w:val="18"/>
          <w:color w:val="auto"/>
        </w:rPr>
      </w:pPr>
    </w:p>
    <w:p>
      <w:pPr>
        <w:ind w:left="-401" w:firstLine="401"/>
        <w:spacing w:after="0" w:line="277" w:lineRule="auto"/>
        <w:tabs>
          <w:tab w:leader="none" w:pos="6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McCarter &amp; English, LLP and Goodwin Procter LLP, special counsel for the Company with respect to intellectual property matters, shall each have furnished to you their written opinion in form and substance satisfactory to you, dated such Time of Delivery;</w:t>
      </w:r>
    </w:p>
    <w:p>
      <w:pPr>
        <w:spacing w:after="0" w:line="170" w:lineRule="exact"/>
        <w:rPr>
          <w:rFonts w:ascii="Arial" w:cs="Arial" w:eastAsia="Arial" w:hAnsi="Arial"/>
          <w:sz w:val="18"/>
          <w:szCs w:val="18"/>
          <w:color w:val="auto"/>
        </w:rPr>
      </w:pPr>
    </w:p>
    <w:p>
      <w:pPr>
        <w:jc w:val="both"/>
        <w:ind w:left="-401" w:firstLine="401"/>
        <w:spacing w:after="0" w:line="255" w:lineRule="auto"/>
        <w:tabs>
          <w:tab w:leader="none" w:pos="6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the date of the Prospectus immediately following the execution of this Agreement,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 to the effect set forth in Annex I hereto (the executed copy of the letter is attached as Annex I(a) hereto and a draft of the form of letter to be delivered on the effective date of any post-effective amendment to the Registration Statement and as of each Time of Delivery is attached as Annex I(b) hereto);</w:t>
      </w:r>
    </w:p>
    <w:p>
      <w:pPr>
        <w:spacing w:after="0" w:line="193" w:lineRule="exact"/>
        <w:rPr>
          <w:rFonts w:ascii="Arial" w:cs="Arial" w:eastAsia="Arial" w:hAnsi="Arial"/>
          <w:sz w:val="18"/>
          <w:szCs w:val="18"/>
          <w:color w:val="auto"/>
        </w:rPr>
      </w:pPr>
    </w:p>
    <w:p>
      <w:pPr>
        <w:jc w:val="both"/>
        <w:ind w:left="-401" w:firstLine="401"/>
        <w:spacing w:after="0" w:line="287" w:lineRule="auto"/>
        <w:tabs>
          <w:tab w:leader="none" w:pos="519"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shall have sustained since the date of the latest audited financial statements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the exercise of stock options or the award of stock options or restricted stock in the ordinary course of business pursuant to the Company’s equity plans that are described in the Pricing Prospectus) or long-term debt of the Company or any of its subsidiaries or any change, or any development involving a prospective change, in or affecting the general affairs, management, financial position, stockholders’ equity, results of operations or prospects of the Company and its subsidiaries, otherwise than as set forth or contemplated in the Pricing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255905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59"/>
          </w:cols>
          <w:pgMar w:left="1301" w:top="908" w:right="239" w:bottom="1440" w:gutter="0" w:footer="0" w:header="0"/>
        </w:sectPr>
      </w:pPr>
    </w:p>
    <w:bookmarkStart w:id="28" w:name="page29"/>
    <w:bookmarkEnd w:id="28"/>
    <w:p>
      <w:pPr>
        <w:jc w:val="both"/>
        <w:ind w:left="-401" w:firstLine="401"/>
        <w:spacing w:after="0" w:line="270" w:lineRule="auto"/>
        <w:tabs>
          <w:tab w:leader="none" w:pos="567"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or after the Applicable Time there shall not have occurred any of the following: (i) a suspension or material limitation in trading in securities generally on the New York Stock Exchange or The NASDAQ Global Select Market; (ii) a suspension or material limitation in trading in the Company’s securities on The NASDAQ Global Select Market or the New York Stock Exchange; (iii) a general moratorium on commercial banking activities declared by either Federal or New York or Massachusetts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81" w:lineRule="exact"/>
        <w:rPr>
          <w:rFonts w:ascii="Arial" w:cs="Arial" w:eastAsia="Arial" w:hAnsi="Arial"/>
          <w:sz w:val="17"/>
          <w:szCs w:val="17"/>
          <w:color w:val="auto"/>
        </w:rPr>
      </w:pPr>
    </w:p>
    <w:p>
      <w:pPr>
        <w:ind w:left="519" w:hanging="519"/>
        <w:spacing w:after="0"/>
        <w:tabs>
          <w:tab w:leader="none" w:pos="5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Shares to be sold at such Time of Delivery shall have been duly listed on The NASDAQ Global Select Market;</w:t>
      </w:r>
    </w:p>
    <w:p>
      <w:pPr>
        <w:spacing w:after="0" w:line="225" w:lineRule="exact"/>
        <w:rPr>
          <w:rFonts w:ascii="Arial" w:cs="Arial" w:eastAsia="Arial" w:hAnsi="Arial"/>
          <w:sz w:val="18"/>
          <w:szCs w:val="18"/>
          <w:color w:val="auto"/>
        </w:rPr>
      </w:pPr>
    </w:p>
    <w:p>
      <w:pPr>
        <w:jc w:val="both"/>
        <w:ind w:left="-401" w:firstLine="401"/>
        <w:spacing w:after="0" w:line="264" w:lineRule="auto"/>
        <w:tabs>
          <w:tab w:leader="none" w:pos="5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shall have obtained and delivered to the Underwriters executed copies of an agreement from the officers, directors, and such other holders of the Company’s securities as you may require, substantially to the effect set forth in Annex II hereof in form and substance satisfactory to you;</w:t>
      </w:r>
    </w:p>
    <w:p>
      <w:pPr>
        <w:spacing w:after="0" w:line="181" w:lineRule="exact"/>
        <w:rPr>
          <w:rFonts w:ascii="Arial" w:cs="Arial" w:eastAsia="Arial" w:hAnsi="Arial"/>
          <w:sz w:val="18"/>
          <w:szCs w:val="18"/>
          <w:color w:val="auto"/>
        </w:rPr>
      </w:pPr>
    </w:p>
    <w:p>
      <w:pPr>
        <w:ind w:left="-401" w:firstLine="401"/>
        <w:spacing w:after="0" w:line="277" w:lineRule="auto"/>
        <w:tabs>
          <w:tab w:leader="none" w:pos="2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5(e) hereof with respect to the furnishing of prospectuses on the New York Business Day next succeeding the date of this Agreement;</w:t>
      </w:r>
    </w:p>
    <w:p>
      <w:pPr>
        <w:spacing w:after="0" w:line="170" w:lineRule="exact"/>
        <w:rPr>
          <w:rFonts w:ascii="Arial" w:cs="Arial" w:eastAsia="Arial" w:hAnsi="Arial"/>
          <w:sz w:val="18"/>
          <w:szCs w:val="18"/>
          <w:color w:val="auto"/>
        </w:rPr>
      </w:pPr>
    </w:p>
    <w:p>
      <w:pPr>
        <w:jc w:val="both"/>
        <w:ind w:left="-401" w:firstLine="401"/>
        <w:spacing w:after="0" w:line="259" w:lineRule="auto"/>
        <w:tabs>
          <w:tab w:leader="none" w:pos="59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and as to such other matters as you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264795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59"/>
          </w:cols>
          <w:pgMar w:left="1301" w:top="908" w:right="239" w:bottom="1440" w:gutter="0" w:footer="0" w:header="0"/>
        </w:sectPr>
      </w:pPr>
    </w:p>
    <w:bookmarkStart w:id="29" w:name="page30"/>
    <w:bookmarkEnd w:id="29"/>
    <w:p>
      <w:pPr>
        <w:ind w:left="544" w:hanging="544"/>
        <w:spacing w:after="0"/>
        <w:tabs>
          <w:tab w:leader="none" w:pos="5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of this Section and as to such other matters as you may reasonably request;</w:t>
      </w:r>
    </w:p>
    <w:p>
      <w:pPr>
        <w:spacing w:after="0" w:line="225" w:lineRule="exact"/>
        <w:rPr>
          <w:rFonts w:ascii="Arial" w:cs="Arial" w:eastAsia="Arial" w:hAnsi="Arial"/>
          <w:sz w:val="18"/>
          <w:szCs w:val="18"/>
          <w:color w:val="auto"/>
        </w:rPr>
      </w:pPr>
    </w:p>
    <w:p>
      <w:pPr>
        <w:ind w:left="4" w:firstLine="401"/>
        <w:spacing w:after="0" w:line="277" w:lineRule="auto"/>
        <w:tabs>
          <w:tab w:leader="none" w:pos="966"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a filing has been made with FINRA, FINRA shall have confirmed that it has not raised any objection with respect to the fairness and reasonableness of the underwriting terms and arrangements relating to the offering of the Shares; and</w:t>
      </w:r>
    </w:p>
    <w:p>
      <w:pPr>
        <w:spacing w:after="0" w:line="170" w:lineRule="exact"/>
        <w:rPr>
          <w:rFonts w:ascii="Arial" w:cs="Arial" w:eastAsia="Arial" w:hAnsi="Arial"/>
          <w:sz w:val="18"/>
          <w:szCs w:val="18"/>
          <w:color w:val="auto"/>
        </w:rPr>
      </w:pPr>
    </w:p>
    <w:p>
      <w:pPr>
        <w:jc w:val="both"/>
        <w:ind w:left="4" w:firstLine="401"/>
        <w:spacing w:after="0" w:line="286" w:lineRule="auto"/>
        <w:tabs>
          <w:tab w:leader="none" w:pos="1052" w:val="left"/>
        </w:tabs>
        <w:numPr>
          <w:ilvl w:val="1"/>
          <w:numId w:val="35"/>
        </w:numPr>
        <w:rPr>
          <w:rFonts w:ascii="Arial" w:cs="Arial" w:eastAsia="Arial" w:hAnsi="Arial"/>
          <w:sz w:val="17"/>
          <w:szCs w:val="17"/>
          <w:color w:val="auto"/>
        </w:rPr>
      </w:pPr>
      <w:r>
        <w:rPr>
          <w:rFonts w:ascii="Arial" w:cs="Arial" w:eastAsia="Arial" w:hAnsi="Arial"/>
          <w:sz w:val="17"/>
          <w:szCs w:val="17"/>
          <w:color w:val="auto"/>
        </w:rPr>
        <w:t>On or before the date of this Agreement, you shall have received a certificate satisfying the beneficial ownership due diligence requirements of the Financial Crimes Enforcement Network from the Company in form and substance reasonably satisfactory to you, along with such additional supporting documentation as you have requested in connection with the verification of the foregoing certificate.</w:t>
      </w:r>
    </w:p>
    <w:p>
      <w:pPr>
        <w:spacing w:after="0" w:line="166" w:lineRule="exact"/>
        <w:rPr>
          <w:sz w:val="20"/>
          <w:szCs w:val="20"/>
          <w:color w:val="auto"/>
        </w:rPr>
      </w:pPr>
    </w:p>
    <w:p>
      <w:pPr>
        <w:jc w:val="both"/>
        <w:ind w:left="-656" w:firstLine="656"/>
        <w:spacing w:after="0" w:line="286" w:lineRule="auto"/>
        <w:tabs>
          <w:tab w:leader="none" w:pos="408"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(a) The Company will indemnify and hold harmless each Underwriter, its affiliates (as such term is defined in Rule 501(b) under the Act (each, an “Affiliate”)), its selling agents and each person, if any, who controls any Underwriter within the meaning of Section 15 of the Act or Section 20 of the Exchange Act (each an “Underwriter Indemnified Party”) against any losses, claims, damages or liabilities, joint or several, to which such Underwriter Indemnified Party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any Issuer Free Writing Prospectus,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Indemnified Party for any legal or other expenses reasonably incurred by such Underwriter Indemnified Party in connection with investigating or defending any such action or claim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or any Testing-the-Waters Communication, in reliance upon and in conformity with written information furnished to the Company by any Underwriter through the Representatives expressly for use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409575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0" w:name="page31"/>
    <w:bookmarkEnd w:id="30"/>
    <w:p>
      <w:pPr>
        <w:jc w:val="both"/>
        <w:ind w:left="-656" w:firstLine="656"/>
        <w:spacing w:after="0" w:line="268" w:lineRule="auto"/>
        <w:tabs>
          <w:tab w:leader="none" w:pos="619"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Underwriter, severally and not jointly, will indemnify and hold harmless the Company its directors, officers and Affiliates and each person, if any, who controls the Company within the meaning of Section 15 of the Act or Section 20 of the Exchange Act (each a “Company Indemnified Party”) against any losses, claims, damages or liabilities to which such Company Indemnified Party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or any Issuer Free Writing Prospectus,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amendment or supplement thereto, or any Issuer Free Writing Prospectus or any Testing-the-Waters Communication, in reliance upon and in conformity with written information furnished to the Company by such Underwriter through the Representatives expressly for use therein; and will reimburse each Company Indemnified Party for any legal or other expenses reasonably incurred by such Company Indemnified Party in connection with investigating or defending any such action or claim as such expenses are incurred.</w:t>
      </w:r>
    </w:p>
    <w:p>
      <w:pPr>
        <w:spacing w:after="0" w:line="187" w:lineRule="exact"/>
        <w:rPr>
          <w:rFonts w:ascii="Arial" w:cs="Arial" w:eastAsia="Arial" w:hAnsi="Arial"/>
          <w:sz w:val="17"/>
          <w:szCs w:val="17"/>
          <w:color w:val="auto"/>
        </w:rPr>
      </w:pPr>
    </w:p>
    <w:p>
      <w:pPr>
        <w:jc w:val="both"/>
        <w:ind w:left="-656" w:firstLine="656"/>
        <w:spacing w:after="0" w:line="268" w:lineRule="auto"/>
        <w:tabs>
          <w:tab w:leader="none" w:pos="689"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any statement as to or an admission of fault, culpability or a failure to act, by or on behalf of any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418465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1" w:name="page32"/>
    <w:bookmarkEnd w:id="31"/>
    <w:p>
      <w:pPr>
        <w:ind w:left="1212" w:hanging="564"/>
        <w:spacing w:after="0"/>
        <w:tabs>
          <w:tab w:leader="none" w:pos="1212"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or insufficient to hold harmless an indemnified party under subsection</w:t>
      </w:r>
    </w:p>
    <w:p>
      <w:pPr>
        <w:spacing w:after="0" w:line="46" w:lineRule="exact"/>
        <w:rPr>
          <w:rFonts w:ascii="Arial" w:cs="Arial" w:eastAsia="Arial" w:hAnsi="Arial"/>
          <w:sz w:val="16"/>
          <w:szCs w:val="16"/>
          <w:color w:val="auto"/>
        </w:rPr>
      </w:pPr>
    </w:p>
    <w:p>
      <w:pPr>
        <w:jc w:val="both"/>
        <w:ind w:left="-8" w:firstLine="8"/>
        <w:spacing w:after="0" w:line="283" w:lineRule="auto"/>
        <w:tabs>
          <w:tab w:leader="none" w:pos="248"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2" w:name="page33"/>
    <w:bookmarkEnd w:id="32"/>
    <w:p>
      <w:pPr>
        <w:jc w:val="both"/>
        <w:ind w:left="-656" w:firstLine="656"/>
        <w:spacing w:after="0" w:line="255" w:lineRule="auto"/>
        <w:tabs>
          <w:tab w:leader="none" w:pos="5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9 shall be in addition to any liability which the Company may otherwise have and shall extend, upon the same terms and conditions, to each person, if any, who controls any Underwriter within the meaning of the Act and each broker-dealer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93" w:lineRule="exact"/>
        <w:rPr>
          <w:sz w:val="20"/>
          <w:szCs w:val="20"/>
          <w:color w:val="auto"/>
        </w:rPr>
      </w:pPr>
    </w:p>
    <w:p>
      <w:pPr>
        <w:jc w:val="both"/>
        <w:ind w:left="-656" w:firstLine="656"/>
        <w:spacing w:after="0" w:line="288" w:lineRule="auto"/>
        <w:tabs>
          <w:tab w:leader="none" w:pos="569"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69" w:lineRule="exact"/>
        <w:rPr>
          <w:sz w:val="20"/>
          <w:szCs w:val="20"/>
          <w:color w:val="auto"/>
        </w:rPr>
      </w:pPr>
    </w:p>
    <w:p>
      <w:pPr>
        <w:jc w:val="both"/>
        <w:ind w:left="-656" w:firstLine="656"/>
        <w:spacing w:after="0" w:line="255" w:lineRule="auto"/>
        <w:tabs>
          <w:tab w:leader="none" w:pos="693"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421005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3" w:name="page34"/>
    <w:bookmarkEnd w:id="33"/>
    <w:p>
      <w:pPr>
        <w:jc w:val="both"/>
        <w:ind w:left="-656" w:firstLine="656"/>
        <w:spacing w:after="0" w:line="254" w:lineRule="auto"/>
        <w:tabs>
          <w:tab w:leader="none" w:pos="68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92" w:lineRule="exact"/>
        <w:rPr>
          <w:sz w:val="20"/>
          <w:szCs w:val="20"/>
          <w:color w:val="auto"/>
        </w:rPr>
      </w:pPr>
    </w:p>
    <w:p>
      <w:pPr>
        <w:jc w:val="both"/>
        <w:ind w:left="-656" w:firstLine="656"/>
        <w:spacing w:after="0" w:line="302" w:lineRule="auto"/>
        <w:tabs>
          <w:tab w:leader="none" w:pos="53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pacing w:after="0" w:line="154" w:lineRule="exact"/>
        <w:rPr>
          <w:rFonts w:ascii="Arial" w:cs="Arial" w:eastAsia="Arial" w:hAnsi="Arial"/>
          <w:sz w:val="16"/>
          <w:szCs w:val="16"/>
          <w:color w:val="auto"/>
        </w:rPr>
      </w:pPr>
    </w:p>
    <w:p>
      <w:pPr>
        <w:jc w:val="both"/>
        <w:ind w:left="-656" w:firstLine="656"/>
        <w:spacing w:after="0" w:line="276" w:lineRule="auto"/>
        <w:tabs>
          <w:tab w:leader="none" w:pos="607"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172" w:lineRule="exact"/>
        <w:rPr>
          <w:rFonts w:ascii="Arial" w:cs="Arial" w:eastAsia="Arial" w:hAnsi="Arial"/>
          <w:sz w:val="17"/>
          <w:szCs w:val="17"/>
          <w:color w:val="auto"/>
        </w:rPr>
      </w:pPr>
    </w:p>
    <w:p>
      <w:pPr>
        <w:ind w:left="-656" w:firstLine="656"/>
        <w:spacing w:after="0" w:line="277" w:lineRule="auto"/>
        <w:tabs>
          <w:tab w:leader="none" w:pos="5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all dealings hereunder, you shall act on behalf of each of the Underwriters, and the parties hereto shall be entitled to act and rely upon any statement, request, notice or agreement on behalf of any Underwriter made or given by you jointly or by the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408940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4" w:name="page35"/>
    <w:bookmarkEnd w:id="34"/>
    <w:p>
      <w:pPr>
        <w:jc w:val="both"/>
        <w:ind w:firstLine="648"/>
        <w:spacing w:after="0" w:line="254" w:lineRule="auto"/>
        <w:rPr>
          <w:sz w:val="20"/>
          <w:szCs w:val="20"/>
          <w:color w:val="auto"/>
        </w:rPr>
      </w:pPr>
      <w:r>
        <w:rPr>
          <w:rFonts w:ascii="Arial" w:cs="Arial" w:eastAsia="Arial" w:hAnsi="Arial"/>
          <w:sz w:val="18"/>
          <w:szCs w:val="18"/>
          <w:color w:val="auto"/>
        </w:rPr>
        <w:t xml:space="preserve">All statements, requests, notices and agreements hereunder shall be in writing, and if to the Underwriters shall be delivered or sent by mail, telex or facsimile transmission to you as the Representatives in care of Goldman Sachs &amp; Co. LLC, 200 West Street, New York, New York 10282-2198, Attention: Registration Department, and in care of Cowen and Company, LLC, 599 Lexington Avenue, New York, New York 10022, Attention: Head of Equity Capital Markets, Fax: 646-562-1249, with a copy to the General Counsel, Fax: 646-562-1124, and if to the Company shall be delivered or sent by mail, telex or facsimile transmission to the address of the Company set forth in the Registration Statement, Attention: Secretary;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notice to an Underwriter pursuant to Section 9(c) hereof shall be delivered or sent by mail, telex or facsimile transmission to such Underwriter, which such mailing address or telex or facsimile transmission number will be supplied to the Company by you upon request. Any such statements, requests, notices or agreements shall take effect upon receipt thereof.</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66" w:lineRule="exact"/>
        <w:rPr>
          <w:sz w:val="20"/>
          <w:szCs w:val="20"/>
          <w:color w:val="auto"/>
        </w:rPr>
      </w:pPr>
    </w:p>
    <w:p>
      <w:pPr>
        <w:jc w:val="both"/>
        <w:ind w:firstLine="656"/>
        <w:spacing w:after="0" w:line="279" w:lineRule="auto"/>
        <w:tabs>
          <w:tab w:leader="none" w:pos="131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71" w:lineRule="exact"/>
        <w:rPr>
          <w:rFonts w:ascii="Arial" w:cs="Arial" w:eastAsia="Arial" w:hAnsi="Arial"/>
          <w:sz w:val="17"/>
          <w:szCs w:val="17"/>
          <w:color w:val="auto"/>
        </w:rPr>
      </w:pPr>
    </w:p>
    <w:p>
      <w:pPr>
        <w:ind w:right="20" w:firstLine="656"/>
        <w:spacing w:after="0" w:line="277" w:lineRule="auto"/>
        <w:tabs>
          <w:tab w:leader="none" w:pos="119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70" w:lineRule="exact"/>
        <w:rPr>
          <w:rFonts w:ascii="Arial" w:cs="Arial" w:eastAsia="Arial" w:hAnsi="Arial"/>
          <w:sz w:val="18"/>
          <w:szCs w:val="18"/>
          <w:color w:val="auto"/>
        </w:rPr>
      </w:pPr>
    </w:p>
    <w:p>
      <w:pPr>
        <w:jc w:val="both"/>
        <w:ind w:firstLine="656"/>
        <w:spacing w:after="0" w:line="271" w:lineRule="auto"/>
        <w:tabs>
          <w:tab w:leader="none" w:pos="118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left="-656" w:firstLine="656"/>
        <w:spacing w:after="0" w:line="259" w:lineRule="auto"/>
        <w:tabs>
          <w:tab w:leader="none" w:pos="57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7" w:lineRule="exact"/>
        <w:rPr>
          <w:sz w:val="20"/>
          <w:szCs w:val="20"/>
          <w:color w:val="auto"/>
        </w:rPr>
      </w:pPr>
    </w:p>
    <w:p>
      <w:pPr>
        <w:jc w:val="both"/>
        <w:ind w:left="-656" w:firstLine="656"/>
        <w:spacing w:after="0" w:line="259" w:lineRule="auto"/>
        <w:tabs>
          <w:tab w:leader="none" w:pos="5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656" w:firstLine="656"/>
        <w:spacing w:after="0" w:line="272" w:lineRule="auto"/>
        <w:tabs>
          <w:tab w:leader="none" w:pos="513"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 purpose of this Section 17, (i) the term “BHC Act Affiliate” has the meaning assigned to the term “affiliate” in, and shall be interpreted in accordance with, 12 U.S.C. § 1841(k); (ii) the term “Covered Entity”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 (iii) the term “Default Rights” has the meaning assigned to that term in, and shall be interpreted in accordance with, 12 C.F.R. §§ 252.81, 47.2 or 382.1, as applicable; and (iv) the term “U.S. Special Resolution Regime” means each of (A) the Federal Deposit Insurance Act and the regulations promulgated thereunder and (B) Title II of the Dodd-Frank Wall Street Reform and Consumer Protection Act and the regulations promulgated thereunder.</w:t>
      </w:r>
    </w:p>
    <w:p>
      <w:pPr>
        <w:spacing w:after="0" w:line="178" w:lineRule="exact"/>
        <w:rPr>
          <w:sz w:val="20"/>
          <w:szCs w:val="20"/>
          <w:color w:val="auto"/>
        </w:rPr>
      </w:pPr>
    </w:p>
    <w:p>
      <w:pPr>
        <w:ind w:left="-656" w:firstLine="656"/>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pacing w:after="0" w:line="166" w:lineRule="exact"/>
        <w:rPr>
          <w:rFonts w:ascii="Arial" w:cs="Arial" w:eastAsia="Arial" w:hAnsi="Arial"/>
          <w:sz w:val="18"/>
          <w:szCs w:val="18"/>
          <w:color w:val="auto"/>
        </w:rPr>
      </w:pPr>
    </w:p>
    <w:p>
      <w:pPr>
        <w:jc w:val="both"/>
        <w:ind w:left="-656" w:firstLine="656"/>
        <w:spacing w:after="0" w:line="256" w:lineRule="auto"/>
        <w:tabs>
          <w:tab w:leader="none" w:pos="87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Company agrees that any suit or proceeding arising in respect of this agreement or our engagement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422275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6" w:name="page37"/>
    <w:bookmarkEnd w:id="36"/>
    <w:p>
      <w:pPr>
        <w:ind w:firstLine="656"/>
        <w:spacing w:after="0" w:line="277" w:lineRule="auto"/>
        <w:tabs>
          <w:tab w:leader="none" w:pos="12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firstLine="656"/>
        <w:spacing w:after="0" w:line="277" w:lineRule="auto"/>
        <w:tabs>
          <w:tab w:leader="none" w:pos="122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70" w:lineRule="exact"/>
        <w:rPr>
          <w:rFonts w:ascii="Arial" w:cs="Arial" w:eastAsia="Arial" w:hAnsi="Arial"/>
          <w:sz w:val="18"/>
          <w:szCs w:val="18"/>
          <w:color w:val="auto"/>
        </w:rPr>
      </w:pPr>
    </w:p>
    <w:p>
      <w:pPr>
        <w:jc w:val="both"/>
        <w:ind w:firstLine="656"/>
        <w:spacing w:after="0" w:line="276" w:lineRule="auto"/>
        <w:tabs>
          <w:tab w:leader="none" w:pos="1225"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left="4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Jeffrey W. Albers</w:t>
      </w:r>
    </w:p>
    <w:p>
      <w:pPr>
        <w:spacing w:after="0" w:line="3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-130175</wp:posOffset>
            </wp:positionV>
            <wp:extent cx="3404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President and 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Underwriting Agreement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Accepted as of the date 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&amp; Co.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Raffael Fiumara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3362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Raffael Fiumara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29673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5"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29673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Cowen and Company,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Bill Follis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3362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Bill Follis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29673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5"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29673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On behalf of each of the Underwriters</w:t>
      </w:r>
    </w:p>
    <w:p>
      <w:pPr>
        <w:spacing w:after="0" w:line="225" w:lineRule="exact"/>
        <w:rPr>
          <w:sz w:val="20"/>
          <w:szCs w:val="20"/>
          <w:color w:val="auto"/>
        </w:rPr>
      </w:pPr>
    </w:p>
    <w:p>
      <w:pPr>
        <w:jc w:val="right"/>
        <w:ind w:right="2059"/>
        <w:spacing w:after="0"/>
        <w:rPr>
          <w:sz w:val="20"/>
          <w:szCs w:val="20"/>
          <w:color w:val="auto"/>
        </w:rPr>
      </w:pPr>
      <w:r>
        <w:rPr>
          <w:rFonts w:ascii="Arial" w:cs="Arial" w:eastAsia="Arial" w:hAnsi="Arial"/>
          <w:sz w:val="18"/>
          <w:szCs w:val="18"/>
          <w:i w:val="1"/>
          <w:iCs w:val="1"/>
          <w:color w:val="auto"/>
        </w:rPr>
        <w:t>[Signature Page to Underwriting Agreement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4960" w:type="dxa"/>
            <w:vAlign w:val="bottom"/>
            <w:gridSpan w:val="5"/>
          </w:tcPr>
          <w:p>
            <w:pPr>
              <w:spacing w:after="0"/>
              <w:rPr>
                <w:sz w:val="20"/>
                <w:szCs w:val="20"/>
                <w:color w:val="auto"/>
              </w:rPr>
            </w:pPr>
            <w:r>
              <w:rPr>
                <w:rFonts w:ascii="Arial" w:cs="Arial" w:eastAsia="Arial" w:hAnsi="Arial"/>
                <w:sz w:val="18"/>
                <w:szCs w:val="18"/>
                <w:b w:val="1"/>
                <w:bCs w:val="1"/>
                <w:color w:val="auto"/>
              </w:rPr>
              <w:t>SCHEDULE I</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Optional</w:t>
            </w: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Shares to</w:t>
            </w: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be</w:t>
            </w: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Total Number</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if</w:t>
            </w: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of Firm Shares</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to be</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r>
      <w:tr>
        <w:trPr>
          <w:trHeight w:val="234"/>
        </w:trPr>
        <w:tc>
          <w:tcPr>
            <w:tcW w:w="580" w:type="dxa"/>
            <w:vAlign w:val="bottom"/>
          </w:tcPr>
          <w:p>
            <w:pPr>
              <w:spacing w:after="0"/>
              <w:rPr>
                <w:sz w:val="20"/>
                <w:szCs w:val="20"/>
                <w:color w:val="auto"/>
              </w:rPr>
            </w:pPr>
          </w:p>
        </w:tc>
        <w:tc>
          <w:tcPr>
            <w:tcW w:w="4580" w:type="dxa"/>
            <w:vAlign w:val="bottom"/>
          </w:tcPr>
          <w:p>
            <w:pPr>
              <w:ind w:left="3420"/>
              <w:spacing w:after="0"/>
              <w:rPr>
                <w:sz w:val="20"/>
                <w:szCs w:val="20"/>
                <w:color w:val="auto"/>
              </w:rPr>
            </w:pPr>
            <w:r>
              <w:rPr>
                <w:rFonts w:ascii="Arial" w:cs="Arial" w:eastAsia="Arial" w:hAnsi="Arial"/>
                <w:sz w:val="18"/>
                <w:szCs w:val="18"/>
                <w:b w:val="1"/>
                <w:bCs w:val="1"/>
                <w:color w:val="auto"/>
              </w:rPr>
              <w:t>Underwriter</w:t>
            </w:r>
          </w:p>
        </w:tc>
        <w:tc>
          <w:tcPr>
            <w:tcW w:w="1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Purchased</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Exercised</w:t>
            </w:r>
          </w:p>
        </w:tc>
      </w:tr>
      <w:tr>
        <w:trPr>
          <w:trHeight w:val="210"/>
        </w:trPr>
        <w:tc>
          <w:tcPr>
            <w:tcW w:w="580" w:type="dxa"/>
            <w:vAlign w:val="bottom"/>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100" w:type="dxa"/>
            <w:vAlign w:val="bottom"/>
            <w:tcBorders>
              <w:top w:val="single" w:sz="8" w:color="auto"/>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2,425,724</w:t>
            </w:r>
          </w:p>
        </w:tc>
        <w:tc>
          <w:tcPr>
            <w:tcW w:w="3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Cowen and Company, LLC</w:t>
            </w:r>
          </w:p>
        </w:tc>
        <w:tc>
          <w:tcPr>
            <w:tcW w:w="4960" w:type="dxa"/>
            <w:vAlign w:val="bottom"/>
            <w:gridSpan w:val="5"/>
          </w:tcPr>
          <w:p>
            <w:pPr>
              <w:jc w:val="right"/>
              <w:ind w:right="320"/>
              <w:spacing w:after="0"/>
              <w:rPr>
                <w:sz w:val="20"/>
                <w:szCs w:val="20"/>
                <w:color w:val="auto"/>
              </w:rPr>
            </w:pPr>
            <w:r>
              <w:rPr>
                <w:rFonts w:ascii="Arial" w:cs="Arial" w:eastAsia="Arial" w:hAnsi="Arial"/>
                <w:sz w:val="18"/>
                <w:szCs w:val="18"/>
                <w:color w:val="auto"/>
              </w:rPr>
              <w:t>1,577,899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236,685</w:t>
            </w:r>
          </w:p>
        </w:tc>
      </w:tr>
      <w:tr>
        <w:trPr>
          <w:trHeight w:val="216"/>
        </w:trPr>
        <w:tc>
          <w:tcPr>
            <w:tcW w:w="5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Canaccord Genuity LLC</w:t>
            </w:r>
          </w:p>
        </w:tc>
        <w:tc>
          <w:tcPr>
            <w:tcW w:w="49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235,507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35,326</w:t>
            </w: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JMP Securities LLC</w:t>
            </w:r>
          </w:p>
        </w:tc>
        <w:tc>
          <w:tcPr>
            <w:tcW w:w="4960" w:type="dxa"/>
            <w:vAlign w:val="bottom"/>
            <w:gridSpan w:val="5"/>
          </w:tcPr>
          <w:p>
            <w:pPr>
              <w:jc w:val="right"/>
              <w:ind w:right="320"/>
              <w:spacing w:after="0"/>
              <w:rPr>
                <w:sz w:val="20"/>
                <w:szCs w:val="20"/>
                <w:color w:val="auto"/>
              </w:rPr>
            </w:pPr>
            <w:r>
              <w:rPr>
                <w:rFonts w:ascii="Arial" w:cs="Arial" w:eastAsia="Arial" w:hAnsi="Arial"/>
                <w:sz w:val="18"/>
                <w:szCs w:val="18"/>
                <w:color w:val="auto"/>
              </w:rPr>
              <w:t>235,507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35,326</w:t>
            </w:r>
          </w:p>
        </w:tc>
      </w:tr>
      <w:tr>
        <w:trPr>
          <w:trHeight w:val="216"/>
        </w:trPr>
        <w:tc>
          <w:tcPr>
            <w:tcW w:w="5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49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235,507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35,326</w:t>
            </w:r>
          </w:p>
        </w:tc>
      </w:tr>
      <w:tr>
        <w:trPr>
          <w:trHeight w:val="210"/>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4,710,144</w:t>
            </w:r>
          </w:p>
        </w:tc>
        <w:tc>
          <w:tcPr>
            <w:tcW w:w="3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706,521</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40" w:name="page41"/>
    <w:bookmarkEnd w:id="40"/>
    <w:p>
      <w:pPr>
        <w:ind w:left="4788"/>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 Issuer Free Writing Prospectuses not included in the Pricing Disclosure Package:</w:t>
      </w:r>
    </w:p>
    <w:p>
      <w:pPr>
        <w:spacing w:after="0" w:line="229" w:lineRule="exact"/>
        <w:rPr>
          <w:sz w:val="20"/>
          <w:szCs w:val="20"/>
          <w:color w:val="auto"/>
        </w:rPr>
      </w:pPr>
    </w:p>
    <w:p>
      <w:pPr>
        <w:ind w:left="648"/>
        <w:spacing w:after="0"/>
        <w:rPr>
          <w:sz w:val="20"/>
          <w:szCs w:val="20"/>
          <w:color w:val="auto"/>
        </w:rPr>
      </w:pPr>
      <w:r>
        <w:rPr>
          <w:rFonts w:ascii="Arial" w:cs="Arial" w:eastAsia="Arial" w:hAnsi="Arial"/>
          <w:sz w:val="16"/>
          <w:szCs w:val="16"/>
          <w:color w:val="auto"/>
        </w:rPr>
        <w:t>The roadshow presentation available on www.roadshowaccess.com commencing on January 21, 2020.</w:t>
      </w:r>
    </w:p>
    <w:p>
      <w:pPr>
        <w:spacing w:after="0" w:line="244" w:lineRule="exact"/>
        <w:rPr>
          <w:sz w:val="20"/>
          <w:szCs w:val="20"/>
          <w:color w:val="auto"/>
        </w:rPr>
      </w:pPr>
    </w:p>
    <w:p>
      <w:pPr>
        <w:ind w:left="648" w:right="2619" w:hanging="648"/>
        <w:spacing w:after="0" w:line="503" w:lineRule="auto"/>
        <w:tabs>
          <w:tab w:leader="none" w:pos="32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Materials other than the Pricing Prospectus that comprise the Pricing Disclosure Package: </w:t>
      </w:r>
      <w:r>
        <w:rPr>
          <w:rFonts w:ascii="Arial" w:cs="Arial" w:eastAsia="Arial" w:hAnsi="Arial"/>
          <w:sz w:val="18"/>
          <w:szCs w:val="18"/>
          <w:color w:val="auto"/>
        </w:rPr>
        <w:t>Public Offering Price per share: $69.00</w:t>
      </w:r>
    </w:p>
    <w:p>
      <w:pPr>
        <w:ind w:left="648"/>
        <w:spacing w:after="0"/>
        <w:rPr>
          <w:rFonts w:ascii="Arial" w:cs="Arial" w:eastAsia="Arial" w:hAnsi="Arial"/>
          <w:sz w:val="18"/>
          <w:szCs w:val="18"/>
          <w:b w:val="1"/>
          <w:bCs w:val="1"/>
          <w:color w:val="auto"/>
        </w:rPr>
      </w:pPr>
      <w:r>
        <w:rPr>
          <w:rFonts w:ascii="Arial" w:cs="Arial" w:eastAsia="Arial" w:hAnsi="Arial"/>
          <w:sz w:val="18"/>
          <w:szCs w:val="18"/>
          <w:color w:val="auto"/>
        </w:rPr>
        <w:t>Number of Firm Shares purchased by the Underwriters: 4,710,144</w:t>
      </w:r>
    </w:p>
    <w:p>
      <w:pPr>
        <w:spacing w:after="0" w:line="225" w:lineRule="exact"/>
        <w:rPr>
          <w:rFonts w:ascii="Arial" w:cs="Arial" w:eastAsia="Arial" w:hAnsi="Arial"/>
          <w:sz w:val="18"/>
          <w:szCs w:val="18"/>
          <w:b w:val="1"/>
          <w:bCs w:val="1"/>
          <w:color w:val="auto"/>
        </w:rPr>
      </w:pPr>
    </w:p>
    <w:p>
      <w:pPr>
        <w:ind w:left="648"/>
        <w:spacing w:after="0"/>
        <w:rPr>
          <w:rFonts w:ascii="Arial" w:cs="Arial" w:eastAsia="Arial" w:hAnsi="Arial"/>
          <w:sz w:val="18"/>
          <w:szCs w:val="18"/>
          <w:b w:val="1"/>
          <w:bCs w:val="1"/>
          <w:color w:val="auto"/>
        </w:rPr>
      </w:pPr>
      <w:r>
        <w:rPr>
          <w:rFonts w:ascii="Arial" w:cs="Arial" w:eastAsia="Arial" w:hAnsi="Arial"/>
          <w:sz w:val="18"/>
          <w:szCs w:val="18"/>
          <w:color w:val="auto"/>
        </w:rPr>
        <w:t>Number of Optional Shares: 706,521</w:t>
      </w:r>
    </w:p>
    <w:p>
      <w:pPr>
        <w:spacing w:after="0" w:line="221" w:lineRule="exact"/>
        <w:rPr>
          <w:rFonts w:ascii="Arial" w:cs="Arial" w:eastAsia="Arial" w:hAnsi="Arial"/>
          <w:sz w:val="18"/>
          <w:szCs w:val="18"/>
          <w:b w:val="1"/>
          <w:bCs w:val="1"/>
          <w:color w:val="auto"/>
        </w:rPr>
      </w:pPr>
    </w:p>
    <w:p>
      <w:pPr>
        <w:ind w:left="328" w:hanging="328"/>
        <w:spacing w:after="0"/>
        <w:tabs>
          <w:tab w:leader="none" w:pos="328"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documents incorporated by reference:</w:t>
      </w:r>
    </w:p>
    <w:p>
      <w:pPr>
        <w:spacing w:after="0" w:line="229" w:lineRule="exact"/>
        <w:rPr>
          <w:sz w:val="20"/>
          <w:szCs w:val="20"/>
          <w:color w:val="auto"/>
        </w:rPr>
      </w:pPr>
    </w:p>
    <w:p>
      <w:pPr>
        <w:ind w:left="648"/>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48" w:right="6099" w:hanging="648"/>
        <w:spacing w:after="0" w:line="532" w:lineRule="auto"/>
        <w:tabs>
          <w:tab w:leader="none" w:pos="32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Written Testing-the-Waters Communications </w:t>
      </w: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269240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87"/>
          </w:cols>
          <w:pgMar w:left="572" w:top="905"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t>ANNEX I(A)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Executed Comfort Letter</w:t>
      </w:r>
    </w:p>
    <w:p>
      <w:pPr>
        <w:spacing w:after="0" w:line="24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ANNEX I(B)</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Form of Comfort Letter</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to be Delivered Upon the Effective Date of a Post-Effective Amendment</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 at Each Time of Delivery</w:t>
      </w:r>
    </w:p>
    <w:p>
      <w:pPr>
        <w:spacing w:after="0" w:line="20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8"/>
          <w:szCs w:val="18"/>
          <w:b w:val="1"/>
          <w:bCs w:val="1"/>
          <w:u w:val="single" w:color="auto"/>
          <w:color w:val="auto"/>
        </w:rPr>
        <w:t>ANNEX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44" w:name="page45"/>
    <w:bookmarkEnd w:id="44"/>
    <w:p>
      <w:pPr>
        <w:ind w:left="10580"/>
        <w:spacing w:after="0"/>
        <w:rPr>
          <w:sz w:val="20"/>
          <w:szCs w:val="20"/>
          <w:color w:val="auto"/>
        </w:rPr>
      </w:pPr>
      <w:r>
        <w:rPr>
          <w:rFonts w:ascii="Arial" w:cs="Arial" w:eastAsia="Arial" w:hAnsi="Arial"/>
          <w:sz w:val="16"/>
          <w:szCs w:val="16"/>
          <w:b w:val="1"/>
          <w:bCs w:val="1"/>
          <w:color w:val="auto"/>
        </w:rPr>
        <w:t>Exhibit 5.1</w:t>
      </w:r>
    </w:p>
    <w:p>
      <w:pPr>
        <w:spacing w:after="0" w:line="252"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06880" cy="377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06880" cy="377190"/>
                    </a:xfrm>
                    <a:prstGeom prst="rect">
                      <a:avLst/>
                    </a:prstGeom>
                    <a:noFill/>
                  </pic:spPr>
                </pic:pic>
              </a:graphicData>
            </a:graphic>
          </wp:anchor>
        </w:drawing>
      </w:r>
    </w:p>
    <w:p>
      <w:pPr>
        <w:spacing w:after="0" w:line="3"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goodwinlaw.com</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+1 617 570 1000</w:t>
      </w:r>
    </w:p>
    <w:p>
      <w:pPr>
        <w:spacing w:after="0" w:line="211" w:lineRule="exact"/>
        <w:rPr>
          <w:sz w:val="20"/>
          <w:szCs w:val="20"/>
          <w:color w:val="auto"/>
        </w:rPr>
      </w:pPr>
    </w:p>
    <w:p>
      <w:pPr>
        <w:ind w:left="10180"/>
        <w:spacing w:after="0"/>
        <w:rPr>
          <w:sz w:val="20"/>
          <w:szCs w:val="20"/>
          <w:color w:val="auto"/>
        </w:rPr>
      </w:pPr>
      <w:r>
        <w:rPr>
          <w:rFonts w:ascii="Arial" w:cs="Arial" w:eastAsia="Arial" w:hAnsi="Arial"/>
          <w:sz w:val="16"/>
          <w:szCs w:val="16"/>
          <w:color w:val="auto"/>
        </w:rPr>
        <w:t>January 23,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 Sidney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Securities Registered under Registration Statement on Form S-3ASR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have acted as counsel to Blueprint Medicines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its filing of a Registration Statement on Form S-3ASR (File No. 333-216573) (as amended or supplemented,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on March 9, 2017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pursuant to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Registration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Statement became effective under the Securities Act upon filing on March 9, 2017. Reference is made to our opinion letter dated March 9, 2017 and included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Exhibit 5.1 to the Registration Statement. We are delivering this supplemental opinion letter in connection with the prospectus supplement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 Supplement</w:t>
      </w:r>
      <w:r>
        <w:rPr>
          <w:rFonts w:ascii="Arial" w:cs="Arial" w:eastAsia="Arial" w:hAnsi="Arial"/>
          <w:sz w:val="16"/>
          <w:szCs w:val="16"/>
          <w:color w:val="auto"/>
        </w:rPr>
        <w:t>”) filed on January 22, 2020 by the Company with the Commission pursuant to Rule 424 under the Securities Act. The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 relates to the offering by the Company of up to 5,416,665 shares of the Company’s Common Stock, par value $0.001 per share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covered by the Registration Statement. The Shares include an overallotment option granted to the underwriters of the offering to purchase up to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706,521 Shares. The Shares are being sold to the several underwriters named in, and pursuant to, an underwriting agreement among the Company and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underwriters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and, upon issuance and delivery against payment therefor in accordance with the terms of the Underwriting Agreement, the Shares will be validly issued, fully paid and non-assessable.</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giving our consent, we do not admit that we are in the category of persons whose consent is required under Section 7 of the Securities Act or the rules and regulations thereunder.</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Goodwin Procter LLP</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Announces Pricing of Public Offering of Shares of Common Stock</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 xml:space="preserve">CAMBRIDGE, Mass., January 22, 2020 </w:t>
      </w:r>
      <w:r>
        <w:rPr>
          <w:rFonts w:ascii="Arial" w:cs="Arial" w:eastAsia="Arial" w:hAnsi="Arial"/>
          <w:sz w:val="17"/>
          <w:szCs w:val="17"/>
          <w:b w:val="1"/>
          <w:bCs w:val="1"/>
          <w:color w:val="auto"/>
        </w:rPr>
        <w:t>—</w:t>
      </w:r>
      <w:r>
        <w:rPr>
          <w:rFonts w:ascii="Arial" w:cs="Arial" w:eastAsia="Arial" w:hAnsi="Arial"/>
          <w:sz w:val="17"/>
          <w:szCs w:val="17"/>
          <w:color w:val="auto"/>
        </w:rPr>
        <w:t xml:space="preserve"> Blueprint Medicines Corporation (NASDAQ: BPMC), a precision therapy company focused on genomically defined cancers, rare diseases and cancer immunotherapy, today announced the pricing of an underwritten public offering of 4,710,144 shares of its common stock at a public offering price of $69.00 per share, before underwriting discounts and commissions. In addition, Blueprint Medicines has granted the underwriters a 30-day option to purchase up to an additional 706,521 shares of its common stock at the public offering price, less underwriting discounts and commissions. All shares of common stock were offered by Blueprint Medicines.</w:t>
      </w:r>
    </w:p>
    <w:p>
      <w:pPr>
        <w:spacing w:after="0" w:line="17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Goldman Sachs &amp; Co. LLC and Cowen and Company, LLC are acting as joint book-running managers for the offering. Canaccord Genuity LLC, JMP Securities LLC, and Raymond James &amp; Associates, Inc. are acting as co-lead managers for the offering. The offering is expected to close on or about January 27, 2020, subject to the satisfaction of customary closing conditions.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registration statement on Form S-3 (File No. 333-216573) relating to these securities has been previously filed with the Securities and Exchange Commission (SEC) and has become effective. 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offering will be made only by means of a prospectus. A preliminary prospectus supplement describing the terms of the offering has been filed with the SEC and forms a part of the effective registration statement. A copy of the final prospectus supplement relating to the offering will be filed with the SEC and may be obtained, when available, from Goldman Sachs &amp; Co. LLC by mail at Prospectus Department, 200 West Street, New York, NY 10282, by telephone at (866) 471-2526, by fax at (212) 902-9316, or by email at prospectus-ny@ny.email.gs.com, or from Cowen and Company, LLC, c/o Broadridge Financial Services, 1155 Long Island Avenue, Edgewood, NY 11717, Attention: Prospectus Department, or by telephone at (833) 297-2926.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precision therapy approved by the U.S. Food and Drug Administration and are currently advancing multiple investigational medicines in clinical development, along with a number of research programs.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Blueprint Medicines’ anticipated public offering; future expectations, plans and prospects for Blueprint Medicines and the timing of these events;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uncertainties related to market conditions and the completion of the public offering on the anticipated terms or at all. These and other risks and uncertainties are described in greater detail in the section entitled “Risk Factors” in Blueprint Medicines’ Quarterly Report on Form 10-Q for the quarterly period ended September 30, 2019, as filed with the SEC on November 5, 2019, the Current Report on Form 8-K filed with the SEC on January 21, 2020, the prospectus supplement related to the public offering and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Investor and Media Contact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Jim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617-844-8236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media@blueprintmedicines.com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Kristin Hodous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617-714-6674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lowerLetter"/>
      <w:start w:val="1"/>
    </w:lvl>
  </w:abstractNum>
  <w:abstractNum w:abstractNumId="2">
    <w:nsid w:val="54E49EB4"/>
    <w:multiLevelType w:val="hybridMultilevel"/>
    <w:lvl w:ilvl="0">
      <w:lvlJc w:val="left"/>
      <w:lvlText w:val="(%1)"/>
      <w:numFmt w:val="lowerLetter"/>
      <w:start w:val="2"/>
    </w:lvl>
  </w:abstractNum>
  <w:abstractNum w:abstractNumId="3">
    <w:nsid w:val="71F32454"/>
    <w:multiLevelType w:val="hybridMultilevel"/>
    <w:lvl w:ilvl="0">
      <w:lvlJc w:val="left"/>
      <w:lvlText w:val="(%1)"/>
      <w:numFmt w:val="lowerLetter"/>
      <w:start w:val="4"/>
    </w:lvl>
  </w:abstractNum>
  <w:abstractNum w:abstractNumId="4">
    <w:nsid w:val="2CA88611"/>
    <w:multiLevelType w:val="hybridMultilevel"/>
    <w:lvl w:ilvl="0">
      <w:lvlJc w:val="left"/>
      <w:lvlText w:val="(%1)"/>
      <w:numFmt w:val="lowerLetter"/>
      <w:start w:val="8"/>
    </w:lvl>
  </w:abstractNum>
  <w:abstractNum w:abstractNumId="5">
    <w:nsid w:val="836C40E"/>
    <w:multiLevelType w:val="hybridMultilevel"/>
    <w:lvl w:ilvl="0">
      <w:lvlJc w:val="left"/>
      <w:lvlText w:val="(%1)"/>
      <w:numFmt w:val="lowerLetter"/>
      <w:start w:val="11"/>
    </w:lvl>
  </w:abstractNum>
  <w:abstractNum w:abstractNumId="6">
    <w:nsid w:val="2901D82"/>
    <w:multiLevelType w:val="hybridMultilevel"/>
    <w:lvl w:ilvl="0">
      <w:lvlJc w:val="left"/>
      <w:lvlText w:val="(%1)"/>
      <w:numFmt w:val="lowerLetter"/>
      <w:start w:val="14"/>
    </w:lvl>
  </w:abstractNum>
  <w:abstractNum w:abstractNumId="7">
    <w:nsid w:val="3A95F874"/>
    <w:multiLevelType w:val="hybridMultilevel"/>
    <w:lvl w:ilvl="0">
      <w:lvlJc w:val="left"/>
      <w:lvlText w:val="(%1)"/>
      <w:numFmt w:val="lowerLetter"/>
      <w:start w:val="19"/>
    </w:lvl>
  </w:abstractNum>
  <w:abstractNum w:abstractNumId="8">
    <w:nsid w:val="8138641"/>
    <w:multiLevelType w:val="hybridMultilevel"/>
    <w:lvl w:ilvl="0">
      <w:lvlJc w:val="left"/>
      <w:lvlText w:val="(%1)"/>
      <w:numFmt w:val="lowerLetter"/>
      <w:start w:val="23"/>
    </w:lvl>
  </w:abstractNum>
  <w:abstractNum w:abstractNumId="9">
    <w:nsid w:val="1E7FF521"/>
    <w:multiLevelType w:val="hybridMultilevel"/>
    <w:lvl w:ilvl="0">
      <w:lvlJc w:val="left"/>
      <w:lvlText w:val="(%1)"/>
      <w:numFmt w:val="lowerLetter"/>
      <w:start w:val="24"/>
    </w:lvl>
  </w:abstractNum>
  <w:abstractNum w:abstractNumId="10">
    <w:nsid w:val="7C3DBD3D"/>
    <w:multiLevelType w:val="hybridMultilevel"/>
    <w:lvl w:ilvl="0">
      <w:lvlJc w:val="left"/>
      <w:lvlText w:val="(%1)"/>
      <w:numFmt w:val="lowerLetter"/>
      <w:start w:val="26"/>
    </w:lvl>
  </w:abstractNum>
  <w:abstractNum w:abstractNumId="11">
    <w:nsid w:val="737B8DDC"/>
    <w:multiLevelType w:val="hybridMultilevel"/>
    <w:lvl w:ilvl="0">
      <w:lvlJc w:val="left"/>
      <w:lvlText w:val="(%1)"/>
      <w:numFmt w:val="lowerLetter"/>
      <w:start w:val="27"/>
    </w:lvl>
  </w:abstractNum>
  <w:abstractNum w:abstractNumId="12">
    <w:nsid w:val="6CEAF087"/>
    <w:multiLevelType w:val="hybridMultilevel"/>
    <w:lvl w:ilvl="0">
      <w:lvlJc w:val="left"/>
      <w:lvlText w:val="%1"/>
      <w:numFmt w:val="lowerLetter"/>
      <w:start w:val="1"/>
    </w:lvl>
    <w:lvl w:ilvl="1">
      <w:lvlJc w:val="left"/>
      <w:lvlText w:val="(%2)"/>
      <w:numFmt w:val="lowerLetter"/>
      <w:start w:val="30"/>
    </w:lvl>
  </w:abstractNum>
  <w:abstractNum w:abstractNumId="13">
    <w:nsid w:val="22221A70"/>
    <w:multiLevelType w:val="hybridMultilevel"/>
    <w:lvl w:ilvl="0">
      <w:lvlJc w:val="left"/>
      <w:lvlText w:val="(%1)"/>
      <w:numFmt w:val="lowerLetter"/>
      <w:start w:val="35"/>
    </w:lvl>
    <w:lvl w:ilvl="1">
      <w:lvlJc w:val="left"/>
      <w:lvlText w:val="%2"/>
      <w:numFmt w:val="lowerLetter"/>
      <w:start w:val="1"/>
    </w:lvl>
  </w:abstractNum>
  <w:abstractNum w:abstractNumId="14">
    <w:nsid w:val="4516DDE9"/>
    <w:multiLevelType w:val="hybridMultilevel"/>
    <w:lvl w:ilvl="0">
      <w:lvlJc w:val="left"/>
      <w:lvlText w:val="(%1)"/>
      <w:numFmt w:val="lowerLetter"/>
      <w:start w:val="34"/>
    </w:lvl>
  </w:abstractNum>
  <w:abstractNum w:abstractNumId="15">
    <w:nsid w:val="3006C83E"/>
    <w:multiLevelType w:val="hybridMultilevel"/>
    <w:lvl w:ilvl="0">
      <w:lvlJc w:val="left"/>
      <w:lvlText w:val="%1"/>
      <w:numFmt w:val="lowerRoman"/>
      <w:start w:val="1"/>
    </w:lvl>
    <w:lvl w:ilvl="1">
      <w:lvlJc w:val="left"/>
      <w:lvlText w:val="(%2)"/>
      <w:numFmt w:val="lowerLetter"/>
      <w:start w:val="36"/>
    </w:lvl>
  </w:abstractNum>
  <w:abstractNum w:abstractNumId="16">
    <w:nsid w:val="614FD4A1"/>
    <w:multiLevelType w:val="hybridMultilevel"/>
    <w:lvl w:ilvl="0">
      <w:lvlJc w:val="left"/>
      <w:lvlText w:val="(%1)"/>
      <w:numFmt w:val="lowerRoman"/>
      <w:start w:val="4"/>
    </w:lvl>
    <w:lvl w:ilvl="1">
      <w:lvlJc w:val="left"/>
      <w:lvlText w:val="(%2)"/>
      <w:numFmt w:val="lowerLetter"/>
      <w:start w:val="38"/>
    </w:lvl>
  </w:abstractNum>
  <w:abstractNum w:abstractNumId="17">
    <w:nsid w:val="419AC241"/>
    <w:multiLevelType w:val="hybridMultilevel"/>
    <w:lvl w:ilvl="0">
      <w:lvlJc w:val="left"/>
      <w:lvlText w:val="(%1)"/>
      <w:numFmt w:val="lowerLetter"/>
      <w:start w:val="41"/>
    </w:lvl>
  </w:abstractNum>
  <w:abstractNum w:abstractNumId="18">
    <w:nsid w:val="5577F8E1"/>
    <w:multiLevelType w:val="hybridMultilevel"/>
    <w:lvl w:ilvl="0">
      <w:lvlJc w:val="left"/>
      <w:lvlText w:val="%1."/>
      <w:numFmt w:val="decimal"/>
      <w:start w:val="2"/>
    </w:lvl>
  </w:abstractNum>
  <w:abstractNum w:abstractNumId="19">
    <w:nsid w:val="440BADFC"/>
    <w:multiLevelType w:val="hybridMultilevel"/>
    <w:lvl w:ilvl="0">
      <w:lvlJc w:val="left"/>
      <w:lvlText w:val="%1."/>
      <w:numFmt w:val="decimal"/>
      <w:start w:val="3"/>
    </w:lvl>
  </w:abstractNum>
  <w:abstractNum w:abstractNumId="20">
    <w:nsid w:val="5072367"/>
    <w:multiLevelType w:val="hybridMultilevel"/>
    <w:lvl w:ilvl="0">
      <w:lvlJc w:val="left"/>
      <w:lvlText w:val="&amp;"/>
      <w:numFmt w:val="bullet"/>
      <w:start w:val="1"/>
    </w:lvl>
    <w:lvl w:ilvl="1">
      <w:lvlJc w:val="left"/>
      <w:lvlText w:val="(%2)"/>
      <w:numFmt w:val="lowerLetter"/>
      <w:start w:val="2"/>
    </w:lvl>
  </w:abstractNum>
  <w:abstractNum w:abstractNumId="21">
    <w:nsid w:val="3804823E"/>
    <w:multiLevelType w:val="hybridMultilevel"/>
    <w:lvl w:ilvl="0">
      <w:lvlJc w:val="left"/>
      <w:lvlText w:val="%1."/>
      <w:numFmt w:val="decimal"/>
      <w:start w:val="5"/>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lowerLetter"/>
      <w:start w:val="2"/>
    </w:lvl>
  </w:abstractNum>
  <w:abstractNum w:abstractNumId="24">
    <w:nsid w:val="5C482A97"/>
    <w:multiLevelType w:val="hybridMultilevel"/>
    <w:lvl w:ilvl="0">
      <w:lvlJc w:val="left"/>
      <w:lvlText w:val="(%1)"/>
      <w:numFmt w:val="lowerLetter"/>
      <w:start w:val="6"/>
    </w:lvl>
  </w:abstractNum>
  <w:abstractNum w:abstractNumId="25">
    <w:nsid w:val="2463B9EA"/>
    <w:multiLevelType w:val="hybridMultilevel"/>
    <w:lvl w:ilvl="0">
      <w:lvlJc w:val="left"/>
      <w:lvlText w:val="(%1)"/>
      <w:numFmt w:val="lowerLetter"/>
      <w:start w:val="8"/>
    </w:lvl>
  </w:abstractNum>
  <w:abstractNum w:abstractNumId="26">
    <w:nsid w:val="5E884ADC"/>
    <w:multiLevelType w:val="hybridMultilevel"/>
    <w:lvl w:ilvl="0">
      <w:lvlJc w:val="left"/>
      <w:lvlText w:val="(%1)"/>
      <w:numFmt w:val="lowerLetter"/>
      <w:start w:val="10"/>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Letter"/>
      <w:start w:val="4"/>
    </w:lvl>
  </w:abstractNum>
  <w:abstractNum w:abstractNumId="29">
    <w:nsid w:val="580BD78F"/>
    <w:multiLevelType w:val="hybridMultilevel"/>
    <w:lvl w:ilvl="0">
      <w:lvlJc w:val="left"/>
      <w:lvlText w:val="%1"/>
      <w:numFmt w:val="lowerRoman"/>
      <w:start w:val="1"/>
    </w:lvl>
    <w:lvl w:ilvl="1">
      <w:lvlJc w:val="left"/>
      <w:lvlText w:val="%2."/>
      <w:numFmt w:val="decimal"/>
      <w:start w:val="7"/>
    </w:lvl>
  </w:abstractNum>
  <w:abstractNum w:abstractNumId="30">
    <w:nsid w:val="153EA438"/>
    <w:multiLevelType w:val="hybridMultilevel"/>
    <w:lvl w:ilvl="0">
      <w:lvlJc w:val="left"/>
      <w:lvlText w:val="(%1)"/>
      <w:numFmt w:val="lowerRoman"/>
      <w:start w:val="9"/>
    </w:lvl>
    <w:lvl w:ilvl="1">
      <w:lvlJc w:val="left"/>
      <w:lvlText w:val="%2"/>
      <w:numFmt w:val="decimal"/>
      <w:start w:val="1"/>
    </w:lvl>
  </w:abstractNum>
  <w:abstractNum w:abstractNumId="31">
    <w:nsid w:val="3855585C"/>
    <w:multiLevelType w:val="hybridMultilevel"/>
    <w:lvl w:ilvl="0">
      <w:lvlJc w:val="left"/>
      <w:lvlText w:val="%1."/>
      <w:numFmt w:val="decimal"/>
      <w:start w:val="8"/>
    </w:lvl>
    <w:lvl w:ilvl="1">
      <w:lvlJc w:val="left"/>
      <w:lvlText w:val="(%2)"/>
      <w:numFmt w:val="lowerLetter"/>
      <w:start w:val="1"/>
    </w:lvl>
  </w:abstractNum>
  <w:abstractNum w:abstractNumId="32">
    <w:nsid w:val="70A64E2A"/>
    <w:multiLevelType w:val="hybridMultilevel"/>
    <w:lvl w:ilvl="0">
      <w:lvlJc w:val="left"/>
      <w:lvlText w:val="(%1)"/>
      <w:numFmt w:val="lowerLetter"/>
      <w:start w:val="2"/>
    </w:lvl>
  </w:abstractNum>
  <w:abstractNum w:abstractNumId="33">
    <w:nsid w:val="6A2342EC"/>
    <w:multiLevelType w:val="hybridMultilevel"/>
    <w:lvl w:ilvl="0">
      <w:lvlJc w:val="left"/>
      <w:lvlText w:val="(%1)"/>
      <w:numFmt w:val="lowerLetter"/>
      <w:start w:val="7"/>
    </w:lvl>
  </w:abstractNum>
  <w:abstractNum w:abstractNumId="34">
    <w:nsid w:val="2A487CB0"/>
    <w:multiLevelType w:val="hybridMultilevel"/>
    <w:lvl w:ilvl="0">
      <w:lvlJc w:val="left"/>
      <w:lvlText w:val="(%1)"/>
      <w:numFmt w:val="lowerLetter"/>
      <w:start w:val="6"/>
    </w:lvl>
    <w:lvl w:ilvl="1">
      <w:lvlJc w:val="left"/>
      <w:lvlText w:val="(%2)"/>
      <w:numFmt w:val="lowerLetter"/>
      <w:start w:val="12"/>
    </w:lvl>
  </w:abstractNum>
  <w:abstractNum w:abstractNumId="35">
    <w:nsid w:val="1D4ED43B"/>
    <w:multiLevelType w:val="hybridMultilevel"/>
    <w:lvl w:ilvl="0">
      <w:lvlJc w:val="left"/>
      <w:lvlText w:val="%1."/>
      <w:numFmt w:val="decimal"/>
      <w:start w:val="9"/>
    </w:lvl>
  </w:abstractNum>
  <w:abstractNum w:abstractNumId="36">
    <w:nsid w:val="725A06FB"/>
    <w:multiLevelType w:val="hybridMultilevel"/>
    <w:lvl w:ilvl="0">
      <w:lvlJc w:val="left"/>
      <w:lvlText w:val="(%1)"/>
      <w:numFmt w:val="lowerLetter"/>
      <w:start w:val="2"/>
    </w:lvl>
  </w:abstractNum>
  <w:abstractNum w:abstractNumId="37">
    <w:nsid w:val="2CD89A32"/>
    <w:multiLevelType w:val="hybridMultilevel"/>
    <w:lvl w:ilvl="0">
      <w:lvlJc w:val="left"/>
      <w:lvlText w:val="%1"/>
      <w:numFmt w:val="lowerLetter"/>
      <w:start w:val="1"/>
    </w:lvl>
    <w:lvl w:ilvl="1">
      <w:lvlJc w:val="left"/>
      <w:lvlText w:val="(%2)"/>
      <w:numFmt w:val="lowerLetter"/>
      <w:start w:val="4"/>
    </w:lvl>
  </w:abstractNum>
  <w:abstractNum w:abstractNumId="38">
    <w:nsid w:val="57E4CCAF"/>
    <w:multiLevelType w:val="hybridMultilevel"/>
    <w:lvl w:ilvl="0">
      <w:lvlJc w:val="left"/>
      <w:lvlText w:val="(%1)"/>
      <w:numFmt w:val="lowerLetter"/>
      <w:start w:val="1"/>
    </w:lvl>
    <w:lvl w:ilvl="1">
      <w:lvlJc w:val="left"/>
      <w:lvlText w:val="%2"/>
      <w:numFmt w:val="lowerLetter"/>
      <w:start w:val="1"/>
    </w:lvl>
  </w:abstractNum>
  <w:abstractNum w:abstractNumId="39">
    <w:nsid w:val="7A6D8D3C"/>
    <w:multiLevelType w:val="hybridMultilevel"/>
    <w:lvl w:ilvl="0">
      <w:lvlJc w:val="left"/>
      <w:lvlText w:val="(%1)"/>
      <w:numFmt w:val="lowerLetter"/>
      <w:start w:val="5"/>
    </w:lvl>
  </w:abstractNum>
  <w:abstractNum w:abstractNumId="40">
    <w:nsid w:val="4B588F54"/>
    <w:multiLevelType w:val="hybridMultilevel"/>
    <w:lvl w:ilvl="0">
      <w:lvlJc w:val="left"/>
      <w:lvlText w:val="%1."/>
      <w:numFmt w:val="decimal"/>
      <w:start w:val="10"/>
    </w:lvl>
  </w:abstractNum>
  <w:abstractNum w:abstractNumId="41">
    <w:nsid w:val="542289EC"/>
    <w:multiLevelType w:val="hybridMultilevel"/>
    <w:lvl w:ilvl="0">
      <w:lvlJc w:val="left"/>
      <w:lvlText w:val="(%1)"/>
      <w:numFmt w:val="lowerLetter"/>
      <w:start w:val="2"/>
    </w:lvl>
  </w:abstractNum>
  <w:abstractNum w:abstractNumId="42">
    <w:nsid w:val="6DE91B18"/>
    <w:multiLevelType w:val="hybridMultilevel"/>
    <w:lvl w:ilvl="0">
      <w:lvlJc w:val="left"/>
      <w:lvlText w:val="(%1)"/>
      <w:numFmt w:val="lowerLetter"/>
      <w:start w:val="3"/>
    </w:lvl>
  </w:abstractNum>
  <w:abstractNum w:abstractNumId="43">
    <w:nsid w:val="38437FDB"/>
    <w:multiLevelType w:val="hybridMultilevel"/>
    <w:lvl w:ilvl="0">
      <w:lvlJc w:val="left"/>
      <w:lvlText w:val="%1."/>
      <w:numFmt w:val="decimal"/>
      <w:start w:val="11"/>
    </w:lvl>
  </w:abstractNum>
  <w:abstractNum w:abstractNumId="44">
    <w:nsid w:val="7644A45C"/>
    <w:multiLevelType w:val="hybridMultilevel"/>
    <w:lvl w:ilvl="0">
      <w:lvlJc w:val="left"/>
      <w:lvlText w:val="%1."/>
      <w:numFmt w:val="decimal"/>
      <w:start w:val="14"/>
    </w:lvl>
  </w:abstractNum>
  <w:abstractNum w:abstractNumId="45">
    <w:nsid w:val="32FFF902"/>
    <w:multiLevelType w:val="hybridMultilevel"/>
    <w:lvl w:ilvl="0">
      <w:lvlJc w:val="left"/>
      <w:lvlText w:val="%1."/>
      <w:numFmt w:val="decimal"/>
      <w:start w:val="17"/>
    </w:lvl>
  </w:abstractNum>
  <w:abstractNum w:abstractNumId="46">
    <w:nsid w:val="684A481A"/>
    <w:multiLevelType w:val="hybridMultilevel"/>
    <w:lvl w:ilvl="0">
      <w:lvlJc w:val="left"/>
      <w:lvlText w:val="(%1)"/>
      <w:numFmt w:val="lowerLetter"/>
      <w:start w:val="2"/>
    </w:lvl>
  </w:abstractNum>
  <w:abstractNum w:abstractNumId="47">
    <w:nsid w:val="579478FE"/>
    <w:multiLevelType w:val="hybridMultilevel"/>
    <w:lvl w:ilvl="0">
      <w:lvlJc w:val="left"/>
      <w:lvlText w:val="%1."/>
      <w:numFmt w:val="decimal"/>
      <w:start w:val="18"/>
    </w:lvl>
  </w:abstractNum>
  <w:abstractNum w:abstractNumId="48">
    <w:nsid w:val="749ABB43"/>
    <w:multiLevelType w:val="hybridMultilevel"/>
    <w:lvl w:ilvl="0">
      <w:lvlJc w:val="left"/>
      <w:lvlText w:val="%1."/>
      <w:numFmt w:val="decimal"/>
      <w:start w:val="20"/>
    </w:lvl>
  </w:abstractNum>
  <w:abstractNum w:abstractNumId="49">
    <w:nsid w:val="3DC240FB"/>
    <w:multiLevelType w:val="hybridMultilevel"/>
    <w:lvl w:ilvl="0">
      <w:lvlJc w:val="left"/>
      <w:lvlText w:val="(%1)"/>
      <w:numFmt w:val="lowerLetter"/>
      <w:start w:val="2"/>
    </w:lvl>
  </w:abstractNum>
  <w:abstractNum w:abstractNumId="50">
    <w:nsid w:val="1BA026F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2020-01-23T15:31:55Z</dcterms:created>
  <dcterms:modified xsi:type="dcterms:W3CDTF">2020-01-23T15:31:55Z</dcterms:modified>
</cp:coreProperties>
</file>