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27, 2015</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449" w:right="27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Blueprint Medicines Corporation (the “Company”)</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 (File No. 333-202938)</w:t>
      </w:r>
    </w:p>
    <w:p>
      <w:pPr>
        <w:spacing w:after="0" w:line="200" w:lineRule="exact"/>
        <w:rPr>
          <w:sz w:val="24"/>
          <w:szCs w:val="24"/>
          <w:color w:val="auto"/>
        </w:rPr>
      </w:pPr>
    </w:p>
    <w:p>
      <w:pPr>
        <w:sectPr>
          <w:pgSz w:w="11900" w:h="16838" w:orient="portrait"/>
          <w:cols w:equalWidth="0" w:num="2">
            <w:col w:w="900" w:space="400"/>
            <w:col w:w="10080"/>
          </w:cols>
          <w:pgMar w:left="240" w:top="449" w:right="27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60" w:firstLine="648"/>
        <w:spacing w:after="0" w:line="286" w:lineRule="auto"/>
        <w:rPr>
          <w:sz w:val="20"/>
          <w:szCs w:val="20"/>
          <w:color w:val="auto"/>
        </w:rPr>
      </w:pPr>
      <w:r>
        <w:rPr>
          <w:rFonts w:ascii="Arial" w:cs="Arial" w:eastAsia="Arial" w:hAnsi="Arial"/>
          <w:sz w:val="17"/>
          <w:szCs w:val="17"/>
          <w:color w:val="auto"/>
        </w:rPr>
        <w:t>As a representatives of the several underwriters of the Company’s proposed public offering of up to 7,187,500 shares of common stock, we hereby join the Company’s request that the effective date of the above-referenced Registration Statement be accelerated so that the above-referenced Registration Statement will be declared effective at 4:30 p.m. (EST) on April 29, 2015, or as soon thereafter as is practicable.</w:t>
      </w:r>
    </w:p>
    <w:p>
      <w:pPr>
        <w:spacing w:after="0" w:line="166"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Pursuant to Rule 460 of the General Rules and Regulations of the Securities and Exchange Commission under the Securities Act of 1933, as amended, we wish to advise you that we have effected the following distribution of the Company’s Preliminary Prospectus, dated April 20, 2015, through the date hereof:</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Preliminary Prospectus dated April 20, 2015:</w:t>
      </w:r>
    </w:p>
    <w:p>
      <w:pPr>
        <w:spacing w:after="0" w:line="225" w:lineRule="exact"/>
        <w:rPr>
          <w:sz w:val="24"/>
          <w:szCs w:val="24"/>
          <w:color w:val="auto"/>
        </w:rPr>
      </w:pPr>
    </w:p>
    <w:p>
      <w:pPr>
        <w:ind w:left="720"/>
        <w:spacing w:after="0"/>
        <w:rPr>
          <w:sz w:val="20"/>
          <w:szCs w:val="20"/>
          <w:color w:val="auto"/>
        </w:rPr>
      </w:pPr>
      <w:r>
        <w:rPr>
          <w:rFonts w:ascii="Arial" w:cs="Arial" w:eastAsia="Arial" w:hAnsi="Arial"/>
          <w:sz w:val="18"/>
          <w:szCs w:val="18"/>
          <w:color w:val="auto"/>
        </w:rPr>
        <w:t>3,171 copies to prospective underwriters, institutional investors, dealers and others</w:t>
      </w:r>
    </w:p>
    <w:p>
      <w:pPr>
        <w:spacing w:after="0" w:line="225"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undersigned advise that they have complied and will continue to comply, and that they have been informed by the participating underwriters and dealers that they have complied with and will continue to comply, with the requirements of Rule 15c2-8 under the Securities Exchange Act of 1934, as amended.</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GOLDMAN, SACHS &amp; CO.</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COWEN &amp; COMPANY, LLC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GOLDMAN, SACHS &amp; CO.</w:t>
      </w: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 Cohn</w:t>
            </w:r>
          </w:p>
        </w:tc>
      </w:tr>
      <w:tr>
        <w:trPr>
          <w:trHeight w:val="195"/>
        </w:trPr>
        <w:tc>
          <w:tcPr>
            <w:tcW w:w="8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Rich Cohn</w:t>
            </w:r>
          </w:p>
        </w:tc>
      </w:tr>
      <w:tr>
        <w:trPr>
          <w:trHeight w:val="230"/>
        </w:trPr>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COWEN &amp; COMPANY, LLC</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Fenton</w:t>
            </w:r>
          </w:p>
        </w:tc>
      </w:tr>
      <w:tr>
        <w:trPr>
          <w:trHeight w:val="195"/>
        </w:trPr>
        <w:tc>
          <w:tcPr>
            <w:tcW w:w="8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Jason Fenton</w:t>
            </w:r>
          </w:p>
        </w:tc>
      </w:tr>
      <w:tr>
        <w:trPr>
          <w:trHeight w:val="230"/>
        </w:trPr>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Underwriter Acceleration Request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44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2019-12-09T04:09:39Z</dcterms:created>
  <dcterms:modified xsi:type="dcterms:W3CDTF">2019-12-09T04:09:39Z</dcterms:modified>
</cp:coreProperties>
</file>