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us09627y1091_020419.txt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(Amendment No:</w:t>
      </w:r>
      <w:r>
        <w:rPr>
          <w:sz w:val="20"/>
          <w:szCs w:val="20"/>
          <w:color w:val="auto"/>
        </w:rPr>
        <w:tab/>
      </w:r>
      <w:r>
        <w:rPr>
          <w:rFonts w:ascii="Courier New" w:cs="Courier New" w:eastAsia="Courier New" w:hAnsi="Courier New"/>
          <w:sz w:val="18"/>
          <w:szCs w:val="18"/>
          <w:color w:val="auto"/>
        </w:rPr>
        <w:t>2)</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BLUEPRINT MEDICINES CORP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09627Y109</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CUSIP No.</w:t>
      </w:r>
      <w:r>
        <w:rPr>
          <w:sz w:val="20"/>
          <w:szCs w:val="20"/>
          <w:color w:val="auto"/>
        </w:rPr>
        <w:tab/>
      </w:r>
      <w:r>
        <w:rPr>
          <w:rFonts w:ascii="Courier New" w:cs="Courier New" w:eastAsia="Courier New" w:hAnsi="Courier New"/>
          <w:sz w:val="18"/>
          <w:szCs w:val="18"/>
          <w:color w:val="auto"/>
        </w:rPr>
        <w:t>09627Y109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3359887</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3445991</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3445991</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7.8%</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BLUEPRINT MEDICINES CORP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45 SIDNEY STREET</w:t>
      </w:r>
    </w:p>
    <w:p>
      <w:pPr>
        <w:ind w:left="6"/>
        <w:spacing w:after="0" w:line="238" w:lineRule="auto"/>
        <w:rPr>
          <w:sz w:val="20"/>
          <w:szCs w:val="20"/>
          <w:color w:val="auto"/>
        </w:rPr>
      </w:pPr>
      <w:r>
        <w:rPr>
          <w:rFonts w:ascii="Courier New" w:cs="Courier New" w:eastAsia="Courier New" w:hAnsi="Courier New"/>
          <w:sz w:val="19"/>
          <w:szCs w:val="19"/>
          <w:color w:val="auto"/>
        </w:rPr>
        <w:t>CAMBRIDGE MA 02139</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CUSIP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3445991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7.8%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3359887</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3445991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jc w:val="both"/>
        <w:ind w:left="320" w:right="3340" w:hanging="110"/>
        <w:spacing w:after="0" w:line="236" w:lineRule="auto"/>
        <w:rPr>
          <w:sz w:val="20"/>
          <w:szCs w:val="20"/>
          <w:color w:val="auto"/>
        </w:rPr>
      </w:pPr>
      <w:r>
        <w:rPr>
          <w:rFonts w:ascii="Courier New" w:cs="Courier New" w:eastAsia="Courier New" w:hAnsi="Courier New"/>
          <w:sz w:val="19"/>
          <w:szCs w:val="19"/>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9"/>
          <w:szCs w:val="19"/>
          <w:color w:val="auto"/>
        </w:rPr>
        <w:t>BLUEPRINT MEDICINES CORP.</w:t>
      </w:r>
    </w:p>
    <w:p>
      <w:pPr>
        <w:ind w:left="320"/>
        <w:spacing w:after="0" w:line="238" w:lineRule="auto"/>
        <w:rPr>
          <w:sz w:val="20"/>
          <w:szCs w:val="20"/>
          <w:color w:val="auto"/>
        </w:rPr>
      </w:pPr>
      <w:r>
        <w:rPr>
          <w:rFonts w:ascii="Courier New" w:cs="Courier New" w:eastAsia="Courier New" w:hAnsi="Courier New"/>
          <w:sz w:val="19"/>
          <w:szCs w:val="19"/>
          <w:color w:val="auto"/>
        </w:rPr>
        <w:t>No one person's interest in the common stock of</w:t>
      </w:r>
    </w:p>
    <w:p>
      <w:pPr>
        <w:ind w:left="320"/>
        <w:spacing w:after="0"/>
        <w:rPr>
          <w:sz w:val="20"/>
          <w:szCs w:val="20"/>
          <w:color w:val="auto"/>
        </w:rPr>
      </w:pPr>
      <w:r>
        <w:rPr>
          <w:rFonts w:ascii="Courier New" w:cs="Courier New" w:eastAsia="Courier New" w:hAnsi="Courier New"/>
          <w:sz w:val="19"/>
          <w:szCs w:val="19"/>
          <w:color w:val="auto"/>
        </w:rPr>
        <w:t>BLUEPRINT MEDICINES CORP</w:t>
      </w:r>
    </w:p>
    <w:p>
      <w:pPr>
        <w:ind w:left="320"/>
        <w:spacing w:after="0" w:line="237" w:lineRule="auto"/>
        <w:rPr>
          <w:sz w:val="20"/>
          <w:szCs w:val="20"/>
          <w:color w:val="auto"/>
        </w:rPr>
      </w:pPr>
      <w:r>
        <w:rPr>
          <w:rFonts w:ascii="Courier New" w:cs="Courier New" w:eastAsia="Courier New" w:hAnsi="Courier New"/>
          <w:sz w:val="19"/>
          <w:szCs w:val="19"/>
          <w:color w:val="auto"/>
        </w:rPr>
        <w:t>is more than five percent of the total outstanding common shares.</w:t>
      </w:r>
    </w:p>
    <w:p>
      <w:pPr>
        <w:spacing w:after="0" w:line="220"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4,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bookmarkStart w:id="4" w:name="page5"/>
    <w:bookmarkEnd w:id="4"/>
    <w:p>
      <w:pPr>
        <w:spacing w:after="0"/>
        <w:tabs>
          <w:tab w:leader="none" w:pos="1300" w:val="left"/>
        </w:tabs>
        <w:rPr>
          <w:sz w:val="20"/>
          <w:szCs w:val="20"/>
          <w:color w:val="auto"/>
        </w:rPr>
      </w:pPr>
      <w:r>
        <w:rPr>
          <w:rFonts w:ascii="Courier New" w:cs="Courier New" w:eastAsia="Courier New" w:hAnsi="Courier New"/>
          <w:sz w:val="19"/>
          <w:szCs w:val="19"/>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Advisors, LLC</w:t>
      </w:r>
    </w:p>
    <w:p>
      <w:pPr>
        <w:ind w:left="100"/>
        <w:spacing w:after="0" w:line="238" w:lineRule="auto"/>
        <w:rPr>
          <w:sz w:val="20"/>
          <w:szCs w:val="20"/>
          <w:color w:val="auto"/>
        </w:rPr>
      </w:pPr>
      <w:r>
        <w:rPr>
          <w:rFonts w:ascii="Courier New" w:cs="Courier New" w:eastAsia="Courier New" w:hAnsi="Courier New"/>
          <w:sz w:val="19"/>
          <w:szCs w:val="19"/>
          <w:color w:val="auto"/>
        </w:rPr>
        <w:t>BlackRock (Netherlands) B.V.</w:t>
      </w:r>
    </w:p>
    <w:p>
      <w:pPr>
        <w:ind w:left="100"/>
        <w:spacing w:after="0"/>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rPr>
          <w:sz w:val="20"/>
          <w:szCs w:val="20"/>
          <w:color w:val="auto"/>
        </w:rPr>
      </w:pPr>
      <w:r>
        <w:rPr>
          <w:rFonts w:ascii="Courier New" w:cs="Courier New" w:eastAsia="Courier New" w:hAnsi="Courier New"/>
          <w:sz w:val="19"/>
          <w:szCs w:val="19"/>
          <w:color w:val="auto"/>
        </w:rPr>
        <w:t>BlackRock Financial Management, Inc.</w:t>
      </w:r>
    </w:p>
    <w:p>
      <w:pPr>
        <w:ind w:left="100"/>
        <w:spacing w:after="0" w:line="237" w:lineRule="auto"/>
        <w:rPr>
          <w:sz w:val="20"/>
          <w:szCs w:val="20"/>
          <w:color w:val="auto"/>
        </w:rPr>
      </w:pPr>
      <w:r>
        <w:rPr>
          <w:rFonts w:ascii="Courier New" w:cs="Courier New" w:eastAsia="Courier New" w:hAnsi="Courier New"/>
          <w:sz w:val="19"/>
          <w:szCs w:val="19"/>
          <w:color w:val="auto"/>
        </w:rPr>
        <w:t>BlackRock Japan Co., Ltd.</w:t>
      </w:r>
    </w:p>
    <w:p>
      <w:pPr>
        <w:ind w:left="100"/>
        <w:spacing w:after="0"/>
        <w:rPr>
          <w:sz w:val="20"/>
          <w:szCs w:val="20"/>
          <w:color w:val="auto"/>
        </w:rPr>
      </w:pPr>
      <w:r>
        <w:rPr>
          <w:rFonts w:ascii="Courier New" w:cs="Courier New" w:eastAsia="Courier New" w:hAnsi="Courier New"/>
          <w:sz w:val="19"/>
          <w:szCs w:val="19"/>
          <w:color w:val="auto"/>
        </w:rPr>
        <w:t>BlackRock Asset Management Schweiz AG</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LLC</w:t>
      </w:r>
    </w:p>
    <w:p>
      <w:pPr>
        <w:ind w:left="100"/>
        <w:spacing w:after="0"/>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rPr>
          <w:sz w:val="20"/>
          <w:szCs w:val="20"/>
          <w:color w:val="auto"/>
        </w:rPr>
      </w:pPr>
      <w:r>
        <w:rPr>
          <w:rFonts w:ascii="Courier New" w:cs="Courier New" w:eastAsia="Courier New" w:hAnsi="Courier New"/>
          <w:sz w:val="19"/>
          <w:szCs w:val="19"/>
          <w:color w:val="auto"/>
        </w:rPr>
        <w:t>BlackRock (Luxembourg) S.A.</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rPr>
          <w:sz w:val="20"/>
          <w:szCs w:val="20"/>
          <w:color w:val="auto"/>
        </w:rPr>
      </w:pPr>
      <w:r>
        <w:rPr>
          <w:rFonts w:ascii="Courier New" w:cs="Courier New" w:eastAsia="Courier New" w:hAnsi="Courier New"/>
          <w:sz w:val="19"/>
          <w:szCs w:val="19"/>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1"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4" w:lineRule="exact"/>
        <w:rPr>
          <w:sz w:val="20"/>
          <w:szCs w:val="20"/>
          <w:color w:val="auto"/>
        </w:rPr>
      </w:pPr>
    </w:p>
    <w:p>
      <w:pPr>
        <w:ind w:right="2680"/>
        <w:spacing w:after="0" w:line="254"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w:t>
      </w:r>
    </w:p>
    <w:p>
      <w:pPr>
        <w:sectPr>
          <w:pgSz w:w="12240" w:h="15840" w:orient="portrait"/>
          <w:cols w:equalWidth="0" w:num="1">
            <w:col w:w="10680"/>
          </w:cols>
          <w:pgMar w:left="120" w:top="209" w:right="1440" w:bottom="0" w:gutter="0" w:footer="0" w:header="0"/>
        </w:sectPr>
      </w:pPr>
    </w:p>
    <w:bookmarkStart w:id="5" w:name="page6"/>
    <w:bookmarkEnd w:id="5"/>
    <w:p>
      <w:pPr>
        <w:ind w:right="3020"/>
        <w:spacing w:after="0" w:line="236" w:lineRule="auto"/>
        <w:rPr>
          <w:sz w:val="20"/>
          <w:szCs w:val="20"/>
          <w:color w:val="auto"/>
        </w:rPr>
      </w:pPr>
      <w:r>
        <w:rPr>
          <w:rFonts w:ascii="Courier New" w:cs="Courier New" w:eastAsia="Courier New" w:hAnsi="Courier New"/>
          <w:sz w:val="19"/>
          <w:szCs w:val="19"/>
          <w:color w:val="auto"/>
        </w:rPr>
        <w:t>Forms 3, 4, 5, 13D, 13F, 13G and 13H and any amendments to any of the Foregoing as may be required to be filed with the Securities and Exchange Commission, and delivering, furnishing or filing any</w:t>
      </w:r>
    </w:p>
    <w:p>
      <w:pPr>
        <w:spacing w:after="0" w:line="7"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8"/>
          <w:szCs w:val="18"/>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3"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2019-12-19T21:16:55Z</dcterms:created>
  <dcterms:modified xsi:type="dcterms:W3CDTF">2019-12-19T21:16:55Z</dcterms:modified>
</cp:coreProperties>
</file>