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85090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3" w:lineRule="exact"/>
        <w:rPr>
          <w:sz w:val="24"/>
          <w:szCs w:val="24"/>
          <w:color w:val="auto"/>
        </w:rPr>
      </w:pPr>
    </w:p>
    <w:p>
      <w:pPr>
        <w:ind w:left="3740" w:right="1860" w:hanging="3115"/>
        <w:spacing w:after="0" w:line="385" w:lineRule="auto"/>
        <w:tabs>
          <w:tab w:leader="none" w:pos="125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spacing w:after="0" w:line="159" w:lineRule="exact"/>
        <w:rPr>
          <w:sz w:val="24"/>
          <w:szCs w:val="24"/>
          <w:color w:val="auto"/>
        </w:rPr>
      </w:pPr>
    </w:p>
    <w:p>
      <w:pPr>
        <w:ind w:left="1260" w:hanging="635"/>
        <w:spacing w:after="0"/>
        <w:tabs>
          <w:tab w:leader="none" w:pos="1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330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720" w:type="dxa"/>
            <w:vAlign w:val="bottom"/>
            <w:tcBorders>
              <w:bottom w:val="single" w:sz="8" w:color="auto"/>
            </w:tcBorders>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w:t>
            </w:r>
          </w:p>
        </w:tc>
        <w:tc>
          <w:tcPr>
            <w:tcW w:w="720" w:type="dxa"/>
            <w:vAlign w:val="bottom"/>
            <w:tcBorders>
              <w:bottom w:val="single" w:sz="8" w:color="auto"/>
            </w:tcBorders>
          </w:tcPr>
          <w:p>
            <w:pPr>
              <w:spacing w:after="0"/>
              <w:rPr>
                <w:sz w:val="13"/>
                <w:szCs w:val="13"/>
                <w:color w:val="auto"/>
              </w:rPr>
            </w:pPr>
          </w:p>
        </w:tc>
      </w:tr>
      <w:tr>
        <w:trPr>
          <w:trHeight w:val="213"/>
        </w:trPr>
        <w:tc>
          <w:tcPr>
            <w:tcW w:w="33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Commission File Number: 001-37359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74930</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93345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1" w:lineRule="exact"/>
        <w:rPr>
          <w:sz w:val="24"/>
          <w:szCs w:val="24"/>
          <w:color w:val="auto"/>
        </w:rPr>
      </w:pPr>
    </w:p>
    <w:tbl>
      <w:tblPr>
        <w:tblLayout w:type="fixed"/>
        <w:tblInd w:w="1460" w:type="dxa"/>
        <w:tblCellMar>
          <w:top w:w="0" w:type="dxa"/>
          <w:left w:w="0" w:type="dxa"/>
          <w:bottom w:w="0" w:type="dxa"/>
          <w:right w:w="0" w:type="dxa"/>
        </w:tblCellMar>
      </w:tblPr>
      <w:tr>
        <w:trPr>
          <w:trHeight w:val="176"/>
        </w:trPr>
        <w:tc>
          <w:tcPr>
            <w:tcW w:w="4000" w:type="dxa"/>
            <w:vAlign w:val="bottom"/>
          </w:tcPr>
          <w:p>
            <w:pPr>
              <w:jc w:val="center"/>
              <w:ind w:right="16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26-3632015</w:t>
            </w:r>
          </w:p>
        </w:tc>
        <w:tc>
          <w:tcPr>
            <w:tcW w:w="0" w:type="dxa"/>
            <w:vAlign w:val="bottom"/>
          </w:tcPr>
          <w:p>
            <w:pPr>
              <w:spacing w:after="0"/>
              <w:rPr>
                <w:sz w:val="1"/>
                <w:szCs w:val="1"/>
                <w:color w:val="auto"/>
              </w:rPr>
            </w:pPr>
          </w:p>
        </w:tc>
      </w:tr>
      <w:tr>
        <w:trPr>
          <w:trHeight w:val="176"/>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2820" w:type="dxa"/>
            <w:vAlign w:val="bottom"/>
          </w:tcPr>
          <w:p>
            <w:pPr>
              <w:jc w:val="center"/>
              <w:ind w:left="166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89"/>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2820" w:type="dxa"/>
            <w:vAlign w:val="bottom"/>
          </w:tcPr>
          <w:p>
            <w:pPr>
              <w:jc w:val="center"/>
              <w:ind w:left="168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76"/>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45 Sidney Street</w:t>
            </w:r>
          </w:p>
        </w:tc>
        <w:tc>
          <w:tcPr>
            <w:tcW w:w="2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02139</w:t>
            </w:r>
          </w:p>
        </w:tc>
        <w:tc>
          <w:tcPr>
            <w:tcW w:w="0" w:type="dxa"/>
            <w:vAlign w:val="bottom"/>
          </w:tcPr>
          <w:p>
            <w:pPr>
              <w:spacing w:after="0"/>
              <w:rPr>
                <w:sz w:val="1"/>
                <w:szCs w:val="1"/>
                <w:color w:val="auto"/>
              </w:rPr>
            </w:pPr>
          </w:p>
        </w:tc>
      </w:tr>
      <w:tr>
        <w:trPr>
          <w:trHeight w:val="162"/>
        </w:trPr>
        <w:tc>
          <w:tcPr>
            <w:tcW w:w="400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Cambridge, MA</w:t>
            </w: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tcPr>
          <w:p>
            <w:pPr>
              <w:jc w:val="center"/>
              <w:ind w:right="166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820" w:type="dxa"/>
            <w:vAlign w:val="bottom"/>
          </w:tcPr>
          <w:p>
            <w:pPr>
              <w:jc w:val="center"/>
              <w:ind w:left="166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 xml:space="preserve">Registrant’s telephone number, including area code: </w:t>
      </w:r>
      <w:r>
        <w:rPr>
          <w:rFonts w:ascii="Times New Roman" w:cs="Times New Roman" w:eastAsia="Times New Roman" w:hAnsi="Times New Roman"/>
          <w:sz w:val="14"/>
          <w:szCs w:val="14"/>
          <w:b w:val="1"/>
          <w:bCs w:val="1"/>
          <w:color w:val="auto"/>
        </w:rPr>
        <w:t>(617) 374-7580</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Securities registered pursuant to Section 12(b) of the Act:</w:t>
      </w:r>
    </w:p>
    <w:p>
      <w:pPr>
        <w:spacing w:after="0" w:line="81" w:lineRule="exact"/>
        <w:rPr>
          <w:sz w:val="24"/>
          <w:szCs w:val="24"/>
          <w:color w:val="auto"/>
        </w:rPr>
      </w:pPr>
    </w:p>
    <w:tbl>
      <w:tblPr>
        <w:tblLayout w:type="fixed"/>
        <w:tblInd w:w="1500" w:type="dxa"/>
        <w:tblCellMar>
          <w:top w:w="0" w:type="dxa"/>
          <w:left w:w="0" w:type="dxa"/>
          <w:bottom w:w="0" w:type="dxa"/>
          <w:right w:w="0" w:type="dxa"/>
        </w:tblCellMar>
      </w:tblPr>
      <w:tr>
        <w:trPr>
          <w:trHeight w:val="189"/>
        </w:trPr>
        <w:tc>
          <w:tcPr>
            <w:tcW w:w="2940" w:type="dxa"/>
            <w:vAlign w:val="bottom"/>
          </w:tcPr>
          <w:p>
            <w:pPr>
              <w:jc w:val="center"/>
              <w:ind w:right="228"/>
              <w:spacing w:after="0"/>
              <w:rPr>
                <w:sz w:val="20"/>
                <w:szCs w:val="20"/>
                <w:color w:val="auto"/>
              </w:rPr>
            </w:pPr>
            <w:r>
              <w:rPr>
                <w:rFonts w:ascii="Times New Roman" w:cs="Times New Roman" w:eastAsia="Times New Roman" w:hAnsi="Times New Roman"/>
                <w:sz w:val="14"/>
                <w:szCs w:val="14"/>
                <w:i w:val="1"/>
                <w:iCs w:val="1"/>
                <w:color w:val="auto"/>
              </w:rPr>
              <w:t>Title of Class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Trading Symbols</w:t>
            </w:r>
          </w:p>
        </w:tc>
        <w:tc>
          <w:tcPr>
            <w:tcW w:w="2640" w:type="dxa"/>
            <w:vAlign w:val="bottom"/>
          </w:tcPr>
          <w:p>
            <w:pPr>
              <w:jc w:val="center"/>
              <w:ind w:left="248"/>
              <w:spacing w:after="0"/>
              <w:rPr>
                <w:sz w:val="20"/>
                <w:szCs w:val="20"/>
                <w:color w:val="auto"/>
              </w:rPr>
            </w:pPr>
            <w:r>
              <w:rPr>
                <w:rFonts w:ascii="Times New Roman" w:cs="Times New Roman" w:eastAsia="Times New Roman" w:hAnsi="Times New Roman"/>
                <w:sz w:val="14"/>
                <w:szCs w:val="14"/>
                <w:i w:val="1"/>
                <w:iCs w:val="1"/>
                <w:color w:val="auto"/>
              </w:rPr>
              <w:t>Name of Exchange on Which Registered</w:t>
            </w:r>
          </w:p>
        </w:tc>
      </w:tr>
      <w:tr>
        <w:trPr>
          <w:trHeight w:val="190"/>
        </w:trPr>
        <w:tc>
          <w:tcPr>
            <w:tcW w:w="29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BPMC</w:t>
            </w:r>
          </w:p>
        </w:tc>
        <w:tc>
          <w:tcPr>
            <w:tcW w:w="26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703580</wp:posOffset>
            </wp:positionH>
            <wp:positionV relativeFrom="paragraph">
              <wp:posOffset>-233045</wp:posOffset>
            </wp:positionV>
            <wp:extent cx="508317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3175" cy="248920"/>
                    </a:xfrm>
                    <a:prstGeom prst="rect">
                      <a:avLst/>
                    </a:prstGeom>
                    <a:noFill/>
                  </pic:spPr>
                </pic:pic>
              </a:graphicData>
            </a:graphic>
          </wp:anchor>
        </w:drawing>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76200</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49" w:lineRule="exact"/>
        <w:rPr>
          <w:sz w:val="24"/>
          <w:szCs w:val="24"/>
          <w:color w:val="auto"/>
        </w:rPr>
      </w:pPr>
    </w:p>
    <w:p>
      <w:pPr>
        <w:ind w:left="320" w:right="198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80" w:firstLine="324"/>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324"/>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324"/>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ind w:left="1840"/>
        <w:spacing w:after="0" w:line="161" w:lineRule="exact"/>
        <w:tabs>
          <w:tab w:leader="none" w:pos="70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31" w:lineRule="exact"/>
        <w:rPr>
          <w:sz w:val="24"/>
          <w:szCs w:val="24"/>
          <w:color w:val="auto"/>
        </w:rPr>
      </w:pPr>
    </w:p>
    <w:p>
      <w:pPr>
        <w:ind w:left="1860"/>
        <w:spacing w:after="0" w:line="161" w:lineRule="exact"/>
        <w:tabs>
          <w:tab w:leader="none" w:pos="6720" w:val="left"/>
        </w:tabs>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67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5" w:lineRule="exact"/>
        <w:rPr>
          <w:sz w:val="24"/>
          <w:szCs w:val="24"/>
          <w:color w:val="auto"/>
        </w:rPr>
      </w:pPr>
    </w:p>
    <w:p>
      <w:pPr>
        <w:ind w:right="380" w:firstLine="324"/>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24"/>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20"/>
        <w:spacing w:after="0" w:line="161" w:lineRule="exact"/>
        <w:tabs>
          <w:tab w:leader="none" w:pos="68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ind w:right="40" w:firstLine="324"/>
        <w:spacing w:after="0" w:line="271" w:lineRule="auto"/>
        <w:rPr>
          <w:sz w:val="20"/>
          <w:szCs w:val="20"/>
          <w:color w:val="auto"/>
        </w:rPr>
      </w:pPr>
      <w:r>
        <w:rPr>
          <w:rFonts w:ascii="Times New Roman" w:cs="Times New Roman" w:eastAsia="Times New Roman" w:hAnsi="Times New Roman"/>
          <w:sz w:val="14"/>
          <w:szCs w:val="14"/>
          <w:color w:val="auto"/>
        </w:rPr>
        <w:t>As of June 30, 2022, the aggregate market value of the voting and non-voting common equity held by non-affiliates of the registrant, based on the last reported sales price for the registrant’s common stock, par value $0.001 per share, on the Nasdaq Global Select Market on such date, was approximately $3,003,938,145.</w:t>
      </w:r>
    </w:p>
    <w:p>
      <w:pPr>
        <w:spacing w:after="0" w:line="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Number of shares of the registrant’s common stock, par value $0.001 per share, outstanding on February 14, 2023: 59,983,533</w:t>
      </w:r>
    </w:p>
    <w:p>
      <w:pPr>
        <w:spacing w:after="0" w:line="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2023 Annual Meeting of Stockholders, which the registrant intends to file with the Securities and Exchange Commission pursuant to Regulation 14A within 120 days after the end of the registrant’s fiscal year ended December 31, 2022, are incorporated by reference into Part III of this Annual Report on Form 10-K.</w:t>
      </w:r>
    </w:p>
    <w:p>
      <w:pPr>
        <w:spacing w:after="0" w:line="2" w:lineRule="exact"/>
        <w:rPr>
          <w:sz w:val="24"/>
          <w:szCs w:val="24"/>
          <w:color w:val="auto"/>
        </w:rPr>
      </w:pPr>
    </w:p>
    <w:p>
      <w:pPr>
        <w:spacing w:after="0"/>
        <w:tabs>
          <w:tab w:leader="none" w:pos="1220" w:val="left"/>
          <w:tab w:leader="none" w:pos="2900" w:val="left"/>
          <w:tab w:leader="none" w:pos="4140" w:val="left"/>
          <w:tab w:leader="none" w:pos="6220" w:val="left"/>
          <w:tab w:leader="none" w:pos="758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Ernst &amp; Young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Boston, Massachusetts,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490855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105410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2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7"/>
          </w:tcPr>
          <w:p>
            <w:pPr>
              <w:jc w:val="center"/>
              <w:ind w:right="372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0" w:type="dxa"/>
            <w:vAlign w:val="bottom"/>
          </w:tcPr>
          <w:p>
            <w:pPr>
              <w:spacing w:after="0"/>
              <w:rPr>
                <w:sz w:val="24"/>
                <w:szCs w:val="24"/>
                <w:color w:val="auto"/>
              </w:rPr>
            </w:pPr>
          </w:p>
        </w:tc>
        <w:tc>
          <w:tcPr>
            <w:tcW w:w="67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Item1A.</w:t>
            </w:r>
          </w:p>
        </w:tc>
        <w:tc>
          <w:tcPr>
            <w:tcW w:w="40" w:type="dxa"/>
            <w:vAlign w:val="bottom"/>
          </w:tcPr>
          <w:p>
            <w:pPr>
              <w:spacing w:after="0"/>
              <w:rPr>
                <w:sz w:val="17"/>
                <w:szCs w:val="17"/>
                <w:color w:val="auto"/>
              </w:rPr>
            </w:pPr>
          </w:p>
        </w:tc>
        <w:tc>
          <w:tcPr>
            <w:tcW w:w="67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40" w:type="dxa"/>
            <w:vAlign w:val="bottom"/>
          </w:tcPr>
          <w:p>
            <w:pPr>
              <w:spacing w:after="0"/>
              <w:rPr>
                <w:sz w:val="17"/>
                <w:szCs w:val="17"/>
                <w:color w:val="auto"/>
              </w:rPr>
            </w:pPr>
          </w:p>
        </w:tc>
        <w:tc>
          <w:tcPr>
            <w:tcW w:w="20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47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040" w:type="dxa"/>
            <w:vAlign w:val="bottom"/>
            <w:gridSpan w:val="2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40" w:type="dxa"/>
            <w:vAlign w:val="bottom"/>
            <w:gridSpan w:val="2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0" w:type="dxa"/>
            <w:vAlign w:val="bottom"/>
          </w:tcPr>
          <w:p>
            <w:pPr>
              <w:spacing w:after="0"/>
              <w:rPr>
                <w:sz w:val="17"/>
                <w:szCs w:val="17"/>
                <w:color w:val="auto"/>
              </w:rPr>
            </w:pPr>
          </w:p>
        </w:tc>
        <w:tc>
          <w:tcPr>
            <w:tcW w:w="67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72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0" w:type="dxa"/>
            <w:vAlign w:val="bottom"/>
          </w:tcPr>
          <w:p>
            <w:pPr>
              <w:spacing w:after="0"/>
              <w:rPr>
                <w:sz w:val="24"/>
                <w:szCs w:val="24"/>
                <w:color w:val="auto"/>
              </w:rPr>
            </w:pPr>
          </w:p>
        </w:tc>
        <w:tc>
          <w:tcPr>
            <w:tcW w:w="66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w:t>
            </w:r>
          </w:p>
        </w:tc>
        <w:tc>
          <w:tcPr>
            <w:tcW w:w="1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of Equity Securities</w:t>
            </w:r>
          </w:p>
        </w:tc>
        <w:tc>
          <w:tcPr>
            <w:tcW w:w="534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0" w:type="dxa"/>
            <w:vAlign w:val="bottom"/>
          </w:tcPr>
          <w:p>
            <w:pPr>
              <w:spacing w:after="0"/>
              <w:rPr>
                <w:sz w:val="17"/>
                <w:szCs w:val="17"/>
                <w:color w:val="auto"/>
              </w:rPr>
            </w:pPr>
          </w:p>
        </w:tc>
        <w:tc>
          <w:tcPr>
            <w:tcW w:w="67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40" w:type="dxa"/>
            <w:vAlign w:val="bottom"/>
          </w:tcPr>
          <w:p>
            <w:pPr>
              <w:spacing w:after="0"/>
              <w:rPr>
                <w:sz w:val="17"/>
                <w:szCs w:val="17"/>
                <w:color w:val="auto"/>
              </w:rPr>
            </w:pPr>
          </w:p>
        </w:tc>
        <w:tc>
          <w:tcPr>
            <w:tcW w:w="64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0" w:type="dxa"/>
            <w:vAlign w:val="bottom"/>
          </w:tcPr>
          <w:p>
            <w:pPr>
              <w:spacing w:after="0"/>
              <w:rPr>
                <w:sz w:val="17"/>
                <w:szCs w:val="17"/>
                <w:color w:val="auto"/>
              </w:rPr>
            </w:pPr>
          </w:p>
        </w:tc>
        <w:tc>
          <w:tcPr>
            <w:tcW w:w="43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42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0" w:type="dxa"/>
            <w:vAlign w:val="bottom"/>
          </w:tcPr>
          <w:p>
            <w:pPr>
              <w:spacing w:after="0"/>
              <w:rPr>
                <w:sz w:val="17"/>
                <w:szCs w:val="17"/>
                <w:color w:val="auto"/>
              </w:rPr>
            </w:pPr>
          </w:p>
        </w:tc>
        <w:tc>
          <w:tcPr>
            <w:tcW w:w="67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40" w:type="dxa"/>
            <w:vAlign w:val="bottom"/>
          </w:tcPr>
          <w:p>
            <w:pPr>
              <w:spacing w:after="0"/>
              <w:rPr>
                <w:sz w:val="17"/>
                <w:szCs w:val="17"/>
                <w:color w:val="auto"/>
              </w:rPr>
            </w:pPr>
          </w:p>
        </w:tc>
        <w:tc>
          <w:tcPr>
            <w:tcW w:w="67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Change in and Disagreements with Accountants on Accounting and Financial Disclosure.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40" w:type="dxa"/>
            <w:vAlign w:val="bottom"/>
          </w:tcPr>
          <w:p>
            <w:pPr>
              <w:spacing w:after="0"/>
              <w:rPr>
                <w:sz w:val="17"/>
                <w:szCs w:val="17"/>
                <w:color w:val="auto"/>
              </w:rPr>
            </w:pPr>
          </w:p>
        </w:tc>
        <w:tc>
          <w:tcPr>
            <w:tcW w:w="64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34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17"/>
                <w:szCs w:val="17"/>
                <w:color w:val="auto"/>
              </w:rPr>
            </w:pPr>
          </w:p>
        </w:tc>
        <w:tc>
          <w:tcPr>
            <w:tcW w:w="5020" w:type="dxa"/>
            <w:vAlign w:val="bottom"/>
            <w:gridSpan w:val="2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0" w:type="dxa"/>
            <w:vAlign w:val="bottom"/>
          </w:tcPr>
          <w:p>
            <w:pPr>
              <w:spacing w:after="0"/>
              <w:rPr>
                <w:sz w:val="17"/>
                <w:szCs w:val="17"/>
                <w:color w:val="auto"/>
              </w:rPr>
            </w:pPr>
          </w:p>
        </w:tc>
        <w:tc>
          <w:tcPr>
            <w:tcW w:w="49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188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62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III</w:t>
            </w:r>
          </w:p>
        </w:tc>
        <w:tc>
          <w:tcPr>
            <w:tcW w:w="368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0" w:type="dxa"/>
            <w:vAlign w:val="bottom"/>
          </w:tcPr>
          <w:p>
            <w:pPr>
              <w:spacing w:after="0"/>
              <w:rPr>
                <w:sz w:val="24"/>
                <w:szCs w:val="24"/>
                <w:color w:val="auto"/>
              </w:rPr>
            </w:pPr>
          </w:p>
        </w:tc>
        <w:tc>
          <w:tcPr>
            <w:tcW w:w="41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6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 w:type="dxa"/>
            <w:vAlign w:val="bottom"/>
          </w:tcPr>
          <w:p>
            <w:pPr>
              <w:spacing w:after="0"/>
              <w:rPr>
                <w:sz w:val="17"/>
                <w:szCs w:val="17"/>
                <w:color w:val="auto"/>
              </w:rPr>
            </w:pPr>
          </w:p>
        </w:tc>
        <w:tc>
          <w:tcPr>
            <w:tcW w:w="67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40" w:type="dxa"/>
            <w:vAlign w:val="bottom"/>
          </w:tcPr>
          <w:p>
            <w:pPr>
              <w:spacing w:after="0"/>
              <w:rPr>
                <w:sz w:val="17"/>
                <w:szCs w:val="17"/>
                <w:color w:val="auto"/>
              </w:rPr>
            </w:pPr>
          </w:p>
        </w:tc>
        <w:tc>
          <w:tcPr>
            <w:tcW w:w="67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140" w:type="dxa"/>
            <w:vAlign w:val="bottom"/>
            <w:tcBorders>
              <w:top w:val="single" w:sz="8" w:color="0000EE"/>
            </w:tcBorders>
            <w:gridSpan w:val="31"/>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40" w:type="dxa"/>
            <w:vAlign w:val="bottom"/>
          </w:tcPr>
          <w:p>
            <w:pPr>
              <w:spacing w:after="0"/>
              <w:rPr>
                <w:sz w:val="17"/>
                <w:szCs w:val="17"/>
                <w:color w:val="auto"/>
              </w:rPr>
            </w:pPr>
          </w:p>
        </w:tc>
        <w:tc>
          <w:tcPr>
            <w:tcW w:w="54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3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40" w:type="dxa"/>
            <w:vAlign w:val="bottom"/>
          </w:tcPr>
          <w:p>
            <w:pPr>
              <w:spacing w:after="0"/>
              <w:rPr>
                <w:sz w:val="17"/>
                <w:szCs w:val="17"/>
                <w:color w:val="auto"/>
              </w:rPr>
            </w:pPr>
          </w:p>
        </w:tc>
        <w:tc>
          <w:tcPr>
            <w:tcW w:w="28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Accounting Fees and Services</w:t>
            </w:r>
          </w:p>
        </w:tc>
        <w:tc>
          <w:tcPr>
            <w:tcW w:w="390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8"/>
          </w:tcPr>
          <w:p>
            <w:pPr>
              <w:jc w:val="center"/>
              <w:ind w:right="370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8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0" w:type="dxa"/>
            <w:vAlign w:val="bottom"/>
          </w:tcPr>
          <w:p>
            <w:pPr>
              <w:spacing w:after="0"/>
              <w:rPr>
                <w:sz w:val="24"/>
                <w:szCs w:val="24"/>
                <w:color w:val="auto"/>
              </w:rPr>
            </w:pPr>
          </w:p>
        </w:tc>
        <w:tc>
          <w:tcPr>
            <w:tcW w:w="67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196"/>
        </w:trPr>
        <w:tc>
          <w:tcPr>
            <w:tcW w:w="2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40" w:type="dxa"/>
            <w:vAlign w:val="bottom"/>
          </w:tcPr>
          <w:p>
            <w:pPr>
              <w:spacing w:after="0"/>
              <w:rPr>
                <w:sz w:val="17"/>
                <w:szCs w:val="17"/>
                <w:color w:val="auto"/>
              </w:rPr>
            </w:pPr>
          </w:p>
        </w:tc>
        <w:tc>
          <w:tcPr>
            <w:tcW w:w="31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362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1243"/>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subsidiaries. Blueprint Medicines, AYVAKIT®, AYVAKYT®, GAVRETO® and associated logos are trademarks of Blueprint Medicines Corporation. Other brands, names and trademarks contained in this Annual Report on Form 10-K are the property of their respective owners.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under the heading “Risk Factors” and should be carefully considered, together with other information in this Annual Report on Form 10-K in its entirety before making investment decisions regarding our common stock.</w:t>
      </w:r>
    </w:p>
    <w:p>
      <w:pPr>
        <w:spacing w:after="0" w:line="187" w:lineRule="exact"/>
        <w:rPr>
          <w:sz w:val="20"/>
          <w:szCs w:val="20"/>
          <w:color w:val="auto"/>
        </w:rPr>
      </w:pPr>
    </w:p>
    <w:p>
      <w:pPr>
        <w:ind w:left="1380" w:right="219" w:hanging="331"/>
        <w:spacing w:after="0" w:line="267"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growing as a commercial company and the marketing and sale of AYVAKIT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(avapritinib) (marketed in Europe under the brand name AYVAKYT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GAVRETO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(pralsetinib) or any future approved drugs may be unsuccessful or less successful than anticipated.</w:t>
      </w:r>
    </w:p>
    <w:p>
      <w:pPr>
        <w:spacing w:after="0" w:line="175" w:lineRule="exact"/>
        <w:rPr>
          <w:rFonts w:ascii="Times New Roman" w:cs="Times New Roman" w:eastAsia="Times New Roman" w:hAnsi="Times New Roman"/>
          <w:sz w:val="18"/>
          <w:szCs w:val="18"/>
          <w:color w:val="auto"/>
        </w:rPr>
      </w:pPr>
    </w:p>
    <w:p>
      <w:pPr>
        <w:ind w:left="1380" w:right="799" w:hanging="331"/>
        <w:spacing w:after="0" w:line="31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current and future drugs will depend upon the degree of market acceptance by physicians, patients, third-party payors and others in the medical community.</w:t>
      </w:r>
    </w:p>
    <w:p>
      <w:pPr>
        <w:spacing w:after="0" w:line="139" w:lineRule="exact"/>
        <w:rPr>
          <w:rFonts w:ascii="Times New Roman" w:cs="Times New Roman" w:eastAsia="Times New Roman" w:hAnsi="Times New Roman"/>
          <w:sz w:val="17"/>
          <w:szCs w:val="17"/>
          <w:color w:val="auto"/>
        </w:rPr>
      </w:pPr>
    </w:p>
    <w:p>
      <w:pPr>
        <w:jc w:val="both"/>
        <w:ind w:left="1380" w:right="1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our commercial opportunity being reduced or limited by others commercializing, developing or discovering drugs before or more successfully than we do.</w:t>
      </w:r>
    </w:p>
    <w:p>
      <w:pPr>
        <w:spacing w:after="0" w:line="175" w:lineRule="exact"/>
        <w:rPr>
          <w:rFonts w:ascii="Times New Roman" w:cs="Times New Roman" w:eastAsia="Times New Roman" w:hAnsi="Times New Roman"/>
          <w:sz w:val="18"/>
          <w:szCs w:val="18"/>
          <w:color w:val="auto"/>
        </w:rPr>
      </w:pPr>
    </w:p>
    <w:p>
      <w:pPr>
        <w:ind w:left="1380" w:right="7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of our approved drugs or drug candidates that we may develop.</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regulatory approval for our drug candidates, including for avapritinib and pralsetinib for additional indications or in additional geographies, and ultimately commercialize them, or experience significant delays in doing so, our business may be materially harmed.</w:t>
      </w:r>
    </w:p>
    <w:p>
      <w:pPr>
        <w:spacing w:after="0" w:line="175"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1"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66"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p>
      <w:pPr>
        <w:spacing w:after="0" w:line="175"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drug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59" w:hanging="331"/>
        <w:spacing w:after="0" w:line="258"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69"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operating losses since our inception and anticipate that we will incur continued losses for the foreseeable future.</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9"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57" w:lineRule="exact"/>
        <w:rPr>
          <w:rFonts w:ascii="Times New Roman" w:cs="Times New Roman" w:eastAsia="Times New Roman" w:hAnsi="Times New Roman"/>
          <w:sz w:val="17"/>
          <w:szCs w:val="17"/>
          <w:color w:val="auto"/>
        </w:rPr>
      </w:pPr>
    </w:p>
    <w:p>
      <w:pPr>
        <w:ind w:left="1380" w:right="99" w:hanging="331"/>
        <w:spacing w:after="0" w:line="261"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66" w:lineRule="exact"/>
        <w:rPr>
          <w:rFonts w:ascii="Times New Roman" w:cs="Times New Roman" w:eastAsia="Times New Roman" w:hAnsi="Times New Roman"/>
          <w:sz w:val="18"/>
          <w:szCs w:val="18"/>
          <w:color w:val="auto"/>
        </w:rPr>
      </w:pPr>
    </w:p>
    <w:p>
      <w:pPr>
        <w:ind w:left="1380" w:right="159" w:hanging="331"/>
        <w:spacing w:after="0" w:line="281"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0" w:lineRule="exact"/>
        <w:rPr>
          <w:rFonts w:ascii="Times New Roman" w:cs="Times New Roman" w:eastAsia="Times New Roman" w:hAnsi="Times New Roman"/>
          <w:sz w:val="17"/>
          <w:szCs w:val="17"/>
          <w:color w:val="auto"/>
        </w:rPr>
      </w:pPr>
    </w:p>
    <w:p>
      <w:pPr>
        <w:ind w:left="1380" w:right="339" w:hanging="331"/>
        <w:spacing w:after="0" w:line="258"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5"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future growth prospects could be materially and adversely affected by the ongoing COVID-19 pandemic.</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9"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57"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70"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“plan,” “potential,” “predict,” “project,” “seek,” “should,” “target,” “will,” “would” or the variation or the negative of these words or other comparable terminology, although not all forward-looking statements contain these identifying words.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but are not limited to,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207" w:lineRule="exact"/>
        <w:rPr>
          <w:sz w:val="20"/>
          <w:szCs w:val="20"/>
          <w:color w:val="auto"/>
        </w:rPr>
      </w:pPr>
    </w:p>
    <w:p>
      <w:pPr>
        <w:ind w:left="1380" w:right="55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61"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build out our commercial infrastructure and successfully launching, marketing and selling AYVAKIT (avapritinib) (marketed in Europe under the brand name AYVAKYT), GAVRETO (pralsetinib) and any current and future drug candidates for which we receive marketing approval;</w:t>
      </w:r>
    </w:p>
    <w:p>
      <w:pPr>
        <w:spacing w:after="0" w:line="166" w:lineRule="exact"/>
        <w:rPr>
          <w:rFonts w:ascii="Times New Roman" w:cs="Times New Roman" w:eastAsia="Times New Roman" w:hAnsi="Times New Roman"/>
          <w:sz w:val="18"/>
          <w:szCs w:val="18"/>
          <w:color w:val="auto"/>
        </w:rPr>
      </w:pPr>
    </w:p>
    <w:p>
      <w:pPr>
        <w:ind w:left="1380" w:right="31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of AYVAKIT/AYVAKYT and any current and future drug candidates in treating patients with indolent SM and advanced SM;</w:t>
      </w:r>
    </w:p>
    <w:p>
      <w:pPr>
        <w:spacing w:after="0" w:line="161"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and any current and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and any current and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jc w:val="both"/>
        <w:ind w:left="1380" w:right="47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75"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161"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length of protection we are able to establish and maintain for intellectual property rights covering our current and future drugs, drug candidates and technology;</w:t>
      </w:r>
    </w:p>
    <w:p>
      <w:pPr>
        <w:spacing w:after="0" w:line="161" w:lineRule="exact"/>
        <w:rPr>
          <w:rFonts w:ascii="Times New Roman" w:cs="Times New Roman" w:eastAsia="Times New Roman" w:hAnsi="Times New Roman"/>
          <w:sz w:val="18"/>
          <w:szCs w:val="18"/>
          <w:color w:val="auto"/>
        </w:rPr>
      </w:pPr>
    </w:p>
    <w:p>
      <w:pPr>
        <w:ind w:left="1380" w:right="119" w:hanging="331"/>
        <w:spacing w:after="0" w:line="25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our collaboration with CStone Pharmaceuticals to develop and commercialize avapritinib, pralsetinib and fisogatinib in Greater China, our collaboration with Zai Lab to develop and commercialize BLU-525 and BLU-945, and any respective back-up forms and certain other forms thereof, as inhibitors of epidermal growth factor receptor (EGFR) in Greater China, our collaboration with Oncopia Therapeutics, Inc., d/b/a Proteovant Therapeutics, Inc. (Proteovant), to research and advance novel targeted protein degrader therapies to address medical needs in oncology and hematology, as well as our ability to maintain these collaborations and establish additional strategic collaborations;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7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a wholly-owned subsidiary of Ipsen S.A. (Clementia), to develop and commercialize BLU-782 for fibrodysplasia ossificans progressiva;</w:t>
      </w:r>
    </w:p>
    <w:p>
      <w:pPr>
        <w:spacing w:after="0" w:line="175" w:lineRule="exact"/>
        <w:rPr>
          <w:rFonts w:ascii="Times New Roman" w:cs="Times New Roman" w:eastAsia="Times New Roman" w:hAnsi="Times New Roman"/>
          <w:sz w:val="18"/>
          <w:szCs w:val="18"/>
          <w:color w:val="auto"/>
        </w:rPr>
      </w:pPr>
    </w:p>
    <w:p>
      <w:pPr>
        <w:ind w:left="1380" w:right="179" w:hanging="331"/>
        <w:spacing w:after="0" w:line="289"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of our strategic financing transactions with Garnich Adjacent Investments S.a.r.l. (Sixth Street Partners) and Royalty Pharma Investments 2019 ICAV (Royalty Pharma) and the potential acceleration of our commercial products and pipeline resulting from the non-dilutive growth capital;</w:t>
      </w:r>
    </w:p>
    <w:p>
      <w:pPr>
        <w:spacing w:after="0" w:line="157" w:lineRule="exact"/>
        <w:rPr>
          <w:rFonts w:ascii="Times New Roman" w:cs="Times New Roman" w:eastAsia="Times New Roman" w:hAnsi="Times New Roman"/>
          <w:sz w:val="17"/>
          <w:szCs w:val="17"/>
          <w:color w:val="auto"/>
        </w:rPr>
      </w:pPr>
    </w:p>
    <w:p>
      <w:pPr>
        <w:ind w:left="1380" w:right="29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license agreement with IDRx, Inc. (IDRx) to develop our development candidate-stage KIT exon 13 inhibitor, IDRX-73, for the treatment of drug-resistant mutations of non-PDGFR-driven gastrointestinal stromal tumor (GIST);</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current or future drugs or drug candidates;</w:t>
      </w:r>
    </w:p>
    <w:p>
      <w:pPr>
        <w:spacing w:after="0" w:line="225"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1380" w:right="31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designations granted by U.S. Food and Drug Administration (FDA), such as orphan drug, fast track and breakthrough therapy designation or priority review; and</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5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our current or future drug candidates or third-party products intended for use as combination therapies or as comparator agents, and the launch, marketing, sale and commercial supply of AYVAKIT/AYVAKYT, GAVRETO and any current or future drug candidates for which we receive marketing approval.</w:t>
      </w:r>
    </w:p>
    <w:p>
      <w:pPr>
        <w:spacing w:after="0" w:line="21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3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27"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purposes of this Annual Report on Form 10-K, including the footnotes to our consolidated financial</w:t>
      </w:r>
    </w:p>
    <w:p>
      <w:pPr>
        <w:sectPr>
          <w:pgSz w:w="11900" w:h="16838" w:orient="portrait"/>
          <w:cols w:equalWidth="0" w:num="1">
            <w:col w:w="9019"/>
          </w:cols>
          <w:pgMar w:left="1440" w:top="513"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systemic mastocytosis, or SM, lung cancer, breast cancer and other genomically defined cancers, and cancer immunotherapy.</w:t>
      </w:r>
    </w:p>
    <w:p>
      <w:pPr>
        <w:spacing w:after="0" w:line="23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drug discovery approach combines our biological insights with our proprietary compound library and chemistry expertise to design highly selective and potent precision therapies. We aim to enable potent target inhibition that provides significant and durable clinical responses, limit side effects driven by off-target activity and combine therapies to shut down disease drivers and resistance,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1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At our Investor Day held in November 2022, we announced our five-year 2027 Blueprint strategy to achieve what we are calling Precision at Scale, which aims to bring the promise of precision medicine to impact larger patient populations by leveraging the strength of our scientific leadership, proven development capability, and global integrated business. Building on our significant achievements over the last decade, the five-year 2027 Blueprint strategy aims to double our impact across multiple measures of portfolio strength in about half the time.</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Specifically, our key strategies and upcoming goals are:</w:t>
      </w:r>
    </w:p>
    <w:p>
      <w:pPr>
        <w:spacing w:after="0" w:line="266" w:lineRule="exact"/>
        <w:rPr>
          <w:sz w:val="20"/>
          <w:szCs w:val="20"/>
          <w:color w:val="auto"/>
        </w:rPr>
      </w:pPr>
    </w:p>
    <w:p>
      <w:pPr>
        <w:ind w:left="720" w:right="31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AYVAKIT in indolent SM, improving treatment options for patients across the spectrum of the disease and expanding the company's leadership position in SM.</w:t>
      </w:r>
    </w:p>
    <w:p>
      <w:pPr>
        <w:ind w:left="720" w:right="51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 robust portfolio of innovative clinical programs, addressing broader patient populations, towards registration.</w:t>
      </w:r>
    </w:p>
    <w:p>
      <w:pPr>
        <w:ind w:left="720" w:right="499" w:hanging="319"/>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research and development pipeline with diverse, high-value programs from the company's prolific scientific platform</w:t>
      </w:r>
    </w:p>
    <w:p>
      <w:pPr>
        <w:spacing w:after="0" w:line="218" w:lineRule="exact"/>
        <w:rPr>
          <w:sz w:val="20"/>
          <w:szCs w:val="20"/>
          <w:color w:val="auto"/>
        </w:rPr>
      </w:pPr>
    </w:p>
    <w:p>
      <w:pPr>
        <w:ind w:left="60" w:right="1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Systemic Mastocytosis and other Mast Cell Disorders — AYVAKIT®/AYVAKYT® (avapritinib) and Elenestinib (BLU-263)</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Avapritinib</w:t>
      </w:r>
    </w:p>
    <w:p>
      <w:pPr>
        <w:spacing w:after="0" w:line="25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are commercializing avapritinib for the treatment of advanced SM and developing avapritinib for the treatment of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Avapritinib is approved in the U.S. under the brand name AYVAKIT for the treatment of adult patients with advanced SM, including aggressive SM or ASM, SM with an associated hematological neoplasm or SM-AHN, and mast cell leukemia or MCL. In March 2022, the European Commission expanded the marketing authorization for AYVAKYT to include the treatment of adult patients with ASM, SM-AHN, or MCL, after at least one systemic therapy. After receiving the European Commission’s approval, we launched AYVAKYT in Europe. These approvals were supported by our ongoing Phase 1 clinical trial in advanced SM, which we refer to as our EXPLORER trial, and our ongoing Phase 2 clinical trial in advanced SM, which we refer to as our PATHFINDER trial.</w:t>
      </w:r>
    </w:p>
    <w:p>
      <w:pPr>
        <w:spacing w:after="0" w:line="21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At the European Hematology Association, or EHA, Annual Meeting in June 2022, we presented data showing that AYVAKIT improved overall survival, or OS, and other clinical outcomes in EXPLORER and PATHFINDER trial patients with advanced SM, when indirectly compared to real-world data for prior best available therapies.</w:t>
      </w:r>
    </w:p>
    <w:p>
      <w:pPr>
        <w:spacing w:after="0" w:line="20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At the American Society of Hematology, or ASH, Annual Meeting in December 2022, we reported EXPLORER and PATHFINDER trial data showing high, durable response rates and prolonged OS in patients with advanced SM. Safety data were consistent with previously reported results and the FDA approved labeling of AYVAKIT, and reinforce the favorable benefit-risk profile of AYVAKIT at the 200 mg once-daily recommended dose.</w:t>
      </w:r>
    </w:p>
    <w:p>
      <w:pPr>
        <w:spacing w:after="0" w:line="207"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In addition, we are evaluating avapritinib in an ongoing registration-enabling Phase 2 clinical trial in indolent SM, which we refer to as our PIONEER trial. In August 2022, we reported positive top-line data for Part 2 of the PIONEER trial of AYVAKIT plus best available care versus placebo plus best available care, or the control arm, demonstrating clinically meaningful and highly significant improvements across the primary and key secondary endpoints, including patient-reported symptoms and objective measures of mast cell burden. AYVAKIT had a favorable safety profile compared to the control arm, supporting the potential for long-term treatment. Based on these positive results and a strong safety profile, we submitted a supplemental new drug application, or sNDA, to the FDA for AYVAKIT in indolent SM in November 2022. The FDA accepted this sNDA and granted priority review, with an action date of May 22, 2023 under the Prescription Drug User Fee Act, or PDUFA. In addition, the European Medicines Agency, or EMA, validated a type II variation marketing authorization application, or MAA, for AYVAKYT in indolent SM with a start of procedure date of January 27, 2023. We plan to present registrational PIONEER trial data for AYVAKIT in indolent SM at the American Academy of Allergy, Asthma and Immunology, or AAAAI, Annual Meeting in February 2023.</w:t>
      </w:r>
    </w:p>
    <w:p>
      <w:pPr>
        <w:spacing w:after="0" w:line="224"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Elenestinib (BLU-263)</w:t>
      </w:r>
    </w:p>
    <w:p>
      <w:pPr>
        <w:spacing w:after="0" w:line="25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are developing elenestinib, or BLU-263,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or CNS, relative to avapritinib based on preclinical data, which we believe will enable development of elenestinib for the treatment of indolent SM.</w:t>
      </w:r>
    </w:p>
    <w:p>
      <w:pPr>
        <w:spacing w:after="0" w:line="228" w:lineRule="exact"/>
        <w:rPr>
          <w:sz w:val="20"/>
          <w:szCs w:val="20"/>
          <w:color w:val="auto"/>
        </w:rPr>
      </w:pPr>
    </w:p>
    <w:p>
      <w:pPr>
        <w:ind w:left="60" w:right="339" w:firstLine="648"/>
        <w:spacing w:after="0" w:line="254" w:lineRule="auto"/>
        <w:rPr>
          <w:sz w:val="20"/>
          <w:szCs w:val="20"/>
          <w:color w:val="auto"/>
        </w:rPr>
      </w:pPr>
      <w:r>
        <w:rPr>
          <w:rFonts w:ascii="Times New Roman" w:cs="Times New Roman" w:eastAsia="Times New Roman" w:hAnsi="Times New Roman"/>
          <w:sz w:val="18"/>
          <w:szCs w:val="18"/>
          <w:color w:val="auto"/>
        </w:rPr>
        <w:t>We are evaluating elenestinib in an ongoing Phase 2/3 clinical trial in indolent SM, which we refer to as our HARBOR trial. In December 2022, we announced top-line, 12-week data from the dose-finding Part 1 of the HARBOR trial. Elenestinib showed improved measures of mast cell burden and patient-reported symptoms, and safety data were consistent with the preclinical profile of elenestinib and a completed Phase 1 healthy volunteer trial. We plan to present HARBOR Part 1 trial data for elenestinib in indolent SM at a medical conference in the second half of 2023.</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 — GAVRETO® (pralsetinib)</w:t>
      </w:r>
    </w:p>
    <w:p>
      <w:pPr>
        <w:spacing w:after="0" w:line="256"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We are developing and commercializing pralsetinib for the treatment of RET fusion-positive non-small cell lung cancer, or NSCLC, and for the treatment of RET-altered thyroid carcinoma, including medullary thyroid carcinoma,</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or MTC. We are also developing pralsetinib for the treatment of other RET-altered solid tumors. We have granted exclusive licenses to Roche and CStone Pharmaceuticals, or CStone, to develop and commercialize pralsetinib in their respective territories. See “</w:t>
      </w:r>
      <w:r>
        <w:rPr>
          <w:rFonts w:ascii="Times New Roman" w:cs="Times New Roman" w:eastAsia="Times New Roman" w:hAnsi="Times New Roman"/>
          <w:sz w:val="18"/>
          <w:szCs w:val="18"/>
          <w:i w:val="1"/>
          <w:iCs w:val="1"/>
          <w:color w:val="auto"/>
        </w:rPr>
        <w:t>—Collaborations and Licenses Summary</w:t>
      </w:r>
      <w:r>
        <w:rPr>
          <w:rFonts w:ascii="Times New Roman" w:cs="Times New Roman" w:eastAsia="Times New Roman" w:hAnsi="Times New Roman"/>
          <w:sz w:val="18"/>
          <w:szCs w:val="18"/>
          <w:color w:val="auto"/>
        </w:rPr>
        <w:t>” below.</w:t>
      </w:r>
    </w:p>
    <w:p>
      <w:pPr>
        <w:spacing w:after="0" w:line="21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2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Through our collaboration with Roche, the European Commission granted conditional marketing authorization for GAVRETO as a monotherapy for the treatment of adults with RET fusion-positive advanced NSCLC not previously treated with a RET inhibitor. In November 2022, Roche withdrew its type II variation MAA to the EMA for pralsetinib for RET-altered thyroid cancers in the second-line. Roche stated a change in strategy as the reason for the withdrawal, and that it was unrelated to product quality, efficacy or safety.</w:t>
      </w:r>
    </w:p>
    <w:p>
      <w:pPr>
        <w:spacing w:after="0" w:line="22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Through our collaboration with CStone, GAVRETO is approved by China’s National Medicinal Products Administration, or NMPA, for the treatment of patients with RET fusion-positive NSCLC previously treated with platinum-based chemotherapy. In March 2022, China’s NMPA approved GAVRETO for the treatment of RET-mutant MTC and RET fusion-positive thyroid cancer. In January 2023, the Taiwan Food and Drug Administration, or TFDA, approved GAVRETO for the treatment of adult patients with RET fusion-positive locally advanced or metastatic NSCLC, RET-mutant MTC and RET fusion-positive thyroid cancer. GAVRETO was approved in Hong Kong in July 2022 for the treatment of RET fusion-positive NSCLC.</w:t>
      </w:r>
    </w:p>
    <w:p>
      <w:pPr>
        <w:spacing w:after="0" w:line="21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are currently evaluating pralsetinib in an ongoing Phase 1/2 clinical trial in patients with RET-altered NSCLC, MTC and other advanced solid tumors, which we refer to as the ARROW trial. The ARROW trial was fully enrolled in December 2021 and was subsequently transferred to Roche in May 2022. Pursuant to our collaboration with Roche, we are co-developing pralsetinib globally in RET-altered solid tumors, including NSCLC, MTC and other thyroid cancers, as well as other solid tumors.</w:t>
      </w:r>
    </w:p>
    <w:p>
      <w:pPr>
        <w:spacing w:after="0" w:line="21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PDGFRA-Driven Gastrointestinal Stromal Tumors — AYVAKIT® / AYVAKYT® (avapritinib)</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commercializing avapritinib for the treatment of patients with PDGFRA exon 18 mutant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spacing w:after="0" w:line="23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Through our collaboration with CStone, AYVAKIT is approved by China’s NMPA for the treatment of adults with unresectable or metastatic GIST harboring a PDGFRA exon 18 mutation, including PDGFRA D842V mutations, and also received accelerated approval from the TFDA and approval in Hong Kong, both for adults with unresectable or metastatic GIST harboring PDGFRA D842V mutations.</w:t>
      </w:r>
    </w:p>
    <w:p>
      <w:pPr>
        <w:spacing w:after="0" w:line="227" w:lineRule="exact"/>
        <w:rPr>
          <w:sz w:val="20"/>
          <w:szCs w:val="20"/>
          <w:color w:val="auto"/>
        </w:rPr>
      </w:pPr>
    </w:p>
    <w:p>
      <w:pPr>
        <w:ind w:left="60" w:right="339" w:firstLine="648"/>
        <w:spacing w:after="0" w:line="280" w:lineRule="auto"/>
        <w:rPr>
          <w:sz w:val="20"/>
          <w:szCs w:val="20"/>
          <w:color w:val="auto"/>
        </w:rPr>
      </w:pPr>
      <w:r>
        <w:rPr>
          <w:rFonts w:ascii="Times New Roman" w:cs="Times New Roman" w:eastAsia="Times New Roman" w:hAnsi="Times New Roman"/>
          <w:sz w:val="17"/>
          <w:szCs w:val="17"/>
          <w:color w:val="auto"/>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avapritinib for the treatment of GIST.</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EGFR-Mutated NSCLC – BLU-945, BLU-701, BLU-525 and BLU-451</w:t>
      </w:r>
    </w:p>
    <w:p>
      <w:pPr>
        <w:spacing w:after="0" w:line="256"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a portfolio of investigational epidermal growth factor receptor (EGFR) inhibitors with the potential to address a spectrum of common and uncommon EGFR activating mutations, including exon 19 deletions, the L858R mutation and exon 20 insertions. Patients with EGFR-driven NSCLC have high medical needs despite current standards of care. First, osimertinib has demonstrated shorter OS and progression-free survival, or PFS, in patients whose tumors have activating L858R mutations, and there are limited treatment options for exon 20 insertion-driven NSCLC. Second, the majority of patients will ultimately progress due to tumor resistance, and preventing mutations from emerging is an important treatment goal. Third, the brain is a common site of disease progression that has proven difficult to treat. We are working to address these challenges and prolong patient benefit by advancing development of rational combinations with our investigational EGFR therapies. Ultimately, we are seeking to address the significant medical needs in EGFR-mutant NSCLC that affect approximately 60,000 patients in major markets, including the U.S., European Union or EU, the UK, and Japan.</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BLU-945</w:t>
      </w:r>
    </w:p>
    <w:p>
      <w:pPr>
        <w:spacing w:after="0" w:line="25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BLU-945 is a selective and potent investigational inhibitor of the activating EGFR L858R mutation and on-target T790M and C797X resistance mutations. Early data from the ongoing dose escalation part of the Phase 1/2 trial of BLU-945, which we refer to as our SYMPHONY trial, were presented at the American Association for Cancer Research, or AACR Annual Meeting in April 2022. BLU-945 demonstrated dose-dependent decreases in EGFR variant allele fractions via circulating tumor DNA, or ctDNA, analysis and radiographic tumor reductions. BLU-945 was generally well-tolerated, with no significant adverse events, or AEs, associated with wild-type EGFR inhibition. In the second quarter of 2022, we initiated a BLU-945 and osimertinib combination dose-escalation cohort in the ongoing Phase 1/2 SYMPHONY trial. In October 2022, preclinical data presented at the EORTC-NCI-AACR Molecular Targets and Cancer Therapeutics Symposium showed that BLU-945 in combination with osimertinib prolonged tumor regression and survival in EGFR</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L858R-driven, treatment-naïve, patient-derived xenograft models.</w:t>
      </w:r>
    </w:p>
    <w:p>
      <w:pPr>
        <w:spacing w:after="0" w:line="19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November 2022, at our Investor Day, we reported updated monotherapy dose escalation data from the SYMPHONY trial showing BLU-945 was generally well-tolerated and led to target ctDNA responses and tumor shrinkage. In the late-line setting, significant off-target resistance was identified at baseline and end-of-treatment by ctDNA analysis, leading us to prioritize clinical development of BLU-945 in combination with osimertinib in the first line, where we do not expect multiple overlapping driver mutations. Additionally, at our Investor Day, we reported early SYMPHONY trial dose escalation data showing BLU-945 in combination with osimertinib has been generally well-tolerated to-date. We plan to provide an initial clinical data update on SYMPHONY trial expansion for the combination of BLU-945 and osimertinib in first-line EGFR L858R-positive NSCLC in the second half of 2023.</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BLU-701 and BLU-525</w:t>
      </w:r>
    </w:p>
    <w:p>
      <w:pPr>
        <w:spacing w:after="0" w:line="200" w:lineRule="exact"/>
        <w:rPr>
          <w:sz w:val="20"/>
          <w:szCs w:val="20"/>
          <w:color w:val="auto"/>
        </w:rPr>
      </w:pPr>
    </w:p>
    <w:p>
      <w:pPr>
        <w:ind w:left="60" w:right="199" w:firstLine="648"/>
        <w:spacing w:after="0" w:line="269" w:lineRule="auto"/>
        <w:rPr>
          <w:sz w:val="20"/>
          <w:szCs w:val="20"/>
          <w:color w:val="auto"/>
        </w:rPr>
      </w:pPr>
      <w:r>
        <w:rPr>
          <w:rFonts w:ascii="Times New Roman" w:cs="Times New Roman" w:eastAsia="Times New Roman" w:hAnsi="Times New Roman"/>
          <w:sz w:val="17"/>
          <w:szCs w:val="17"/>
          <w:color w:val="auto"/>
        </w:rPr>
        <w:t>BLU-701 is a selective and potent investigational inhibitor of activating EGFR L858R or exon 19 deletion mutations and the on-target C797X resistance mutation. In November 2022, based on emerging clinical and pharmacokinetic data, we announced plans to prioritize development of BLU-525, a next-generation EGFR inhibitor, and deprioritize further development of BLU-701. Compared to BLU-701, based on preclinical data, BLU-525 has a distinct chemical structure with improved kinome selectivity and differentiated metabolism, and equivalent EGFR mutation coverage, wild-type EGFR selectivity and CNS penetration. Data supporting the preclinical profile of BLU-525 were reported at the EORTC-NCI-AACR Molecular Targets and Cancer Therapeutics Symposium in October 2022. We plan to</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submit an investigational new drug application, or IND, to the FDA for BLU-525 in the first half of 2023.</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 Exon 20 Insertion-Positive NSCLC — BLU-451</w:t>
      </w:r>
    </w:p>
    <w:p>
      <w:pPr>
        <w:spacing w:after="0" w:line="25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BLU-451 is a selective and potent investigational inhibitor under development for the treatment of EGFR exon 20 insertion-positive NSCLC that we acquired in December 2021 through our acquisition of Lengo Therapeutics, Inc. In April 2022, we presented the first preclinical data for BLU-451 at the AACR Annual Meeting demonstrating that BLU-451 is a wild-type EGFR-sparing, CNS penetrant molecule which potently inhibited a broad range of exon 20 insertions</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which we refer to as our CONCERTO trial. We plan to present dose escalation data from the CONCERTO trial of BLU-451 in the first half of 2023.</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CDK2-Vulnerable Cancers – BLU-222</w:t>
      </w:r>
    </w:p>
    <w:p>
      <w:pPr>
        <w:spacing w:after="0" w:line="268"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an investigational inhibitor, BLU-222, targeting CDK2 for the treatment of patients with CDK2-vulnerable cancers. CDK2 is a cell cycle regulator and an important cancer target, with relevance across multiple malignancies, including hormone-receptor-positive breast cancer and other CDK2-vulnerable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w:t>
      </w:r>
    </w:p>
    <w:p>
      <w:pPr>
        <w:spacing w:after="0" w:line="23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At the San Antonio Breast Cancer Symposium, in December 2022, we reported preclinical results showing BLU-222 in combination with ribociclib led to sustained antitumor activity, in preclinical models of CDK4/6 inhibitor-naïve and resistant HR+/HER2 breast cancer, supporting the clinical development of this combination regimen.</w:t>
      </w:r>
    </w:p>
    <w:p>
      <w:pPr>
        <w:spacing w:after="0" w:line="230" w:lineRule="exact"/>
        <w:rPr>
          <w:sz w:val="20"/>
          <w:szCs w:val="20"/>
          <w:color w:val="auto"/>
        </w:rPr>
      </w:pPr>
    </w:p>
    <w:p>
      <w:pPr>
        <w:jc w:val="both"/>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the first quarter of 2022, we initiated the Phase 1/2 trial of BLU-222 in CDK2-vulnerable cancers, which we refer to as our VELA trial. BLU-222 is being developed as monotherapy and in combination with other agents, including CDK4/6 inhibitors and estrogen receptor, or ER, antagonists, in hormone-receptor-positive, HER2-negative breast cancer or HR+/HER2- BC, and as a single agent and in combination in CCNE1-amplified tumor types. We plan to present VELA trial dose escalation data for BLU-222 in the first half of 2023.</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Advanced Cancers – BLU-852</w:t>
      </w:r>
    </w:p>
    <w:p>
      <w:pPr>
        <w:spacing w:after="0" w:line="241"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BLU-852 is a selective and potent investigational inhibitor of MAP4K1, a well-characterized immunokinase that is believed to play a role in T cell regulation. Preclinical data presented at the virtual AACR Annual Meeting in April 2021 show that MAP4K1 inhibition enhanced intratumoral immune cell activation, overcame regulatory T cell, or Treg, mediated T cell suppression, and reduced tumor burden both as a monotherapy and in combination with checkpoint inhibition. These preclinical data support the continued development of BLU-852. In 2022, under our ongoing cancer immunotherapy collaboration, Roche endorsed a clinical development plan for IND-enabling activities for BLU-852, as a single agent and in combination with atezolizumab, in advanced cancers.</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32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In 2022, we nominated two development candidates from our discovery programs: BLU-525 and IDRX-73, a KIT exon 13 inhibitor that we licensed to IDRx.</w:t>
      </w:r>
    </w:p>
    <w:p>
      <w:pPr>
        <w:spacing w:after="0" w:line="200" w:lineRule="exact"/>
        <w:rPr>
          <w:sz w:val="20"/>
          <w:szCs w:val="20"/>
          <w:color w:val="auto"/>
        </w:rPr>
      </w:pPr>
    </w:p>
    <w:p>
      <w:pPr>
        <w:spacing w:after="0" w:line="208"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In 2022, we started several degrader research programs, including three internal programs and two programs under our targeted protein degradation collaboration with Proteovant. Through the Proteovant collaboration, we plan to research and advance up to two novel protein degrader programs into development, with the option to expand to two additional programs. Under our immunotherapy collaboration with Roche, we are conducting activities for one program: BLU-852 for the treatment of advanced cancers. See “</w:t>
      </w:r>
      <w:r>
        <w:rPr>
          <w:rFonts w:ascii="Times New Roman" w:cs="Times New Roman" w:eastAsia="Times New Roman" w:hAnsi="Times New Roman"/>
          <w:sz w:val="18"/>
          <w:szCs w:val="18"/>
          <w:i w:val="1"/>
          <w:iCs w:val="1"/>
          <w:color w:val="auto"/>
        </w:rPr>
        <w:t>—Collaborations and Licenses Summary</w:t>
      </w:r>
      <w:r>
        <w:rPr>
          <w:rFonts w:ascii="Times New Roman" w:cs="Times New Roman" w:eastAsia="Times New Roman" w:hAnsi="Times New Roman"/>
          <w:sz w:val="18"/>
          <w:szCs w:val="18"/>
          <w:color w:val="auto"/>
        </w:rPr>
        <w:t>” below.</w:t>
      </w:r>
    </w:p>
    <w:p>
      <w:pPr>
        <w:sectPr>
          <w:pgSz w:w="11900" w:h="16838" w:orient="portrait"/>
          <w:cols w:equalWidth="0" w:num="1">
            <w:col w:w="9019"/>
          </w:cols>
          <w:pgMar w:left="1440" w:top="513" w:right="1440" w:bottom="1440" w:gutter="0" w:footer="0" w:header="0"/>
        </w:sect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Mast Cell Disorders – Wild-Type KIT Inhibition</w:t>
      </w:r>
    </w:p>
    <w:p>
      <w:pPr>
        <w:spacing w:after="0" w:line="21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pursuing a research program targeting wild-type KIT, which aims to build on our KIT target leadership to design a best-in-class oral precision therapy for prevalent mast cell diseases, including chronic urticaria. Wild-type KIT plays a central role in mast cell survival, proliferation and activation. In addition, mast cells are the primary effector cells in several allergic-inflammatory diseases, including both inducible and spontaneous chronic urticaria. Chronic urticaria is a debilitating inflammatory skin disorder characterized by wheals, or hives, and sleep disruption, stress and anxiety due to severe itching are major contributors to disease burden. We have identified multiple examples of compounds meeting our target product profile, which includes potent and selective inhibition of wild-type KIT, low potential for drug/drug</w:t>
      </w:r>
    </w:p>
    <w:p>
      <w:pPr>
        <w:spacing w:after="0" w:line="12"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interactions, and activity that is peripherally restricted. In the middle of 2023, we plan to nominate a development candidate targeting wild-type KIT for the treatment of chronic urticaria.</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 Summary</w:t>
      </w:r>
    </w:p>
    <w:p>
      <w:pPr>
        <w:spacing w:after="0" w:line="200" w:lineRule="exact"/>
        <w:rPr>
          <w:sz w:val="20"/>
          <w:szCs w:val="20"/>
          <w:color w:val="auto"/>
        </w:rPr>
      </w:pPr>
    </w:p>
    <w:p>
      <w:pPr>
        <w:spacing w:after="0" w:line="243"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Roche—Immunotherapy Collaboration</w:t>
      </w:r>
      <w:r>
        <w:rPr>
          <w:rFonts w:ascii="Times New Roman" w:cs="Times New Roman" w:eastAsia="Times New Roman" w:hAnsi="Times New Roman"/>
          <w:sz w:val="18"/>
          <w:szCs w:val="18"/>
          <w:color w:val="auto"/>
        </w:rPr>
        <w:t>. In March 2016, we entered into a collaboration with Roche 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small molecule therapeutics targeting kinases believed to be important in cancer immunotherapy, including the kinase target MAP4K1, as single products or possibly in combination with other therapeutics.</w:t>
      </w:r>
    </w:p>
    <w:p>
      <w:pPr>
        <w:spacing w:after="0" w:line="382"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Roche—Pralsetinib Collaboration</w:t>
      </w:r>
      <w:r>
        <w:rPr>
          <w:rFonts w:ascii="Times New Roman" w:cs="Times New Roman" w:eastAsia="Times New Roman" w:hAnsi="Times New Roman"/>
          <w:sz w:val="18"/>
          <w:szCs w:val="18"/>
          <w:color w:val="auto"/>
        </w:rPr>
        <w:t>. 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which consists of Mainland China, Hong Kong, Macau and Taiwan. We and Roche are also co-developing pralsetinib globally in RET-altered solid tumors, including NSCLC, MTC and other thyroid cancers, and expanding development of pralsetinib in multiple treatment settings.</w:t>
      </w:r>
    </w:p>
    <w:p>
      <w:pPr>
        <w:spacing w:after="0" w:line="385" w:lineRule="exact"/>
        <w:rPr>
          <w:sz w:val="20"/>
          <w:szCs w:val="20"/>
          <w:color w:val="auto"/>
        </w:rPr>
      </w:pPr>
    </w:p>
    <w:p>
      <w:pPr>
        <w:ind w:left="60" w:right="4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CStone</w:t>
      </w:r>
      <w:r>
        <w:rPr>
          <w:rFonts w:ascii="Times New Roman" w:cs="Times New Roman" w:eastAsia="Times New Roman" w:hAnsi="Times New Roman"/>
          <w:sz w:val="18"/>
          <w:szCs w:val="18"/>
          <w:color w:val="auto"/>
        </w:rPr>
        <w:t>. 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as well as back-up forms and certain other forms, in the CStone territory either as a monotherapy or as part of a combination therapy.</w:t>
      </w:r>
    </w:p>
    <w:p>
      <w:pPr>
        <w:spacing w:after="0" w:line="389"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Clementia</w:t>
      </w:r>
      <w:r>
        <w:rPr>
          <w:rFonts w:ascii="Times New Roman" w:cs="Times New Roman" w:eastAsia="Times New Roman" w:hAnsi="Times New Roman"/>
          <w:sz w:val="18"/>
          <w:szCs w:val="18"/>
          <w:color w:val="auto"/>
        </w:rPr>
        <w:t>. In October 2019, we entered into a license agreement with Clementia, and granted Clementia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 Clementia initiated patient dosing in a Phase 2 clinical trial of BLU-782, now referred to as fidrisertib, in the first quarter of 2022.</w:t>
      </w:r>
    </w:p>
    <w:p>
      <w:pPr>
        <w:spacing w:after="0" w:line="200" w:lineRule="exact"/>
        <w:rPr>
          <w:sz w:val="20"/>
          <w:szCs w:val="20"/>
          <w:color w:val="auto"/>
        </w:rPr>
      </w:pPr>
    </w:p>
    <w:p>
      <w:pPr>
        <w:spacing w:after="0" w:line="20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Zai Lab</w:t>
      </w:r>
      <w:r>
        <w:rPr>
          <w:rFonts w:ascii="Times New Roman" w:cs="Times New Roman" w:eastAsia="Times New Roman" w:hAnsi="Times New Roman"/>
          <w:sz w:val="18"/>
          <w:szCs w:val="18"/>
          <w:color w:val="auto"/>
        </w:rPr>
        <w:t>. In November 2021, we entered into a collaboration with Zai Lab to develop and commercialize BLU-945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BLU-701, including their respective back-up forms and certain other forms thereof, for the treatment of EGFR-driven NSCLC in Greater China, including Mainland China, Hong Kong, Macau and Taiwan. The collaboration aims to accelerate and expand global development of the licensed products, which currently include BLU-945 and BLU-525 (which served as a back-up candidate for BLU-701).</w:t>
      </w:r>
    </w:p>
    <w:p>
      <w:pPr>
        <w:spacing w:after="0" w:line="22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Proteovant</w:t>
      </w:r>
      <w:r>
        <w:rPr>
          <w:rFonts w:ascii="Times New Roman" w:cs="Times New Roman" w:eastAsia="Times New Roman" w:hAnsi="Times New Roman"/>
          <w:sz w:val="18"/>
          <w:szCs w:val="18"/>
          <w:color w:val="auto"/>
        </w:rPr>
        <w:t>. In February 2022, we entered into an exclusive collaboration with Proteovant, to jointly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up to two novel targeted protein degrader therapies as well as up to two additional novel protein degrader target programs as we may mutually agree with Proteovant (each such program is referred to as a target program). On a target program-by-target program basis, we will have an exclusive option to obtain a worldwide, exclusive license to develop and commercialize any licensed compound and licensed product under each target program. Proteovant will</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have the right to opt into the global development and U.S. commercialization of certain licensed compounds and licensed products under the second target program that we option, and, if we expand to additional target programs, Proteovant will have the same opt-in right for the fourth target program that we option.</w:t>
      </w:r>
    </w:p>
    <w:p>
      <w:pPr>
        <w:spacing w:after="0" w:line="214"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IDRx. </w:t>
      </w:r>
      <w:r>
        <w:rPr>
          <w:rFonts w:ascii="Times New Roman" w:cs="Times New Roman" w:eastAsia="Times New Roman" w:hAnsi="Times New Roman"/>
          <w:sz w:val="17"/>
          <w:szCs w:val="17"/>
          <w:color w:val="auto"/>
        </w:rPr>
        <w:t>In August 2022, we entered into a license agreement with IDRx, Inc., or IDRx, which we refer to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IDRx License Agreement. Pursuant to the IDRx License Agreement, we granted IDRx an exclusive, worldwide, royalty-bearing license to exploit our internally discovered development candidate-stage KIT exon 13 inhibitor, IDRX-73.</w:t>
      </w:r>
    </w:p>
    <w:p>
      <w:pPr>
        <w:spacing w:after="0" w:line="16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as noncash consideration and the eligibility to receive up to $217.5 million in contingent cash payments, including specified development, regulatory and sales-based milestone payments and tiered royalty payments.</w:t>
      </w: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Mergers &amp; Acquisitions Summary</w:t>
      </w:r>
    </w:p>
    <w:p>
      <w:pPr>
        <w:spacing w:after="0" w:line="200" w:lineRule="exact"/>
        <w:rPr>
          <w:sz w:val="20"/>
          <w:szCs w:val="20"/>
          <w:color w:val="auto"/>
        </w:rPr>
      </w:pPr>
    </w:p>
    <w:p>
      <w:pPr>
        <w:spacing w:after="0" w:line="24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Lengo Therapeutics</w:t>
      </w:r>
      <w:r>
        <w:rPr>
          <w:rFonts w:ascii="Times New Roman" w:cs="Times New Roman" w:eastAsia="Times New Roman" w:hAnsi="Times New Roman"/>
          <w:sz w:val="18"/>
          <w:szCs w:val="18"/>
          <w:color w:val="auto"/>
        </w:rPr>
        <w:t>. In December 2021, we completed our acquisition of Lengo Therapeutics, Inc., along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 compound LNG-451, now known as BLU-451, which is in development for the treatment of NSCLC in patients with EGFR exon 20 insertion mutations. The acquisition also included additional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185"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 Summary</w:t>
      </w:r>
    </w:p>
    <w:p>
      <w:pPr>
        <w:spacing w:after="0" w:line="26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Royalty Purchase Agreement. </w:t>
      </w:r>
      <w:r>
        <w:rPr>
          <w:rFonts w:ascii="Times New Roman" w:cs="Times New Roman" w:eastAsia="Times New Roman" w:hAnsi="Times New Roman"/>
          <w:sz w:val="18"/>
          <w:szCs w:val="18"/>
          <w:color w:val="auto"/>
        </w:rPr>
        <w:t>In June 2022, we entered into a purchase and sale agreement, which we refer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Royalty Purchase Agreement, with Royalty Pharma. Pursuant to this Royalty Purchase Agreement, we received an upfront cash payment of $175.0 million and the right to receive up to $165.0 million in certain milestone payments, subject to the achievement of specified net sales milestones by Roche, in exchange for all of our existing rights to receive royalty payments on the net sales of GAVRETO worldwide, excluding the CStone territory and U.S. territory under the terms of the Roche pralsetinib collaboration agreement.</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into a purchase and sale agreement, which we refer to as the</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Revenue Purchase Agreement, with Sixth Street Partners. In July 2022, upon the closing of the transaction pursuant</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Future Revenue Purchase Agreement, we received gross proceeds of $250.0 million in exchange for future royalty</w:t>
      </w:r>
    </w:p>
    <w:p>
      <w:pPr>
        <w:ind w:left="60"/>
        <w:spacing w:after="0"/>
        <w:rPr>
          <w:sz w:val="20"/>
          <w:szCs w:val="20"/>
          <w:color w:val="auto"/>
        </w:rPr>
      </w:pPr>
      <w:r>
        <w:rPr>
          <w:rFonts w:ascii="Times New Roman" w:cs="Times New Roman" w:eastAsia="Times New Roman" w:hAnsi="Times New Roman"/>
          <w:sz w:val="18"/>
          <w:szCs w:val="18"/>
          <w:color w:val="auto"/>
        </w:rPr>
        <w:t>payments at a rate of 9.75% on up to $900 million each year of (i) aggregate worldwide annual net product sales of</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AYVAKIT/AYVAKYT (avapritinib) and (ii) if it is approved, aggregate worldwide annual net product sales of elenestinib,</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but excluding sales in Greater China, subject to a cumulative cap of 1.45 times the upfront invested capital or a total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$362.5 million. In the event that certain revenue targets are not achieved by specified dates, the royalty rate and cumulative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 shall be increased to 15% and 1.85 times the invested capital (or $462.5 million), respectively.</w:t>
      </w:r>
    </w:p>
    <w:p>
      <w:pPr>
        <w:spacing w:after="0" w:line="23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for up to $660.0 million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The Financing Agreement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Secured Overnight Financing Rate (SOFR) plus 6.50% or the base rate plus 5.50%, subject to a floor of 1% and 2% with respect to the SOFR and base rate, respectively. We received initial gross proceeds of $150.0 million as part of a term loan in July 2022. In addition, we may at any time request an incremental term loan in an amount not to exceed $260.0 million on terms to be agreed and subject to the consent of the lenders providing such incremental term loan.</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19685</wp:posOffset>
            </wp:positionV>
            <wp:extent cx="541782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7820" cy="342900"/>
                    </a:xfrm>
                    <a:prstGeom prst="rect">
                      <a:avLst/>
                    </a:prstGeom>
                    <a:noFill/>
                  </pic:spPr>
                </pic:pic>
              </a:graphicData>
            </a:graphic>
          </wp:anchor>
        </w:drawing>
      </w:r>
    </w:p>
    <w:p>
      <w:pPr>
        <w:spacing w:after="0" w:line="31" w:lineRule="exact"/>
        <w:rPr>
          <w:sz w:val="20"/>
          <w:szCs w:val="20"/>
          <w:color w:val="auto"/>
        </w:rPr>
      </w:pPr>
    </w:p>
    <w:tbl>
      <w:tblPr>
        <w:tblLayout w:type="fixed"/>
        <w:tblInd w:w="250" w:type="dxa"/>
        <w:tblCellMar>
          <w:top w:w="0" w:type="dxa"/>
          <w:left w:w="0" w:type="dxa"/>
          <w:bottom w:w="0" w:type="dxa"/>
          <w:right w:w="0" w:type="dxa"/>
        </w:tblCellMar>
      </w:tblPr>
      <w:tr>
        <w:trPr>
          <w:trHeight w:val="209"/>
        </w:trPr>
        <w:tc>
          <w:tcPr>
            <w:tcW w:w="1500" w:type="dxa"/>
            <w:vAlign w:val="bottom"/>
            <w:tcBorders>
              <w:left w:val="single" w:sz="8" w:color="55555A"/>
            </w:tcBorders>
            <w:vMerge w:val="restart"/>
            <w:shd w:val="clear" w:color="auto" w:fill="55555A"/>
          </w:tcPr>
          <w:p>
            <w:pPr>
              <w:ind w:left="120"/>
              <w:spacing w:after="0"/>
              <w:rPr>
                <w:sz w:val="20"/>
                <w:szCs w:val="20"/>
                <w:color w:val="auto"/>
              </w:rPr>
            </w:pPr>
            <w:r>
              <w:rPr>
                <w:rFonts w:ascii="Arial" w:cs="Arial" w:eastAsia="Arial" w:hAnsi="Arial"/>
                <w:sz w:val="16"/>
                <w:szCs w:val="16"/>
                <w:b w:val="1"/>
                <w:bCs w:val="1"/>
                <w:color w:val="FFFFFF"/>
              </w:rPr>
              <w:t>Program</w:t>
            </w:r>
          </w:p>
        </w:tc>
        <w:tc>
          <w:tcPr>
            <w:tcW w:w="1920" w:type="dxa"/>
            <w:vAlign w:val="bottom"/>
            <w:vMerge w:val="restart"/>
            <w:shd w:val="clear" w:color="auto" w:fill="55555A"/>
          </w:tcPr>
          <w:p>
            <w:pPr>
              <w:ind w:left="620"/>
              <w:spacing w:after="0"/>
              <w:rPr>
                <w:sz w:val="20"/>
                <w:szCs w:val="20"/>
                <w:color w:val="auto"/>
              </w:rPr>
            </w:pPr>
            <w:r>
              <w:rPr>
                <w:rFonts w:ascii="Arial" w:cs="Arial" w:eastAsia="Arial" w:hAnsi="Arial"/>
                <w:sz w:val="16"/>
                <w:szCs w:val="16"/>
                <w:b w:val="1"/>
                <w:bCs w:val="1"/>
                <w:color w:val="FFFFFF"/>
              </w:rPr>
              <w:t>Discovery</w:t>
            </w:r>
          </w:p>
        </w:tc>
        <w:tc>
          <w:tcPr>
            <w:tcW w:w="80" w:type="dxa"/>
            <w:vAlign w:val="bottom"/>
            <w:shd w:val="clear" w:color="auto" w:fill="55555A"/>
          </w:tcPr>
          <w:p>
            <w:pPr>
              <w:spacing w:after="0"/>
              <w:rPr>
                <w:sz w:val="18"/>
                <w:szCs w:val="18"/>
                <w:color w:val="auto"/>
              </w:rPr>
            </w:pPr>
          </w:p>
        </w:tc>
        <w:tc>
          <w:tcPr>
            <w:tcW w:w="1420" w:type="dxa"/>
            <w:vAlign w:val="bottom"/>
            <w:gridSpan w:val="2"/>
            <w:shd w:val="clear" w:color="auto" w:fill="55555A"/>
          </w:tcPr>
          <w:p>
            <w:pPr>
              <w:jc w:val="center"/>
              <w:ind w:right="120"/>
              <w:spacing w:after="0"/>
              <w:rPr>
                <w:sz w:val="20"/>
                <w:szCs w:val="20"/>
                <w:color w:val="auto"/>
              </w:rPr>
            </w:pPr>
            <w:r>
              <w:rPr>
                <w:rFonts w:ascii="Arial" w:cs="Arial" w:eastAsia="Arial" w:hAnsi="Arial"/>
                <w:sz w:val="16"/>
                <w:szCs w:val="16"/>
                <w:b w:val="1"/>
                <w:bCs w:val="1"/>
                <w:color w:val="FFFFFF"/>
              </w:rPr>
              <w:t>Early-Stage</w:t>
            </w:r>
          </w:p>
        </w:tc>
        <w:tc>
          <w:tcPr>
            <w:tcW w:w="1160" w:type="dxa"/>
            <w:vAlign w:val="bottom"/>
            <w:shd w:val="clear" w:color="auto" w:fill="55555A"/>
          </w:tcPr>
          <w:p>
            <w:pPr>
              <w:jc w:val="center"/>
              <w:ind w:right="19"/>
              <w:spacing w:after="0"/>
              <w:rPr>
                <w:sz w:val="20"/>
                <w:szCs w:val="20"/>
                <w:color w:val="auto"/>
              </w:rPr>
            </w:pPr>
            <w:r>
              <w:rPr>
                <w:rFonts w:ascii="Arial" w:cs="Arial" w:eastAsia="Arial" w:hAnsi="Arial"/>
                <w:sz w:val="16"/>
                <w:szCs w:val="16"/>
                <w:b w:val="1"/>
                <w:bCs w:val="1"/>
                <w:color w:val="FFFFFF"/>
              </w:rPr>
              <w:t>Late-Stage</w:t>
            </w:r>
          </w:p>
        </w:tc>
        <w:tc>
          <w:tcPr>
            <w:tcW w:w="1240" w:type="dxa"/>
            <w:vAlign w:val="bottom"/>
            <w:shd w:val="clear" w:color="auto" w:fill="55555A"/>
          </w:tcPr>
          <w:p>
            <w:pPr>
              <w:jc w:val="center"/>
              <w:spacing w:after="0"/>
              <w:rPr>
                <w:sz w:val="20"/>
                <w:szCs w:val="20"/>
                <w:color w:val="auto"/>
              </w:rPr>
            </w:pPr>
            <w:r>
              <w:rPr>
                <w:rFonts w:ascii="Arial" w:cs="Arial" w:eastAsia="Arial" w:hAnsi="Arial"/>
                <w:sz w:val="16"/>
                <w:szCs w:val="16"/>
                <w:b w:val="1"/>
                <w:bCs w:val="1"/>
                <w:color w:val="FFFFFF"/>
              </w:rPr>
              <w:t>Regulatory</w:t>
            </w:r>
          </w:p>
        </w:tc>
        <w:tc>
          <w:tcPr>
            <w:tcW w:w="1200" w:type="dxa"/>
            <w:vAlign w:val="bottom"/>
            <w:tcBorders>
              <w:right w:val="single" w:sz="8" w:color="55555A"/>
            </w:tcBorders>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Approved</w:t>
            </w:r>
          </w:p>
        </w:tc>
        <w:tc>
          <w:tcPr>
            <w:tcW w:w="0" w:type="dxa"/>
            <w:vAlign w:val="bottom"/>
          </w:tcPr>
          <w:p>
            <w:pPr>
              <w:spacing w:after="0"/>
              <w:rPr>
                <w:sz w:val="1"/>
                <w:szCs w:val="1"/>
                <w:color w:val="auto"/>
              </w:rPr>
            </w:pPr>
          </w:p>
        </w:tc>
      </w:tr>
      <w:tr>
        <w:trPr>
          <w:trHeight w:val="128"/>
        </w:trPr>
        <w:tc>
          <w:tcPr>
            <w:tcW w:w="1500" w:type="dxa"/>
            <w:vAlign w:val="bottom"/>
            <w:tcBorders>
              <w:left w:val="single" w:sz="8" w:color="55555A"/>
            </w:tcBorders>
            <w:vMerge w:val="continue"/>
            <w:shd w:val="clear" w:color="auto" w:fill="55555A"/>
          </w:tcPr>
          <w:p>
            <w:pPr>
              <w:spacing w:after="0"/>
              <w:rPr>
                <w:sz w:val="11"/>
                <w:szCs w:val="11"/>
                <w:color w:val="auto"/>
              </w:rPr>
            </w:pPr>
          </w:p>
        </w:tc>
        <w:tc>
          <w:tcPr>
            <w:tcW w:w="1920" w:type="dxa"/>
            <w:vAlign w:val="bottom"/>
            <w:vMerge w:val="continue"/>
            <w:shd w:val="clear" w:color="auto" w:fill="55555A"/>
          </w:tcPr>
          <w:p>
            <w:pPr>
              <w:spacing w:after="0"/>
              <w:rPr>
                <w:sz w:val="11"/>
                <w:szCs w:val="11"/>
                <w:color w:val="auto"/>
              </w:rPr>
            </w:pPr>
          </w:p>
        </w:tc>
        <w:tc>
          <w:tcPr>
            <w:tcW w:w="80" w:type="dxa"/>
            <w:vAlign w:val="bottom"/>
            <w:shd w:val="clear" w:color="auto" w:fill="55555A"/>
          </w:tcPr>
          <w:p>
            <w:pPr>
              <w:spacing w:after="0"/>
              <w:rPr>
                <w:sz w:val="11"/>
                <w:szCs w:val="11"/>
                <w:color w:val="auto"/>
              </w:rPr>
            </w:pPr>
          </w:p>
        </w:tc>
        <w:tc>
          <w:tcPr>
            <w:tcW w:w="1420" w:type="dxa"/>
            <w:vAlign w:val="bottom"/>
            <w:gridSpan w:val="2"/>
            <w:vMerge w:val="restart"/>
            <w:shd w:val="clear" w:color="auto" w:fill="55555A"/>
          </w:tcPr>
          <w:p>
            <w:pPr>
              <w:jc w:val="center"/>
              <w:ind w:right="120"/>
              <w:spacing w:after="0"/>
              <w:rPr>
                <w:sz w:val="20"/>
                <w:szCs w:val="20"/>
                <w:color w:val="auto"/>
              </w:rPr>
            </w:pPr>
            <w:r>
              <w:rPr>
                <w:rFonts w:ascii="Arial" w:cs="Arial" w:eastAsia="Arial" w:hAnsi="Arial"/>
                <w:sz w:val="16"/>
                <w:szCs w:val="16"/>
                <w:b w:val="1"/>
                <w:bCs w:val="1"/>
                <w:color w:val="FFFFFF"/>
              </w:rPr>
              <w:t>Development</w:t>
            </w:r>
          </w:p>
        </w:tc>
        <w:tc>
          <w:tcPr>
            <w:tcW w:w="1160" w:type="dxa"/>
            <w:vAlign w:val="bottom"/>
            <w:vMerge w:val="restart"/>
            <w:shd w:val="clear" w:color="auto" w:fill="55555A"/>
          </w:tcPr>
          <w:p>
            <w:pPr>
              <w:jc w:val="center"/>
              <w:ind w:right="19"/>
              <w:spacing w:after="0"/>
              <w:rPr>
                <w:sz w:val="20"/>
                <w:szCs w:val="20"/>
                <w:color w:val="auto"/>
              </w:rPr>
            </w:pPr>
            <w:r>
              <w:rPr>
                <w:rFonts w:ascii="Arial" w:cs="Arial" w:eastAsia="Arial" w:hAnsi="Arial"/>
                <w:sz w:val="16"/>
                <w:szCs w:val="16"/>
                <w:b w:val="1"/>
                <w:bCs w:val="1"/>
                <w:color w:val="FFFFFF"/>
              </w:rPr>
              <w:t>Development</w:t>
            </w:r>
          </w:p>
        </w:tc>
        <w:tc>
          <w:tcPr>
            <w:tcW w:w="1240" w:type="dxa"/>
            <w:vAlign w:val="bottom"/>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Submission</w:t>
            </w:r>
          </w:p>
        </w:tc>
        <w:tc>
          <w:tcPr>
            <w:tcW w:w="1200" w:type="dxa"/>
            <w:vAlign w:val="bottom"/>
            <w:tcBorders>
              <w:right w:val="single" w:sz="8" w:color="55555A"/>
            </w:tcBorders>
            <w:vMerge w:val="continue"/>
            <w:shd w:val="clear" w:color="auto" w:fill="55555A"/>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00" w:type="dxa"/>
            <w:vAlign w:val="bottom"/>
            <w:tcBorders>
              <w:left w:val="single" w:sz="8" w:color="55555A"/>
            </w:tcBorders>
            <w:shd w:val="clear" w:color="auto" w:fill="55555A"/>
          </w:tcPr>
          <w:p>
            <w:pPr>
              <w:spacing w:after="0"/>
              <w:rPr>
                <w:sz w:val="8"/>
                <w:szCs w:val="8"/>
                <w:color w:val="auto"/>
              </w:rPr>
            </w:pPr>
          </w:p>
        </w:tc>
        <w:tc>
          <w:tcPr>
            <w:tcW w:w="1920" w:type="dxa"/>
            <w:vAlign w:val="bottom"/>
            <w:shd w:val="clear" w:color="auto" w:fill="55555A"/>
          </w:tcPr>
          <w:p>
            <w:pPr>
              <w:spacing w:after="0"/>
              <w:rPr>
                <w:sz w:val="8"/>
                <w:szCs w:val="8"/>
                <w:color w:val="auto"/>
              </w:rPr>
            </w:pPr>
          </w:p>
        </w:tc>
        <w:tc>
          <w:tcPr>
            <w:tcW w:w="80" w:type="dxa"/>
            <w:vAlign w:val="bottom"/>
            <w:shd w:val="clear" w:color="auto" w:fill="55555A"/>
          </w:tcPr>
          <w:p>
            <w:pPr>
              <w:spacing w:after="0"/>
              <w:rPr>
                <w:sz w:val="8"/>
                <w:szCs w:val="8"/>
                <w:color w:val="auto"/>
              </w:rPr>
            </w:pPr>
          </w:p>
        </w:tc>
        <w:tc>
          <w:tcPr>
            <w:tcW w:w="1420" w:type="dxa"/>
            <w:vAlign w:val="bottom"/>
            <w:gridSpan w:val="2"/>
            <w:vMerge w:val="continue"/>
            <w:shd w:val="clear" w:color="auto" w:fill="55555A"/>
          </w:tcPr>
          <w:p>
            <w:pPr>
              <w:spacing w:after="0"/>
              <w:rPr>
                <w:sz w:val="8"/>
                <w:szCs w:val="8"/>
                <w:color w:val="auto"/>
              </w:rPr>
            </w:pPr>
          </w:p>
        </w:tc>
        <w:tc>
          <w:tcPr>
            <w:tcW w:w="1160" w:type="dxa"/>
            <w:vAlign w:val="bottom"/>
            <w:vMerge w:val="continue"/>
            <w:shd w:val="clear" w:color="auto" w:fill="55555A"/>
          </w:tcPr>
          <w:p>
            <w:pPr>
              <w:spacing w:after="0"/>
              <w:rPr>
                <w:sz w:val="8"/>
                <w:szCs w:val="8"/>
                <w:color w:val="auto"/>
              </w:rPr>
            </w:pPr>
          </w:p>
        </w:tc>
        <w:tc>
          <w:tcPr>
            <w:tcW w:w="1240" w:type="dxa"/>
            <w:vAlign w:val="bottom"/>
            <w:vMerge w:val="continue"/>
            <w:shd w:val="clear" w:color="auto" w:fill="55555A"/>
          </w:tcPr>
          <w:p>
            <w:pPr>
              <w:spacing w:after="0"/>
              <w:rPr>
                <w:sz w:val="8"/>
                <w:szCs w:val="8"/>
                <w:color w:val="auto"/>
              </w:rPr>
            </w:pPr>
          </w:p>
        </w:tc>
        <w:tc>
          <w:tcPr>
            <w:tcW w:w="1200" w:type="dxa"/>
            <w:vAlign w:val="bottom"/>
            <w:tcBorders>
              <w:right w:val="single" w:sz="8" w:color="55555A"/>
            </w:tcBorders>
            <w:shd w:val="clear" w:color="auto" w:fill="55555A"/>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500" w:type="dxa"/>
            <w:vAlign w:val="bottom"/>
            <w:tcBorders>
              <w:left w:val="single" w:sz="8" w:color="55555A"/>
            </w:tcBorders>
            <w:shd w:val="clear" w:color="auto" w:fill="55555A"/>
          </w:tcPr>
          <w:p>
            <w:pPr>
              <w:spacing w:after="0"/>
              <w:rPr>
                <w:sz w:val="5"/>
                <w:szCs w:val="5"/>
                <w:color w:val="auto"/>
              </w:rPr>
            </w:pPr>
          </w:p>
        </w:tc>
        <w:tc>
          <w:tcPr>
            <w:tcW w:w="1920" w:type="dxa"/>
            <w:vAlign w:val="bottom"/>
            <w:shd w:val="clear" w:color="auto" w:fill="55555A"/>
          </w:tcPr>
          <w:p>
            <w:pPr>
              <w:spacing w:after="0"/>
              <w:rPr>
                <w:sz w:val="5"/>
                <w:szCs w:val="5"/>
                <w:color w:val="auto"/>
              </w:rPr>
            </w:pPr>
          </w:p>
        </w:tc>
        <w:tc>
          <w:tcPr>
            <w:tcW w:w="80" w:type="dxa"/>
            <w:vAlign w:val="bottom"/>
            <w:shd w:val="clear" w:color="auto" w:fill="55555A"/>
          </w:tcPr>
          <w:p>
            <w:pPr>
              <w:spacing w:after="0"/>
              <w:rPr>
                <w:sz w:val="5"/>
                <w:szCs w:val="5"/>
                <w:color w:val="auto"/>
              </w:rPr>
            </w:pPr>
          </w:p>
        </w:tc>
        <w:tc>
          <w:tcPr>
            <w:tcW w:w="1300" w:type="dxa"/>
            <w:vAlign w:val="bottom"/>
            <w:shd w:val="clear" w:color="auto" w:fill="55555A"/>
          </w:tcPr>
          <w:p>
            <w:pPr>
              <w:spacing w:after="0"/>
              <w:rPr>
                <w:sz w:val="5"/>
                <w:szCs w:val="5"/>
                <w:color w:val="auto"/>
              </w:rPr>
            </w:pPr>
          </w:p>
        </w:tc>
        <w:tc>
          <w:tcPr>
            <w:tcW w:w="120" w:type="dxa"/>
            <w:vAlign w:val="bottom"/>
            <w:shd w:val="clear" w:color="auto" w:fill="55555A"/>
          </w:tcPr>
          <w:p>
            <w:pPr>
              <w:spacing w:after="0"/>
              <w:rPr>
                <w:sz w:val="5"/>
                <w:szCs w:val="5"/>
                <w:color w:val="auto"/>
              </w:rPr>
            </w:pPr>
          </w:p>
        </w:tc>
        <w:tc>
          <w:tcPr>
            <w:tcW w:w="1160" w:type="dxa"/>
            <w:vAlign w:val="bottom"/>
            <w:shd w:val="clear" w:color="auto" w:fill="55555A"/>
          </w:tcPr>
          <w:p>
            <w:pPr>
              <w:spacing w:after="0"/>
              <w:rPr>
                <w:sz w:val="5"/>
                <w:szCs w:val="5"/>
                <w:color w:val="auto"/>
              </w:rPr>
            </w:pPr>
          </w:p>
        </w:tc>
        <w:tc>
          <w:tcPr>
            <w:tcW w:w="1240" w:type="dxa"/>
            <w:vAlign w:val="bottom"/>
            <w:shd w:val="clear" w:color="auto" w:fill="55555A"/>
          </w:tcPr>
          <w:p>
            <w:pPr>
              <w:spacing w:after="0"/>
              <w:rPr>
                <w:sz w:val="5"/>
                <w:szCs w:val="5"/>
                <w:color w:val="auto"/>
              </w:rPr>
            </w:pPr>
          </w:p>
        </w:tc>
        <w:tc>
          <w:tcPr>
            <w:tcW w:w="1200" w:type="dxa"/>
            <w:vAlign w:val="bottom"/>
            <w:tcBorders>
              <w:right w:val="single" w:sz="8" w:color="55555A"/>
            </w:tcBorders>
            <w:shd w:val="clear" w:color="auto" w:fill="55555A"/>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DDD9D3"/>
          </w:tcPr>
          <w:p>
            <w:pPr>
              <w:spacing w:after="0"/>
              <w:rPr>
                <w:sz w:val="21"/>
                <w:szCs w:val="21"/>
                <w:color w:val="auto"/>
              </w:rPr>
            </w:pPr>
          </w:p>
        </w:tc>
        <w:tc>
          <w:tcPr>
            <w:tcW w:w="1920" w:type="dxa"/>
            <w:vAlign w:val="bottom"/>
            <w:shd w:val="clear" w:color="auto" w:fill="DDD9D3"/>
          </w:tcPr>
          <w:p>
            <w:pPr>
              <w:spacing w:after="0"/>
              <w:rPr>
                <w:sz w:val="21"/>
                <w:szCs w:val="21"/>
                <w:color w:val="auto"/>
              </w:rPr>
            </w:pPr>
          </w:p>
        </w:tc>
        <w:tc>
          <w:tcPr>
            <w:tcW w:w="80" w:type="dxa"/>
            <w:vAlign w:val="bottom"/>
            <w:shd w:val="clear" w:color="auto" w:fill="DDD9D3"/>
          </w:tcPr>
          <w:p>
            <w:pPr>
              <w:spacing w:after="0"/>
              <w:rPr>
                <w:sz w:val="21"/>
                <w:szCs w:val="21"/>
                <w:color w:val="auto"/>
              </w:rPr>
            </w:pPr>
          </w:p>
        </w:tc>
        <w:tc>
          <w:tcPr>
            <w:tcW w:w="1420" w:type="dxa"/>
            <w:vAlign w:val="bottom"/>
            <w:gridSpan w:val="2"/>
            <w:shd w:val="clear" w:color="auto" w:fill="DDD9D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Mast cell disorders</w:t>
            </w:r>
          </w:p>
        </w:tc>
        <w:tc>
          <w:tcPr>
            <w:tcW w:w="1160" w:type="dxa"/>
            <w:vAlign w:val="bottom"/>
            <w:shd w:val="clear" w:color="auto" w:fill="DDD9D3"/>
          </w:tcPr>
          <w:p>
            <w:pPr>
              <w:spacing w:after="0"/>
              <w:rPr>
                <w:sz w:val="21"/>
                <w:szCs w:val="21"/>
                <w:color w:val="auto"/>
              </w:rPr>
            </w:pPr>
          </w:p>
        </w:tc>
        <w:tc>
          <w:tcPr>
            <w:tcW w:w="1240" w:type="dxa"/>
            <w:vAlign w:val="bottom"/>
            <w:shd w:val="clear" w:color="auto" w:fill="DDD9D3"/>
          </w:tcPr>
          <w:p>
            <w:pPr>
              <w:spacing w:after="0"/>
              <w:rPr>
                <w:sz w:val="21"/>
                <w:szCs w:val="21"/>
                <w:color w:val="auto"/>
              </w:rPr>
            </w:pPr>
          </w:p>
        </w:tc>
        <w:tc>
          <w:tcPr>
            <w:tcW w:w="120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AYVAKIT®</w:t>
            </w:r>
          </w:p>
        </w:tc>
        <w:tc>
          <w:tcPr>
            <w:tcW w:w="1920" w:type="dxa"/>
            <w:vAlign w:val="bottom"/>
            <w:shd w:val="clear" w:color="auto" w:fill="006E96"/>
          </w:tcPr>
          <w:p>
            <w:pPr>
              <w:ind w:left="100"/>
              <w:spacing w:after="0" w:line="267" w:lineRule="exact"/>
              <w:rPr>
                <w:sz w:val="20"/>
                <w:szCs w:val="20"/>
                <w:color w:val="auto"/>
              </w:rPr>
            </w:pPr>
            <w:r>
              <w:rPr>
                <w:rFonts w:ascii="Times New Roman" w:cs="Times New Roman" w:eastAsia="Times New Roman" w:hAnsi="Times New Roman"/>
                <w:sz w:val="16"/>
                <w:szCs w:val="16"/>
                <w:color w:val="FFFFFF"/>
              </w:rPr>
              <w:t>Advanced SM</w:t>
            </w:r>
            <w:r>
              <w:rPr>
                <w:rFonts w:ascii="Times New Roman" w:cs="Times New Roman" w:eastAsia="Times New Roman" w:hAnsi="Times New Roman"/>
                <w:sz w:val="24"/>
                <w:szCs w:val="24"/>
                <w:color w:val="FFFFFF"/>
                <w:vertAlign w:val="superscript"/>
              </w:rPr>
              <w:t>1,2</w:t>
            </w:r>
          </w:p>
        </w:tc>
        <w:tc>
          <w:tcPr>
            <w:tcW w:w="80" w:type="dxa"/>
            <w:vAlign w:val="bottom"/>
            <w:shd w:val="clear" w:color="auto" w:fill="006E96"/>
          </w:tcPr>
          <w:p>
            <w:pPr>
              <w:spacing w:after="0"/>
              <w:rPr>
                <w:sz w:val="23"/>
                <w:szCs w:val="23"/>
                <w:color w:val="auto"/>
              </w:rPr>
            </w:pPr>
          </w:p>
        </w:tc>
        <w:tc>
          <w:tcPr>
            <w:tcW w:w="1300" w:type="dxa"/>
            <w:vAlign w:val="bottom"/>
            <w:shd w:val="clear" w:color="auto" w:fill="006E96"/>
          </w:tcPr>
          <w:p>
            <w:pPr>
              <w:spacing w:after="0"/>
              <w:rPr>
                <w:sz w:val="23"/>
                <w:szCs w:val="23"/>
                <w:color w:val="auto"/>
              </w:rPr>
            </w:pPr>
          </w:p>
        </w:tc>
        <w:tc>
          <w:tcPr>
            <w:tcW w:w="120" w:type="dxa"/>
            <w:vAlign w:val="bottom"/>
            <w:shd w:val="clear" w:color="auto" w:fill="006E96"/>
          </w:tcPr>
          <w:p>
            <w:pPr>
              <w:spacing w:after="0"/>
              <w:rPr>
                <w:sz w:val="23"/>
                <w:szCs w:val="23"/>
                <w:color w:val="auto"/>
              </w:rPr>
            </w:pPr>
          </w:p>
        </w:tc>
        <w:tc>
          <w:tcPr>
            <w:tcW w:w="1160" w:type="dxa"/>
            <w:vAlign w:val="bottom"/>
            <w:shd w:val="clear" w:color="auto" w:fill="006E96"/>
          </w:tcPr>
          <w:p>
            <w:pPr>
              <w:spacing w:after="0"/>
              <w:rPr>
                <w:sz w:val="23"/>
                <w:szCs w:val="23"/>
                <w:color w:val="auto"/>
              </w:rPr>
            </w:pPr>
          </w:p>
        </w:tc>
        <w:tc>
          <w:tcPr>
            <w:tcW w:w="1240" w:type="dxa"/>
            <w:vAlign w:val="bottom"/>
            <w:shd w:val="clear" w:color="auto" w:fill="006E96"/>
          </w:tcPr>
          <w:p>
            <w:pPr>
              <w:spacing w:after="0"/>
              <w:rPr>
                <w:sz w:val="23"/>
                <w:szCs w:val="23"/>
                <w:color w:val="auto"/>
              </w:rPr>
            </w:pPr>
          </w:p>
        </w:tc>
        <w:tc>
          <w:tcPr>
            <w:tcW w:w="1200" w:type="dxa"/>
            <w:vAlign w:val="bottom"/>
            <w:tcBorders>
              <w:right w:val="single" w:sz="8" w:color="55555A"/>
            </w:tcBorders>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U.S., Europe</w:t>
            </w:r>
          </w:p>
        </w:tc>
        <w:tc>
          <w:tcPr>
            <w:tcW w:w="0" w:type="dxa"/>
            <w:vAlign w:val="bottom"/>
          </w:tcPr>
          <w:p>
            <w:pPr>
              <w:spacing w:after="0"/>
              <w:rPr>
                <w:sz w:val="1"/>
                <w:szCs w:val="1"/>
                <w:color w:val="auto"/>
              </w:rPr>
            </w:pPr>
          </w:p>
        </w:tc>
      </w:tr>
      <w:tr>
        <w:trPr>
          <w:trHeight w:val="124"/>
        </w:trPr>
        <w:tc>
          <w:tcPr>
            <w:tcW w:w="1500" w:type="dxa"/>
            <w:vAlign w:val="bottom"/>
            <w:tcBorders>
              <w:left w:val="single" w:sz="8" w:color="55555A"/>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(avapritinib)</w:t>
            </w:r>
          </w:p>
        </w:tc>
        <w:tc>
          <w:tcPr>
            <w:tcW w:w="192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Indolent SM</w:t>
            </w:r>
            <w:r>
              <w:rPr>
                <w:rFonts w:ascii="Times New Roman" w:cs="Times New Roman" w:eastAsia="Times New Roman" w:hAnsi="Times New Roman"/>
                <w:sz w:val="24"/>
                <w:szCs w:val="24"/>
                <w:color w:val="FFFFFF"/>
                <w:vertAlign w:val="superscript"/>
              </w:rPr>
              <w:t>1</w:t>
            </w:r>
          </w:p>
        </w:tc>
        <w:tc>
          <w:tcPr>
            <w:tcW w:w="80" w:type="dxa"/>
            <w:vAlign w:val="bottom"/>
            <w:shd w:val="clear" w:color="auto" w:fill="006E96"/>
          </w:tcPr>
          <w:p>
            <w:pPr>
              <w:spacing w:after="0"/>
              <w:rPr>
                <w:sz w:val="10"/>
                <w:szCs w:val="10"/>
                <w:color w:val="auto"/>
              </w:rPr>
            </w:pPr>
          </w:p>
        </w:tc>
        <w:tc>
          <w:tcPr>
            <w:tcW w:w="1300" w:type="dxa"/>
            <w:vAlign w:val="bottom"/>
            <w:shd w:val="clear" w:color="auto" w:fill="006E96"/>
          </w:tcPr>
          <w:p>
            <w:pPr>
              <w:spacing w:after="0"/>
              <w:rPr>
                <w:sz w:val="10"/>
                <w:szCs w:val="10"/>
                <w:color w:val="auto"/>
              </w:rPr>
            </w:pPr>
          </w:p>
        </w:tc>
        <w:tc>
          <w:tcPr>
            <w:tcW w:w="120" w:type="dxa"/>
            <w:vAlign w:val="bottom"/>
            <w:shd w:val="clear" w:color="auto" w:fill="006E96"/>
          </w:tcPr>
          <w:p>
            <w:pPr>
              <w:spacing w:after="0"/>
              <w:rPr>
                <w:sz w:val="10"/>
                <w:szCs w:val="10"/>
                <w:color w:val="auto"/>
              </w:rPr>
            </w:pPr>
          </w:p>
        </w:tc>
        <w:tc>
          <w:tcPr>
            <w:tcW w:w="1160" w:type="dxa"/>
            <w:vAlign w:val="bottom"/>
            <w:shd w:val="clear" w:color="auto" w:fill="006E96"/>
          </w:tcPr>
          <w:p>
            <w:pPr>
              <w:spacing w:after="0"/>
              <w:rPr>
                <w:sz w:val="10"/>
                <w:szCs w:val="10"/>
                <w:color w:val="auto"/>
              </w:rPr>
            </w:pPr>
          </w:p>
        </w:tc>
        <w:tc>
          <w:tcPr>
            <w:tcW w:w="1240" w:type="dxa"/>
            <w:vAlign w:val="bottom"/>
            <w:shd w:val="clear" w:color="auto" w:fill="006E96"/>
          </w:tcPr>
          <w:p>
            <w:pPr>
              <w:spacing w:after="0"/>
              <w:rPr>
                <w:sz w:val="10"/>
                <w:szCs w:val="10"/>
                <w:color w:val="auto"/>
              </w:rPr>
            </w:pPr>
          </w:p>
        </w:tc>
        <w:tc>
          <w:tcPr>
            <w:tcW w:w="1200" w:type="dxa"/>
            <w:vAlign w:val="bottom"/>
            <w:tcBorders>
              <w:right w:val="single" w:sz="8" w:color="55555A"/>
            </w:tcBorders>
            <w:shd w:val="clear" w:color="auto" w:fill="006E96"/>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500" w:type="dxa"/>
            <w:vAlign w:val="bottom"/>
            <w:tcBorders>
              <w:left w:val="single" w:sz="8" w:color="55555A"/>
            </w:tcBorders>
            <w:vMerge w:val="continue"/>
          </w:tcPr>
          <w:p>
            <w:pPr>
              <w:spacing w:after="0"/>
              <w:rPr>
                <w:sz w:val="6"/>
                <w:szCs w:val="6"/>
                <w:color w:val="auto"/>
              </w:rPr>
            </w:pPr>
          </w:p>
        </w:tc>
        <w:tc>
          <w:tcPr>
            <w:tcW w:w="1920" w:type="dxa"/>
            <w:vAlign w:val="bottom"/>
            <w:vMerge w:val="continue"/>
            <w:shd w:val="clear" w:color="auto" w:fill="006E96"/>
          </w:tcPr>
          <w:p>
            <w:pPr>
              <w:spacing w:after="0"/>
              <w:rPr>
                <w:sz w:val="6"/>
                <w:szCs w:val="6"/>
                <w:color w:val="auto"/>
              </w:rPr>
            </w:pPr>
          </w:p>
        </w:tc>
        <w:tc>
          <w:tcPr>
            <w:tcW w:w="80" w:type="dxa"/>
            <w:vAlign w:val="bottom"/>
            <w:shd w:val="clear" w:color="auto" w:fill="006E96"/>
          </w:tcPr>
          <w:p>
            <w:pPr>
              <w:spacing w:after="0"/>
              <w:rPr>
                <w:sz w:val="6"/>
                <w:szCs w:val="6"/>
                <w:color w:val="auto"/>
              </w:rPr>
            </w:pPr>
          </w:p>
        </w:tc>
        <w:tc>
          <w:tcPr>
            <w:tcW w:w="1300" w:type="dxa"/>
            <w:vAlign w:val="bottom"/>
            <w:shd w:val="clear" w:color="auto" w:fill="006E96"/>
          </w:tcPr>
          <w:p>
            <w:pPr>
              <w:spacing w:after="0"/>
              <w:rPr>
                <w:sz w:val="6"/>
                <w:szCs w:val="6"/>
                <w:color w:val="auto"/>
              </w:rPr>
            </w:pPr>
          </w:p>
        </w:tc>
        <w:tc>
          <w:tcPr>
            <w:tcW w:w="120" w:type="dxa"/>
            <w:vAlign w:val="bottom"/>
            <w:shd w:val="clear" w:color="auto" w:fill="006E96"/>
          </w:tcPr>
          <w:p>
            <w:pPr>
              <w:spacing w:after="0"/>
              <w:rPr>
                <w:sz w:val="6"/>
                <w:szCs w:val="6"/>
                <w:color w:val="auto"/>
              </w:rPr>
            </w:pPr>
          </w:p>
        </w:tc>
        <w:tc>
          <w:tcPr>
            <w:tcW w:w="1160" w:type="dxa"/>
            <w:vAlign w:val="bottom"/>
            <w:shd w:val="clear" w:color="auto" w:fill="006E96"/>
          </w:tcPr>
          <w:p>
            <w:pPr>
              <w:spacing w:after="0"/>
              <w:rPr>
                <w:sz w:val="6"/>
                <w:szCs w:val="6"/>
                <w:color w:val="auto"/>
              </w:rPr>
            </w:pPr>
          </w:p>
        </w:tc>
        <w:tc>
          <w:tcPr>
            <w:tcW w:w="1240" w:type="dxa"/>
            <w:vAlign w:val="bottom"/>
            <w:shd w:val="clear" w:color="auto" w:fill="006E96"/>
          </w:tcPr>
          <w:p>
            <w:pPr>
              <w:spacing w:after="0"/>
              <w:rPr>
                <w:sz w:val="6"/>
                <w:szCs w:val="6"/>
                <w:color w:val="auto"/>
              </w:rPr>
            </w:pPr>
          </w:p>
        </w:tc>
        <w:tc>
          <w:tcPr>
            <w:tcW w:w="1200" w:type="dxa"/>
            <w:vAlign w:val="bottom"/>
            <w:tcBorders>
              <w:right w:val="single" w:sz="8" w:color="55555A"/>
            </w:tcBorders>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(KIT)</w:t>
            </w:r>
          </w:p>
        </w:tc>
        <w:tc>
          <w:tcPr>
            <w:tcW w:w="1920" w:type="dxa"/>
            <w:vAlign w:val="bottom"/>
            <w:vMerge w:val="continue"/>
            <w:shd w:val="clear" w:color="auto" w:fill="006E96"/>
          </w:tcPr>
          <w:p>
            <w:pPr>
              <w:spacing w:after="0"/>
              <w:rPr>
                <w:sz w:val="24"/>
                <w:szCs w:val="24"/>
                <w:color w:val="auto"/>
              </w:rPr>
            </w:pPr>
          </w:p>
        </w:tc>
        <w:tc>
          <w:tcPr>
            <w:tcW w:w="80" w:type="dxa"/>
            <w:vAlign w:val="bottom"/>
            <w:shd w:val="clear" w:color="auto" w:fill="006E96"/>
          </w:tcPr>
          <w:p>
            <w:pPr>
              <w:spacing w:after="0"/>
              <w:rPr>
                <w:sz w:val="24"/>
                <w:szCs w:val="24"/>
                <w:color w:val="auto"/>
              </w:rPr>
            </w:pPr>
          </w:p>
        </w:tc>
        <w:tc>
          <w:tcPr>
            <w:tcW w:w="1300" w:type="dxa"/>
            <w:vAlign w:val="bottom"/>
            <w:shd w:val="clear" w:color="auto" w:fill="006E96"/>
          </w:tcPr>
          <w:p>
            <w:pPr>
              <w:spacing w:after="0"/>
              <w:rPr>
                <w:sz w:val="24"/>
                <w:szCs w:val="24"/>
                <w:color w:val="auto"/>
              </w:rPr>
            </w:pPr>
          </w:p>
        </w:tc>
        <w:tc>
          <w:tcPr>
            <w:tcW w:w="120" w:type="dxa"/>
            <w:vAlign w:val="bottom"/>
            <w:shd w:val="clear" w:color="auto" w:fill="006E96"/>
          </w:tcPr>
          <w:p>
            <w:pPr>
              <w:spacing w:after="0"/>
              <w:rPr>
                <w:sz w:val="24"/>
                <w:szCs w:val="24"/>
                <w:color w:val="auto"/>
              </w:rPr>
            </w:pPr>
          </w:p>
        </w:tc>
        <w:tc>
          <w:tcPr>
            <w:tcW w:w="1160" w:type="dxa"/>
            <w:vAlign w:val="bottom"/>
            <w:shd w:val="clear" w:color="auto" w:fill="006E96"/>
          </w:tcPr>
          <w:p>
            <w:pPr>
              <w:spacing w:after="0"/>
              <w:rPr>
                <w:sz w:val="24"/>
                <w:szCs w:val="24"/>
                <w:color w:val="auto"/>
              </w:rPr>
            </w:pPr>
          </w:p>
        </w:tc>
        <w:tc>
          <w:tcPr>
            <w:tcW w:w="1240" w:type="dxa"/>
            <w:vAlign w:val="bottom"/>
            <w:shd w:val="clear" w:color="auto" w:fill="006E96"/>
          </w:tcPr>
          <w:p>
            <w:pPr>
              <w:spacing w:after="0"/>
              <w:rPr>
                <w:sz w:val="24"/>
                <w:szCs w:val="24"/>
                <w:color w:val="auto"/>
              </w:rPr>
            </w:pPr>
          </w:p>
        </w:tc>
        <w:tc>
          <w:tcPr>
            <w:tcW w:w="120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EDEDED"/>
          </w:tcPr>
          <w:p>
            <w:pPr>
              <w:spacing w:after="0"/>
              <w:rPr>
                <w:sz w:val="21"/>
                <w:szCs w:val="21"/>
                <w:color w:val="auto"/>
              </w:rPr>
            </w:pPr>
          </w:p>
        </w:tc>
        <w:tc>
          <w:tcPr>
            <w:tcW w:w="192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30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1160" w:type="dxa"/>
            <w:vAlign w:val="bottom"/>
            <w:shd w:val="clear" w:color="auto" w:fill="EDEDED"/>
          </w:tcPr>
          <w:p>
            <w:pPr>
              <w:spacing w:after="0"/>
              <w:rPr>
                <w:sz w:val="21"/>
                <w:szCs w:val="21"/>
                <w:color w:val="auto"/>
              </w:rPr>
            </w:pPr>
          </w:p>
        </w:tc>
        <w:tc>
          <w:tcPr>
            <w:tcW w:w="1240" w:type="dxa"/>
            <w:vAlign w:val="bottom"/>
            <w:shd w:val="clear" w:color="auto" w:fill="EDEDED"/>
          </w:tcPr>
          <w:p>
            <w:pPr>
              <w:spacing w:after="0"/>
              <w:rPr>
                <w:sz w:val="21"/>
                <w:szCs w:val="21"/>
                <w:color w:val="auto"/>
              </w:rPr>
            </w:pPr>
          </w:p>
        </w:tc>
        <w:tc>
          <w:tcPr>
            <w:tcW w:w="120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Elenestinib (BLU-</w:t>
            </w:r>
          </w:p>
        </w:tc>
        <w:tc>
          <w:tcPr>
            <w:tcW w:w="1920" w:type="dxa"/>
            <w:vAlign w:val="bottom"/>
            <w:shd w:val="clear" w:color="auto" w:fill="006E96"/>
          </w:tcPr>
          <w:p>
            <w:pPr>
              <w:spacing w:after="0"/>
              <w:rPr>
                <w:sz w:val="17"/>
                <w:szCs w:val="17"/>
                <w:color w:val="auto"/>
              </w:rPr>
            </w:pPr>
          </w:p>
        </w:tc>
        <w:tc>
          <w:tcPr>
            <w:tcW w:w="80" w:type="dxa"/>
            <w:vAlign w:val="bottom"/>
            <w:shd w:val="clear" w:color="auto" w:fill="006E96"/>
          </w:tcPr>
          <w:p>
            <w:pPr>
              <w:spacing w:after="0"/>
              <w:rPr>
                <w:sz w:val="17"/>
                <w:szCs w:val="17"/>
                <w:color w:val="auto"/>
              </w:rPr>
            </w:pPr>
          </w:p>
        </w:tc>
        <w:tc>
          <w:tcPr>
            <w:tcW w:w="1300" w:type="dxa"/>
            <w:vAlign w:val="bottom"/>
            <w:shd w:val="clear" w:color="auto" w:fill="006E96"/>
          </w:tcPr>
          <w:p>
            <w:pPr>
              <w:spacing w:after="0"/>
              <w:rPr>
                <w:sz w:val="17"/>
                <w:szCs w:val="17"/>
                <w:color w:val="auto"/>
              </w:rPr>
            </w:pPr>
          </w:p>
        </w:tc>
        <w:tc>
          <w:tcPr>
            <w:tcW w:w="120" w:type="dxa"/>
            <w:vAlign w:val="bottom"/>
            <w:shd w:val="clear" w:color="auto" w:fill="006E96"/>
          </w:tcPr>
          <w:p>
            <w:pPr>
              <w:spacing w:after="0"/>
              <w:rPr>
                <w:sz w:val="17"/>
                <w:szCs w:val="17"/>
                <w:color w:val="auto"/>
              </w:rPr>
            </w:pPr>
          </w:p>
        </w:tc>
        <w:tc>
          <w:tcPr>
            <w:tcW w:w="1160" w:type="dxa"/>
            <w:vAlign w:val="bottom"/>
            <w:shd w:val="clear" w:color="auto" w:fill="006E96"/>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263)</w:t>
            </w:r>
          </w:p>
        </w:tc>
        <w:tc>
          <w:tcPr>
            <w:tcW w:w="192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Indolent SM</w:t>
            </w:r>
          </w:p>
        </w:tc>
        <w:tc>
          <w:tcPr>
            <w:tcW w:w="80" w:type="dxa"/>
            <w:vAlign w:val="bottom"/>
            <w:shd w:val="clear" w:color="auto" w:fill="006E96"/>
          </w:tcPr>
          <w:p>
            <w:pPr>
              <w:spacing w:after="0"/>
              <w:rPr>
                <w:sz w:val="17"/>
                <w:szCs w:val="17"/>
                <w:color w:val="auto"/>
              </w:rPr>
            </w:pPr>
          </w:p>
        </w:tc>
        <w:tc>
          <w:tcPr>
            <w:tcW w:w="1300" w:type="dxa"/>
            <w:vAlign w:val="bottom"/>
            <w:shd w:val="clear" w:color="auto" w:fill="006E96"/>
          </w:tcPr>
          <w:p>
            <w:pPr>
              <w:spacing w:after="0"/>
              <w:rPr>
                <w:sz w:val="17"/>
                <w:szCs w:val="17"/>
                <w:color w:val="auto"/>
              </w:rPr>
            </w:pPr>
          </w:p>
        </w:tc>
        <w:tc>
          <w:tcPr>
            <w:tcW w:w="120" w:type="dxa"/>
            <w:vAlign w:val="bottom"/>
            <w:shd w:val="clear" w:color="auto" w:fill="006E96"/>
          </w:tcPr>
          <w:p>
            <w:pPr>
              <w:spacing w:after="0"/>
              <w:rPr>
                <w:sz w:val="17"/>
                <w:szCs w:val="17"/>
                <w:color w:val="auto"/>
              </w:rPr>
            </w:pPr>
          </w:p>
        </w:tc>
        <w:tc>
          <w:tcPr>
            <w:tcW w:w="1160" w:type="dxa"/>
            <w:vAlign w:val="bottom"/>
            <w:shd w:val="clear" w:color="auto" w:fill="006E96"/>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(KIT)</w:t>
            </w:r>
          </w:p>
        </w:tc>
        <w:tc>
          <w:tcPr>
            <w:tcW w:w="1920" w:type="dxa"/>
            <w:vAlign w:val="bottom"/>
            <w:shd w:val="clear" w:color="auto" w:fill="006E96"/>
          </w:tcPr>
          <w:p>
            <w:pPr>
              <w:spacing w:after="0"/>
              <w:rPr>
                <w:sz w:val="20"/>
                <w:szCs w:val="20"/>
                <w:color w:val="auto"/>
              </w:rPr>
            </w:pPr>
          </w:p>
        </w:tc>
        <w:tc>
          <w:tcPr>
            <w:tcW w:w="80" w:type="dxa"/>
            <w:vAlign w:val="bottom"/>
            <w:shd w:val="clear" w:color="auto" w:fill="006E96"/>
          </w:tcPr>
          <w:p>
            <w:pPr>
              <w:spacing w:after="0"/>
              <w:rPr>
                <w:sz w:val="20"/>
                <w:szCs w:val="20"/>
                <w:color w:val="auto"/>
              </w:rPr>
            </w:pPr>
          </w:p>
        </w:tc>
        <w:tc>
          <w:tcPr>
            <w:tcW w:w="1300" w:type="dxa"/>
            <w:vAlign w:val="bottom"/>
            <w:shd w:val="clear" w:color="auto" w:fill="006E96"/>
          </w:tcPr>
          <w:p>
            <w:pPr>
              <w:spacing w:after="0"/>
              <w:rPr>
                <w:sz w:val="20"/>
                <w:szCs w:val="20"/>
                <w:color w:val="auto"/>
              </w:rPr>
            </w:pPr>
          </w:p>
        </w:tc>
        <w:tc>
          <w:tcPr>
            <w:tcW w:w="120" w:type="dxa"/>
            <w:vAlign w:val="bottom"/>
            <w:shd w:val="clear" w:color="auto" w:fill="006E96"/>
          </w:tcPr>
          <w:p>
            <w:pPr>
              <w:spacing w:after="0"/>
              <w:rPr>
                <w:sz w:val="20"/>
                <w:szCs w:val="20"/>
                <w:color w:val="auto"/>
              </w:rPr>
            </w:pPr>
          </w:p>
        </w:tc>
        <w:tc>
          <w:tcPr>
            <w:tcW w:w="1160" w:type="dxa"/>
            <w:vAlign w:val="bottom"/>
            <w:shd w:val="clear" w:color="auto" w:fill="006E96"/>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Borders>
              <w:right w:val="single" w:sz="8" w:color="55555A"/>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E7E6E6"/>
          </w:tcPr>
          <w:p>
            <w:pPr>
              <w:spacing w:after="0"/>
              <w:rPr>
                <w:sz w:val="21"/>
                <w:szCs w:val="21"/>
                <w:color w:val="auto"/>
              </w:rPr>
            </w:pPr>
          </w:p>
        </w:tc>
        <w:tc>
          <w:tcPr>
            <w:tcW w:w="1920" w:type="dxa"/>
            <w:vAlign w:val="bottom"/>
            <w:shd w:val="clear" w:color="auto" w:fill="E7E6E6"/>
          </w:tcPr>
          <w:p>
            <w:pPr>
              <w:spacing w:after="0"/>
              <w:rPr>
                <w:sz w:val="21"/>
                <w:szCs w:val="21"/>
                <w:color w:val="auto"/>
              </w:rPr>
            </w:pPr>
          </w:p>
        </w:tc>
        <w:tc>
          <w:tcPr>
            <w:tcW w:w="80" w:type="dxa"/>
            <w:vAlign w:val="bottom"/>
            <w:shd w:val="clear" w:color="auto" w:fill="E7E6E6"/>
          </w:tcPr>
          <w:p>
            <w:pPr>
              <w:spacing w:after="0"/>
              <w:rPr>
                <w:sz w:val="21"/>
                <w:szCs w:val="21"/>
                <w:color w:val="auto"/>
              </w:rPr>
            </w:pPr>
          </w:p>
        </w:tc>
        <w:tc>
          <w:tcPr>
            <w:tcW w:w="1300" w:type="dxa"/>
            <w:vAlign w:val="bottom"/>
            <w:shd w:val="clear" w:color="auto" w:fill="E7E6E6"/>
          </w:tcPr>
          <w:p>
            <w:pPr>
              <w:spacing w:after="0"/>
              <w:rPr>
                <w:sz w:val="21"/>
                <w:szCs w:val="21"/>
                <w:color w:val="auto"/>
              </w:rPr>
            </w:pPr>
          </w:p>
        </w:tc>
        <w:tc>
          <w:tcPr>
            <w:tcW w:w="120" w:type="dxa"/>
            <w:vAlign w:val="bottom"/>
            <w:shd w:val="clear" w:color="auto" w:fill="E7E6E6"/>
          </w:tcPr>
          <w:p>
            <w:pPr>
              <w:spacing w:after="0"/>
              <w:rPr>
                <w:sz w:val="21"/>
                <w:szCs w:val="21"/>
                <w:color w:val="auto"/>
              </w:rPr>
            </w:pPr>
          </w:p>
        </w:tc>
        <w:tc>
          <w:tcPr>
            <w:tcW w:w="1160" w:type="dxa"/>
            <w:vAlign w:val="bottom"/>
            <w:shd w:val="clear" w:color="auto" w:fill="E7E6E6"/>
          </w:tcPr>
          <w:p>
            <w:pPr>
              <w:spacing w:after="0"/>
              <w:rPr>
                <w:sz w:val="21"/>
                <w:szCs w:val="21"/>
                <w:color w:val="auto"/>
              </w:rPr>
            </w:pPr>
          </w:p>
        </w:tc>
        <w:tc>
          <w:tcPr>
            <w:tcW w:w="1240" w:type="dxa"/>
            <w:vAlign w:val="bottom"/>
            <w:shd w:val="clear" w:color="auto" w:fill="E7E6E6"/>
          </w:tcPr>
          <w:p>
            <w:pPr>
              <w:spacing w:after="0"/>
              <w:rPr>
                <w:sz w:val="21"/>
                <w:szCs w:val="21"/>
                <w:color w:val="auto"/>
              </w:rPr>
            </w:pPr>
          </w:p>
        </w:tc>
        <w:tc>
          <w:tcPr>
            <w:tcW w:w="1200" w:type="dxa"/>
            <w:vAlign w:val="bottom"/>
            <w:tcBorders>
              <w:right w:val="single" w:sz="8" w:color="55555A"/>
            </w:tcBorders>
            <w:shd w:val="clear" w:color="auto" w:fill="E7E6E6"/>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Wild-type KIT</w:t>
            </w:r>
          </w:p>
        </w:tc>
        <w:tc>
          <w:tcPr>
            <w:tcW w:w="192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Chronic urticaria</w:t>
            </w:r>
          </w:p>
        </w:tc>
        <w:tc>
          <w:tcPr>
            <w:tcW w:w="80" w:type="dxa"/>
            <w:vAlign w:val="bottom"/>
            <w:shd w:val="clear" w:color="auto" w:fill="006E96"/>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500" w:type="dxa"/>
            <w:vAlign w:val="bottom"/>
            <w:tcBorders>
              <w:left w:val="single" w:sz="8" w:color="55555A"/>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 program</w:t>
            </w:r>
          </w:p>
        </w:tc>
        <w:tc>
          <w:tcPr>
            <w:tcW w:w="1920" w:type="dxa"/>
            <w:vAlign w:val="bottom"/>
            <w:vMerge w:val="continue"/>
            <w:shd w:val="clear" w:color="auto" w:fill="006E96"/>
          </w:tcPr>
          <w:p>
            <w:pPr>
              <w:spacing w:after="0"/>
              <w:rPr>
                <w:sz w:val="10"/>
                <w:szCs w:val="10"/>
                <w:color w:val="auto"/>
              </w:rPr>
            </w:pPr>
          </w:p>
        </w:tc>
        <w:tc>
          <w:tcPr>
            <w:tcW w:w="80" w:type="dxa"/>
            <w:vAlign w:val="bottom"/>
            <w:shd w:val="clear" w:color="auto" w:fill="006E96"/>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Borders>
              <w:right w:val="single" w:sz="8" w:color="55555A"/>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tcBorders>
              <w:left w:val="single" w:sz="8" w:color="55555A"/>
            </w:tcBorders>
            <w:vMerge w:val="continue"/>
          </w:tcPr>
          <w:p>
            <w:pPr>
              <w:spacing w:after="0"/>
              <w:rPr>
                <w:sz w:val="9"/>
                <w:szCs w:val="9"/>
                <w:color w:val="auto"/>
              </w:rPr>
            </w:pPr>
          </w:p>
        </w:tc>
        <w:tc>
          <w:tcPr>
            <w:tcW w:w="1920" w:type="dxa"/>
            <w:vAlign w:val="bottom"/>
            <w:tcBorders>
              <w:bottom w:val="single" w:sz="8" w:color="006E96"/>
            </w:tcBorders>
            <w:shd w:val="clear" w:color="auto" w:fill="006E96"/>
          </w:tcPr>
          <w:p>
            <w:pPr>
              <w:spacing w:after="0"/>
              <w:rPr>
                <w:sz w:val="9"/>
                <w:szCs w:val="9"/>
                <w:color w:val="auto"/>
              </w:rPr>
            </w:pPr>
          </w:p>
        </w:tc>
        <w:tc>
          <w:tcPr>
            <w:tcW w:w="80" w:type="dxa"/>
            <w:vAlign w:val="bottom"/>
            <w:tcBorders>
              <w:bottom w:val="single" w:sz="8" w:color="006E96"/>
            </w:tcBorders>
            <w:shd w:val="clear" w:color="auto" w:fill="006E96"/>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Borders>
              <w:right w:val="single" w:sz="8" w:color="55555A"/>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D0CECE"/>
          </w:tcPr>
          <w:p>
            <w:pPr>
              <w:spacing w:after="0"/>
              <w:rPr>
                <w:sz w:val="21"/>
                <w:szCs w:val="21"/>
                <w:color w:val="auto"/>
              </w:rPr>
            </w:pPr>
          </w:p>
        </w:tc>
        <w:tc>
          <w:tcPr>
            <w:tcW w:w="1920" w:type="dxa"/>
            <w:vAlign w:val="bottom"/>
            <w:shd w:val="clear" w:color="auto" w:fill="D0CECE"/>
          </w:tcPr>
          <w:p>
            <w:pPr>
              <w:spacing w:after="0"/>
              <w:rPr>
                <w:sz w:val="21"/>
                <w:szCs w:val="21"/>
                <w:color w:val="auto"/>
              </w:rPr>
            </w:pPr>
          </w:p>
        </w:tc>
        <w:tc>
          <w:tcPr>
            <w:tcW w:w="80" w:type="dxa"/>
            <w:vAlign w:val="bottom"/>
            <w:shd w:val="clear" w:color="auto" w:fill="D0CECE"/>
          </w:tcPr>
          <w:p>
            <w:pPr>
              <w:spacing w:after="0"/>
              <w:rPr>
                <w:sz w:val="21"/>
                <w:szCs w:val="21"/>
                <w:color w:val="auto"/>
              </w:rPr>
            </w:pPr>
          </w:p>
        </w:tc>
        <w:tc>
          <w:tcPr>
            <w:tcW w:w="1420" w:type="dxa"/>
            <w:vAlign w:val="bottom"/>
            <w:gridSpan w:val="2"/>
            <w:shd w:val="clear" w:color="auto" w:fill="D0CECE"/>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Lung cancer</w:t>
            </w:r>
          </w:p>
        </w:tc>
        <w:tc>
          <w:tcPr>
            <w:tcW w:w="1160" w:type="dxa"/>
            <w:vAlign w:val="bottom"/>
            <w:shd w:val="clear" w:color="auto" w:fill="D0CECE"/>
          </w:tcPr>
          <w:p>
            <w:pPr>
              <w:spacing w:after="0"/>
              <w:rPr>
                <w:sz w:val="21"/>
                <w:szCs w:val="21"/>
                <w:color w:val="auto"/>
              </w:rPr>
            </w:pPr>
          </w:p>
        </w:tc>
        <w:tc>
          <w:tcPr>
            <w:tcW w:w="1240" w:type="dxa"/>
            <w:vAlign w:val="bottom"/>
            <w:shd w:val="clear" w:color="auto" w:fill="D0CECE"/>
          </w:tcPr>
          <w:p>
            <w:pPr>
              <w:spacing w:after="0"/>
              <w:rPr>
                <w:sz w:val="21"/>
                <w:szCs w:val="21"/>
                <w:color w:val="auto"/>
              </w:rPr>
            </w:pPr>
          </w:p>
        </w:tc>
        <w:tc>
          <w:tcPr>
            <w:tcW w:w="1200" w:type="dxa"/>
            <w:vAlign w:val="bottom"/>
            <w:tcBorders>
              <w:right w:val="single" w:sz="8" w:color="55555A"/>
            </w:tcBorders>
            <w:shd w:val="clear" w:color="auto" w:fill="D0CEC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GAVRETO®</w:t>
            </w:r>
          </w:p>
        </w:tc>
        <w:tc>
          <w:tcPr>
            <w:tcW w:w="192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RET+ NSCLC</w:t>
            </w:r>
            <w:r>
              <w:rPr>
                <w:rFonts w:ascii="Times New Roman" w:cs="Times New Roman" w:eastAsia="Times New Roman" w:hAnsi="Times New Roman"/>
                <w:sz w:val="24"/>
                <w:szCs w:val="24"/>
                <w:color w:val="FFFFFF"/>
                <w:vertAlign w:val="superscript"/>
              </w:rPr>
              <w:t>1,3,4</w:t>
            </w:r>
          </w:p>
        </w:tc>
        <w:tc>
          <w:tcPr>
            <w:tcW w:w="80" w:type="dxa"/>
            <w:vAlign w:val="bottom"/>
            <w:shd w:val="clear" w:color="auto" w:fill="006E96"/>
          </w:tcPr>
          <w:p>
            <w:pPr>
              <w:spacing w:after="0"/>
              <w:rPr>
                <w:sz w:val="17"/>
                <w:szCs w:val="17"/>
                <w:color w:val="auto"/>
              </w:rPr>
            </w:pPr>
          </w:p>
        </w:tc>
        <w:tc>
          <w:tcPr>
            <w:tcW w:w="1300" w:type="dxa"/>
            <w:vAlign w:val="bottom"/>
            <w:shd w:val="clear" w:color="auto" w:fill="006E96"/>
          </w:tcPr>
          <w:p>
            <w:pPr>
              <w:spacing w:after="0"/>
              <w:rPr>
                <w:sz w:val="17"/>
                <w:szCs w:val="17"/>
                <w:color w:val="auto"/>
              </w:rPr>
            </w:pPr>
          </w:p>
        </w:tc>
        <w:tc>
          <w:tcPr>
            <w:tcW w:w="120" w:type="dxa"/>
            <w:vAlign w:val="bottom"/>
            <w:shd w:val="clear" w:color="auto" w:fill="006E96"/>
          </w:tcPr>
          <w:p>
            <w:pPr>
              <w:spacing w:after="0"/>
              <w:rPr>
                <w:sz w:val="17"/>
                <w:szCs w:val="17"/>
                <w:color w:val="auto"/>
              </w:rPr>
            </w:pPr>
          </w:p>
        </w:tc>
        <w:tc>
          <w:tcPr>
            <w:tcW w:w="1160" w:type="dxa"/>
            <w:vAlign w:val="bottom"/>
            <w:shd w:val="clear" w:color="auto" w:fill="006E96"/>
          </w:tcPr>
          <w:p>
            <w:pPr>
              <w:spacing w:after="0"/>
              <w:rPr>
                <w:sz w:val="17"/>
                <w:szCs w:val="17"/>
                <w:color w:val="auto"/>
              </w:rPr>
            </w:pPr>
          </w:p>
        </w:tc>
        <w:tc>
          <w:tcPr>
            <w:tcW w:w="1240" w:type="dxa"/>
            <w:vAlign w:val="bottom"/>
            <w:shd w:val="clear" w:color="auto" w:fill="006E96"/>
          </w:tcPr>
          <w:p>
            <w:pPr>
              <w:spacing w:after="0"/>
              <w:rPr>
                <w:sz w:val="17"/>
                <w:szCs w:val="17"/>
                <w:color w:val="auto"/>
              </w:rPr>
            </w:pPr>
          </w:p>
        </w:tc>
        <w:tc>
          <w:tcPr>
            <w:tcW w:w="1200" w:type="dxa"/>
            <w:vAlign w:val="bottom"/>
            <w:tcBorders>
              <w:right w:val="single" w:sz="8" w:color="55555A"/>
            </w:tcBorders>
            <w:shd w:val="clear" w:color="auto" w:fill="006E9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(pralsetinib)</w:t>
            </w:r>
          </w:p>
        </w:tc>
        <w:tc>
          <w:tcPr>
            <w:tcW w:w="1920" w:type="dxa"/>
            <w:vAlign w:val="bottom"/>
            <w:vMerge w:val="continue"/>
            <w:shd w:val="clear" w:color="auto" w:fill="006E96"/>
          </w:tcPr>
          <w:p>
            <w:pPr>
              <w:spacing w:after="0"/>
              <w:rPr>
                <w:sz w:val="17"/>
                <w:szCs w:val="17"/>
                <w:color w:val="auto"/>
              </w:rPr>
            </w:pPr>
          </w:p>
        </w:tc>
        <w:tc>
          <w:tcPr>
            <w:tcW w:w="80" w:type="dxa"/>
            <w:vAlign w:val="bottom"/>
            <w:shd w:val="clear" w:color="auto" w:fill="006E96"/>
          </w:tcPr>
          <w:p>
            <w:pPr>
              <w:spacing w:after="0"/>
              <w:rPr>
                <w:sz w:val="17"/>
                <w:szCs w:val="17"/>
                <w:color w:val="auto"/>
              </w:rPr>
            </w:pPr>
          </w:p>
        </w:tc>
        <w:tc>
          <w:tcPr>
            <w:tcW w:w="1300" w:type="dxa"/>
            <w:vAlign w:val="bottom"/>
            <w:shd w:val="clear" w:color="auto" w:fill="006E96"/>
          </w:tcPr>
          <w:p>
            <w:pPr>
              <w:spacing w:after="0"/>
              <w:rPr>
                <w:sz w:val="17"/>
                <w:szCs w:val="17"/>
                <w:color w:val="auto"/>
              </w:rPr>
            </w:pPr>
          </w:p>
        </w:tc>
        <w:tc>
          <w:tcPr>
            <w:tcW w:w="120" w:type="dxa"/>
            <w:vAlign w:val="bottom"/>
            <w:shd w:val="clear" w:color="auto" w:fill="006E96"/>
          </w:tcPr>
          <w:p>
            <w:pPr>
              <w:spacing w:after="0"/>
              <w:rPr>
                <w:sz w:val="17"/>
                <w:szCs w:val="17"/>
                <w:color w:val="auto"/>
              </w:rPr>
            </w:pPr>
          </w:p>
        </w:tc>
        <w:tc>
          <w:tcPr>
            <w:tcW w:w="1160" w:type="dxa"/>
            <w:vAlign w:val="bottom"/>
            <w:shd w:val="clear" w:color="auto" w:fill="006E96"/>
          </w:tcPr>
          <w:p>
            <w:pPr>
              <w:spacing w:after="0"/>
              <w:rPr>
                <w:sz w:val="17"/>
                <w:szCs w:val="17"/>
                <w:color w:val="auto"/>
              </w:rPr>
            </w:pPr>
          </w:p>
        </w:tc>
        <w:tc>
          <w:tcPr>
            <w:tcW w:w="1240" w:type="dxa"/>
            <w:vAlign w:val="bottom"/>
            <w:shd w:val="clear" w:color="auto" w:fill="006E96"/>
          </w:tcPr>
          <w:p>
            <w:pPr>
              <w:spacing w:after="0"/>
              <w:rPr>
                <w:sz w:val="17"/>
                <w:szCs w:val="17"/>
                <w:color w:val="auto"/>
              </w:rPr>
            </w:pPr>
          </w:p>
        </w:tc>
        <w:tc>
          <w:tcPr>
            <w:tcW w:w="1200" w:type="dxa"/>
            <w:vAlign w:val="bottom"/>
            <w:tcBorders>
              <w:right w:val="single" w:sz="8" w:color="55555A"/>
            </w:tcBorders>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U.S., Europe</w:t>
            </w:r>
          </w:p>
        </w:tc>
        <w:tc>
          <w:tcPr>
            <w:tcW w:w="0" w:type="dxa"/>
            <w:vAlign w:val="bottom"/>
          </w:tcPr>
          <w:p>
            <w:pPr>
              <w:spacing w:after="0"/>
              <w:rPr>
                <w:sz w:val="1"/>
                <w:szCs w:val="1"/>
                <w:color w:val="auto"/>
              </w:rPr>
            </w:pPr>
          </w:p>
        </w:tc>
      </w:tr>
      <w:tr>
        <w:trPr>
          <w:trHeight w:val="232"/>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(RET)</w:t>
            </w:r>
          </w:p>
        </w:tc>
        <w:tc>
          <w:tcPr>
            <w:tcW w:w="1920" w:type="dxa"/>
            <w:vAlign w:val="bottom"/>
            <w:shd w:val="clear" w:color="auto" w:fill="006E96"/>
          </w:tcPr>
          <w:p>
            <w:pPr>
              <w:spacing w:after="0"/>
              <w:rPr>
                <w:sz w:val="20"/>
                <w:szCs w:val="20"/>
                <w:color w:val="auto"/>
              </w:rPr>
            </w:pPr>
          </w:p>
        </w:tc>
        <w:tc>
          <w:tcPr>
            <w:tcW w:w="80" w:type="dxa"/>
            <w:vAlign w:val="bottom"/>
            <w:shd w:val="clear" w:color="auto" w:fill="006E96"/>
          </w:tcPr>
          <w:p>
            <w:pPr>
              <w:spacing w:after="0"/>
              <w:rPr>
                <w:sz w:val="20"/>
                <w:szCs w:val="20"/>
                <w:color w:val="auto"/>
              </w:rPr>
            </w:pPr>
          </w:p>
        </w:tc>
        <w:tc>
          <w:tcPr>
            <w:tcW w:w="1300" w:type="dxa"/>
            <w:vAlign w:val="bottom"/>
            <w:shd w:val="clear" w:color="auto" w:fill="006E96"/>
          </w:tcPr>
          <w:p>
            <w:pPr>
              <w:spacing w:after="0"/>
              <w:rPr>
                <w:sz w:val="20"/>
                <w:szCs w:val="20"/>
                <w:color w:val="auto"/>
              </w:rPr>
            </w:pPr>
          </w:p>
        </w:tc>
        <w:tc>
          <w:tcPr>
            <w:tcW w:w="120" w:type="dxa"/>
            <w:vAlign w:val="bottom"/>
            <w:shd w:val="clear" w:color="auto" w:fill="006E96"/>
          </w:tcPr>
          <w:p>
            <w:pPr>
              <w:spacing w:after="0"/>
              <w:rPr>
                <w:sz w:val="20"/>
                <w:szCs w:val="20"/>
                <w:color w:val="auto"/>
              </w:rPr>
            </w:pPr>
          </w:p>
        </w:tc>
        <w:tc>
          <w:tcPr>
            <w:tcW w:w="1160" w:type="dxa"/>
            <w:vAlign w:val="bottom"/>
            <w:shd w:val="clear" w:color="auto" w:fill="006E96"/>
          </w:tcPr>
          <w:p>
            <w:pPr>
              <w:spacing w:after="0"/>
              <w:rPr>
                <w:sz w:val="20"/>
                <w:szCs w:val="20"/>
                <w:color w:val="auto"/>
              </w:rPr>
            </w:pPr>
          </w:p>
        </w:tc>
        <w:tc>
          <w:tcPr>
            <w:tcW w:w="1240" w:type="dxa"/>
            <w:vAlign w:val="bottom"/>
            <w:shd w:val="clear" w:color="auto" w:fill="006E96"/>
          </w:tcPr>
          <w:p>
            <w:pPr>
              <w:spacing w:after="0"/>
              <w:rPr>
                <w:sz w:val="20"/>
                <w:szCs w:val="20"/>
                <w:color w:val="auto"/>
              </w:rPr>
            </w:pPr>
          </w:p>
        </w:tc>
        <w:tc>
          <w:tcPr>
            <w:tcW w:w="1200" w:type="dxa"/>
            <w:vAlign w:val="bottom"/>
            <w:tcBorders>
              <w:right w:val="single" w:sz="8" w:color="55555A"/>
            </w:tcBorders>
            <w:shd w:val="clear" w:color="auto" w:fill="006E96"/>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EDEDED"/>
          </w:tcPr>
          <w:p>
            <w:pPr>
              <w:spacing w:after="0"/>
              <w:rPr>
                <w:sz w:val="21"/>
                <w:szCs w:val="21"/>
                <w:color w:val="auto"/>
              </w:rPr>
            </w:pPr>
          </w:p>
        </w:tc>
        <w:tc>
          <w:tcPr>
            <w:tcW w:w="192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30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1160" w:type="dxa"/>
            <w:vAlign w:val="bottom"/>
            <w:shd w:val="clear" w:color="auto" w:fill="EDEDED"/>
          </w:tcPr>
          <w:p>
            <w:pPr>
              <w:spacing w:after="0"/>
              <w:rPr>
                <w:sz w:val="21"/>
                <w:szCs w:val="21"/>
                <w:color w:val="auto"/>
              </w:rPr>
            </w:pPr>
          </w:p>
        </w:tc>
        <w:tc>
          <w:tcPr>
            <w:tcW w:w="1240" w:type="dxa"/>
            <w:vAlign w:val="bottom"/>
            <w:shd w:val="clear" w:color="auto" w:fill="EDEDED"/>
          </w:tcPr>
          <w:p>
            <w:pPr>
              <w:spacing w:after="0"/>
              <w:rPr>
                <w:sz w:val="21"/>
                <w:szCs w:val="21"/>
                <w:color w:val="auto"/>
              </w:rPr>
            </w:pPr>
          </w:p>
        </w:tc>
        <w:tc>
          <w:tcPr>
            <w:tcW w:w="120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BLU-945 (EGFR)</w:t>
            </w:r>
          </w:p>
        </w:tc>
        <w:tc>
          <w:tcPr>
            <w:tcW w:w="192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EGFR+ NSCLC</w:t>
            </w:r>
            <w:r>
              <w:rPr>
                <w:rFonts w:ascii="Times New Roman" w:cs="Times New Roman" w:eastAsia="Times New Roman" w:hAnsi="Times New Roman"/>
                <w:sz w:val="24"/>
                <w:szCs w:val="24"/>
                <w:color w:val="FFFFFF"/>
                <w:vertAlign w:val="superscript"/>
              </w:rPr>
              <w:t>5</w:t>
            </w:r>
          </w:p>
        </w:tc>
        <w:tc>
          <w:tcPr>
            <w:tcW w:w="80" w:type="dxa"/>
            <w:vAlign w:val="bottom"/>
            <w:shd w:val="clear" w:color="auto" w:fill="006E96"/>
          </w:tcPr>
          <w:p>
            <w:pPr>
              <w:spacing w:after="0"/>
              <w:rPr>
                <w:sz w:val="24"/>
                <w:szCs w:val="24"/>
                <w:color w:val="auto"/>
              </w:rPr>
            </w:pPr>
          </w:p>
        </w:tc>
        <w:tc>
          <w:tcPr>
            <w:tcW w:w="1300" w:type="dxa"/>
            <w:vAlign w:val="bottom"/>
            <w:shd w:val="clear" w:color="auto" w:fill="006E96"/>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EDEDED"/>
          </w:tcPr>
          <w:p>
            <w:pPr>
              <w:spacing w:after="0"/>
              <w:rPr>
                <w:sz w:val="21"/>
                <w:szCs w:val="21"/>
                <w:color w:val="auto"/>
              </w:rPr>
            </w:pPr>
          </w:p>
        </w:tc>
        <w:tc>
          <w:tcPr>
            <w:tcW w:w="192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30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1160" w:type="dxa"/>
            <w:vAlign w:val="bottom"/>
            <w:shd w:val="clear" w:color="auto" w:fill="EDEDED"/>
          </w:tcPr>
          <w:p>
            <w:pPr>
              <w:spacing w:after="0"/>
              <w:rPr>
                <w:sz w:val="21"/>
                <w:szCs w:val="21"/>
                <w:color w:val="auto"/>
              </w:rPr>
            </w:pPr>
          </w:p>
        </w:tc>
        <w:tc>
          <w:tcPr>
            <w:tcW w:w="1240" w:type="dxa"/>
            <w:vAlign w:val="bottom"/>
            <w:shd w:val="clear" w:color="auto" w:fill="EDEDED"/>
          </w:tcPr>
          <w:p>
            <w:pPr>
              <w:spacing w:after="0"/>
              <w:rPr>
                <w:sz w:val="21"/>
                <w:szCs w:val="21"/>
                <w:color w:val="auto"/>
              </w:rPr>
            </w:pPr>
          </w:p>
        </w:tc>
        <w:tc>
          <w:tcPr>
            <w:tcW w:w="120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BLU-525 (EGFR)</w:t>
            </w:r>
          </w:p>
        </w:tc>
        <w:tc>
          <w:tcPr>
            <w:tcW w:w="192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EGFR+ NSCLC</w:t>
            </w:r>
            <w:r>
              <w:rPr>
                <w:rFonts w:ascii="Times New Roman" w:cs="Times New Roman" w:eastAsia="Times New Roman" w:hAnsi="Times New Roman"/>
                <w:sz w:val="24"/>
                <w:szCs w:val="24"/>
                <w:color w:val="FFFFFF"/>
                <w:vertAlign w:val="superscript"/>
              </w:rPr>
              <w:t>5</w:t>
            </w:r>
          </w:p>
        </w:tc>
        <w:tc>
          <w:tcPr>
            <w:tcW w:w="80" w:type="dxa"/>
            <w:vAlign w:val="bottom"/>
            <w:shd w:val="clear" w:color="auto" w:fill="006E96"/>
          </w:tcPr>
          <w:p>
            <w:pPr>
              <w:spacing w:after="0"/>
              <w:rPr>
                <w:sz w:val="24"/>
                <w:szCs w:val="24"/>
                <w:color w:val="auto"/>
              </w:rPr>
            </w:pPr>
          </w:p>
        </w:tc>
        <w:tc>
          <w:tcPr>
            <w:tcW w:w="1300" w:type="dxa"/>
            <w:vAlign w:val="bottom"/>
            <w:shd w:val="clear" w:color="auto" w:fill="65A1B8"/>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EDEDED"/>
          </w:tcPr>
          <w:p>
            <w:pPr>
              <w:spacing w:after="0"/>
              <w:rPr>
                <w:sz w:val="21"/>
                <w:szCs w:val="21"/>
                <w:color w:val="auto"/>
              </w:rPr>
            </w:pPr>
          </w:p>
        </w:tc>
        <w:tc>
          <w:tcPr>
            <w:tcW w:w="192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30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1160" w:type="dxa"/>
            <w:vAlign w:val="bottom"/>
            <w:shd w:val="clear" w:color="auto" w:fill="EDEDED"/>
          </w:tcPr>
          <w:p>
            <w:pPr>
              <w:spacing w:after="0"/>
              <w:rPr>
                <w:sz w:val="21"/>
                <w:szCs w:val="21"/>
                <w:color w:val="auto"/>
              </w:rPr>
            </w:pPr>
          </w:p>
        </w:tc>
        <w:tc>
          <w:tcPr>
            <w:tcW w:w="1240" w:type="dxa"/>
            <w:vAlign w:val="bottom"/>
            <w:shd w:val="clear" w:color="auto" w:fill="EDEDED"/>
          </w:tcPr>
          <w:p>
            <w:pPr>
              <w:spacing w:after="0"/>
              <w:rPr>
                <w:sz w:val="21"/>
                <w:szCs w:val="21"/>
                <w:color w:val="auto"/>
              </w:rPr>
            </w:pPr>
          </w:p>
        </w:tc>
        <w:tc>
          <w:tcPr>
            <w:tcW w:w="1200" w:type="dxa"/>
            <w:vAlign w:val="bottom"/>
            <w:tcBorders>
              <w:right w:val="single" w:sz="8" w:color="55555A"/>
            </w:tcBorders>
            <w:shd w:val="clear" w:color="auto" w:fill="EDEDED"/>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BLU-451 (EGFR</w:t>
            </w:r>
          </w:p>
        </w:tc>
        <w:tc>
          <w:tcPr>
            <w:tcW w:w="1920" w:type="dxa"/>
            <w:vAlign w:val="bottom"/>
            <w:shd w:val="clear" w:color="auto" w:fill="006E96"/>
          </w:tcPr>
          <w:p>
            <w:pPr>
              <w:spacing w:after="0"/>
              <w:rPr>
                <w:sz w:val="17"/>
                <w:szCs w:val="17"/>
                <w:color w:val="auto"/>
              </w:rPr>
            </w:pPr>
          </w:p>
        </w:tc>
        <w:tc>
          <w:tcPr>
            <w:tcW w:w="80" w:type="dxa"/>
            <w:vAlign w:val="bottom"/>
            <w:shd w:val="clear" w:color="auto" w:fill="006E96"/>
          </w:tcPr>
          <w:p>
            <w:pPr>
              <w:spacing w:after="0"/>
              <w:rPr>
                <w:sz w:val="17"/>
                <w:szCs w:val="17"/>
                <w:color w:val="auto"/>
              </w:rPr>
            </w:pPr>
          </w:p>
        </w:tc>
        <w:tc>
          <w:tcPr>
            <w:tcW w:w="1300" w:type="dxa"/>
            <w:vAlign w:val="bottom"/>
            <w:shd w:val="clear" w:color="auto" w:fill="006E96"/>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exon 20</w:t>
            </w:r>
          </w:p>
        </w:tc>
        <w:tc>
          <w:tcPr>
            <w:tcW w:w="192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EGFR+ NSCLC</w:t>
            </w:r>
          </w:p>
        </w:tc>
        <w:tc>
          <w:tcPr>
            <w:tcW w:w="80" w:type="dxa"/>
            <w:vAlign w:val="bottom"/>
            <w:shd w:val="clear" w:color="auto" w:fill="006E96"/>
          </w:tcPr>
          <w:p>
            <w:pPr>
              <w:spacing w:after="0"/>
              <w:rPr>
                <w:sz w:val="17"/>
                <w:szCs w:val="17"/>
                <w:color w:val="auto"/>
              </w:rPr>
            </w:pPr>
          </w:p>
        </w:tc>
        <w:tc>
          <w:tcPr>
            <w:tcW w:w="1300" w:type="dxa"/>
            <w:vAlign w:val="bottom"/>
            <w:shd w:val="clear" w:color="auto" w:fill="006E96"/>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insertions)</w:t>
            </w:r>
          </w:p>
        </w:tc>
        <w:tc>
          <w:tcPr>
            <w:tcW w:w="1920" w:type="dxa"/>
            <w:vAlign w:val="bottom"/>
            <w:shd w:val="clear" w:color="auto" w:fill="006E96"/>
          </w:tcPr>
          <w:p>
            <w:pPr>
              <w:spacing w:after="0"/>
              <w:rPr>
                <w:sz w:val="20"/>
                <w:szCs w:val="20"/>
                <w:color w:val="auto"/>
              </w:rPr>
            </w:pPr>
          </w:p>
        </w:tc>
        <w:tc>
          <w:tcPr>
            <w:tcW w:w="80" w:type="dxa"/>
            <w:vAlign w:val="bottom"/>
            <w:shd w:val="clear" w:color="auto" w:fill="006E96"/>
          </w:tcPr>
          <w:p>
            <w:pPr>
              <w:spacing w:after="0"/>
              <w:rPr>
                <w:sz w:val="20"/>
                <w:szCs w:val="20"/>
                <w:color w:val="auto"/>
              </w:rPr>
            </w:pPr>
          </w:p>
        </w:tc>
        <w:tc>
          <w:tcPr>
            <w:tcW w:w="1300" w:type="dxa"/>
            <w:vAlign w:val="bottom"/>
            <w:shd w:val="clear" w:color="auto" w:fill="006E96"/>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Borders>
              <w:right w:val="single" w:sz="8" w:color="55555A"/>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D0CECE"/>
          </w:tcPr>
          <w:p>
            <w:pPr>
              <w:spacing w:after="0"/>
              <w:rPr>
                <w:sz w:val="21"/>
                <w:szCs w:val="21"/>
                <w:color w:val="auto"/>
              </w:rPr>
            </w:pPr>
          </w:p>
        </w:tc>
        <w:tc>
          <w:tcPr>
            <w:tcW w:w="1920" w:type="dxa"/>
            <w:vAlign w:val="bottom"/>
            <w:shd w:val="clear" w:color="auto" w:fill="D0CECE"/>
          </w:tcPr>
          <w:p>
            <w:pPr>
              <w:spacing w:after="0"/>
              <w:rPr>
                <w:sz w:val="21"/>
                <w:szCs w:val="21"/>
                <w:color w:val="auto"/>
              </w:rPr>
            </w:pPr>
          </w:p>
        </w:tc>
        <w:tc>
          <w:tcPr>
            <w:tcW w:w="80" w:type="dxa"/>
            <w:vAlign w:val="bottom"/>
            <w:shd w:val="clear" w:color="auto" w:fill="D0CECE"/>
          </w:tcPr>
          <w:p>
            <w:pPr>
              <w:spacing w:after="0"/>
              <w:rPr>
                <w:sz w:val="21"/>
                <w:szCs w:val="21"/>
                <w:color w:val="auto"/>
              </w:rPr>
            </w:pPr>
          </w:p>
        </w:tc>
        <w:tc>
          <w:tcPr>
            <w:tcW w:w="1420" w:type="dxa"/>
            <w:vAlign w:val="bottom"/>
            <w:gridSpan w:val="2"/>
            <w:shd w:val="clear" w:color="auto" w:fill="D0CECE"/>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Breast cancer</w:t>
            </w:r>
          </w:p>
        </w:tc>
        <w:tc>
          <w:tcPr>
            <w:tcW w:w="1160" w:type="dxa"/>
            <w:vAlign w:val="bottom"/>
            <w:shd w:val="clear" w:color="auto" w:fill="D0CECE"/>
          </w:tcPr>
          <w:p>
            <w:pPr>
              <w:spacing w:after="0"/>
              <w:rPr>
                <w:sz w:val="21"/>
                <w:szCs w:val="21"/>
                <w:color w:val="auto"/>
              </w:rPr>
            </w:pPr>
          </w:p>
        </w:tc>
        <w:tc>
          <w:tcPr>
            <w:tcW w:w="1240" w:type="dxa"/>
            <w:vAlign w:val="bottom"/>
            <w:shd w:val="clear" w:color="auto" w:fill="D0CECE"/>
          </w:tcPr>
          <w:p>
            <w:pPr>
              <w:spacing w:after="0"/>
              <w:rPr>
                <w:sz w:val="21"/>
                <w:szCs w:val="21"/>
                <w:color w:val="auto"/>
              </w:rPr>
            </w:pPr>
          </w:p>
        </w:tc>
        <w:tc>
          <w:tcPr>
            <w:tcW w:w="1200" w:type="dxa"/>
            <w:vAlign w:val="bottom"/>
            <w:tcBorders>
              <w:right w:val="single" w:sz="8" w:color="55555A"/>
            </w:tcBorders>
            <w:shd w:val="clear" w:color="auto" w:fill="D0CECE"/>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BLU-222 (CDK2)</w:t>
            </w:r>
          </w:p>
        </w:tc>
        <w:tc>
          <w:tcPr>
            <w:tcW w:w="192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ER+/HER2- breast cancer</w:t>
            </w:r>
          </w:p>
        </w:tc>
        <w:tc>
          <w:tcPr>
            <w:tcW w:w="80" w:type="dxa"/>
            <w:vAlign w:val="bottom"/>
            <w:shd w:val="clear" w:color="auto" w:fill="006E96"/>
          </w:tcPr>
          <w:p>
            <w:pPr>
              <w:spacing w:after="0"/>
              <w:rPr>
                <w:sz w:val="24"/>
                <w:szCs w:val="24"/>
                <w:color w:val="auto"/>
              </w:rPr>
            </w:pPr>
          </w:p>
        </w:tc>
        <w:tc>
          <w:tcPr>
            <w:tcW w:w="1300" w:type="dxa"/>
            <w:vAlign w:val="bottom"/>
            <w:shd w:val="clear" w:color="auto" w:fill="006E96"/>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500" w:type="dxa"/>
            <w:vAlign w:val="bottom"/>
            <w:tcBorders>
              <w:left w:val="single" w:sz="8" w:color="55555A"/>
            </w:tcBorders>
          </w:tcPr>
          <w:p>
            <w:pPr>
              <w:spacing w:after="0"/>
              <w:rPr>
                <w:sz w:val="8"/>
                <w:szCs w:val="8"/>
                <w:color w:val="auto"/>
              </w:rPr>
            </w:pPr>
          </w:p>
        </w:tc>
        <w:tc>
          <w:tcPr>
            <w:tcW w:w="3300" w:type="dxa"/>
            <w:vAlign w:val="bottom"/>
            <w:gridSpan w:val="3"/>
            <w:shd w:val="clear" w:color="auto" w:fill="006E96"/>
          </w:tcPr>
          <w:p>
            <w:pPr>
              <w:spacing w:after="0"/>
              <w:rPr>
                <w:sz w:val="8"/>
                <w:szCs w:val="8"/>
                <w:color w:val="auto"/>
              </w:rPr>
            </w:pPr>
          </w:p>
        </w:tc>
        <w:tc>
          <w:tcPr>
            <w:tcW w:w="128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1200" w:type="dxa"/>
            <w:vAlign w:val="bottom"/>
            <w:tcBorders>
              <w:right w:val="single" w:sz="8" w:color="55555A"/>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500" w:type="dxa"/>
            <w:vAlign w:val="bottom"/>
            <w:tcBorders>
              <w:left w:val="single" w:sz="8" w:color="55555A"/>
              <w:bottom w:val="single" w:sz="8" w:color="D0CECE"/>
            </w:tcBorders>
            <w:shd w:val="clear" w:color="auto" w:fill="D0CECE"/>
          </w:tcPr>
          <w:p>
            <w:pPr>
              <w:spacing w:after="0"/>
              <w:rPr>
                <w:sz w:val="21"/>
                <w:szCs w:val="21"/>
                <w:color w:val="auto"/>
              </w:rPr>
            </w:pPr>
          </w:p>
        </w:tc>
        <w:tc>
          <w:tcPr>
            <w:tcW w:w="4580" w:type="dxa"/>
            <w:vAlign w:val="bottom"/>
            <w:tcBorders>
              <w:bottom w:val="single" w:sz="8" w:color="D0CECE"/>
            </w:tcBorders>
            <w:gridSpan w:val="5"/>
            <w:shd w:val="clear" w:color="auto" w:fill="D0CECE"/>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Additional genomically defined cancers</w:t>
            </w:r>
          </w:p>
        </w:tc>
        <w:tc>
          <w:tcPr>
            <w:tcW w:w="1240" w:type="dxa"/>
            <w:vAlign w:val="bottom"/>
            <w:tcBorders>
              <w:bottom w:val="single" w:sz="8" w:color="D0CECE"/>
            </w:tcBorders>
            <w:shd w:val="clear" w:color="auto" w:fill="D0CECE"/>
          </w:tcPr>
          <w:p>
            <w:pPr>
              <w:spacing w:after="0"/>
              <w:rPr>
                <w:sz w:val="21"/>
                <w:szCs w:val="21"/>
                <w:color w:val="auto"/>
              </w:rPr>
            </w:pPr>
          </w:p>
        </w:tc>
        <w:tc>
          <w:tcPr>
            <w:tcW w:w="1200" w:type="dxa"/>
            <w:vAlign w:val="bottom"/>
            <w:tcBorders>
              <w:bottom w:val="single" w:sz="8" w:color="D0CECE"/>
              <w:right w:val="single" w:sz="8" w:color="55555A"/>
            </w:tcBorders>
            <w:shd w:val="clear" w:color="auto" w:fill="D0CEC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AYVAKIT</w:t>
            </w:r>
          </w:p>
        </w:tc>
        <w:tc>
          <w:tcPr>
            <w:tcW w:w="192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PDGFRA GIST</w:t>
            </w:r>
            <w:r>
              <w:rPr>
                <w:rFonts w:ascii="Times New Roman" w:cs="Times New Roman" w:eastAsia="Times New Roman" w:hAnsi="Times New Roman"/>
                <w:sz w:val="24"/>
                <w:szCs w:val="24"/>
                <w:color w:val="FFFFFF"/>
                <w:vertAlign w:val="superscript"/>
              </w:rPr>
              <w:t>1,6</w:t>
            </w:r>
          </w:p>
        </w:tc>
        <w:tc>
          <w:tcPr>
            <w:tcW w:w="80" w:type="dxa"/>
            <w:vAlign w:val="bottom"/>
            <w:shd w:val="clear" w:color="auto" w:fill="006E96"/>
          </w:tcPr>
          <w:p>
            <w:pPr>
              <w:spacing w:after="0"/>
              <w:rPr>
                <w:sz w:val="17"/>
                <w:szCs w:val="17"/>
                <w:color w:val="auto"/>
              </w:rPr>
            </w:pPr>
          </w:p>
        </w:tc>
        <w:tc>
          <w:tcPr>
            <w:tcW w:w="1300" w:type="dxa"/>
            <w:vAlign w:val="bottom"/>
            <w:shd w:val="clear" w:color="auto" w:fill="006E96"/>
          </w:tcPr>
          <w:p>
            <w:pPr>
              <w:spacing w:after="0"/>
              <w:rPr>
                <w:sz w:val="17"/>
                <w:szCs w:val="17"/>
                <w:color w:val="auto"/>
              </w:rPr>
            </w:pPr>
          </w:p>
        </w:tc>
        <w:tc>
          <w:tcPr>
            <w:tcW w:w="120" w:type="dxa"/>
            <w:vAlign w:val="bottom"/>
            <w:shd w:val="clear" w:color="auto" w:fill="006E96"/>
          </w:tcPr>
          <w:p>
            <w:pPr>
              <w:spacing w:after="0"/>
              <w:rPr>
                <w:sz w:val="17"/>
                <w:szCs w:val="17"/>
                <w:color w:val="auto"/>
              </w:rPr>
            </w:pPr>
          </w:p>
        </w:tc>
        <w:tc>
          <w:tcPr>
            <w:tcW w:w="1160" w:type="dxa"/>
            <w:vAlign w:val="bottom"/>
            <w:shd w:val="clear" w:color="auto" w:fill="006E96"/>
          </w:tcPr>
          <w:p>
            <w:pPr>
              <w:spacing w:after="0"/>
              <w:rPr>
                <w:sz w:val="17"/>
                <w:szCs w:val="17"/>
                <w:color w:val="auto"/>
              </w:rPr>
            </w:pPr>
          </w:p>
        </w:tc>
        <w:tc>
          <w:tcPr>
            <w:tcW w:w="1240" w:type="dxa"/>
            <w:vAlign w:val="bottom"/>
            <w:shd w:val="clear" w:color="auto" w:fill="006E96"/>
          </w:tcPr>
          <w:p>
            <w:pPr>
              <w:spacing w:after="0"/>
              <w:rPr>
                <w:sz w:val="17"/>
                <w:szCs w:val="17"/>
                <w:color w:val="auto"/>
              </w:rPr>
            </w:pPr>
          </w:p>
        </w:tc>
        <w:tc>
          <w:tcPr>
            <w:tcW w:w="1200" w:type="dxa"/>
            <w:vAlign w:val="bottom"/>
            <w:tcBorders>
              <w:right w:val="single" w:sz="8" w:color="55555A"/>
            </w:tcBorders>
            <w:vMerge w:val="restart"/>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U.S., Europe</w:t>
            </w:r>
          </w:p>
        </w:tc>
        <w:tc>
          <w:tcPr>
            <w:tcW w:w="0" w:type="dxa"/>
            <w:vAlign w:val="bottom"/>
          </w:tcPr>
          <w:p>
            <w:pPr>
              <w:spacing w:after="0"/>
              <w:rPr>
                <w:sz w:val="1"/>
                <w:szCs w:val="1"/>
                <w:color w:val="auto"/>
              </w:rPr>
            </w:pPr>
          </w:p>
        </w:tc>
      </w:tr>
      <w:tr>
        <w:trPr>
          <w:trHeight w:val="164"/>
        </w:trPr>
        <w:tc>
          <w:tcPr>
            <w:tcW w:w="1500" w:type="dxa"/>
            <w:vAlign w:val="bottom"/>
            <w:tcBorders>
              <w:left w:val="single" w:sz="8" w:color="55555A"/>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(PDGFRA)</w:t>
            </w:r>
          </w:p>
        </w:tc>
        <w:tc>
          <w:tcPr>
            <w:tcW w:w="1920" w:type="dxa"/>
            <w:vAlign w:val="bottom"/>
            <w:vMerge w:val="continue"/>
            <w:shd w:val="clear" w:color="auto" w:fill="006E96"/>
          </w:tcPr>
          <w:p>
            <w:pPr>
              <w:spacing w:after="0"/>
              <w:rPr>
                <w:sz w:val="14"/>
                <w:szCs w:val="14"/>
                <w:color w:val="auto"/>
              </w:rPr>
            </w:pPr>
          </w:p>
        </w:tc>
        <w:tc>
          <w:tcPr>
            <w:tcW w:w="80" w:type="dxa"/>
            <w:vAlign w:val="bottom"/>
            <w:shd w:val="clear" w:color="auto" w:fill="006E96"/>
          </w:tcPr>
          <w:p>
            <w:pPr>
              <w:spacing w:after="0"/>
              <w:rPr>
                <w:sz w:val="14"/>
                <w:szCs w:val="14"/>
                <w:color w:val="auto"/>
              </w:rPr>
            </w:pPr>
          </w:p>
        </w:tc>
        <w:tc>
          <w:tcPr>
            <w:tcW w:w="1300" w:type="dxa"/>
            <w:vAlign w:val="bottom"/>
            <w:shd w:val="clear" w:color="auto" w:fill="006E96"/>
          </w:tcPr>
          <w:p>
            <w:pPr>
              <w:spacing w:after="0"/>
              <w:rPr>
                <w:sz w:val="14"/>
                <w:szCs w:val="14"/>
                <w:color w:val="auto"/>
              </w:rPr>
            </w:pPr>
          </w:p>
        </w:tc>
        <w:tc>
          <w:tcPr>
            <w:tcW w:w="120" w:type="dxa"/>
            <w:vAlign w:val="bottom"/>
            <w:shd w:val="clear" w:color="auto" w:fill="006E96"/>
          </w:tcPr>
          <w:p>
            <w:pPr>
              <w:spacing w:after="0"/>
              <w:rPr>
                <w:sz w:val="14"/>
                <w:szCs w:val="14"/>
                <w:color w:val="auto"/>
              </w:rPr>
            </w:pPr>
          </w:p>
        </w:tc>
        <w:tc>
          <w:tcPr>
            <w:tcW w:w="1160" w:type="dxa"/>
            <w:vAlign w:val="bottom"/>
            <w:shd w:val="clear" w:color="auto" w:fill="006E96"/>
          </w:tcPr>
          <w:p>
            <w:pPr>
              <w:spacing w:after="0"/>
              <w:rPr>
                <w:sz w:val="14"/>
                <w:szCs w:val="14"/>
                <w:color w:val="auto"/>
              </w:rPr>
            </w:pPr>
          </w:p>
        </w:tc>
        <w:tc>
          <w:tcPr>
            <w:tcW w:w="1240" w:type="dxa"/>
            <w:vAlign w:val="bottom"/>
            <w:shd w:val="clear" w:color="auto" w:fill="006E96"/>
          </w:tcPr>
          <w:p>
            <w:pPr>
              <w:spacing w:after="0"/>
              <w:rPr>
                <w:sz w:val="14"/>
                <w:szCs w:val="14"/>
                <w:color w:val="auto"/>
              </w:rPr>
            </w:pPr>
          </w:p>
        </w:tc>
        <w:tc>
          <w:tcPr>
            <w:tcW w:w="1200" w:type="dxa"/>
            <w:vAlign w:val="bottom"/>
            <w:tcBorders>
              <w:right w:val="single" w:sz="8" w:color="55555A"/>
            </w:tcBorders>
            <w:vMerge w:val="continue"/>
            <w:shd w:val="clear" w:color="auto" w:fill="006E96"/>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500" w:type="dxa"/>
            <w:vAlign w:val="bottom"/>
            <w:tcBorders>
              <w:left w:val="single" w:sz="8" w:color="55555A"/>
            </w:tcBorders>
            <w:vMerge w:val="continue"/>
          </w:tcPr>
          <w:p>
            <w:pPr>
              <w:spacing w:after="0"/>
              <w:rPr>
                <w:sz w:val="5"/>
                <w:szCs w:val="5"/>
                <w:color w:val="auto"/>
              </w:rPr>
            </w:pPr>
          </w:p>
        </w:tc>
        <w:tc>
          <w:tcPr>
            <w:tcW w:w="1920" w:type="dxa"/>
            <w:vAlign w:val="bottom"/>
            <w:tcBorders>
              <w:bottom w:val="single" w:sz="8" w:color="006E96"/>
            </w:tcBorders>
            <w:shd w:val="clear" w:color="auto" w:fill="006E96"/>
          </w:tcPr>
          <w:p>
            <w:pPr>
              <w:spacing w:after="0"/>
              <w:rPr>
                <w:sz w:val="5"/>
                <w:szCs w:val="5"/>
                <w:color w:val="auto"/>
              </w:rPr>
            </w:pPr>
          </w:p>
        </w:tc>
        <w:tc>
          <w:tcPr>
            <w:tcW w:w="80" w:type="dxa"/>
            <w:vAlign w:val="bottom"/>
            <w:tcBorders>
              <w:bottom w:val="single" w:sz="8" w:color="006E96"/>
            </w:tcBorders>
            <w:shd w:val="clear" w:color="auto" w:fill="006E96"/>
          </w:tcPr>
          <w:p>
            <w:pPr>
              <w:spacing w:after="0"/>
              <w:rPr>
                <w:sz w:val="5"/>
                <w:szCs w:val="5"/>
                <w:color w:val="auto"/>
              </w:rPr>
            </w:pPr>
          </w:p>
        </w:tc>
        <w:tc>
          <w:tcPr>
            <w:tcW w:w="1300" w:type="dxa"/>
            <w:vAlign w:val="bottom"/>
            <w:tcBorders>
              <w:bottom w:val="single" w:sz="8" w:color="006E96"/>
            </w:tcBorders>
            <w:shd w:val="clear" w:color="auto" w:fill="006E96"/>
          </w:tcPr>
          <w:p>
            <w:pPr>
              <w:spacing w:after="0"/>
              <w:rPr>
                <w:sz w:val="5"/>
                <w:szCs w:val="5"/>
                <w:color w:val="auto"/>
              </w:rPr>
            </w:pPr>
          </w:p>
        </w:tc>
        <w:tc>
          <w:tcPr>
            <w:tcW w:w="120" w:type="dxa"/>
            <w:vAlign w:val="bottom"/>
            <w:tcBorders>
              <w:bottom w:val="single" w:sz="8" w:color="006E96"/>
            </w:tcBorders>
            <w:shd w:val="clear" w:color="auto" w:fill="006E96"/>
          </w:tcPr>
          <w:p>
            <w:pPr>
              <w:spacing w:after="0"/>
              <w:rPr>
                <w:sz w:val="5"/>
                <w:szCs w:val="5"/>
                <w:color w:val="auto"/>
              </w:rPr>
            </w:pPr>
          </w:p>
        </w:tc>
        <w:tc>
          <w:tcPr>
            <w:tcW w:w="1160" w:type="dxa"/>
            <w:vAlign w:val="bottom"/>
            <w:tcBorders>
              <w:bottom w:val="single" w:sz="8" w:color="006E96"/>
            </w:tcBorders>
            <w:shd w:val="clear" w:color="auto" w:fill="006E96"/>
          </w:tcPr>
          <w:p>
            <w:pPr>
              <w:spacing w:after="0"/>
              <w:rPr>
                <w:sz w:val="5"/>
                <w:szCs w:val="5"/>
                <w:color w:val="auto"/>
              </w:rPr>
            </w:pPr>
          </w:p>
        </w:tc>
        <w:tc>
          <w:tcPr>
            <w:tcW w:w="1240" w:type="dxa"/>
            <w:vAlign w:val="bottom"/>
            <w:tcBorders>
              <w:bottom w:val="single" w:sz="8" w:color="006E96"/>
            </w:tcBorders>
            <w:shd w:val="clear" w:color="auto" w:fill="006E96"/>
          </w:tcPr>
          <w:p>
            <w:pPr>
              <w:spacing w:after="0"/>
              <w:rPr>
                <w:sz w:val="5"/>
                <w:szCs w:val="5"/>
                <w:color w:val="auto"/>
              </w:rPr>
            </w:pPr>
          </w:p>
        </w:tc>
        <w:tc>
          <w:tcPr>
            <w:tcW w:w="1200" w:type="dxa"/>
            <w:vAlign w:val="bottom"/>
            <w:tcBorders>
              <w:bottom w:val="single" w:sz="8" w:color="006E96"/>
              <w:right w:val="single" w:sz="8" w:color="55555A"/>
            </w:tcBorders>
            <w:shd w:val="clear" w:color="auto" w:fill="006E96"/>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E7E6E6"/>
          </w:tcPr>
          <w:p>
            <w:pPr>
              <w:spacing w:after="0"/>
              <w:rPr>
                <w:sz w:val="21"/>
                <w:szCs w:val="21"/>
                <w:color w:val="auto"/>
              </w:rPr>
            </w:pPr>
          </w:p>
        </w:tc>
        <w:tc>
          <w:tcPr>
            <w:tcW w:w="1920" w:type="dxa"/>
            <w:vAlign w:val="bottom"/>
            <w:shd w:val="clear" w:color="auto" w:fill="E7E6E6"/>
          </w:tcPr>
          <w:p>
            <w:pPr>
              <w:spacing w:after="0"/>
              <w:rPr>
                <w:sz w:val="21"/>
                <w:szCs w:val="21"/>
                <w:color w:val="auto"/>
              </w:rPr>
            </w:pPr>
          </w:p>
        </w:tc>
        <w:tc>
          <w:tcPr>
            <w:tcW w:w="80" w:type="dxa"/>
            <w:vAlign w:val="bottom"/>
            <w:shd w:val="clear" w:color="auto" w:fill="E7E6E6"/>
          </w:tcPr>
          <w:p>
            <w:pPr>
              <w:spacing w:after="0"/>
              <w:rPr>
                <w:sz w:val="21"/>
                <w:szCs w:val="21"/>
                <w:color w:val="auto"/>
              </w:rPr>
            </w:pPr>
          </w:p>
        </w:tc>
        <w:tc>
          <w:tcPr>
            <w:tcW w:w="1300" w:type="dxa"/>
            <w:vAlign w:val="bottom"/>
            <w:shd w:val="clear" w:color="auto" w:fill="E7E6E6"/>
          </w:tcPr>
          <w:p>
            <w:pPr>
              <w:spacing w:after="0"/>
              <w:rPr>
                <w:sz w:val="21"/>
                <w:szCs w:val="21"/>
                <w:color w:val="auto"/>
              </w:rPr>
            </w:pPr>
          </w:p>
        </w:tc>
        <w:tc>
          <w:tcPr>
            <w:tcW w:w="120" w:type="dxa"/>
            <w:vAlign w:val="bottom"/>
            <w:shd w:val="clear" w:color="auto" w:fill="E7E6E6"/>
          </w:tcPr>
          <w:p>
            <w:pPr>
              <w:spacing w:after="0"/>
              <w:rPr>
                <w:sz w:val="21"/>
                <w:szCs w:val="21"/>
                <w:color w:val="auto"/>
              </w:rPr>
            </w:pPr>
          </w:p>
        </w:tc>
        <w:tc>
          <w:tcPr>
            <w:tcW w:w="1160" w:type="dxa"/>
            <w:vAlign w:val="bottom"/>
            <w:shd w:val="clear" w:color="auto" w:fill="E7E6E6"/>
          </w:tcPr>
          <w:p>
            <w:pPr>
              <w:spacing w:after="0"/>
              <w:rPr>
                <w:sz w:val="21"/>
                <w:szCs w:val="21"/>
                <w:color w:val="auto"/>
              </w:rPr>
            </w:pPr>
          </w:p>
        </w:tc>
        <w:tc>
          <w:tcPr>
            <w:tcW w:w="1240" w:type="dxa"/>
            <w:vAlign w:val="bottom"/>
            <w:shd w:val="clear" w:color="auto" w:fill="E7E6E6"/>
          </w:tcPr>
          <w:p>
            <w:pPr>
              <w:spacing w:after="0"/>
              <w:rPr>
                <w:sz w:val="21"/>
                <w:szCs w:val="21"/>
                <w:color w:val="auto"/>
              </w:rPr>
            </w:pPr>
          </w:p>
        </w:tc>
        <w:tc>
          <w:tcPr>
            <w:tcW w:w="1200" w:type="dxa"/>
            <w:vAlign w:val="bottom"/>
            <w:tcBorders>
              <w:right w:val="single" w:sz="8" w:color="55555A"/>
            </w:tcBorders>
            <w:shd w:val="clear" w:color="auto" w:fill="E7E6E6"/>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1500" w:type="dxa"/>
            <w:vAlign w:val="bottom"/>
            <w:tcBorders>
              <w:left w:val="single" w:sz="8" w:color="55555A"/>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GAVRETO (RET)</w:t>
            </w:r>
          </w:p>
        </w:tc>
        <w:tc>
          <w:tcPr>
            <w:tcW w:w="192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RET+ thyroid cancer</w:t>
            </w:r>
            <w:r>
              <w:rPr>
                <w:rFonts w:ascii="Times New Roman" w:cs="Times New Roman" w:eastAsia="Times New Roman" w:hAnsi="Times New Roman"/>
                <w:sz w:val="24"/>
                <w:szCs w:val="24"/>
                <w:color w:val="FFFFFF"/>
                <w:vertAlign w:val="superscript"/>
              </w:rPr>
              <w:t>1,3,7</w:t>
            </w:r>
          </w:p>
        </w:tc>
        <w:tc>
          <w:tcPr>
            <w:tcW w:w="80" w:type="dxa"/>
            <w:vAlign w:val="bottom"/>
            <w:shd w:val="clear" w:color="auto" w:fill="006E96"/>
          </w:tcPr>
          <w:p>
            <w:pPr>
              <w:spacing w:after="0"/>
              <w:rPr>
                <w:sz w:val="24"/>
                <w:szCs w:val="24"/>
                <w:color w:val="auto"/>
              </w:rPr>
            </w:pPr>
          </w:p>
        </w:tc>
        <w:tc>
          <w:tcPr>
            <w:tcW w:w="1300" w:type="dxa"/>
            <w:vAlign w:val="bottom"/>
            <w:shd w:val="clear" w:color="auto" w:fill="006E96"/>
          </w:tcPr>
          <w:p>
            <w:pPr>
              <w:spacing w:after="0"/>
              <w:rPr>
                <w:sz w:val="24"/>
                <w:szCs w:val="24"/>
                <w:color w:val="auto"/>
              </w:rPr>
            </w:pPr>
          </w:p>
        </w:tc>
        <w:tc>
          <w:tcPr>
            <w:tcW w:w="120" w:type="dxa"/>
            <w:vAlign w:val="bottom"/>
            <w:shd w:val="clear" w:color="auto" w:fill="006E96"/>
          </w:tcPr>
          <w:p>
            <w:pPr>
              <w:spacing w:after="0"/>
              <w:rPr>
                <w:sz w:val="24"/>
                <w:szCs w:val="24"/>
                <w:color w:val="auto"/>
              </w:rPr>
            </w:pPr>
          </w:p>
        </w:tc>
        <w:tc>
          <w:tcPr>
            <w:tcW w:w="1160" w:type="dxa"/>
            <w:vAlign w:val="bottom"/>
            <w:shd w:val="clear" w:color="auto" w:fill="006E96"/>
          </w:tcPr>
          <w:p>
            <w:pPr>
              <w:spacing w:after="0"/>
              <w:rPr>
                <w:sz w:val="24"/>
                <w:szCs w:val="24"/>
                <w:color w:val="auto"/>
              </w:rPr>
            </w:pPr>
          </w:p>
        </w:tc>
        <w:tc>
          <w:tcPr>
            <w:tcW w:w="1240" w:type="dxa"/>
            <w:vAlign w:val="bottom"/>
            <w:shd w:val="clear" w:color="auto" w:fill="006E96"/>
          </w:tcPr>
          <w:p>
            <w:pPr>
              <w:spacing w:after="0"/>
              <w:rPr>
                <w:sz w:val="24"/>
                <w:szCs w:val="24"/>
                <w:color w:val="auto"/>
              </w:rPr>
            </w:pPr>
          </w:p>
        </w:tc>
        <w:tc>
          <w:tcPr>
            <w:tcW w:w="1200" w:type="dxa"/>
            <w:vAlign w:val="bottom"/>
            <w:tcBorders>
              <w:right w:val="single" w:sz="8" w:color="55555A"/>
            </w:tcBorders>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w w:val="98"/>
              </w:rPr>
              <w:t>U.S.</w:t>
            </w:r>
          </w:p>
        </w:tc>
        <w:tc>
          <w:tcPr>
            <w:tcW w:w="0" w:type="dxa"/>
            <w:vAlign w:val="bottom"/>
          </w:tcPr>
          <w:p>
            <w:pPr>
              <w:spacing w:after="0"/>
              <w:rPr>
                <w:sz w:val="1"/>
                <w:szCs w:val="1"/>
                <w:color w:val="auto"/>
              </w:rPr>
            </w:pPr>
          </w:p>
        </w:tc>
      </w:tr>
      <w:tr>
        <w:trPr>
          <w:trHeight w:val="102"/>
        </w:trPr>
        <w:tc>
          <w:tcPr>
            <w:tcW w:w="1500" w:type="dxa"/>
            <w:vAlign w:val="bottom"/>
            <w:tcBorders>
              <w:left w:val="single" w:sz="8" w:color="55555A"/>
            </w:tcBorders>
            <w:vMerge w:val="continue"/>
          </w:tcPr>
          <w:p>
            <w:pPr>
              <w:spacing w:after="0"/>
              <w:rPr>
                <w:sz w:val="8"/>
                <w:szCs w:val="8"/>
                <w:color w:val="auto"/>
              </w:rPr>
            </w:pPr>
          </w:p>
        </w:tc>
        <w:tc>
          <w:tcPr>
            <w:tcW w:w="192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w w:val="98"/>
              </w:rPr>
              <w:t>Other RET+ solid tumors</w:t>
            </w:r>
            <w:r>
              <w:rPr>
                <w:rFonts w:ascii="Times New Roman" w:cs="Times New Roman" w:eastAsia="Times New Roman" w:hAnsi="Times New Roman"/>
                <w:sz w:val="24"/>
                <w:szCs w:val="24"/>
                <w:color w:val="FFFFFF"/>
                <w:w w:val="98"/>
                <w:vertAlign w:val="superscript"/>
              </w:rPr>
              <w:t>1,3</w:t>
            </w:r>
          </w:p>
        </w:tc>
        <w:tc>
          <w:tcPr>
            <w:tcW w:w="80" w:type="dxa"/>
            <w:vAlign w:val="bottom"/>
            <w:shd w:val="clear" w:color="auto" w:fill="006E96"/>
          </w:tcPr>
          <w:p>
            <w:pPr>
              <w:spacing w:after="0"/>
              <w:rPr>
                <w:sz w:val="8"/>
                <w:szCs w:val="8"/>
                <w:color w:val="auto"/>
              </w:rPr>
            </w:pPr>
          </w:p>
        </w:tc>
        <w:tc>
          <w:tcPr>
            <w:tcW w:w="1300" w:type="dxa"/>
            <w:vAlign w:val="bottom"/>
            <w:shd w:val="clear" w:color="auto" w:fill="006E96"/>
          </w:tcPr>
          <w:p>
            <w:pPr>
              <w:spacing w:after="0"/>
              <w:rPr>
                <w:sz w:val="8"/>
                <w:szCs w:val="8"/>
                <w:color w:val="auto"/>
              </w:rPr>
            </w:pPr>
          </w:p>
        </w:tc>
        <w:tc>
          <w:tcPr>
            <w:tcW w:w="120" w:type="dxa"/>
            <w:vAlign w:val="bottom"/>
            <w:shd w:val="clear" w:color="auto" w:fill="006E96"/>
          </w:tcPr>
          <w:p>
            <w:pPr>
              <w:spacing w:after="0"/>
              <w:rPr>
                <w:sz w:val="8"/>
                <w:szCs w:val="8"/>
                <w:color w:val="auto"/>
              </w:rPr>
            </w:pPr>
          </w:p>
        </w:tc>
        <w:tc>
          <w:tcPr>
            <w:tcW w:w="1160" w:type="dxa"/>
            <w:vAlign w:val="bottom"/>
            <w:shd w:val="clear" w:color="auto" w:fill="006E96"/>
          </w:tcPr>
          <w:p>
            <w:pPr>
              <w:spacing w:after="0"/>
              <w:rPr>
                <w:sz w:val="8"/>
                <w:szCs w:val="8"/>
                <w:color w:val="auto"/>
              </w:rPr>
            </w:pPr>
          </w:p>
        </w:tc>
        <w:tc>
          <w:tcPr>
            <w:tcW w:w="1240" w:type="dxa"/>
            <w:vAlign w:val="bottom"/>
            <w:shd w:val="clear" w:color="auto" w:fill="65A1B8"/>
          </w:tcPr>
          <w:p>
            <w:pPr>
              <w:spacing w:after="0"/>
              <w:rPr>
                <w:sz w:val="8"/>
                <w:szCs w:val="8"/>
                <w:color w:val="auto"/>
              </w:rPr>
            </w:pPr>
          </w:p>
        </w:tc>
        <w:tc>
          <w:tcPr>
            <w:tcW w:w="1200" w:type="dxa"/>
            <w:vAlign w:val="bottom"/>
            <w:tcBorders>
              <w:right w:val="single" w:sz="8" w:color="55555A"/>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1500" w:type="dxa"/>
            <w:vAlign w:val="bottom"/>
            <w:tcBorders>
              <w:left w:val="single" w:sz="8" w:color="55555A"/>
            </w:tcBorders>
          </w:tcPr>
          <w:p>
            <w:pPr>
              <w:spacing w:after="0"/>
              <w:rPr>
                <w:sz w:val="24"/>
                <w:szCs w:val="24"/>
                <w:color w:val="auto"/>
              </w:rPr>
            </w:pPr>
          </w:p>
        </w:tc>
        <w:tc>
          <w:tcPr>
            <w:tcW w:w="1920" w:type="dxa"/>
            <w:vAlign w:val="bottom"/>
            <w:vMerge w:val="continue"/>
            <w:shd w:val="clear" w:color="auto" w:fill="006E96"/>
          </w:tcPr>
          <w:p>
            <w:pPr>
              <w:spacing w:after="0"/>
              <w:rPr>
                <w:sz w:val="24"/>
                <w:szCs w:val="24"/>
                <w:color w:val="auto"/>
              </w:rPr>
            </w:pPr>
          </w:p>
        </w:tc>
        <w:tc>
          <w:tcPr>
            <w:tcW w:w="80" w:type="dxa"/>
            <w:vAlign w:val="bottom"/>
            <w:shd w:val="clear" w:color="auto" w:fill="006E96"/>
          </w:tcPr>
          <w:p>
            <w:pPr>
              <w:spacing w:after="0"/>
              <w:rPr>
                <w:sz w:val="24"/>
                <w:szCs w:val="24"/>
                <w:color w:val="auto"/>
              </w:rPr>
            </w:pPr>
          </w:p>
        </w:tc>
        <w:tc>
          <w:tcPr>
            <w:tcW w:w="1300" w:type="dxa"/>
            <w:vAlign w:val="bottom"/>
            <w:shd w:val="clear" w:color="auto" w:fill="006E96"/>
          </w:tcPr>
          <w:p>
            <w:pPr>
              <w:spacing w:after="0"/>
              <w:rPr>
                <w:sz w:val="24"/>
                <w:szCs w:val="24"/>
                <w:color w:val="auto"/>
              </w:rPr>
            </w:pPr>
          </w:p>
        </w:tc>
        <w:tc>
          <w:tcPr>
            <w:tcW w:w="120" w:type="dxa"/>
            <w:vAlign w:val="bottom"/>
            <w:shd w:val="clear" w:color="auto" w:fill="006E96"/>
          </w:tcPr>
          <w:p>
            <w:pPr>
              <w:spacing w:after="0"/>
              <w:rPr>
                <w:sz w:val="24"/>
                <w:szCs w:val="24"/>
                <w:color w:val="auto"/>
              </w:rPr>
            </w:pPr>
          </w:p>
        </w:tc>
        <w:tc>
          <w:tcPr>
            <w:tcW w:w="1160" w:type="dxa"/>
            <w:vAlign w:val="bottom"/>
            <w:shd w:val="clear" w:color="auto" w:fill="006E96"/>
          </w:tcPr>
          <w:p>
            <w:pPr>
              <w:spacing w:after="0"/>
              <w:rPr>
                <w:sz w:val="24"/>
                <w:szCs w:val="24"/>
                <w:color w:val="auto"/>
              </w:rPr>
            </w:pPr>
          </w:p>
        </w:tc>
        <w:tc>
          <w:tcPr>
            <w:tcW w:w="1240" w:type="dxa"/>
            <w:vAlign w:val="bottom"/>
            <w:shd w:val="clear" w:color="auto" w:fill="65A1B8"/>
          </w:tcPr>
          <w:p>
            <w:pPr>
              <w:spacing w:after="0"/>
              <w:rPr>
                <w:sz w:val="24"/>
                <w:szCs w:val="24"/>
                <w:color w:val="auto"/>
              </w:rPr>
            </w:pPr>
          </w:p>
        </w:tc>
        <w:tc>
          <w:tcPr>
            <w:tcW w:w="120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E7E6E6"/>
          </w:tcPr>
          <w:p>
            <w:pPr>
              <w:spacing w:after="0"/>
              <w:rPr>
                <w:sz w:val="21"/>
                <w:szCs w:val="21"/>
                <w:color w:val="auto"/>
              </w:rPr>
            </w:pPr>
          </w:p>
        </w:tc>
        <w:tc>
          <w:tcPr>
            <w:tcW w:w="1920" w:type="dxa"/>
            <w:vAlign w:val="bottom"/>
            <w:shd w:val="clear" w:color="auto" w:fill="E7E6E6"/>
          </w:tcPr>
          <w:p>
            <w:pPr>
              <w:spacing w:after="0"/>
              <w:rPr>
                <w:sz w:val="21"/>
                <w:szCs w:val="21"/>
                <w:color w:val="auto"/>
              </w:rPr>
            </w:pPr>
          </w:p>
        </w:tc>
        <w:tc>
          <w:tcPr>
            <w:tcW w:w="80" w:type="dxa"/>
            <w:vAlign w:val="bottom"/>
            <w:shd w:val="clear" w:color="auto" w:fill="E7E6E6"/>
          </w:tcPr>
          <w:p>
            <w:pPr>
              <w:spacing w:after="0"/>
              <w:rPr>
                <w:sz w:val="21"/>
                <w:szCs w:val="21"/>
                <w:color w:val="auto"/>
              </w:rPr>
            </w:pPr>
          </w:p>
        </w:tc>
        <w:tc>
          <w:tcPr>
            <w:tcW w:w="1300" w:type="dxa"/>
            <w:vAlign w:val="bottom"/>
            <w:shd w:val="clear" w:color="auto" w:fill="E7E6E6"/>
          </w:tcPr>
          <w:p>
            <w:pPr>
              <w:spacing w:after="0"/>
              <w:rPr>
                <w:sz w:val="21"/>
                <w:szCs w:val="21"/>
                <w:color w:val="auto"/>
              </w:rPr>
            </w:pPr>
          </w:p>
        </w:tc>
        <w:tc>
          <w:tcPr>
            <w:tcW w:w="120" w:type="dxa"/>
            <w:vAlign w:val="bottom"/>
            <w:shd w:val="clear" w:color="auto" w:fill="E7E6E6"/>
          </w:tcPr>
          <w:p>
            <w:pPr>
              <w:spacing w:after="0"/>
              <w:rPr>
                <w:sz w:val="21"/>
                <w:szCs w:val="21"/>
                <w:color w:val="auto"/>
              </w:rPr>
            </w:pPr>
          </w:p>
        </w:tc>
        <w:tc>
          <w:tcPr>
            <w:tcW w:w="1160" w:type="dxa"/>
            <w:vAlign w:val="bottom"/>
            <w:shd w:val="clear" w:color="auto" w:fill="E7E6E6"/>
          </w:tcPr>
          <w:p>
            <w:pPr>
              <w:spacing w:after="0"/>
              <w:rPr>
                <w:sz w:val="21"/>
                <w:szCs w:val="21"/>
                <w:color w:val="auto"/>
              </w:rPr>
            </w:pPr>
          </w:p>
        </w:tc>
        <w:tc>
          <w:tcPr>
            <w:tcW w:w="1240" w:type="dxa"/>
            <w:vAlign w:val="bottom"/>
            <w:shd w:val="clear" w:color="auto" w:fill="E7E6E6"/>
          </w:tcPr>
          <w:p>
            <w:pPr>
              <w:spacing w:after="0"/>
              <w:rPr>
                <w:sz w:val="21"/>
                <w:szCs w:val="21"/>
                <w:color w:val="auto"/>
              </w:rPr>
            </w:pPr>
          </w:p>
        </w:tc>
        <w:tc>
          <w:tcPr>
            <w:tcW w:w="1200" w:type="dxa"/>
            <w:vAlign w:val="bottom"/>
            <w:tcBorders>
              <w:right w:val="single" w:sz="8" w:color="55555A"/>
            </w:tcBorders>
            <w:shd w:val="clear" w:color="auto" w:fill="E7E6E6"/>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BLU-222 (CDK2)</w:t>
            </w:r>
          </w:p>
        </w:tc>
        <w:tc>
          <w:tcPr>
            <w:tcW w:w="192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CDK2-vulnerable cancers</w:t>
            </w:r>
          </w:p>
        </w:tc>
        <w:tc>
          <w:tcPr>
            <w:tcW w:w="80" w:type="dxa"/>
            <w:vAlign w:val="bottom"/>
            <w:shd w:val="clear" w:color="auto" w:fill="006E96"/>
          </w:tcPr>
          <w:p>
            <w:pPr>
              <w:spacing w:after="0"/>
              <w:rPr>
                <w:sz w:val="24"/>
                <w:szCs w:val="24"/>
                <w:color w:val="auto"/>
              </w:rPr>
            </w:pPr>
          </w:p>
        </w:tc>
        <w:tc>
          <w:tcPr>
            <w:tcW w:w="1300" w:type="dxa"/>
            <w:vAlign w:val="bottom"/>
            <w:shd w:val="clear" w:color="auto" w:fill="006E96"/>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500" w:type="dxa"/>
            <w:vAlign w:val="bottom"/>
            <w:tcBorders>
              <w:left w:val="single" w:sz="8" w:color="55555A"/>
            </w:tcBorders>
          </w:tcPr>
          <w:p>
            <w:pPr>
              <w:spacing w:after="0"/>
              <w:rPr>
                <w:sz w:val="8"/>
                <w:szCs w:val="8"/>
                <w:color w:val="auto"/>
              </w:rPr>
            </w:pPr>
          </w:p>
        </w:tc>
        <w:tc>
          <w:tcPr>
            <w:tcW w:w="1920" w:type="dxa"/>
            <w:vAlign w:val="bottom"/>
            <w:shd w:val="clear" w:color="auto" w:fill="006E96"/>
          </w:tcPr>
          <w:p>
            <w:pPr>
              <w:spacing w:after="0"/>
              <w:rPr>
                <w:sz w:val="8"/>
                <w:szCs w:val="8"/>
                <w:color w:val="auto"/>
              </w:rPr>
            </w:pPr>
          </w:p>
        </w:tc>
        <w:tc>
          <w:tcPr>
            <w:tcW w:w="1380" w:type="dxa"/>
            <w:vAlign w:val="bottom"/>
            <w:gridSpan w:val="2"/>
            <w:shd w:val="clear" w:color="auto" w:fill="006E96"/>
          </w:tcPr>
          <w:p>
            <w:pPr>
              <w:spacing w:after="0"/>
              <w:rPr>
                <w:sz w:val="8"/>
                <w:szCs w:val="8"/>
                <w:color w:val="auto"/>
              </w:rPr>
            </w:pPr>
          </w:p>
        </w:tc>
        <w:tc>
          <w:tcPr>
            <w:tcW w:w="128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1200" w:type="dxa"/>
            <w:vAlign w:val="bottom"/>
            <w:tcBorders>
              <w:right w:val="single" w:sz="8" w:color="55555A"/>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DDD9D3"/>
          </w:tcPr>
          <w:p>
            <w:pPr>
              <w:spacing w:after="0"/>
              <w:rPr>
                <w:sz w:val="21"/>
                <w:szCs w:val="21"/>
                <w:color w:val="auto"/>
              </w:rPr>
            </w:pPr>
          </w:p>
        </w:tc>
        <w:tc>
          <w:tcPr>
            <w:tcW w:w="1920" w:type="dxa"/>
            <w:vAlign w:val="bottom"/>
            <w:shd w:val="clear" w:color="auto" w:fill="DDD9D3"/>
          </w:tcPr>
          <w:p>
            <w:pPr>
              <w:spacing w:after="0"/>
              <w:rPr>
                <w:sz w:val="21"/>
                <w:szCs w:val="21"/>
                <w:color w:val="auto"/>
              </w:rPr>
            </w:pPr>
          </w:p>
        </w:tc>
        <w:tc>
          <w:tcPr>
            <w:tcW w:w="2660" w:type="dxa"/>
            <w:vAlign w:val="bottom"/>
            <w:gridSpan w:val="4"/>
            <w:shd w:val="clear" w:color="auto" w:fill="DDD9D3"/>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Cancer immunotherapy</w:t>
            </w:r>
          </w:p>
        </w:tc>
        <w:tc>
          <w:tcPr>
            <w:tcW w:w="1240" w:type="dxa"/>
            <w:vAlign w:val="bottom"/>
            <w:shd w:val="clear" w:color="auto" w:fill="DDD9D3"/>
          </w:tcPr>
          <w:p>
            <w:pPr>
              <w:spacing w:after="0"/>
              <w:rPr>
                <w:sz w:val="21"/>
                <w:szCs w:val="21"/>
                <w:color w:val="auto"/>
              </w:rPr>
            </w:pPr>
          </w:p>
        </w:tc>
        <w:tc>
          <w:tcPr>
            <w:tcW w:w="120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BLU-852</w:t>
            </w:r>
          </w:p>
        </w:tc>
        <w:tc>
          <w:tcPr>
            <w:tcW w:w="192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Advanced cancers</w:t>
            </w:r>
            <w:r>
              <w:rPr>
                <w:rFonts w:ascii="Times New Roman" w:cs="Times New Roman" w:eastAsia="Times New Roman" w:hAnsi="Times New Roman"/>
                <w:sz w:val="24"/>
                <w:szCs w:val="24"/>
                <w:color w:val="FFFFFF"/>
                <w:vertAlign w:val="superscript"/>
              </w:rPr>
              <w:t>3</w:t>
            </w:r>
          </w:p>
        </w:tc>
        <w:tc>
          <w:tcPr>
            <w:tcW w:w="80" w:type="dxa"/>
            <w:vAlign w:val="bottom"/>
            <w:shd w:val="clear" w:color="auto" w:fill="006E96"/>
          </w:tcPr>
          <w:p>
            <w:pPr>
              <w:spacing w:after="0"/>
              <w:rPr>
                <w:sz w:val="17"/>
                <w:szCs w:val="17"/>
                <w:color w:val="auto"/>
              </w:rPr>
            </w:pPr>
          </w:p>
        </w:tc>
        <w:tc>
          <w:tcPr>
            <w:tcW w:w="1300" w:type="dxa"/>
            <w:vAlign w:val="bottom"/>
            <w:shd w:val="clear" w:color="auto" w:fill="65A1B8"/>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500" w:type="dxa"/>
            <w:vAlign w:val="bottom"/>
            <w:tcBorders>
              <w:left w:val="single" w:sz="8" w:color="55555A"/>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(MAP4K1)</w:t>
            </w:r>
          </w:p>
        </w:tc>
        <w:tc>
          <w:tcPr>
            <w:tcW w:w="1920" w:type="dxa"/>
            <w:vAlign w:val="bottom"/>
            <w:vMerge w:val="continue"/>
            <w:shd w:val="clear" w:color="auto" w:fill="006E96"/>
          </w:tcPr>
          <w:p>
            <w:pPr>
              <w:spacing w:after="0"/>
              <w:rPr>
                <w:sz w:val="14"/>
                <w:szCs w:val="14"/>
                <w:color w:val="auto"/>
              </w:rPr>
            </w:pPr>
          </w:p>
        </w:tc>
        <w:tc>
          <w:tcPr>
            <w:tcW w:w="80" w:type="dxa"/>
            <w:vAlign w:val="bottom"/>
            <w:shd w:val="clear" w:color="auto" w:fill="006E96"/>
          </w:tcPr>
          <w:p>
            <w:pPr>
              <w:spacing w:after="0"/>
              <w:rPr>
                <w:sz w:val="14"/>
                <w:szCs w:val="14"/>
                <w:color w:val="auto"/>
              </w:rPr>
            </w:pPr>
          </w:p>
        </w:tc>
        <w:tc>
          <w:tcPr>
            <w:tcW w:w="1300" w:type="dxa"/>
            <w:vAlign w:val="bottom"/>
            <w:shd w:val="clear" w:color="auto" w:fill="65A1B8"/>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Borders>
              <w:right w:val="single" w:sz="8" w:color="55555A"/>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500" w:type="dxa"/>
            <w:vAlign w:val="bottom"/>
            <w:tcBorders>
              <w:left w:val="single" w:sz="8" w:color="55555A"/>
            </w:tcBorders>
            <w:vMerge w:val="continue"/>
          </w:tcPr>
          <w:p>
            <w:pPr>
              <w:spacing w:after="0"/>
              <w:rPr>
                <w:sz w:val="5"/>
                <w:szCs w:val="5"/>
                <w:color w:val="auto"/>
              </w:rPr>
            </w:pPr>
          </w:p>
        </w:tc>
        <w:tc>
          <w:tcPr>
            <w:tcW w:w="1920" w:type="dxa"/>
            <w:vAlign w:val="bottom"/>
            <w:tcBorders>
              <w:bottom w:val="single" w:sz="8" w:color="006E96"/>
            </w:tcBorders>
            <w:shd w:val="clear" w:color="auto" w:fill="006E96"/>
          </w:tcPr>
          <w:p>
            <w:pPr>
              <w:spacing w:after="0"/>
              <w:rPr>
                <w:sz w:val="5"/>
                <w:szCs w:val="5"/>
                <w:color w:val="auto"/>
              </w:rPr>
            </w:pPr>
          </w:p>
        </w:tc>
        <w:tc>
          <w:tcPr>
            <w:tcW w:w="80" w:type="dxa"/>
            <w:vAlign w:val="bottom"/>
            <w:tcBorders>
              <w:bottom w:val="single" w:sz="8" w:color="006E96"/>
            </w:tcBorders>
            <w:shd w:val="clear" w:color="auto" w:fill="006E96"/>
          </w:tcPr>
          <w:p>
            <w:pPr>
              <w:spacing w:after="0"/>
              <w:rPr>
                <w:sz w:val="5"/>
                <w:szCs w:val="5"/>
                <w:color w:val="auto"/>
              </w:rPr>
            </w:pPr>
          </w:p>
        </w:tc>
        <w:tc>
          <w:tcPr>
            <w:tcW w:w="1300" w:type="dxa"/>
            <w:vAlign w:val="bottom"/>
            <w:tcBorders>
              <w:bottom w:val="single" w:sz="8" w:color="65A1B8"/>
            </w:tcBorders>
            <w:shd w:val="clear" w:color="auto" w:fill="65A1B8"/>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Borders>
              <w:right w:val="single" w:sz="8" w:color="55555A"/>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500" w:type="dxa"/>
            <w:vAlign w:val="bottom"/>
            <w:tcBorders>
              <w:left w:val="single" w:sz="8" w:color="55555A"/>
            </w:tcBorders>
            <w:shd w:val="clear" w:color="auto" w:fill="DDD9D3"/>
          </w:tcPr>
          <w:p>
            <w:pPr>
              <w:spacing w:after="0"/>
              <w:rPr>
                <w:sz w:val="21"/>
                <w:szCs w:val="21"/>
                <w:color w:val="auto"/>
              </w:rPr>
            </w:pPr>
          </w:p>
        </w:tc>
        <w:tc>
          <w:tcPr>
            <w:tcW w:w="1920" w:type="dxa"/>
            <w:vAlign w:val="bottom"/>
            <w:shd w:val="clear" w:color="auto" w:fill="DDD9D3"/>
          </w:tcPr>
          <w:p>
            <w:pPr>
              <w:spacing w:after="0"/>
              <w:rPr>
                <w:sz w:val="21"/>
                <w:szCs w:val="21"/>
                <w:color w:val="auto"/>
              </w:rPr>
            </w:pPr>
          </w:p>
        </w:tc>
        <w:tc>
          <w:tcPr>
            <w:tcW w:w="80" w:type="dxa"/>
            <w:vAlign w:val="bottom"/>
            <w:shd w:val="clear" w:color="auto" w:fill="DDD9D3"/>
          </w:tcPr>
          <w:p>
            <w:pPr>
              <w:spacing w:after="0"/>
              <w:rPr>
                <w:sz w:val="21"/>
                <w:szCs w:val="21"/>
                <w:color w:val="auto"/>
              </w:rPr>
            </w:pPr>
          </w:p>
        </w:tc>
        <w:tc>
          <w:tcPr>
            <w:tcW w:w="1420" w:type="dxa"/>
            <w:vAlign w:val="bottom"/>
            <w:gridSpan w:val="2"/>
            <w:shd w:val="clear" w:color="auto" w:fill="DDD9D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Research</w:t>
            </w:r>
          </w:p>
        </w:tc>
        <w:tc>
          <w:tcPr>
            <w:tcW w:w="1160" w:type="dxa"/>
            <w:vAlign w:val="bottom"/>
            <w:shd w:val="clear" w:color="auto" w:fill="DDD9D3"/>
          </w:tcPr>
          <w:p>
            <w:pPr>
              <w:spacing w:after="0"/>
              <w:rPr>
                <w:sz w:val="21"/>
                <w:szCs w:val="21"/>
                <w:color w:val="auto"/>
              </w:rPr>
            </w:pPr>
          </w:p>
        </w:tc>
        <w:tc>
          <w:tcPr>
            <w:tcW w:w="1240" w:type="dxa"/>
            <w:vAlign w:val="bottom"/>
            <w:shd w:val="clear" w:color="auto" w:fill="DDD9D3"/>
          </w:tcPr>
          <w:p>
            <w:pPr>
              <w:spacing w:after="0"/>
              <w:rPr>
                <w:sz w:val="21"/>
                <w:szCs w:val="21"/>
                <w:color w:val="auto"/>
              </w:rPr>
            </w:pPr>
          </w:p>
        </w:tc>
        <w:tc>
          <w:tcPr>
            <w:tcW w:w="120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Multiple</w:t>
            </w:r>
          </w:p>
        </w:tc>
        <w:tc>
          <w:tcPr>
            <w:tcW w:w="1920" w:type="dxa"/>
            <w:vAlign w:val="bottom"/>
            <w:shd w:val="clear" w:color="auto" w:fill="006E96"/>
          </w:tcPr>
          <w:p>
            <w:pPr>
              <w:spacing w:after="0"/>
              <w:rPr>
                <w:sz w:val="17"/>
                <w:szCs w:val="17"/>
                <w:color w:val="auto"/>
              </w:rPr>
            </w:pPr>
          </w:p>
        </w:tc>
        <w:tc>
          <w:tcPr>
            <w:tcW w:w="80" w:type="dxa"/>
            <w:vAlign w:val="bottom"/>
            <w:shd w:val="clear" w:color="auto" w:fill="006E96"/>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undisclosed</w:t>
            </w:r>
          </w:p>
        </w:tc>
        <w:tc>
          <w:tcPr>
            <w:tcW w:w="1920" w:type="dxa"/>
            <w:vAlign w:val="bottom"/>
            <w:shd w:val="clear" w:color="auto" w:fill="006E96"/>
          </w:tcPr>
          <w:p>
            <w:pPr>
              <w:spacing w:after="0"/>
              <w:rPr>
                <w:sz w:val="17"/>
                <w:szCs w:val="17"/>
                <w:color w:val="auto"/>
              </w:rPr>
            </w:pPr>
          </w:p>
        </w:tc>
        <w:tc>
          <w:tcPr>
            <w:tcW w:w="80" w:type="dxa"/>
            <w:vAlign w:val="bottom"/>
            <w:shd w:val="clear" w:color="auto" w:fill="006E96"/>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w:t>
            </w:r>
          </w:p>
        </w:tc>
        <w:tc>
          <w:tcPr>
            <w:tcW w:w="1920" w:type="dxa"/>
            <w:vAlign w:val="bottom"/>
            <w:shd w:val="clear" w:color="auto" w:fill="006E96"/>
          </w:tcPr>
          <w:p>
            <w:pPr>
              <w:spacing w:after="0"/>
              <w:rPr>
                <w:sz w:val="16"/>
                <w:szCs w:val="16"/>
                <w:color w:val="auto"/>
              </w:rPr>
            </w:pPr>
          </w:p>
        </w:tc>
        <w:tc>
          <w:tcPr>
            <w:tcW w:w="80" w:type="dxa"/>
            <w:vAlign w:val="bottom"/>
            <w:shd w:val="clear" w:color="auto" w:fill="006E96"/>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Borders>
              <w:right w:val="single" w:sz="8" w:color="55555A"/>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0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920" w:type="dxa"/>
            <w:vAlign w:val="bottom"/>
            <w:tcBorders>
              <w:bottom w:val="single" w:sz="8" w:color="006E96"/>
            </w:tcBorders>
            <w:shd w:val="clear" w:color="auto" w:fill="006E96"/>
          </w:tcPr>
          <w:p>
            <w:pPr>
              <w:spacing w:after="0"/>
              <w:rPr>
                <w:sz w:val="18"/>
                <w:szCs w:val="18"/>
                <w:color w:val="auto"/>
              </w:rPr>
            </w:pPr>
          </w:p>
        </w:tc>
        <w:tc>
          <w:tcPr>
            <w:tcW w:w="80" w:type="dxa"/>
            <w:vAlign w:val="bottom"/>
            <w:tcBorders>
              <w:bottom w:val="single" w:sz="8" w:color="006E96"/>
            </w:tcBorders>
            <w:shd w:val="clear" w:color="auto" w:fill="006E96"/>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Borders>
              <w:right w:val="single" w:sz="8" w:color="55555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55555A"/>
            </w:tcBorders>
            <w:shd w:val="clear" w:color="auto" w:fill="55555A"/>
          </w:tcPr>
          <w:p>
            <w:pPr>
              <w:spacing w:after="0"/>
              <w:rPr>
                <w:sz w:val="18"/>
                <w:szCs w:val="18"/>
                <w:color w:val="auto"/>
              </w:rPr>
            </w:pPr>
          </w:p>
        </w:tc>
        <w:tc>
          <w:tcPr>
            <w:tcW w:w="1920" w:type="dxa"/>
            <w:vAlign w:val="bottom"/>
            <w:shd w:val="clear" w:color="auto" w:fill="55555A"/>
          </w:tcPr>
          <w:p>
            <w:pPr>
              <w:spacing w:after="0"/>
              <w:rPr>
                <w:sz w:val="18"/>
                <w:szCs w:val="18"/>
                <w:color w:val="auto"/>
              </w:rPr>
            </w:pPr>
          </w:p>
        </w:tc>
        <w:tc>
          <w:tcPr>
            <w:tcW w:w="80" w:type="dxa"/>
            <w:vAlign w:val="bottom"/>
            <w:shd w:val="clear" w:color="auto" w:fill="55555A"/>
          </w:tcPr>
          <w:p>
            <w:pPr>
              <w:spacing w:after="0"/>
              <w:rPr>
                <w:sz w:val="18"/>
                <w:szCs w:val="18"/>
                <w:color w:val="auto"/>
              </w:rPr>
            </w:pPr>
          </w:p>
        </w:tc>
        <w:tc>
          <w:tcPr>
            <w:tcW w:w="1300" w:type="dxa"/>
            <w:vAlign w:val="bottom"/>
            <w:shd w:val="clear" w:color="auto" w:fill="55555A"/>
          </w:tcPr>
          <w:p>
            <w:pPr>
              <w:spacing w:after="0"/>
              <w:rPr>
                <w:sz w:val="18"/>
                <w:szCs w:val="18"/>
                <w:color w:val="auto"/>
              </w:rPr>
            </w:pPr>
          </w:p>
        </w:tc>
        <w:tc>
          <w:tcPr>
            <w:tcW w:w="120" w:type="dxa"/>
            <w:vAlign w:val="bottom"/>
            <w:shd w:val="clear" w:color="auto" w:fill="55555A"/>
          </w:tcPr>
          <w:p>
            <w:pPr>
              <w:spacing w:after="0"/>
              <w:rPr>
                <w:sz w:val="18"/>
                <w:szCs w:val="18"/>
                <w:color w:val="auto"/>
              </w:rPr>
            </w:pPr>
          </w:p>
        </w:tc>
        <w:tc>
          <w:tcPr>
            <w:tcW w:w="1160" w:type="dxa"/>
            <w:vAlign w:val="bottom"/>
            <w:shd w:val="clear" w:color="auto" w:fill="55555A"/>
          </w:tcPr>
          <w:p>
            <w:pPr>
              <w:spacing w:after="0"/>
              <w:rPr>
                <w:sz w:val="18"/>
                <w:szCs w:val="18"/>
                <w:color w:val="auto"/>
              </w:rPr>
            </w:pPr>
          </w:p>
        </w:tc>
        <w:tc>
          <w:tcPr>
            <w:tcW w:w="1240" w:type="dxa"/>
            <w:vAlign w:val="bottom"/>
            <w:shd w:val="clear" w:color="auto" w:fill="55555A"/>
          </w:tcPr>
          <w:p>
            <w:pPr>
              <w:spacing w:after="0"/>
              <w:rPr>
                <w:sz w:val="18"/>
                <w:szCs w:val="18"/>
                <w:color w:val="auto"/>
              </w:rPr>
            </w:pPr>
          </w:p>
        </w:tc>
        <w:tc>
          <w:tcPr>
            <w:tcW w:w="1200" w:type="dxa"/>
            <w:vAlign w:val="bottom"/>
            <w:tcBorders>
              <w:right w:val="single" w:sz="8" w:color="55555A"/>
            </w:tcBorders>
            <w:shd w:val="clear" w:color="auto" w:fill="55555A"/>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-153670</wp:posOffset>
            </wp:positionV>
            <wp:extent cx="54178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-676275</wp:posOffset>
            </wp:positionV>
            <wp:extent cx="54178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-1113790</wp:posOffset>
            </wp:positionV>
            <wp:extent cx="5417820"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31686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-1516380</wp:posOffset>
            </wp:positionV>
            <wp:extent cx="5417820"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7820" cy="2825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-2167890</wp:posOffset>
            </wp:positionV>
            <wp:extent cx="5417820"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53149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-2605405</wp:posOffset>
            </wp:positionV>
            <wp:extent cx="5417820"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31686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-3025140</wp:posOffset>
            </wp:positionV>
            <wp:extent cx="5417820" cy="282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7820" cy="2825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-3582670</wp:posOffset>
            </wp:positionV>
            <wp:extent cx="5417820" cy="43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17820" cy="43751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-3985895</wp:posOffset>
            </wp:positionV>
            <wp:extent cx="5417820"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28321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-4388485</wp:posOffset>
            </wp:positionV>
            <wp:extent cx="54178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7820" cy="28321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-4945380</wp:posOffset>
            </wp:positionV>
            <wp:extent cx="5417820" cy="436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7820" cy="43688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-5100320</wp:posOffset>
            </wp:positionV>
            <wp:extent cx="54178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-5382895</wp:posOffset>
            </wp:positionV>
            <wp:extent cx="54178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-5939790</wp:posOffset>
            </wp:positionV>
            <wp:extent cx="5417820" cy="436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17820" cy="43688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-6591300</wp:posOffset>
            </wp:positionV>
            <wp:extent cx="5417820" cy="531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7820" cy="5314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162560</wp:posOffset>
            </wp:positionV>
            <wp:extent cx="2743200" cy="351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43200" cy="3517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CStone Pharmaceuticals has exclusive rights to develop and commercialize avapritinib and pralsetinib in Greater China.</w:t>
      </w:r>
    </w:p>
    <w:p>
      <w:pPr>
        <w:spacing w:after="0" w:line="13" w:lineRule="exact"/>
        <w:rPr>
          <w:rFonts w:ascii="Times New Roman" w:cs="Times New Roman" w:eastAsia="Times New Roman" w:hAnsi="Times New Roman"/>
          <w:sz w:val="13"/>
          <w:szCs w:val="13"/>
          <w:color w:val="auto"/>
        </w:rPr>
      </w:pPr>
    </w:p>
    <w:p>
      <w:pPr>
        <w:ind w:left="720" w:right="259" w:hanging="319"/>
        <w:spacing w:after="0" w:line="238" w:lineRule="auto"/>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in the U.S. for adults with advanced SM, including aggressive SM (ASM), SM with an associated hematological neoplasm (SM-AHN) and mast cell leukemia (MCL). Approved in Europe (AYVAKYT®) for adults with ASM, SM-AHN or MCL, after at least one systemic therapy.</w:t>
      </w:r>
    </w:p>
    <w:p>
      <w:pPr>
        <w:ind w:left="720" w:hanging="319"/>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collaboration with Roche.</w:t>
      </w:r>
    </w:p>
    <w:p>
      <w:pPr>
        <w:ind w:left="720" w:right="299" w:hanging="319"/>
        <w:spacing w:after="0" w:line="238" w:lineRule="auto"/>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Received U.S. accelerated approval for adults with metastatic RET fusion-positive NSCLC. Received conditional marketing authorization in Europe for adults with advanced RET fusion-positive NSCLC not previously treated with a RET inhibitor.</w:t>
      </w:r>
    </w:p>
    <w:p>
      <w:pPr>
        <w:ind w:left="720" w:hanging="319"/>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Zai Lab has exclusive rights to develop and commercialize BLU-945 and BLU-525 in Greater China.</w:t>
      </w:r>
    </w:p>
    <w:p>
      <w:pPr>
        <w:ind w:left="720" w:right="199" w:hanging="319"/>
        <w:spacing w:after="0" w:line="238" w:lineRule="auto"/>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in the U.S. for adults with unresectable or metastatic GIST harboring a PDGFRA exon 18 mutation, including PDGFRA D842V mutations. Approved in Europe (AYVAKYT®) for adults with unresectable or metastatic GIST harboring the PDGFRA D842V mutation.</w:t>
      </w:r>
    </w:p>
    <w:p>
      <w:pPr>
        <w:ind w:left="720" w:hanging="319"/>
        <w:spacing w:after="0"/>
        <w:tabs>
          <w:tab w:leader="none" w:pos="7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Received U.S. accelerated approval for advanced or metastatic RET-mutant medullary thyroid cancer and RET fusion-positive thyroid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-940435</wp:posOffset>
            </wp:positionV>
            <wp:extent cx="5648960" cy="942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942975"/>
                    </a:xfrm>
                    <a:prstGeom prst="rect">
                      <a:avLst/>
                    </a:prstGeom>
                    <a:noFill/>
                  </pic:spPr>
                </pic:pic>
              </a:graphicData>
            </a:graphic>
          </wp:anchor>
        </w:drawing>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70" w:lineRule="exact"/>
        <w:rPr>
          <w:sz w:val="20"/>
          <w:szCs w:val="20"/>
          <w:color w:val="auto"/>
        </w:rPr>
      </w:pPr>
    </w:p>
    <w:p>
      <w:pPr>
        <w:jc w:val="both"/>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a fully-integrated, global precision therapy company focused on discovering, developing and commercializing a portfolio of precision therapies, our vision is to bring the promise of precision medicine to as many patients with cancer and blood disorders as possible. To achieve this goal, key elements of our strategy are as follows:</w:t>
      </w:r>
    </w:p>
    <w:p>
      <w:pPr>
        <w:spacing w:after="0" w:line="223" w:lineRule="exact"/>
        <w:rPr>
          <w:sz w:val="20"/>
          <w:szCs w:val="20"/>
          <w:color w:val="auto"/>
        </w:rPr>
      </w:pPr>
    </w:p>
    <w:p>
      <w:pPr>
        <w:jc w:val="both"/>
        <w:ind w:left="1340" w:right="79" w:hanging="318"/>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adoption of our approved medicines, including AYVAKIT and GAVRETO in the U.S. and AYVAKYT in Europe, continue to strengthen and expand our global commercial capabilities and prepare for additional planned commercial launches in additional indications, including indolent SM.</w:t>
      </w:r>
    </w:p>
    <w:p>
      <w:pPr>
        <w:spacing w:after="0" w:line="162" w:lineRule="exact"/>
        <w:rPr>
          <w:rFonts w:ascii="Times New Roman" w:cs="Times New Roman" w:eastAsia="Times New Roman" w:hAnsi="Times New Roman"/>
          <w:sz w:val="18"/>
          <w:szCs w:val="18"/>
          <w:color w:val="auto"/>
        </w:rPr>
      </w:pPr>
    </w:p>
    <w:p>
      <w:pPr>
        <w:ind w:left="1340" w:right="119" w:hanging="318"/>
        <w:spacing w:after="0" w:line="261"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strategic focus on SM and related mast cell disorders by seeking regulatory approval for avapritinib for the treatment of indolent SM and developing elenestinib for the treatment of indolent SM, as well as exploring opportunities to address the needs of additional patient populations with adjacent mast cell disorders.</w:t>
      </w:r>
    </w:p>
    <w:p>
      <w:pPr>
        <w:spacing w:after="0" w:line="179" w:lineRule="exact"/>
        <w:rPr>
          <w:rFonts w:ascii="Times New Roman" w:cs="Times New Roman" w:eastAsia="Times New Roman" w:hAnsi="Times New Roman"/>
          <w:sz w:val="18"/>
          <w:szCs w:val="18"/>
          <w:color w:val="auto"/>
        </w:rPr>
      </w:pPr>
    </w:p>
    <w:p>
      <w:pPr>
        <w:ind w:left="1340" w:right="119" w:hanging="318"/>
        <w:spacing w:after="0" w:line="255"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innovative research programs, including BLU-945, BLU-525 and BLU-451, our selective and potent EGFR inhibitors for EGFR-driven NSCLC, BLU-222, our selective and potent CDK2 inhibitor for CDK2-vulnerable cancers, and our other preclinical programs, rapidly through development with plans to seek regulatory approval.</w:t>
      </w:r>
    </w:p>
    <w:p>
      <w:pPr>
        <w:spacing w:after="0" w:line="186" w:lineRule="exact"/>
        <w:rPr>
          <w:rFonts w:ascii="Times New Roman" w:cs="Times New Roman" w:eastAsia="Times New Roman" w:hAnsi="Times New Roman"/>
          <w:sz w:val="18"/>
          <w:szCs w:val="18"/>
          <w:color w:val="auto"/>
        </w:rPr>
      </w:pPr>
    </w:p>
    <w:p>
      <w:pPr>
        <w:ind w:left="1340" w:right="579" w:hanging="318"/>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broad, differentiated precision medicine pipeline, with a focus on genomically defined cancers and blood disorders and continued internal discovery research and innovation, as well as opportunities to acquire or in-license complementary technologies or therapies.</w:t>
      </w:r>
    </w:p>
    <w:p>
      <w:pPr>
        <w:spacing w:after="0" w:line="175" w:lineRule="exact"/>
        <w:rPr>
          <w:rFonts w:ascii="Times New Roman" w:cs="Times New Roman" w:eastAsia="Times New Roman" w:hAnsi="Times New Roman"/>
          <w:sz w:val="18"/>
          <w:szCs w:val="18"/>
          <w:color w:val="auto"/>
        </w:rPr>
      </w:pPr>
    </w:p>
    <w:p>
      <w:pPr>
        <w:ind w:left="1340" w:right="239" w:hanging="318"/>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potential additional collaborations, partnerships and licenses that could maximize the value of our existing programs and allow us to leverage the expertise of strategic collaborators, partners and licensors, including in additional geographies where we may not have current operations or expertise.</w:t>
      </w:r>
    </w:p>
    <w:p>
      <w:pPr>
        <w:spacing w:after="0" w:line="162" w:lineRule="exact"/>
        <w:rPr>
          <w:rFonts w:ascii="Times New Roman" w:cs="Times New Roman" w:eastAsia="Times New Roman" w:hAnsi="Times New Roman"/>
          <w:sz w:val="18"/>
          <w:szCs w:val="18"/>
          <w:color w:val="auto"/>
        </w:rPr>
      </w:pPr>
    </w:p>
    <w:p>
      <w:pPr>
        <w:ind w:left="1340" w:right="59" w:hanging="318"/>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commitment to building a corporate culture centered by our focus on patient needs, science-driven approach to drug development, and organizational strength through the diversity of experience and perspective across our workforce.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Precision Therapy Approach</w:t>
      </w:r>
    </w:p>
    <w:p>
      <w:pPr>
        <w:spacing w:after="0" w:line="256"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Our approach is to systematically and reproducibly identify drivers of disease in genomically defined patient populations and to craft drug candidates that provide significant and durable clinical responses to patients. This approach enables us to drug known targets that have been difficult to inhibit selectively and also identify, characterize and design drug candidates to inhibit novel targets. By focusing on diseases in genomically defined patient populations, we believe that we can quickly identify the patients most likely to respond, resulting in a more efficient development path with a greater likelihood of success. To date, our approach has been enabled by our drug discovery platform consisting of two pillars: (1) a proprietary, highly-annotated library of novel compounds; and (2) a novel target discovery engine, which is a comprehensive process that interrogates kinase biology from many angles using genomics, structural biology and cell biology.</w:t>
      </w:r>
    </w:p>
    <w:p>
      <w:pPr>
        <w:spacing w:after="0" w:line="231" w:lineRule="exact"/>
        <w:rPr>
          <w:sz w:val="20"/>
          <w:szCs w:val="20"/>
          <w:color w:val="auto"/>
        </w:rPr>
      </w:pPr>
    </w:p>
    <w:p>
      <w:pPr>
        <w:jc w:val="both"/>
        <w:ind w:left="60" w:right="599" w:firstLine="648"/>
        <w:spacing w:after="0" w:line="280" w:lineRule="auto"/>
        <w:rPr>
          <w:sz w:val="20"/>
          <w:szCs w:val="20"/>
          <w:color w:val="auto"/>
        </w:rPr>
      </w:pPr>
      <w:r>
        <w:rPr>
          <w:rFonts w:ascii="Times New Roman" w:cs="Times New Roman" w:eastAsia="Times New Roman" w:hAnsi="Times New Roman"/>
          <w:sz w:val="17"/>
          <w:szCs w:val="17"/>
          <w:color w:val="auto"/>
        </w:rPr>
        <w:t>We have initially focused our efforts on kinase drug discovery and development. Kinases are enzymes that function in many signaling pathways to regulate critical cellular functions. Kinase-dependent signaling networks are present in multiple different cell types and deregulation of these networks can lead to disease pathology. Abnormal</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 (3) excessive amounts of protein are created due to gene duplication or dysregulation leading to overexpression. There is a strong link between genomic alterations in kinases and disease, including specific forms of cancer and rare diseases. Several kinases have been validated as oncogenes, which are genes that when altered can initiate and maintain cancer growth. Ongoing genomic analyses of tumor data sets continue to identify new roles for kinases as drivers of disease.</w:t>
      </w:r>
    </w:p>
    <w:p>
      <w:pPr>
        <w:spacing w:after="0" w:line="23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believe there is substantial opportunity for developing novel and transformative therapies that target well characterized but currently difficult-to-drug kinases as well as kinases of unknown biology which constitute the majority of the kinome, by:</w:t>
      </w:r>
    </w:p>
    <w:p>
      <w:pPr>
        <w:spacing w:after="0" w:line="199" w:lineRule="exact"/>
        <w:rPr>
          <w:sz w:val="20"/>
          <w:szCs w:val="20"/>
          <w:color w:val="auto"/>
        </w:rPr>
      </w:pPr>
    </w:p>
    <w:p>
      <w:pPr>
        <w:ind w:left="1340" w:right="139" w:hanging="318"/>
        <w:spacing w:after="0" w:line="253"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Crafting very selective kinase drugs. </w:t>
      </w:r>
      <w:r>
        <w:rPr>
          <w:rFonts w:ascii="Times New Roman" w:cs="Times New Roman" w:eastAsia="Times New Roman" w:hAnsi="Times New Roman"/>
          <w:sz w:val="18"/>
          <w:szCs w:val="18"/>
          <w:color w:val="auto"/>
        </w:rPr>
        <w:t>Due to the high degree of homology between kinases,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targeting of a given kinase can be 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84" w:lineRule="exact"/>
        <w:rPr>
          <w:rFonts w:ascii="Times New Roman" w:cs="Times New Roman" w:eastAsia="Times New Roman" w:hAnsi="Times New Roman"/>
          <w:sz w:val="18"/>
          <w:szCs w:val="18"/>
          <w:color w:val="auto"/>
        </w:rPr>
      </w:pPr>
    </w:p>
    <w:p>
      <w:pPr>
        <w:ind w:left="1340" w:right="79" w:hanging="318"/>
        <w:spacing w:after="0" w:line="254"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Generating novel chemical matter required to target difficult-to-drug kinases. </w:t>
      </w:r>
      <w:r>
        <w:rPr>
          <w:rFonts w:ascii="Times New Roman" w:cs="Times New Roman" w:eastAsia="Times New Roman" w:hAnsi="Times New Roman"/>
          <w:sz w:val="18"/>
          <w:szCs w:val="18"/>
          <w:color w:val="auto"/>
        </w:rPr>
        <w:t>Novel chemical matter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needed to 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84" w:lineRule="exact"/>
        <w:rPr>
          <w:rFonts w:ascii="Times New Roman" w:cs="Times New Roman" w:eastAsia="Times New Roman" w:hAnsi="Times New Roman"/>
          <w:sz w:val="18"/>
          <w:szCs w:val="18"/>
          <w:color w:val="auto"/>
        </w:rPr>
      </w:pPr>
    </w:p>
    <w:p>
      <w:pPr>
        <w:ind w:left="1340" w:right="99" w:hanging="318"/>
        <w:spacing w:after="0" w:line="253"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Overcoming resistance mediated by the alteration of kinase targets, and helping solve for intractable sites of progression, such as the brain. </w:t>
      </w:r>
      <w:r>
        <w:rPr>
          <w:rFonts w:ascii="Times New Roman" w:cs="Times New Roman" w:eastAsia="Times New Roman" w:hAnsi="Times New Roman"/>
          <w:sz w:val="18"/>
          <w:szCs w:val="18"/>
          <w:color w:val="auto"/>
        </w:rPr>
        <w:t>Most approved kinase inhibitors provide only temporary disease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Patients may relapse due to the emergence of on-target resistance mutations or in cancer, tumors progress because therapies are unable to cross the blood-brain barrier to treat or prevent CNS metastases. Novel approaches, including innovative combinations, are needed to predict and inhibit resistant mutants and address common sites of progression including the brain, thus providing more durable clinical responses.</w:t>
      </w:r>
    </w:p>
    <w:p>
      <w:pPr>
        <w:spacing w:after="0" w:line="191"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In addition, we are expanding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Disease Overviews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(SM)</w:t>
      </w:r>
    </w:p>
    <w:p>
      <w:pPr>
        <w:spacing w:after="0" w:line="27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including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216" w:lineRule="exact"/>
        <w:rPr>
          <w:sz w:val="20"/>
          <w:szCs w:val="20"/>
          <w:color w:val="auto"/>
        </w:rPr>
      </w:pPr>
    </w:p>
    <w:p>
      <w:pPr>
        <w:jc w:val="both"/>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SM comprises a spectrum of disease, with nearly all patients (approximately 95 percent) having a KIT D816V mutation as the underlying driver of the disease. The diagnosis, which is usually made in adulthood, involves a complex diagnostic algorithm that begins with confirmation of SM and subsequently categorizes patients into non-advanced or</w:t>
      </w:r>
    </w:p>
    <w:p>
      <w:pPr>
        <w:sectPr>
          <w:pgSz w:w="11900" w:h="16838" w:orient="portrait"/>
          <w:cols w:equalWidth="0" w:num="1">
            <w:col w:w="9019"/>
          </w:cols>
          <w:pgMar w:left="1440" w:top="513" w:right="1440"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advanced subtypes of disease. Indolent SM, which represents the vast majority of non-advanced SM cases and is the most common form of SM, is characterized by often severe, unpredictable and debilitating symptoms due to mast cell activation. Symptoms may include hypersensitivity reactions, including unpredictable anaphylaxis, gastrointestinal distress including severe nausea, vomiting and diarrhea, and extensive skin rashes that cause pain, discomfort and social isolation. Advanced SM is a rarer form of SM associated with mast cell infiltration of organ systems resulting in increasingly severe impact on life expectancy, and includes three subsets: ASM, SM-AHN and MCL. These advanced forms of SM have historically had a median OS of less than six months to 3.5 years and are characterized by prominent organopathy and dysfunction, as well as the debilitating symptoms of mast cell activation.</w:t>
      </w:r>
    </w:p>
    <w:p>
      <w:pPr>
        <w:spacing w:after="0" w:line="23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Advanced SM accounts for approximately 5-10 percent of the patients, or about 5,000 patients in the U.S., France, Germany, Italy, Spain, the United Kingdom and Japan, which we collectively refer to as the Major Markets. Non-advanced SM, including indolent SM and an intermediate form referred to as smoldering SM, account for the remaining 90-95 percent of patients, or about 70,000 patients in Major Markets. Population studies estimate the prevalence rate of all subtypes of SM is approximately 9.6 per 100,000 people.</w:t>
      </w:r>
    </w:p>
    <w:p>
      <w:pPr>
        <w:spacing w:after="0" w:line="22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current treatment paradigm for SM varies by disease subtype. Currently, there are no approved targeted therapies other than avapritinib designed to potently and selectively inhibit the KIT D816V mutation. There are two approved therapies for advanced SM: midostaurin and imatinib. Midostaurin is a multi-kinase inhibitor with limited KIT D816V inhibitory activity. Imatinib is approved only for patients with the ASM subtype who do not harbor the KIT D816V mutation, or who have an unknown mutation status. Other treatments used in advanced SM include interferon alpha or cytoreductive agents to reduce mast cell burden, or treatments aimed at addressing the associated blood disorder.</w:t>
      </w:r>
    </w:p>
    <w:p>
      <w:pPr>
        <w:spacing w:after="0" w:line="23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For patients with non-advanced SM, management is symptom-directed and includes avoidance of triggers of mast cell activation (such as insect stings). Treatments for non-advanced SM include histamine blockers, cromolyn, epinephrine, corticosteroids, and, in cases of refractory patients, cytoreductive agents. Patients often take multiple symptom-directed treatments to manage their disease, and a reduction in polypharmacy burden is an important treatment goal. Within non-advanced SM, key opinion leaders see the greatest degree of medical need for a significant portion of patients who have a heavy symptom burden that current therapies fail to address.</w:t>
      </w:r>
    </w:p>
    <w:p>
      <w:pPr>
        <w:spacing w:after="0" w:line="23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are developing avapritinib for the treatment of SM and elenestinib for the treatment of SM and other mast cell disorders. Previously reported clinical data of avapritinib and elenestinib for patients with SM are described below.</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Data in SM</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Avapritinib—Phase 1 EXPLORER Trial and Phase 2 PATHFINDER Trial</w:t>
      </w:r>
    </w:p>
    <w:p>
      <w:pPr>
        <w:spacing w:after="0" w:line="268"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We are evaluating avapritinib for the treatment of patients with advanced SM in our EXPLORER and PATHFINDER clinical trials. The EXPLORER trial is an open-label, single-arm Phase 1 trial. The PATHFINDER trial is an open-label, single-arm Phase 2 trial. Both trials have completed enrollment. For both the EXPLORER and PATHFINDER trials, key endpoints include overall response rate, or ORR, duration of response, or DOR, quantitative measures of mast cell burden, patient-reported outcomes and safety.</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European Hematology Association Annual Meeting in June 2022</w:t>
      </w:r>
    </w:p>
    <w:p>
      <w:pPr>
        <w:spacing w:after="0" w:line="254" w:lineRule="exact"/>
        <w:rPr>
          <w:sz w:val="20"/>
          <w:szCs w:val="20"/>
          <w:color w:val="auto"/>
        </w:rPr>
      </w:pPr>
    </w:p>
    <w:p>
      <w:pPr>
        <w:jc w:val="both"/>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In the EXPLORER and PATHINDER trials, 176 patients with advanced SM received avapritinib across doses as of an April 20, 2021 data cutoff date. Pooled data from these patients were indirectly compared to clinical outcomes from patients who received best available therapy in real-world clinical practice, including 94 midostaurin-treated patients and 44 cladribine-treated patients. The confidence interval, or CI, represents the confidence interval of the reported endpoints.</w:t>
      </w:r>
    </w:p>
    <w:p>
      <w:pPr>
        <w:spacing w:after="0" w:line="203" w:lineRule="exact"/>
        <w:rPr>
          <w:sz w:val="20"/>
          <w:szCs w:val="20"/>
          <w:color w:val="auto"/>
        </w:rPr>
      </w:pPr>
    </w:p>
    <w:p>
      <w:pPr>
        <w:ind w:left="60" w:right="279" w:firstLine="648"/>
        <w:spacing w:after="0" w:line="298" w:lineRule="auto"/>
        <w:rPr>
          <w:sz w:val="20"/>
          <w:szCs w:val="20"/>
          <w:color w:val="auto"/>
        </w:rPr>
      </w:pPr>
      <w:r>
        <w:rPr>
          <w:rFonts w:ascii="Times New Roman" w:cs="Times New Roman" w:eastAsia="Times New Roman" w:hAnsi="Times New Roman"/>
          <w:sz w:val="17"/>
          <w:szCs w:val="17"/>
          <w:i w:val="1"/>
          <w:iCs w:val="1"/>
          <w:color w:val="auto"/>
        </w:rPr>
        <w:t>Clinical Activity Data</w:t>
      </w:r>
      <w:r>
        <w:rPr>
          <w:rFonts w:ascii="Times New Roman" w:cs="Times New Roman" w:eastAsia="Times New Roman" w:hAnsi="Times New Roman"/>
          <w:sz w:val="17"/>
          <w:szCs w:val="17"/>
          <w:color w:val="auto"/>
        </w:rPr>
        <w:t>. Avapritinib improved clinical outcomes when retrospectively compared to best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therapies, including midostaurin and cladribine, in the real-world study cohort. The median OS was not reached (95%</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CI: 46.9 months, not estimated) for avapritinib, 28.6 months (95% CI: 18.2, 44.6) for midostaurin and 23.4 months (95%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CI: 14.8, 40.6) for cladribine.</w:t>
      </w: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American Society of Hematology Annual Meeting in December 2022</w:t>
      </w:r>
    </w:p>
    <w:p>
      <w:pPr>
        <w:spacing w:after="0" w:line="254"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Twenty-five treatment-naïve patients from the PATHFINDER trial and 57 patients from the EXPLORER trial – regardless of line of therapy – received avapritinib and were evaluable for response as of the data cutoff dates. ORR was defined as complete remission with full or partial recovery of peripheral blood counts, or CR/CRh, partial remission or clinical improvement. Response assessments were completed per central review, and all reported clinical responses were confirmed.</w:t>
      </w:r>
    </w:p>
    <w:p>
      <w:pPr>
        <w:spacing w:after="0" w:line="208"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Clinical Activity Data</w:t>
      </w:r>
      <w:r>
        <w:rPr>
          <w:rFonts w:ascii="Times New Roman" w:cs="Times New Roman" w:eastAsia="Times New Roman" w:hAnsi="Times New Roman"/>
          <w:sz w:val="18"/>
          <w:szCs w:val="18"/>
          <w:color w:val="auto"/>
        </w:rPr>
        <w:t>. In treatment-naïve patients from the PATHFINDER trial, the ORR was 84 percent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CR/CRh rate was 32 percent as of a data cutoff date of April 20, 2021. The median DOR has not been reached, and the estimated 24-month OS rate was 88 percent. In 19 response-evaluable patients with SM-AHN, the ORR was 95 percent, the CR/CRh rate was 37 percent and the estimated 24-month OS rate was 86 percent. In patients across lines of therapy from the EXPLORER trial, the ORR was 77 percent as of the data cutoff date of April 5, 2022. Median DOR and OS were not reached in patients followed for up for six years.</w:t>
      </w:r>
    </w:p>
    <w:p>
      <w:pPr>
        <w:spacing w:after="0" w:line="20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Safety Data. </w:t>
      </w:r>
      <w:r>
        <w:rPr>
          <w:rFonts w:ascii="Times New Roman" w:cs="Times New Roman" w:eastAsia="Times New Roman" w:hAnsi="Times New Roman"/>
          <w:sz w:val="18"/>
          <w:szCs w:val="18"/>
          <w:color w:val="auto"/>
        </w:rPr>
        <w:t>Avapritinib showed a favorable benefit-risk profile in 38 treatment-naïve patients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EXPLORER trial and 69 patients across lines of therapy from the EXPLORER trial, with safety results consistent with previously reported data and the FDA approved labeling for avapritinib. The most common treatment-related AEs included periorbital edema, thrombocytopenia, peripheral edema, anemia and nausea. Discontinuations due to treatment-related AEs occurred in four treatment-naïve patients, or 11 percent, since the initiation of the PATHFINDER trial in 2018, and seven patients across lines of therapy, or 10 percent, since the initiation of the EXPLORER trial in 2016.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Avapritinib—Phase 2 PIONEER Trial</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PIONEER is a randomized, double-blind, placebo-controlled, registration-enabling trial evaluating avapritinib in patients with indolent SM. The trial includes three parts: dose-finding Part 1, registration-enabling Part 2 and long-term treatment Part 3. All patients who completed Parts 1 or 2 had an opportunity to receive treatment with avapritinib in Part 3. Key trial endpoints include the change in patient-reported disease symptoms as measured by the Indolent SM Symptom Assessment Form </w:t>
      </w:r>
      <w:r>
        <w:rPr>
          <w:rFonts w:ascii="Times New Roman" w:cs="Times New Roman" w:eastAsia="Times New Roman" w:hAnsi="Times New Roman"/>
          <w:sz w:val="18"/>
          <w:szCs w:val="18"/>
          <w:color w:val="0A0A0A"/>
        </w:rPr>
        <w:t>Total Symptom Score, or</w:t>
      </w:r>
      <w:r>
        <w:rPr>
          <w:rFonts w:ascii="Times New Roman" w:cs="Times New Roman" w:eastAsia="Times New Roman" w:hAnsi="Times New Roman"/>
          <w:sz w:val="18"/>
          <w:szCs w:val="18"/>
          <w:color w:val="auto"/>
        </w:rPr>
        <w:t xml:space="preserve"> ISM-SAF TSS, quantitative measures of mast cell burden and safety.</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Top-Line Data Reported in August 2022</w:t>
      </w:r>
    </w:p>
    <w:p>
      <w:pPr>
        <w:spacing w:after="0" w:line="268"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Part 2 of the PIONEER trial enrolled 141 patients with avapritinib 25 mg once-daily dosing plus best available care and 71 patients with placebo plus best available care, or the control arm. Eligibility criteria include an indolent SM diagnosis confirmed by central pathology review, and moderate-to-severe symptom burden despite an optimized regimen of best available care. Patients were able to continue symptom-directed therapies while receiving AYVAKIT or placebo. Results were reported as of a data cutoff date of June 23, 2022.</w:t>
      </w:r>
    </w:p>
    <w:p>
      <w:pPr>
        <w:spacing w:after="0" w:line="226"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Clinical Activity Data. </w:t>
      </w:r>
      <w:r>
        <w:rPr>
          <w:rFonts w:ascii="Times New Roman" w:cs="Times New Roman" w:eastAsia="Times New Roman" w:hAnsi="Times New Roman"/>
          <w:sz w:val="17"/>
          <w:szCs w:val="17"/>
          <w:color w:val="auto"/>
        </w:rPr>
        <w:t>Part 2 of the PIONEER study showed clinically meaningful and highly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improvements across the primary and all key secondary endpoints, including patient-reported symptoms and objective measures of disease burden. For the avapritinib arm relative to the control arm, the trial achieved the primary endpoint with a highly significant difference in the mean change in TSS at 24 weeks (p=0.003). The avapritinib arm had a reduction of</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15.6 points in mean TSS at 24 weeks, which continued to deepen to 20.2 points at 48 weeks in patients who rolled over to the Part 3 open-label extension study. At 24 weeks, the control arm had a reduction of 9.2 points in mean TSS. In addition, the trial met all key secondary endpoints, including significant improvements across measures of mast cell burden. More than half of AYVAKIT-treated patients had a greater than or equal to 50 percent reduction of serum tryptase, compared to no patients in the control arm (53.9% vs. 0%; p&lt;0.0001).</w:t>
      </w:r>
    </w:p>
    <w:p>
      <w:pPr>
        <w:spacing w:after="0" w:line="212" w:lineRule="exact"/>
        <w:rPr>
          <w:sz w:val="20"/>
          <w:szCs w:val="20"/>
          <w:color w:val="auto"/>
        </w:rPr>
      </w:pPr>
    </w:p>
    <w:p>
      <w:pPr>
        <w:ind w:left="60" w:right="39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Safety Data</w:t>
      </w:r>
      <w:r>
        <w:rPr>
          <w:rFonts w:ascii="Times New Roman" w:cs="Times New Roman" w:eastAsia="Times New Roman" w:hAnsi="Times New Roman"/>
          <w:sz w:val="17"/>
          <w:szCs w:val="17"/>
          <w:color w:val="auto"/>
        </w:rPr>
        <w:t>. Avapritinib had a favorable safety profile compared to the control arm. The rate of AEs was 90.8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 in the avapritinib arm and 93.0 percent in the control arm. Serious AEs occurred in 5.0 percent of avapritinib-treated patients, compared to 11.3 percent of patients in the control arm. Discontinuations due to treatment-related AEs</w:t>
      </w:r>
    </w:p>
    <w:p>
      <w:pPr>
        <w:sectPr>
          <w:pgSz w:w="11900" w:h="16838" w:orient="portrait"/>
          <w:cols w:equalWidth="0" w:num="1">
            <w:col w:w="9019"/>
          </w:cols>
          <w:pgMar w:left="1440" w:top="513" w:right="1440"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occurred in 0.7 percent of avapritinib-treated patients and 0 percent of patients in the placebo arm. The avapritinib arm had a lower rate of cognitive AEs than the control arm - 2.8% avapritinib vs. 4.2% control – and there were no intracranial bleeding events. Treatment-related AEs reported in at least three patients in either arm and at least 5 percent of avapritinib-treated patients included headache, nausea, peripheral edema and periorbital edema.</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Elenestinib —Phase 2/3 HARBOR Trial</w:t>
      </w:r>
    </w:p>
    <w:p>
      <w:pPr>
        <w:spacing w:after="0" w:line="25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HARBOR is a randomized, double-blind, placebo-controlled trial evaluating elenestinib in patients with indolent SM. The trial includes multiple parts including dose-finding Part 1, registration-enabling Part 2 and long-term treatment Part 3. All patients who complete Parts 1 or 2 will have an opportunity to receive treatment with elenestinib in Part 3. Key trial endpoints include the change in patient-reported disease symptoms as measured by the ISM-SAF TSS, quantitative measures of mast cell burden and safety.</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Top-Line Data Reported in December 2022</w:t>
      </w:r>
    </w:p>
    <w:p>
      <w:pPr>
        <w:spacing w:after="0" w:line="268" w:lineRule="exact"/>
        <w:rPr>
          <w:sz w:val="20"/>
          <w:szCs w:val="20"/>
          <w:color w:val="auto"/>
        </w:rPr>
      </w:pPr>
    </w:p>
    <w:p>
      <w:pPr>
        <w:jc w:val="both"/>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Part 1 of the HARBOR trial enrolled 29 patients who received elenestinib plus best available care, including 10 patients at 25 mg once daily, 10 patients at 50 mg once daily and nine patients at 100 mg once daily, and 10 patients who received placebo plus best available care.</w:t>
      </w:r>
    </w:p>
    <w:p>
      <w:pPr>
        <w:spacing w:after="0" w:line="181"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Clinical Activity Data. </w:t>
      </w:r>
      <w:r>
        <w:rPr>
          <w:rFonts w:ascii="Times New Roman" w:cs="Times New Roman" w:eastAsia="Times New Roman" w:hAnsi="Times New Roman"/>
          <w:sz w:val="18"/>
          <w:szCs w:val="18"/>
          <w:color w:val="auto"/>
        </w:rPr>
        <w:t>Based on top-line, 12-week results from Part 1 of the HARBOR trial, elenestinib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led to rapid improvements in objective measures of mast cell burden, including serum tryptase and KIT D816V allele fraction, and TSS as measured by the ISM-SAF.</w:t>
      </w:r>
    </w:p>
    <w:p>
      <w:pPr>
        <w:spacing w:after="0" w:line="173" w:lineRule="exact"/>
        <w:rPr>
          <w:sz w:val="20"/>
          <w:szCs w:val="20"/>
          <w:color w:val="auto"/>
        </w:rPr>
      </w:pPr>
    </w:p>
    <w:p>
      <w:pPr>
        <w:ind w:left="60" w:right="1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Safety Data</w:t>
      </w:r>
      <w:r>
        <w:rPr>
          <w:rFonts w:ascii="Times New Roman" w:cs="Times New Roman" w:eastAsia="Times New Roman" w:hAnsi="Times New Roman"/>
          <w:sz w:val="18"/>
          <w:szCs w:val="18"/>
          <w:color w:val="auto"/>
        </w:rPr>
        <w:t>. Elenestinib safety results were consistent with its preclinical profile and a completed Phase 1 healthy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volunteer trial. Elenestinib was generally well-tolerated and there were no discontinuations due to AEs.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w:t>
      </w:r>
    </w:p>
    <w:p>
      <w:pPr>
        <w:spacing w:after="0" w:line="27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advanced MTC (approximately 90 percent of patients), and RET fusions are implicated in several cancers, including papillary thyroid carcinoma (approximately 10- 20 percent of patients) and NSCLC (1-2 percent of patients). We estimate that in the Major Markets, there are approximately 8,900 first-and second-line patients with RET-altered NSCLC and 1,300 patients with MTC, regardless of line of therapy or alteration. In addition, oncogenic RET alterations are observed at low frequencies in colorectal, breast, pancreatic and other cancers, providing a therapeutic rationale for the use of RET inhibitors in multiple patient subpopulations.</w:t>
      </w:r>
    </w:p>
    <w:p>
      <w:pPr>
        <w:spacing w:after="0" w:line="21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For example, currently approved therapies such as vandetanib and cabozantinib demonstrate lower objective response rates, or ORR, and DOR in patients with RET-altered NSCLC compared to selective kinase inhibitors targeting other kinase drivers such as EGFR, ALK and ROS1.</w:t>
      </w:r>
    </w:p>
    <w:p>
      <w:pPr>
        <w:spacing w:after="0" w:line="21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One of the greatest challenges in treating cancer is the ability of tumor cells to become resistant to therapy. Kinase reactivation via mutation to evade small molecule inhibition is a common mechanism of resistance. We have predicted future resistance mutations of drugs with RET inhibitory activity. Thus, there is a clear need for a selective RET inhibitor that targets both oncogenic RET fusions and activating mutations and their predicted RET resistance mutations.</w:t>
      </w:r>
    </w:p>
    <w:p>
      <w:pPr>
        <w:spacing w:after="0" w:line="20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Currently, pralsetinib (under the brand name GAVRETO) is the only once-daily RET-targeted therapy approved by the FDA for the treatment of certain RET-altered NSCLC and thyroid cancers in the U.S. Pursuant to our collaboration with Roche, we are co-developing pralsetinib globally in RET-altered solid tumors, including NSCLC, MTC and other thyroid cancers, as well as other solid tumors.</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Gastrointestinal Stromal Tumors (GIST)</w:t>
      </w:r>
    </w:p>
    <w:p>
      <w:pPr>
        <w:spacing w:after="0" w:line="27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GIST is a rare disease that is a sarcoma of the gastrointestinal tract. Tumors arise within cells in the wall of the gastrointestinal tract and occur most often in the stomach or small intestine. Most patients are diagnosed between the ages of 50-80 with diagnosis triggered by gastrointestinal bleeding, incidental findings during surgery or imaging, or in rare cases, acute presentation due to tumor rupture or gastrointestinal obstruction. The standard workup at primary presentation includes pathologic confirmation and imaging to assess extent of disease.</w:t>
      </w:r>
    </w:p>
    <w:p>
      <w:pPr>
        <w:spacing w:after="0" w:line="22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GIST treatment paradigm has advanced dramatically over the past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five-year median OS. Unresectable or metastatic patients typically receive imatinib, followed by sunitinib and regorafenib as the disease progresses.</w:t>
      </w:r>
    </w:p>
    <w:p>
      <w:pPr>
        <w:spacing w:after="0" w:line="22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GIST is a tumor type that depends on continued signaling of a single, aberrantly active kinase. About 5 to 6 percent of primary GIST cases are caused by a PDGFRA D842V mutation, the most common PDGFRA exon 18 mutation. Published data have shown poor outcomes in patients with unresectable or metastatic PDGFRA D842V mutant GIST treated with imatinib and other approved therapies that do not specifically target PDGFRA mutations. Progression can occur within as little as three months, and the median OS is 15 months for patients with advanced disease. Currently, AYVAKIT is the only FDA-approved treatment for patients with D842V mutant PDGFRA-driven GIST.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EGFR-Mutated NSCLC</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Among the 80 to 85 percent of lung cancers classified as NSCLC, it is estimated that about 10-15 percent of cases in the U.S. and Europe, and about 40-50 percent of cases in Asia are caused by activating EGFR mutations. In recent years, the introduction of EGFR-targeted therapies including osimertinib has dramatically improved outcomes in patients with EGFR-mutated NSCLC. However, there remains a significant need for new treatment options. For example, osimertinib has demonstrated shorter OS and progression-free survival in patients whose tumors have activating L858R mutations than those with exon 19 deletions, which we believe is due to incomplete inhibition of the L858R mutation, and there are limited treatment options for exon 20 insertion-driven NSCLC. In addition, there is a need to prevent the emergence of on-and off-target resistance mechanisms, and to prevent or treat CNS metastases.</w:t>
      </w:r>
    </w:p>
    <w:p>
      <w:pPr>
        <w:spacing w:after="0" w:line="21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are developing BLU-945 in combination with osimertinib for the treatment of first-line EGFR L858R-positive NSCLC. In a planned SYMPHONY trial expansion, patients with first-line EGFR L858R-positive NSCLC will be randomized to receive BLU-945 in combination with osimertinib or osimertinib monotherapy. We expect to provide an initial clinical data update on the SYMPHONY trial expansion for the combination of BLU-945 and osimertinib in first-line EGFR L858R-positive NSCLC in the second half of 2023.</w:t>
      </w:r>
    </w:p>
    <w:p>
      <w:pPr>
        <w:spacing w:after="0" w:line="21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are developing BLU-525 for the treatment of patients with EGFR-mutated NSCLC. We plan to submit an IND for BLU-525 to the FDA in the first half of 2023.</w:t>
      </w:r>
    </w:p>
    <w:p>
      <w:pPr>
        <w:spacing w:after="0" w:line="20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are developing BLU-451 for the treatment of patients with NSCLC harboring EGFR exon 20 insertion mutations, and we plan to present dose escalation data from the Phase 1/2 CONCERTO trial for this patient population in the first half of 2023.</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Data in EGFR-Driven NSCLC</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BLU-945—Phase 1/2 SYMPHONY Trial</w:t>
      </w:r>
    </w:p>
    <w:p>
      <w:pPr>
        <w:spacing w:after="0" w:line="26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SYMPHONY is a Phase 1/2, open-label trial designed to evaluable the safety, tolerability and anti-tumor activity of BLU-945 in patients with EGFR-mutated NSCLC. The trial includes dose escalation arms of BLU-945 monotherapy and BLU-945 in combination with osimertinib in patients with late-line EGFR-mutated NSCLC. Dose</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expansion is planned, including a randomized study of BLU-945 in combination with osimertinib versus osimertinib monotherapy in treatment-naïve patients with EGFR L858R-positive NSCLC.</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the American Association of Cancer Research in April 2022</w:t>
      </w:r>
    </w:p>
    <w:p>
      <w:pPr>
        <w:spacing w:after="0" w:line="254"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the SYMPHONY trial, 33 patients with EGFR-mutant NSCLC received BLU-945 across five dose escalation cohorts, ranging from 25 mg once-daily to 400 mg once-daily, as of a March 9, 2022 cutoff date. The majority of patients, or 79 percent, received at least three lines of systemic therapy.</w:t>
      </w:r>
    </w:p>
    <w:p>
      <w:pPr>
        <w:spacing w:after="0" w:line="21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Clinical Activity Data</w:t>
      </w:r>
      <w:r>
        <w:rPr>
          <w:rFonts w:ascii="Times New Roman" w:cs="Times New Roman" w:eastAsia="Times New Roman" w:hAnsi="Times New Roman"/>
          <w:sz w:val="18"/>
          <w:szCs w:val="18"/>
          <w:color w:val="auto"/>
        </w:rPr>
        <w:t>. Pharmacokinetic results for BLU-945 showed dose-proportional plasma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exposures at increasing doses consistent with broad EGFR mutation coverage, based on preclinical activity thresholds. In addition, ctDNA results for patients with detectable T790M and C797S allele fractions at baseline and available post-baseline assessments showed dose-dependent reductions in both variant allele fractions. In patients treated with 400 mg once-daily dosing, all detectable T790M and C797S allele fractions declined, including three that fell below the limit of detection, reflecting clearance. Tumor shrinkage was observed in patients treated with 200-400 mg QD doses of BLU-945, including an unconfirmed partial response in a patient treated with 400 mg QD dosing.</w:t>
      </w:r>
    </w:p>
    <w:p>
      <w:pPr>
        <w:spacing w:after="0" w:line="21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 Data</w:t>
      </w:r>
      <w:r>
        <w:rPr>
          <w:rFonts w:ascii="Times New Roman" w:cs="Times New Roman" w:eastAsia="Times New Roman" w:hAnsi="Times New Roman"/>
          <w:sz w:val="18"/>
          <w:szCs w:val="18"/>
          <w:color w:val="auto"/>
        </w:rPr>
        <w:t>. BLU-945 was generally well-tolerated at all doses tested. The most common AEs, regardless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to BLU-945, were nausea, headache, fatigue, cough, dyspnea, vomiting, hyponatremia, dry mouth and anemia. Reported AEs associated with wild-type EGFR inhibition were infrequent and low grade. One dose-limiting toxicity, Grade 3 transaminitis, occurred in the 400 mg QD cohort, which improved with dose interruption. There were no treatment discontinuations due to AEs.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CDK2-Vulnerable Cancers</w:t>
      </w:r>
    </w:p>
    <w:p>
      <w:pPr>
        <w:spacing w:after="0" w:line="27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an investigational inhibitor, BLU-222, targeting CDK2 for the treatment of patients with CDK2-vulnerable cancers. CDK2 is a cell cycle regulator and an important cancer target, with relevance across multiple malignancies, including hormone-receptor-positive breast cancer and other CDK2-vulnerable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w:t>
      </w:r>
    </w:p>
    <w:p>
      <w:pPr>
        <w:spacing w:after="0" w:line="23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At the San Antonio Breast Cancer Symposium, in December 2022, we reported preclinical results showing BLU-222 in combination with ribociclib led to sustained antitumor activity in preclinical models of CDK4/6 inhibitor-naïve and resistant HR+/HER2 breast cancer, supporting the clinical development of this combination regimen.</w:t>
      </w:r>
    </w:p>
    <w:p>
      <w:pPr>
        <w:spacing w:after="0" w:line="21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In the first quarter of 2022, we initiated the Phase 1/2 trial of BLU-222 in CDK2-vulnerable cancers, which we refer to as our VELA trial. BLU-222 is potent and selective CDK2 inihibitor being developed as monotherapy and in combination with other agents, including CDK4/6 inhibitors and estrogen receptor, or ER, antagonists, in hormone-receptor-positive, HER2-negative breast cancer or HR+/HER2- BC, and as a single agent and in combination in CCNE1-amplified tumor types. We plan to present dose escalation data from this VELA trial of BLU-222 in the first half of 2023.</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Advanced Cancers</w:t>
      </w:r>
    </w:p>
    <w:p>
      <w:pPr>
        <w:spacing w:after="0" w:line="270" w:lineRule="exact"/>
        <w:rPr>
          <w:sz w:val="20"/>
          <w:szCs w:val="20"/>
          <w:color w:val="auto"/>
        </w:rPr>
      </w:pPr>
    </w:p>
    <w:p>
      <w:pPr>
        <w:ind w:left="60" w:right="79" w:firstLine="693"/>
        <w:spacing w:after="0" w:line="253" w:lineRule="auto"/>
        <w:rPr>
          <w:sz w:val="20"/>
          <w:szCs w:val="20"/>
          <w:color w:val="auto"/>
        </w:rPr>
      </w:pPr>
      <w:r>
        <w:rPr>
          <w:rFonts w:ascii="Times New Roman" w:cs="Times New Roman" w:eastAsia="Times New Roman" w:hAnsi="Times New Roman"/>
          <w:sz w:val="18"/>
          <w:szCs w:val="18"/>
          <w:color w:val="auto"/>
        </w:rPr>
        <w:t>Immunokinases are known to regulate numerous aspects of immune response, and inhibiting immunokinases may enhance the immune system’s ability to recognize and eradicate tumor cells in patients with advanced cancers. MAP4K1 represents a well-characterized immunokinase target. In preclinical studies, MAP4K1 has shown suppressive effects across a range of immune cells, including T cells and dendritic cells. In addition, the loss of MAP4K1 kinase activity alone, and in combination with checkpoint inhibition, has been sufficient to enhance T cell receptor signaling, resulting in anti-tumor immune responses. This research supports the broad potential of MAP4K1 as a therapeutic target for the treatment of cancer.</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developing BLU-852, a potent and selective MAP4K1 inhibitor, for the treatment of advanced cancers. In 2022, under our ongoing cancer immunotherapy collaboration, Roche endorsed a clinical development plan for IND-enabling activities for BLU-852, as a single agent and in combination with atezolizumab, in advanced cancers.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Collaborations and Licenses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5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212529"/>
        </w:rPr>
        <w:t xml:space="preserve">In March 2016, we entered into a collaboration and license agreement, or </w:t>
      </w:r>
      <w:r>
        <w:rPr>
          <w:rFonts w:ascii="Times New Roman" w:cs="Times New Roman" w:eastAsia="Times New Roman" w:hAnsi="Times New Roman"/>
          <w:sz w:val="18"/>
          <w:szCs w:val="18"/>
          <w:color w:val="000000"/>
        </w:rPr>
        <w:t>the Roche immunotherapy agreement</w:t>
      </w:r>
      <w:r>
        <w:rPr>
          <w:rFonts w:ascii="Times New Roman" w:cs="Times New Roman" w:eastAsia="Times New Roman" w:hAnsi="Times New Roman"/>
          <w:sz w:val="18"/>
          <w:szCs w:val="18"/>
          <w:color w:val="212529"/>
        </w:rPr>
        <w:t>, as may be amended from time to time, with Roche for the discovery, development and commercialization of small molecule therapeutics targeting kinases believed to be important in cancer immunotherapy, as single products or possibly in combination with other therapeutics. As of the first quarter of 2023, following the end of the option period for one of our collaboration targets, we and Roche are currently only conducting activities for the previously announced program for the kinase target MAP4K1 under the collaboration.</w:t>
      </w:r>
    </w:p>
    <w:p>
      <w:pPr>
        <w:spacing w:after="0" w:line="214" w:lineRule="exact"/>
        <w:rPr>
          <w:sz w:val="20"/>
          <w:szCs w:val="20"/>
          <w:color w:val="auto"/>
        </w:rPr>
      </w:pPr>
    </w:p>
    <w:p>
      <w:pPr>
        <w:ind w:left="60" w:right="119" w:firstLine="693"/>
        <w:spacing w:after="0" w:line="258" w:lineRule="auto"/>
        <w:rPr>
          <w:sz w:val="20"/>
          <w:szCs w:val="20"/>
          <w:color w:val="auto"/>
        </w:rPr>
      </w:pPr>
      <w:r>
        <w:rPr>
          <w:rFonts w:ascii="Times New Roman" w:cs="Times New Roman" w:eastAsia="Times New Roman" w:hAnsi="Times New Roman"/>
          <w:sz w:val="18"/>
          <w:szCs w:val="18"/>
          <w:color w:val="auto"/>
        </w:rPr>
        <w:t>Under the Roche immunotherapy agreement, as amended, Roche is granted an option right to obtain an exclusive license to exploit products derived from the collaboration program in the field of cancer immunotherapy. Such option right is triggered upon the achievement of Phase 1 proof-of-concept. If Roche exercises its option, Roche will receive worldwide, exclusive commercialization rights for the licensed product. We will also retain worldwide rights to any products for which Roche elects not to exercise its option.</w:t>
      </w:r>
    </w:p>
    <w:p>
      <w:pPr>
        <w:spacing w:after="0" w:line="1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Prior to Roche’s exercise of its option, we have the lead responsibility for drug discovery and preclinical development for the collaboration program. In addition, we have the lead responsibility for the conduct of the Phase 1 clinical trial other than any Phase 1 clinical trial for any product in combination with Roche’s portfolio of therapeutics, for which Roche will have the right to lead the conduct of such Phase 1 clinical trial. Pursuant to the Roche immunotherapy agreement, the parties share the costs of Phase 1 development for the collaboration program. In addition, Roche will be responsible for post-Phase 1 development costs for the licensed product for which it retains global commercialization rights. In 2022, Roche endorsed a clinical development plan for IND-enabling activities for BLU-852, as a single agent and in combination with atezolizumab, an approved drug product commercialized by Roche, in advanced cancers.</w:t>
      </w:r>
    </w:p>
    <w:p>
      <w:pPr>
        <w:spacing w:after="0" w:line="17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received an upfront cash payment of $45.0 million in March 2016 upon execution of the Roche immunotherapy agreement, and through December 31, 2022, we have achieved $25.0 million in milestone payments under this collaboration. Subject to the terms of the Roche immunotherapy agreement, as amended, in addition to upfront and milestone payments received through December 31, 2022, we are eligible to receive </w:t>
      </w:r>
      <w:r>
        <w:rPr>
          <w:rFonts w:ascii="Times New Roman" w:cs="Times New Roman" w:eastAsia="Times New Roman" w:hAnsi="Times New Roman"/>
          <w:sz w:val="18"/>
          <w:szCs w:val="18"/>
          <w:color w:val="212529"/>
        </w:rPr>
        <w:t>up to approximately $292.5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 contingent option fees and milestone payments related to specified research, preclinical, clinical, regulatory and sales-based milestones</w:t>
      </w:r>
      <w:r>
        <w:rPr>
          <w:rFonts w:ascii="Times New Roman" w:cs="Times New Roman" w:eastAsia="Times New Roman" w:hAnsi="Times New Roman"/>
          <w:sz w:val="18"/>
          <w:szCs w:val="18"/>
          <w:color w:val="000000"/>
        </w:rPr>
        <w:t>. In addition, we will be eligible to receive tiered royalties ranging from low double-digits to high-teens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future net sales of the licensed product.</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the Roche immunotherapy agreement, each party has granted the other party specified intellectual property licenses to enable the other party to perform its obligations and exercise its rights under the Roche immunotherapy agreement, including license grants to enable each party to conduct research, development and commercialization activities pursuant to the terms of the Roche immunotherapy agreement. Following Roche’s exercise of its option with respect to the collaboration program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U.S. for the collaboration program if we retain rights in the U.S., with Roche receiving a license under our intellectual property to develop and commercialize such licensed product outside of the U.S.</w:t>
      </w:r>
    </w:p>
    <w:p>
      <w:pPr>
        <w:spacing w:after="0" w:line="21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Roche immunotherapy agreement, we have agreed to work exclusively with Roche with respect to the collaboration target. We are not obligated to work exclusively with Roche within the field of cancer immunotherapy. In addition, subject to specified exceptions, Roche has a right of first negotiation in the event that we desire to grant any third party rights to develop or commercialize the licensed product for which we retain commercialization rights in the U.S. Roche’s right of first negotiation will not apply in connection with a change of control of us, an assignment by us in accordance with the terms of the Roche immunotherapy</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agreement or certain agreements with contract research organizations, contract manufacturing organizations, academic institutions, not-for-profit third parties or distributors.</w:t>
      </w:r>
    </w:p>
    <w:p>
      <w:pPr>
        <w:spacing w:after="0" w:line="20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Roche immunotherapy agreement will continue until the date when no royalty or other payment obligations are or will become due, unless earlier terminated in accordance with the terms of the Roche immunotherapy agreement. Prior to its exercise of the option, Roche may terminate the Roche immunotherapy agreement at will upon 120 days’ prior written notice to us. Following its exercise of the option, Roche may terminate the Roche immunotherapy agreement at will, in whole, or, if the licensed product has been commercially sold, on a country-by-country basis, (i) upon 120 days’ prior written notice if the licensed product has not been commercially sold or (ii) upon 180 days’ prior written notice if the licensed product has been commercially sold. Either party may terminate the Roche immunotherapy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7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July 13, 2020, we entered into a collaboration agreement, or the Roche pralsetinib collaboration agreement, with Roche pursuant to which we granted Roche exclusive rights to develop and commercialize pralsetinib worldwide, excluding the CStone territory, and a co-exclusive license in the U.S. to develop and commercialize pralsetinib. In addition, Roche has the right to opt in to a next-generation RET compound co-developed by Roche and us.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Under the Roche pralsetinib collaboration agreement, we received upfront cash payments of $775.0 million in the third quarter of 2020, including an upfront payment of $675.0 million and the $100.0 million equity investment by Roche described below. Through December 31, 2022, we have received $105.0 million in specified regulatory and commercialization milestones. In addition to the upfront and milestone payments received through December 31, 2022, we are eligible to receive up to $822.0 million in contingent payments, including specified development, regulatory and sales-based milestones for pralsetinib and any licensed product containing a next-generation RET compound.</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the U.S., we and Roche are working together to co-commercialize pralsetinib and equally share responsibilities, profits and losses. In addition, we are eligible to receive tiered royalties ranging from high-teens to mid-twenties on annual net sales of pralsetinib outside the U.S., excluding the CStone territory, which we refer to as the Roche territory. We and Roche have also agreed to co-develop pralsetinib globally in RET-altered solid tumors, including NSCLC, MTC and other thyroid cancers, as well as other solid tumors. We and Roche share global development costs for pralsetinib at a rate of 45 percent for us and 55 percent for Roche up to a specified amount of aggregate joint development costs, after which our share of global development costs for pralsetinib will be reduced by a specified percentage. We and Roche will also share specified global development costs for any next-generation RET compound co-developed under the collaboration in a similar manner.</w:t>
      </w:r>
    </w:p>
    <w:p>
      <w:pPr>
        <w:spacing w:after="0" w:line="19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we are entitled to retain specified licenses to be able to continue to exploit the licensed products.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Roche collaboration agreement, on July 13, 2020, we also entered into a stock purchase agreement with Roche Holdings, Inc., or Roche Holdings, pursuant to which we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On June 1, 2018, we entered into a collaboration and license agreement, or the CStone agreement, with CStone pursuant to which we granted CStone exclusive rights to develop and commercialize avapritinib, pralsetinib and fisogatinib, as well as certain back-up forms and certain other forms thereof, which we refer to collectively as the licensed products, in the CStone territory, either as a monotherapy or as part of a combination therapy. We will retain exclusive rights to the licensed products outside the CStone territory.</w:t>
      </w:r>
    </w:p>
    <w:p>
      <w:pPr>
        <w:spacing w:after="0" w:line="22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received an upfront cash payment of $40.0 million, and through December 31, 2022, we have received $29.5 million in milestone payments under this collaboration. Subject to the terms of the CStone agreement, in addition to upfront and milestone payments received through December 31, 2022, we will be eligible to receive up to $316.5 million in contingent payments, including specified development, regulatory and sales-based milestones for licensed products.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is shared by us and CStone.</w:t>
      </w:r>
    </w:p>
    <w:p>
      <w:pPr>
        <w:spacing w:after="0" w:line="21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23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region-by-region basis until the later of (i) 12 years after the first commercial sale of a licensed product in a region in the CStone territory and (ii) 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On October 15, 2019, we entered into a license agreement, or the Clementia agreement, with Clementia. </w:t>
      </w:r>
      <w:r>
        <w:rPr>
          <w:rFonts w:ascii="Times New Roman" w:cs="Times New Roman" w:eastAsia="Times New Roman" w:hAnsi="Times New Roman"/>
          <w:sz w:val="18"/>
          <w:szCs w:val="18"/>
          <w:color w:val="000000"/>
        </w:rPr>
        <w:t>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Clementia agreement, we granted an exclusive, worldwide, royalty-bearing license to Clementia to develop and commercialize BLU-782, an oral, highly selective investigational ALK2 inhibitor in clinical development for the treatment of FOP, as well as specified other compounds related to the BLU-782 program, which we refer to as the Clementia licensed products.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received an upfront cash payment of $25.0 million in the fourth quarter of 2019, and through</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we have received $50.0 million in milestone payments under this license agreement. Subject to the</w:t>
      </w:r>
    </w:p>
    <w:p>
      <w:pPr>
        <w:ind w:left="60"/>
        <w:spacing w:after="0"/>
        <w:rPr>
          <w:sz w:val="20"/>
          <w:szCs w:val="20"/>
          <w:color w:val="auto"/>
        </w:rPr>
      </w:pPr>
      <w:r>
        <w:rPr>
          <w:rFonts w:ascii="Times New Roman" w:cs="Times New Roman" w:eastAsia="Times New Roman" w:hAnsi="Times New Roman"/>
          <w:sz w:val="18"/>
          <w:szCs w:val="18"/>
          <w:color w:val="auto"/>
        </w:rPr>
        <w:t>terms of the Clementia agreement, in addition to the upfront and milestone payments received, we will be eligible to</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 up to $</w:t>
      </w:r>
      <w:r>
        <w:rPr>
          <w:rFonts w:ascii="Times New Roman" w:cs="Times New Roman" w:eastAsia="Times New Roman" w:hAnsi="Times New Roman"/>
          <w:sz w:val="18"/>
          <w:szCs w:val="18"/>
          <w:color w:val="1F2328"/>
        </w:rPr>
        <w:t>460.0</w:t>
      </w:r>
      <w:r>
        <w:rPr>
          <w:rFonts w:ascii="Times New Roman" w:cs="Times New Roman" w:eastAsia="Times New Roman" w:hAnsi="Times New Roman"/>
          <w:sz w:val="18"/>
          <w:szCs w:val="18"/>
          <w:color w:val="auto"/>
        </w:rPr>
        <w:t xml:space="preserve"> million in development, regulatory and sales-based milestone payments for the Clementia licensed</w:t>
      </w:r>
    </w:p>
    <w:p>
      <w:pPr>
        <w:sectPr>
          <w:pgSz w:w="11900" w:h="16838" w:orient="portrait"/>
          <w:cols w:equalWidth="0" w:num="1">
            <w:col w:w="9019"/>
          </w:cols>
          <w:pgMar w:left="1440" w:top="513" w:right="1440" w:bottom="1440" w:gutter="0" w:footer="0" w:header="0"/>
        </w:sect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products. In addition, Clementia is obligated to pay to us royalties on aggregate annual worldwide net sales of Clementia licensed products at tiered percentage rates ranging from the low- to mid-teens, subject to adjustment in specified circumstances under the Clementia agreement, and to purchase specified manufacturing inventory from our company.</w:t>
      </w:r>
    </w:p>
    <w:p>
      <w:pPr>
        <w:spacing w:after="0" w:line="198"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Clementia agreement, we were responsible for specified activities during a transition period, which has been completed, and Clementia is responsible for conducting all development and commercialization activities related to the Clementia licensed products, including the design, timing and conduct of any Phase 2 clinical trial evaluating BLU-782 for the treatment of FOP.</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term of the agreement, we have agreed not to exploit any compound covered by the licensed patents for the treatment of FOP or multiple osteochondromas, or MO. In addition, with respect to any small molecule compound not covered by the licensed patents, we have agreed not to research, develop or manufacture any small molecule compound for the treatment of FOP or MO for a period of five years from the effective date of the Clementia agreement and not to commercialize any small molecule compound for the treatment of FOP or MO for a period of seven years from the effective date of the Clementia agreement.</w:t>
      </w:r>
    </w:p>
    <w:p>
      <w:pPr>
        <w:spacing w:after="0" w:line="23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us. Either party may terminate the agreement for the other party’s uncured material breach or insolvency and in certain other circumstances agreed to by the parties. In certain termination circumstances, we are entitled to retain specified licenses to be able to continue to exploit the Clementia licensed products.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7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 November 8, 2021, we entered into a license agreement, or the Zai Lab agreement, with Zai Lab. Under the Zai Lab agreement, we granted an exclusive license for the development and commercialization of BLU-945 and BLU-701, including back-up forms and certain other forms thereof, for the treatment of EGFR-driven NSCLC in Greater China, including Mainland China, Hong Kong, Macau and Taiwan, either as a monotherapy or as part of a combination therapy. We retain exclusive rights to the licensed products outside the Zai Lab territory.</w:t>
      </w:r>
    </w:p>
    <w:p>
      <w:pPr>
        <w:spacing w:after="0" w:line="228"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received an upfront cash payment of $25.0 million in the fourth quarter of 2021. Subject to the terms of the Zai Lab agreement, in addition to the upfront payment received, we will be eligible to receive up to $590.0 million in potential development, regulatory and sales-based milestone payments, and tiered royalties on a product-by-product basis ranging from the low-teens to mid-teens on annual net sales of the licensed products in Greater China, subject to adjustment in specified circumstances under the Zai Lab agreement.</w:t>
      </w:r>
    </w:p>
    <w:p>
      <w:pPr>
        <w:spacing w:after="0" w:line="228"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Zai Lab will be responsible for all the development costs for the licensed products, which currently include BLU-945 and BLU-525, occurring in Greater China.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27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2022, we entered into an exclusive collaboration agreement with Proteovant, to jointly research and advance up to two novel targeted protein degrader therapies, as well as up to two additional novel protein degrader target programs as we may mutually agree with Proteovant (each such program is referred to as a target program). On a target program-by-target program basis, we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we option, and if the parties add additional target programs, Proteovant will have the same opt-in right for the fourth target program that we option.</w:t>
      </w:r>
    </w:p>
    <w:p>
      <w:pPr>
        <w:spacing w:after="0" w:line="19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Proteovant received an upfront payment of $20.0 million in connection with the execution of the collaboration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target programs, subject to adjustment in specified circumstances. If Proteovant opts in to the second target program, we will split the profits and losses of that program equally in the U.S., along with development costs and the milestone payments for the program will be reduced accordingly. Proteovant will be eligible to receive milestone payments and royalties on ex-U.S. sales. In addition, we may jointly extend the collaboration, with the same structure and financial terms, to two additional program targets if we agree to provide additional funding.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IDRx</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August 2022, we entered into the IDRx License Agreement, pursuant to which we granted IDRx an exclusive, worldwide, royalty-bearing license to exploit our internally discovered KIT exon 13 inhibitor, IDRX-73. IDRx is a clinical-stage biopharmaceutical company and among IDRx’s founders are Alexis Borisy, Nicholas Lydon, Ph.D. and George Demetri, M.D., each of whom are then-current members of our board of directors. Due to these relationships, the transaction was approved by only the non-interested members of the Company’s board of directors.</w:t>
      </w:r>
    </w:p>
    <w:p>
      <w:pPr>
        <w:spacing w:after="0" w:line="187"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IDRx License Agreement, we also entered in the IDRx Stock Purchase Agreement, pursuant to which we received 4,509,105 shares of IDRx’s Series A preferred stock and we have the right to receive additional shares of IDRx’s Series A preferred stock through an anti-dilution provision subject to a defined financing cap. We are also eligible to receive up to $217.5 million in contingent cash payments, including specified development, regulatory and sales-based milestone payments. In addition, IDRx is obligated to pay royalties on aggregate annual worldwide net sales of licensed products at tiered percentage rates up to low-teens, subject to adjustments in specified circumstances under the IDRx License Agreement.</w:t>
      </w:r>
    </w:p>
    <w:p>
      <w:pPr>
        <w:spacing w:after="0" w:line="187"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us. We both can terminate the IDRx License Agreement for a material breach by the other party or for insolvency, and we may terminate the IDRx License Agreement for IDRx’s breach of the anti-dilution provision in the IDRx Stock Purchase Agreement. Upon termination of the IDRx License Agreement in its entirety, all rights and obligations under the agreement will terminate and revert back to us, and we have a license under certain intellectual property of IDRx to continue to exploit the compound and terminated product, subject to a royalty that will be negotiated at the time of termination.</w:t>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Mergers &amp; Acquisitions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Lengo Therapeutics, Inc.</w:t>
      </w:r>
    </w:p>
    <w:p>
      <w:pPr>
        <w:spacing w:after="0" w:line="270"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November 27, 2021, we entered into an Agreement and Plan of Merger, or the Merger Agreement, with Pavonis Merger Subsidiary, Inc., a Delaware corporation and our wholly-owned subsidiary, or Merger Sub, Lengo Therapeutics, Inc., a Delaware corporation, or Lengo, and Fortis Advisors LLC, a Delaware limited liability company, as the representative of the Lengo Securityholders (as defined below). On December 30, 2021, we </w:t>
      </w:r>
      <w:r>
        <w:rPr>
          <w:rFonts w:ascii="Times New Roman" w:cs="Times New Roman" w:eastAsia="Times New Roman" w:hAnsi="Times New Roman"/>
          <w:sz w:val="17"/>
          <w:szCs w:val="17"/>
          <w:color w:val="auto"/>
        </w:rPr>
        <w:t>completed the merger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Merger Sub with and into Lengo, with Lengo continuing as the surviving corporation and our wholly-owned subsidiary, or the Closing. Upon closing we acquired Lengo’s lead compound LNG-451, now known as BLU-451, which is in development for the treatment of EGFR exon 20 insertion-positive NSCLC, in addition to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17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Upon closing, we paid upfront merger consideration of $250.0 million in cash, or the Upfront Merger Consideration, adjusted for customary net indebtedness, transaction expenses, and other adjustments, to Lengo stockholders and option holders, or collectively, the Lengo Securityholders. The Merger Agreement also provides that we shall pay future contingent cash milestone payments of up to $215.0 million in the aggregate to the Lengo Securityholders upon the achievement of specified regulatory approval and sales milestones.</w:t>
      </w:r>
    </w:p>
    <w:p>
      <w:pPr>
        <w:spacing w:after="0" w:line="17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Approximately $25.0 million of the Upfront Merger Consideration was placed into a third party escrow account, or the Indemnification Escrow, to secure the Lengo Securityholders’ obligations to indemnify us for certain</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matters, including breaches of representations and warranties, covenants included in the Merger Agreement, payments made by us to dissenting stockholders, specified tax claims, excess parachute claims, purchase price adjustments, and other customary matters, subject to certain specified limitations, including, among other things, limitations on the period during which we may make certain claims for indemnification and limitations on the amounts for which the Lengo Securityholders may be liable.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254"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Royalty Purchase Agreement. </w:t>
      </w:r>
      <w:r>
        <w:rPr>
          <w:rFonts w:ascii="Times New Roman" w:cs="Times New Roman" w:eastAsia="Times New Roman" w:hAnsi="Times New Roman"/>
          <w:sz w:val="17"/>
          <w:szCs w:val="17"/>
          <w:color w:val="auto"/>
        </w:rPr>
        <w:t>In June 2022, we entered into a Royalty Purchase Agreement with Royalty Pharma.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this Royalty Purchase Agreement, we received an upfront cash payment of $175.0 million and the right to receive up to $165.0 million in certain milestone payments, subject to the achievement of specified net sales milestones by Roche, in exchange for all of our existing rights to receive royalty payments on the net sales of GAVRETO worldwide, excluding the CStone territory and U.S. territory under the terms of the Roche pralsetinib collaboration agreement.</w:t>
      </w:r>
    </w:p>
    <w:p>
      <w:pPr>
        <w:spacing w:after="0" w:line="19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a Future Revenue Purchase Agreement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22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the Financing Agreement, for up to $660.0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with Sixth Street Partners. The Financing Agreement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SOFR plus 6.50% or the base rate plus 5.50%, subject to a floor of 1% and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drugs and drug candidates, as well as our core technologies, including our novel target discovery engine, our proprietary compound library, targeted protein degrader platform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compounds,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18"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We devote considerable effort and resources to protecting inventions, trade-secrets, and know-how related to our approved medicines AYVAKIT®/AYVAKYT®, GAVRETO® and our drug candidates in an effort to establish strong intellectual property positions regarding these new chemical entities and their uses and other technologies, including formulations, solid forms, manufacturing processes, and patient selection markers that may be useful with our drugs and drug candidates. We have patent rights that are the subject of U.S. and foreign patents and patent applications in the U.S. and a number of jurisdictions, including Australia, Canada, certain Central and South American countries, certain Asian countries (including Greater China), the EU, certain Eurasian countries, certain Middle Eastern countries, New Zealand, and certain African countries. Our issued patents and patent applications of our most advanced programs pertain to our approved medicines AYVAKIT and GAVRETO and drug candidates, including elenestinib, BLU-945, BLU-701, BLU-525, BLU-451, BLU-852, and BLU-222.</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We file trademarks to protect our products. Typically, we file trademark applications in the U.S., Europe, and elsewhere in the world as appropriate. In addition to multiple pending trademark applications in the U.S. and other major countries, we have registered trademarks, including but not limited to AYVAKIT and GAVRETO in the U.S. and to AYVAKYT and GAVRETO in the EU. In addition to patents and trademarks for our drug products, we seek to obtain all available regulatory exclusivities for our marketed products, including data and orphan exclusivities in the relevant jurisdictions.</w:t>
      </w:r>
    </w:p>
    <w:p>
      <w:pPr>
        <w:spacing w:after="0" w:line="23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patent portfolios relating to our approved medicines and most advanced programs as of December 31, 2022 are summarized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AYVAKIT/AYVAKYT (avapritinib)</w:t>
      </w:r>
    </w:p>
    <w:p>
      <w:pPr>
        <w:spacing w:after="0" w:line="270" w:lineRule="exact"/>
        <w:rPr>
          <w:sz w:val="20"/>
          <w:szCs w:val="20"/>
          <w:color w:val="auto"/>
        </w:rPr>
      </w:pPr>
    </w:p>
    <w:p>
      <w:pPr>
        <w:ind w:left="60" w:right="179" w:firstLine="648"/>
        <w:spacing w:after="0" w:line="271" w:lineRule="auto"/>
        <w:rPr>
          <w:sz w:val="20"/>
          <w:szCs w:val="20"/>
          <w:color w:val="auto"/>
        </w:rPr>
      </w:pPr>
      <w:r>
        <w:rPr>
          <w:rFonts w:ascii="Times New Roman" w:cs="Times New Roman" w:eastAsia="Times New Roman" w:hAnsi="Times New Roman"/>
          <w:sz w:val="17"/>
          <w:szCs w:val="17"/>
          <w:color w:val="auto"/>
        </w:rPr>
        <w:t>The patent portfolio covering AYVAKIT/AYVAKYT contains patents and patent applications directed to compositions of matter for AYVAKIT/AYVAKYT, including solid forms and methods of use and manufacture. As of December 31, 2022, we own 4 U.S. patents, 2 European patents, validated in 38 and 12 states and 19 other foreign patents and multiple pending patent applications in the U.S., Europe and in various foreign jurisdictions. The patents that have issued or will issue covering AYVAKIT/AYVAKYT will have a statutory expiration date between 2034 and 2040. Patent term adjustments, patent term extensions, and supplementary protection certificates could result in later expiration dates.</w:t>
      </w:r>
    </w:p>
    <w:p>
      <w:pPr>
        <w:spacing w:after="0" w:line="215"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in connection with our FDA approval on January 9, 2020, the FDA granted AYVAKIT new chemical entity, or NCE, exclusivity until January 9, 2025 and Orphan Drug Exclusivity, or ODE, until January 9, 2027. In connection with our FDA approval on June 16, 2021, the FDA granted AYVAKIT new clinical indication exclusivity for two indications until June 16, 2024 and ODE until June 6, 2028.</w:t>
      </w:r>
    </w:p>
    <w:p>
      <w:pPr>
        <w:spacing w:after="0" w:line="22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notification of our EMA approval on September 25, 2020, the EMA granted AYVAKYT Orphan marketing exclusivity until September 25, 2030. Additionally, 1 year of market protection was granted after authorization of new therapeutic indication representing a significant clinical benefit in comparison with existing therapies until September 25, 2031. In connection with notification of our EMA approval on March 25, 2022, the EMA granted AYVAKYT Orphan marketing exclusivity until March 25, 2032.</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GAVRETO (pralsetinib)</w:t>
      </w:r>
    </w:p>
    <w:p>
      <w:pPr>
        <w:spacing w:after="0" w:line="256" w:lineRule="exact"/>
        <w:rPr>
          <w:sz w:val="20"/>
          <w:szCs w:val="20"/>
          <w:color w:val="auto"/>
        </w:rPr>
      </w:pPr>
    </w:p>
    <w:p>
      <w:pPr>
        <w:ind w:left="60" w:right="359" w:firstLine="648"/>
        <w:spacing w:after="0" w:line="253" w:lineRule="auto"/>
        <w:rPr>
          <w:sz w:val="20"/>
          <w:szCs w:val="20"/>
          <w:color w:val="auto"/>
        </w:rPr>
      </w:pPr>
      <w:r>
        <w:rPr>
          <w:rFonts w:ascii="Times New Roman" w:cs="Times New Roman" w:eastAsia="Times New Roman" w:hAnsi="Times New Roman"/>
          <w:sz w:val="18"/>
          <w:szCs w:val="18"/>
          <w:color w:val="auto"/>
        </w:rPr>
        <w:t>The patent portfolio covering GAVRETO contains patents and patent applications directed to compositions of matter for GAVRETO, including solid forms, formulations, and methods of use and manufacture. As of December 31, 2022, we own 4 U.S. patents and 24 foreign patents and multiple pending patent applications in the U.S., Europe and in various other foreign jurisdictions. The patents that have issued or will issue covering GAVRETO will have a statutory expiration date between 2036 and 2041. Patent term adjustments, patent term extensions, and supplementary protection certificates could result in later expiration dates.</w:t>
      </w:r>
    </w:p>
    <w:p>
      <w:pPr>
        <w:spacing w:after="0" w:line="230"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In addition, in connection with our FDA approval on September 4, 2020, the FDA granted GAVRETO NCE exclusivity until September 4, 2025 and ODE until September 4, 2027. In connection with our FDA approval on December 1, 2020, the FDA granted GAVRETO two ODEs until December 1, 2027.</w:t>
      </w:r>
    </w:p>
    <w:p>
      <w:pPr>
        <w:spacing w:after="0" w:line="203"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notification of our EMA approval on November 22, 2021, the EMA granted GAVRETO data exclusivity until November 22, 2029 and marketing protection until November 22, 2031.</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KIT Program—Elenestinib</w:t>
      </w:r>
    </w:p>
    <w:p>
      <w:pPr>
        <w:spacing w:after="0" w:line="256"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patent portfolio for our KIT program contains patents and patent applications directed to compositions of matter for elenestinib and other compound families, as well as solid forms and methods of use and manufacture. As of December 31, 2022, we own 8 U.S. patents and pending patent applications in the U.S., Europe and in various other foreign jurisdictions. The patents that have issued or will issue covering our KIT program will have a statutory expiration date between 2034 and 2043. Patent term adjustments, patent term extensions, and supplementary protection certificates could result in later expiration dates.</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EGFR Program</w:t>
      </w:r>
    </w:p>
    <w:p>
      <w:pPr>
        <w:spacing w:after="0" w:line="270"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patent portfolio for our EGFR program contains patents and patent applications directed to compositions of matter for BLU-945, BLU-525, BLU-451 and other compound families, as well as solid forms, formulations, methods of use and manufacture. As of December 31, 2022, own or license one U.S. patent, 2 European patents, validated in 6 states and two foreign patents and multiple pending patent applications in the U.S., Europe and in various other foreign jurisdictions. The patents that have issued or will issue covering our EGFR program will have a statutory expiration date between 2034 and 2043. Patent term adjustments, patent term extensions, and supplementary protection certificates could result in later expiration dates.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CDK2 Program</w:t>
      </w:r>
    </w:p>
    <w:p>
      <w:pPr>
        <w:spacing w:after="0" w:line="27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patent portfolio for our CDK2 program contains patent applications directed to compositions of matter for BLU-222 and other compound families, as well as methods of use. As of December 31, 2022, we own 9 patent applications pending in the U.S., PCT and in various foreign jurisdictions. The patents that will issue covering our CDK2 program will have a statutory expiration date of 2042. Patent term adjustments, patent term extensions, and supplementary protection certificates could result in later expiration dates.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MAP4K1 Program</w:t>
      </w:r>
    </w:p>
    <w:p>
      <w:pPr>
        <w:spacing w:after="0" w:line="25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patent portfolio for our MAP4K1 program contains patent applications directed to compositions of matter for BLU-852 and other compound families, as well as methods of use. As of December 31, 2022, we own one U.S. patent and pending applications in the U.S., and in various foreign jurisdictions and as PCT applications. The patents that will issue covering our MAP4K1 program will have a statutory expiration date between 2041 and 2042.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U.S. Patent Term Restoration and Marketing Exclusivity</w:t>
      </w:r>
      <w:r>
        <w:rPr>
          <w:rFonts w:ascii="Times New Roman" w:cs="Times New Roman" w:eastAsia="Times New Roman" w:hAnsi="Times New Roman"/>
          <w:sz w:val="18"/>
          <w:szCs w:val="18"/>
          <w:color w:val="auto"/>
        </w:rPr>
        <w:t>” below for additional information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exclusivity. In the future, if applicable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34"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drug,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or drug candidate we may develop, it is possible that, before any of our approved drugs or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third-party service providers, and scientific advisors, and non-competition, non-solicitation, confidentiality, and invention assignment agreements with our employees. We have also executed agreements requiring assignment of inventions with selected scientific advisors, consultants,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231"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With respect to the building of our proprietary compound library and targeted protein degrader platform, we consider trade secrets and know-how to be our primary intellectual property. Trade secrets and know-how can be difficult to protect. In particular, we anticipate that with respect to our discovery platform, these trade secrets and know-how will over time be disseminated within the industry through independent development and public presentations describing the methodology.</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7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worldwide. Any drug or drug candidates that we successfully develop and commercialize will compete with existing drugs and new drugs that may become available in the future.</w:t>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address</w:t>
      </w:r>
    </w:p>
    <w:p>
      <w:pPr>
        <w:spacing w:after="0" w:line="27" w:lineRule="exact"/>
        <w:rPr>
          <w:sz w:val="20"/>
          <w:szCs w:val="20"/>
          <w:color w:val="auto"/>
        </w:rPr>
      </w:pPr>
    </w:p>
    <w:p>
      <w:pPr>
        <w:ind w:left="60" w:right="159"/>
        <w:spacing w:after="0" w:line="247" w:lineRule="auto"/>
        <w:rPr>
          <w:sz w:val="20"/>
          <w:szCs w:val="20"/>
          <w:color w:val="auto"/>
        </w:rPr>
      </w:pPr>
      <w:r>
        <w:rPr>
          <w:rFonts w:ascii="Times New Roman" w:cs="Times New Roman" w:eastAsia="Times New Roman" w:hAnsi="Times New Roman"/>
          <w:sz w:val="18"/>
          <w:szCs w:val="18"/>
          <w:color w:val="auto"/>
        </w:rPr>
        <w:t>inhibition of kinases in cancer and other rare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23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18"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our drugs and our current or future drug candidates, if approved, are likely to be their efficacy, safety, convenience, price, the effectiveness of companion diagnostic tests in guiding the use of related therapeutics, the level of generic competition and the availability of reimbursement from government and other third-party payors.</w:t>
      </w: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Our approved drugs and drug candidates, to the extent they receive marketing approval in the future for</w:t>
      </w:r>
    </w:p>
    <w:p>
      <w:pPr>
        <w:spacing w:after="0" w:line="27" w:lineRule="exact"/>
        <w:rPr>
          <w:sz w:val="20"/>
          <w:szCs w:val="20"/>
          <w:color w:val="auto"/>
        </w:rPr>
      </w:pPr>
    </w:p>
    <w:p>
      <w:pPr>
        <w:ind w:left="60" w:right="219"/>
        <w:spacing w:after="0" w:line="245" w:lineRule="auto"/>
        <w:rPr>
          <w:sz w:val="20"/>
          <w:szCs w:val="20"/>
          <w:color w:val="auto"/>
        </w:rPr>
      </w:pPr>
      <w:r>
        <w:rPr>
          <w:rFonts w:ascii="Times New Roman" w:cs="Times New Roman" w:eastAsia="Times New Roman" w:hAnsi="Times New Roman"/>
          <w:sz w:val="18"/>
          <w:szCs w:val="18"/>
          <w:color w:val="auto"/>
        </w:rPr>
        <w:t>indications for which we are currently conducting or planning clinical trials, compete with or will compete with the drugs discussed below and will likely compete with other drugs that are currently in development.</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SM</w:t>
      </w:r>
    </w:p>
    <w:p>
      <w:pPr>
        <w:spacing w:after="0" w:line="266"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AYVAKIT/AYVAKYT faces competition for advanced SM from Novartis AG’s midostaurin and imatinib, and may face competition from drug candidates in development, including that being developed by Cogent Biosciences, Inc. We are developing avapritinib for indolent SM, and we are developing elenestinib for the treatment of indolent SM and other mast cell disorders. If avapritinib and elenestinib are approved for indolent SM, they may face competition from drug candidates in development, including those being developed by AB Science S.A., Allakos Inc. and Cogent Biosciences, Inc.</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w:t>
      </w:r>
    </w:p>
    <w:p>
      <w:pPr>
        <w:spacing w:after="0" w:line="270"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GIST</w:t>
      </w:r>
    </w:p>
    <w:p>
      <w:pPr>
        <w:spacing w:after="0" w:line="27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EGFR-Mutated NSCLC</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BLU-945 and BLU-525 for EGFR-mutated NSCLC, which, if approved, will face competition from AstraZeneca plc’s osimertinib and aumolertinib, which is under collaboration between Jiangsu Hansoh Pharmaceutical Group Co., Ltd. and EQRx, Inc. and approved in China. In addition, BLU-525 and BLU-945 may face competition from drug candidates in development for EGFR-mutated NSCLC, including those being developed by Allist Pharmaceuticals, Arrivent Biopharma, Inc., Betta Pharmaceuticals, Black Diamond Therapeutics, Inc., Boehringer Ingelheim RCV GmbH &amp; Co KG, Bridge Biotherapeutics, Inc., C4 Therapeutics, Inc., Chia Tai Tianqing Pharmaceutical Group, Daiichi Sankyo Company, Limited, Janssen Pharmaceuticals, Inc., J INTS Bio, Kanaph Therapeutic, RedCloud Bio, Theseus Pharmaceuticals Inc and Qilu Pharmaceutical.</w:t>
      </w:r>
    </w:p>
    <w:p>
      <w:pPr>
        <w:spacing w:after="0" w:line="21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Bayer AG, Cullinan Oncology, Inc., Daiichi Sankyo Company, Limited, Dizal Pharmaceutical Co. Ltd., Shenzhen Forward Pharmaceutical Co., Ltd., Shanghai Junshi Biosciences Co., Ltd., Oric Pharmaceuticals, Inc. and Scorpion Therapeutics, Inc.</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CDK2-Vulnerable Cancers</w:t>
      </w:r>
    </w:p>
    <w:p>
      <w:pPr>
        <w:spacing w:after="0" w:line="27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BLU-222 for cancers vulnerable to CDK2 inhibition, including cancers with aberrant cyclin E, which, if approved, will face competition from indication-specific therapies such as Genentech’s bevacizumab, AstraZeneca and Merck’s olaparib, AstraZeneca and Daiichi Sankyo’s Enhertu, Clovis Oncology’s rucaparib, GSK’s niraparib, Merck’s pembrolizumab, Menarini Group &amp; Stemline Therapeutics’ Elacestrant, and Eisai’s lenvatinib. In addition, BLU-222 may face competition from drug candidates in development, including those being developed by Acrivon Therapeutics, Allorion Therapeutics, Inc., Anrui Biomedical Technology, Arvinas, Aucentra Therapeutics, BioTheryX, Inc., Cedilla Therapeutics, Inc., Cyclacel Pharmaceuticals Inc., Eli Lilly and Company, Exelixis, Gilead Sciences, Inc., Impact Therapeutics, Incyclix Bio, Incyte Corporation, Monte Rosa Therapeutics, Inc., Regor</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Therapeutics Inc., Relay Therapeutics, Pfizer Inc., AstraZeneca plc, Zentalis Pharmaceuticals, Inc. and Repare Therapeutics, Inc.</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Advanced Cancers</w:t>
      </w:r>
    </w:p>
    <w:p>
      <w:pPr>
        <w:spacing w:after="0" w:line="256"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We are developing BLU-852 for advanced cancers susceptible to MAP4K1 inhibition, which, if approved, will face competition from immuno-oncology products, including those developed by Bristol-Myers Squibb Company, Merck</w:t>
      </w:r>
    </w:p>
    <w:p>
      <w:pPr>
        <w:spacing w:after="0" w:line="1" w:lineRule="exact"/>
        <w:rPr>
          <w:sz w:val="20"/>
          <w:szCs w:val="20"/>
          <w:color w:val="auto"/>
        </w:rPr>
      </w:pPr>
    </w:p>
    <w:p>
      <w:pPr>
        <w:ind w:left="60" w:right="99" w:hanging="10"/>
        <w:spacing w:after="0" w:line="253"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and MingMed Biotechnology Co., Ltd.</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27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As a fully integrated, global precision therapy company focused on discovering, developing and commercializing a portfolio of precision therapies, our vision is to bring life-changing precision therapies to as many patients with cancer and blood disorders as possible. We have established our own commercial organization in the U.S. and Europe in connection with our commercial launches of AYVAKIT and GAVRETO in the U.S. and AYVAKYT in Europe. We have also entered into collaborations with our partners, including CStone and Roche, for global commercialization activities for AYVAKIT/AYVAKYT and GAVRETO in their respective territories. We are continuing to expand our commercialization capabilities and to build our distribution capabilities to accelerate global adoption of our approved drugs and to prepare for additional planned commercial launches with an initial focus on the U.S. and Europe.</w:t>
      </w:r>
    </w:p>
    <w:p>
      <w:pPr>
        <w:spacing w:after="0" w:line="219"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We believe our portfolio strategy focused on genomically defined cancers and blood disorders will allow us to efficiently commercialize approved drugs in the U.S. and Europe initially and worldwide longer-term, using a small and highly specialized sales force similar to those of other rare disease companies. We may also evaluate opportunities to establish collaborations with pharmaceutical companies to leverage their capabilities to maximize the potential of our pipeline from time to time.</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 we may commercialize. To date, we have obtained materials for avapritinib, pralsetinib, fisogatinib, elenestinib, BLU-945, BLU-701, BLU-525, BLU-222 and BLU-451 for our ongoing and planned clinical testing from third-party manufacturers. We obtain our supplies from these manufacturers on a purchase order basis and do not have a long-term supply arrangement in place. Although we have negotiated manufacturing agreements with certain venders for the commercial supply of AYVAKIT/AYVAKYT and GAVRETO, we may also obtain our supplies for these approved drugs from these manufacturers on a purchase order basis from time to time. We rely primarily on single-source third-party suppliers to manufacture and supply our drugs and may from time to time explore opportunities to identify and qualify additional manufacturers to provide the API, drug substance and drug products.</w:t>
      </w:r>
    </w:p>
    <w:p>
      <w:pPr>
        <w:spacing w:after="0" w:line="234" w:lineRule="exact"/>
        <w:rPr>
          <w:sz w:val="20"/>
          <w:szCs w:val="20"/>
          <w:color w:val="auto"/>
        </w:rPr>
      </w:pPr>
    </w:p>
    <w:p>
      <w:pPr>
        <w:ind w:left="60" w:right="79" w:firstLine="648"/>
        <w:spacing w:after="0" w:line="275" w:lineRule="auto"/>
        <w:rPr>
          <w:sz w:val="20"/>
          <w:szCs w:val="20"/>
          <w:color w:val="auto"/>
        </w:rPr>
      </w:pPr>
      <w:r>
        <w:rPr>
          <w:rFonts w:ascii="Times New Roman" w:cs="Times New Roman" w:eastAsia="Times New Roman" w:hAnsi="Times New Roman"/>
          <w:sz w:val="17"/>
          <w:szCs w:val="17"/>
          <w:color w:val="auto"/>
        </w:rPr>
        <w:t>All of our approved drugs and drug candidates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developing drug candidates that can be produced cost-effectively at contract manufacturing facilities.</w:t>
      </w:r>
    </w:p>
    <w:p>
      <w:pPr>
        <w:spacing w:after="0" w:line="21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our agreements related to the development and commercialization of companion diagnostic tests, third parties are responsible for the commercialization of companion diagnostic tests, including for avapritinib in order to identify GIST patients with the PDGFRA D842V mutation and pralsetinib in order to identify NSCLC patients with RET fusions. We generally expect to rely on third parties for the manufacture of any other companion diagnostic tests we may seek to develop.</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70"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1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256"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U.S. The process required by the FDA before a drug may be marketed in the U.S. generally involves the following:</w:t>
      </w:r>
    </w:p>
    <w:p>
      <w:pPr>
        <w:spacing w:after="0" w:line="207" w:lineRule="exact"/>
        <w:rPr>
          <w:sz w:val="20"/>
          <w:szCs w:val="20"/>
          <w:color w:val="auto"/>
        </w:rPr>
      </w:pPr>
    </w:p>
    <w:p>
      <w:pPr>
        <w:ind w:left="1340" w:right="59" w:hanging="318"/>
        <w:spacing w:after="0" w:line="266"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tests, sometimes referred to as preclinical laboratory tests, animal studies and formulation studies performed in accordance with applicable regulations, including the FDA’s good laboratory practice, or GLP, regulations;</w:t>
      </w:r>
    </w:p>
    <w:p>
      <w:pPr>
        <w:spacing w:after="0" w:line="175" w:lineRule="exact"/>
        <w:rPr>
          <w:rFonts w:ascii="Times New Roman" w:cs="Times New Roman" w:eastAsia="Times New Roman" w:hAnsi="Times New Roman"/>
          <w:sz w:val="18"/>
          <w:szCs w:val="18"/>
          <w:color w:val="auto"/>
        </w:rPr>
      </w:pPr>
    </w:p>
    <w:p>
      <w:pPr>
        <w:jc w:val="both"/>
        <w:ind w:left="1340" w:right="219" w:hanging="318"/>
        <w:spacing w:after="0" w:line="266"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and must be actively maintained, including by submitting 15- or 7-day safety reports and annual safety reports;</w:t>
      </w:r>
    </w:p>
    <w:p>
      <w:pPr>
        <w:spacing w:after="0" w:line="175" w:lineRule="exact"/>
        <w:rPr>
          <w:rFonts w:ascii="Times New Roman" w:cs="Times New Roman" w:eastAsia="Times New Roman" w:hAnsi="Times New Roman"/>
          <w:sz w:val="18"/>
          <w:szCs w:val="18"/>
          <w:color w:val="auto"/>
        </w:rPr>
      </w:pPr>
    </w:p>
    <w:p>
      <w:pPr>
        <w:ind w:left="1340" w:right="59" w:hanging="318"/>
        <w:spacing w:after="0" w:line="258"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8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NDA for review;</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drug candidate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(unless a fee waiver applies);</w:t>
      </w:r>
    </w:p>
    <w:p>
      <w:pPr>
        <w:spacing w:after="0" w:line="225" w:lineRule="exact"/>
        <w:rPr>
          <w:rFonts w:ascii="Times New Roman" w:cs="Times New Roman" w:eastAsia="Times New Roman" w:hAnsi="Times New Roman"/>
          <w:sz w:val="18"/>
          <w:szCs w:val="18"/>
          <w:color w:val="auto"/>
        </w:rPr>
      </w:pPr>
    </w:p>
    <w:p>
      <w:pPr>
        <w:ind w:left="1340" w:right="119" w:hanging="318"/>
        <w:spacing w:after="0" w:line="258"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API and finished drug product are produced to assess compliance with the FDA’s current good manufacturing practice, or cGMP, requirements, where appropriate or if applicable;</w:t>
      </w:r>
    </w:p>
    <w:p>
      <w:pPr>
        <w:spacing w:after="0" w:line="182" w:lineRule="exact"/>
        <w:rPr>
          <w:rFonts w:ascii="Times New Roman" w:cs="Times New Roman" w:eastAsia="Times New Roman" w:hAnsi="Times New Roman"/>
          <w:sz w:val="18"/>
          <w:szCs w:val="18"/>
          <w:color w:val="auto"/>
        </w:rPr>
      </w:pPr>
    </w:p>
    <w:p>
      <w:pPr>
        <w:ind w:left="1340" w:right="539" w:hanging="318"/>
        <w:spacing w:after="0" w:line="28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sites and/or clinical trial sites that generated the data in support of the NDA;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or sale of the drug in the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35"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 Failure to timely register a clinical trial or to submit study results to such public registries can give rise to civil monetary penalties and also prevent a non-compliant party from receiving future grant funds from the federal government.</w:t>
      </w:r>
    </w:p>
    <w:p>
      <w:pPr>
        <w:spacing w:after="0" w:line="235"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pharmacokinetic, or PK, profile, pharmacologic action, side effect tolerability and safety of the drug. Phase 1 clinical trials for oncology indications may also evaluate preliminary evidence of clinical activity. Phase 2 clinical trials typically involve studies in disease-affected patients to determine the dose required to produce the desired benefits. At the same time, safety and further PK and PD information is collected, as well as identification of possible AEs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its safety in use, and to establish the overall benefit/risk relationship of the drug and provide an adequate basis for physician labeling.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 However, in settings of rare diseases and genetically-driven cancers, regulatory flexibility is given on a case-by-case basis.</w:t>
      </w:r>
    </w:p>
    <w:p>
      <w:pPr>
        <w:spacing w:after="0" w:line="236" w:lineRule="exact"/>
        <w:rPr>
          <w:sz w:val="20"/>
          <w:szCs w:val="20"/>
          <w:color w:val="auto"/>
        </w:rPr>
      </w:pPr>
    </w:p>
    <w:p>
      <w:pPr>
        <w:ind w:left="60" w:right="479" w:firstLine="648"/>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post-marketing commitments or requirements.</w:t>
      </w:r>
    </w:p>
    <w:p>
      <w:pPr>
        <w:spacing w:after="0" w:line="207" w:lineRule="exact"/>
        <w:rPr>
          <w:sz w:val="20"/>
          <w:szCs w:val="20"/>
          <w:color w:val="auto"/>
        </w:rPr>
      </w:pPr>
    </w:p>
    <w:p>
      <w:pPr>
        <w:ind w:left="60" w:right="519" w:firstLine="648"/>
        <w:spacing w:after="0" w:line="312" w:lineRule="auto"/>
        <w:rPr>
          <w:sz w:val="20"/>
          <w:szCs w:val="20"/>
          <w:color w:val="auto"/>
        </w:rPr>
      </w:pPr>
      <w:r>
        <w:rPr>
          <w:rFonts w:ascii="Times New Roman" w:cs="Times New Roman" w:eastAsia="Times New Roman" w:hAnsi="Times New Roman"/>
          <w:sz w:val="17"/>
          <w:szCs w:val="17"/>
          <w:color w:val="auto"/>
        </w:rPr>
        <w:t>Progress reports detailing the results of the clinical trials must be submitted at least annually to the FDA and written IND safety reports must be submitted to the FDA and the investigators for serious and unexpected adverse</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119"/>
        <w:spacing w:after="0" w:line="250" w:lineRule="auto"/>
        <w:rPr>
          <w:sz w:val="20"/>
          <w:szCs w:val="20"/>
          <w:color w:val="auto"/>
        </w:rPr>
      </w:pPr>
      <w:r>
        <w:rPr>
          <w:rFonts w:ascii="Times New Roman" w:cs="Times New Roman" w:eastAsia="Times New Roman" w:hAnsi="Times New Roman"/>
          <w:sz w:val="18"/>
          <w:szCs w:val="18"/>
          <w:color w:val="auto"/>
        </w:rPr>
        <w:t xml:space="preserve">reactions, any finding from other clinical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2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NDA and FDA Review Process</w:t>
      </w:r>
    </w:p>
    <w:p>
      <w:pPr>
        <w:spacing w:after="0" w:line="25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U.S.</w:t>
      </w:r>
    </w:p>
    <w:p>
      <w:pPr>
        <w:spacing w:after="0" w:line="215"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pediatric data or full or partial waivers.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 user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 The FDA adjusts the PDUFA user fees on an annual basis. According to the FDA’s fiscal year 2021 fee schedule,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through September 30, 2021, the user fee for an application requiring clinical data, such as an NDA,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$2,875,842. PDUFA also imposes an annual prescription drug product program fee for human drugs ($336,432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fiscal year). Fee waivers or reductions are available in certain circumstances, including a waiver of the application</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 for the first application filed by a small business. In addition, no user fees are assessed on NDAs for products</w:t>
      </w:r>
    </w:p>
    <w:p>
      <w:pPr>
        <w:ind w:left="60"/>
        <w:spacing w:after="0"/>
        <w:rPr>
          <w:sz w:val="20"/>
          <w:szCs w:val="20"/>
          <w:color w:val="auto"/>
        </w:rPr>
      </w:pPr>
      <w:r>
        <w:rPr>
          <w:rFonts w:ascii="Times New Roman" w:cs="Times New Roman" w:eastAsia="Times New Roman" w:hAnsi="Times New Roman"/>
          <w:sz w:val="18"/>
          <w:szCs w:val="18"/>
          <w:color w:val="auto"/>
        </w:rPr>
        <w:t>designated as orphan drugs, unless the product also includes a non-orphan indication.</w:t>
      </w:r>
    </w:p>
    <w:p>
      <w:pPr>
        <w:spacing w:after="0" w:line="24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for a new molecular entity the FDA has ten months from the filing date in which to complete its initial review of a standard NDA and respond to the applicant, and six months from the filing date for a priority NDA. The submission of a major amendment at any time during the review cycle may extend the PDUFA action date by up to three months. Only one extension can be given per review cycle. The FDA does not always meet its PDUFA goal dates for standard and priority NDAs, and the review process is often significantly extended by FDA requests for additional information or clarification.</w:t>
      </w:r>
    </w:p>
    <w:p>
      <w:pPr>
        <w:sectPr>
          <w:pgSz w:w="11900" w:h="16838" w:orient="portrait"/>
          <w:cols w:equalWidth="0" w:num="1">
            <w:col w:w="9019"/>
          </w:cols>
          <w:pgMar w:left="1440" w:top="513" w:right="1440" w:bottom="1440"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21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or defer action on an application where required inspections cannot be conducted due to the COVID-19 pandemic.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3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requirements or if problems occur following initial marketing.</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need. The FDA will determine that a product will fill an unmet medical need if it will provide a therapy where none exists or provide a therapy that may be potentially superior to existing therapy based on efficacy or safety factors.</w:t>
      </w:r>
    </w:p>
    <w:p>
      <w:pPr>
        <w:spacing w:after="0" w:line="20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230"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under the Food and Drug Omnibus Reform Act of 2022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product.In addition, the FDA generally requires, unless otherwise informed by the agency, pre-approval of promotional materials, which could adversely impact the timing of the commercial launch of the product.</w:t>
      </w:r>
    </w:p>
    <w:p>
      <w:pPr>
        <w:spacing w:after="0" w:line="22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22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Additionally, under FDORA, a platform technology incorporated within or utilized by a drug or biological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 Designated platform technology status does not ensure that a drug will be developed more quickly or receive FDA approval.</w:t>
      </w:r>
    </w:p>
    <w:p>
      <w:pPr>
        <w:spacing w:after="0" w:line="23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Even if a product candidate or our platform qualifies for one or more of these programs, the FDA may later decide that the product candidate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Pediatric Trials</w:t>
      </w:r>
    </w:p>
    <w:p>
      <w:pPr>
        <w:spacing w:after="0" w:line="26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 upon initial PSP at any time if changes to the pediatric plan need to be considered based on data collected from preclinical studies, early phase clinical trials, and/or other clinical development programs.</w:t>
      </w:r>
    </w:p>
    <w:p>
      <w:pPr>
        <w:spacing w:after="0" w:line="2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254"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 to consumer advertising, restrictions on promoting drugs for uses or in patient populations that are not described in the drug’s approved labeling, which is known as “off-label use”,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There are also limitations on industry 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223"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In the U.S.,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Additionally,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42"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FDA also may require post-approval commitments, which may include testing that are sometimes referred to as post-marketing studies or clinical studies, risk minimization action plans and post-marketing surveillance to monitor the effects of an approved drug or place conditions on an approval that could restrict the distribution or use of the drug. Discovery of previously unknown problems with a drug or the failure to comply with applicable FDA</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The distribution of pharmaceutical drugs is subject to additional requirements and regulations, including extensive record-keeping, licensing, storage and security requirements intended to prevent the unauthorized sale of pharmaceutical drugs. In addition, under FDORA, sponsors of approved drugs must notify the FDA of any changes in marketing status, such as withdrawal of a drug, within 180 days. If the sponsor fails to meet this marketing status reporting requirement, the FDA could add the applicable products to a list of discontinued products, which would revoke the product’s ability to be marketed.</w:t>
      </w:r>
    </w:p>
    <w:p>
      <w:pPr>
        <w:spacing w:after="0" w:line="230"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Also, new government requirements, including those resulting from new legislation, may be established, or the FDA’s policies may change, which could delay or prevent regulatory approval of our drugs under development.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68"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drug approval are also subject to regulation by numerous regulatory authorities in addition to the FDA, including, in the U.S.,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Affordable Care Act.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2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failure to comply with regulatory requirements and changes to regulatory requirements subjects firms to possible legal or regulatory action.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Patent Term Restoration and Marketing Exclusivity</w:t>
      </w:r>
    </w:p>
    <w:p>
      <w:pPr>
        <w:spacing w:after="0" w:line="268"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35" w:lineRule="exact"/>
        <w:rPr>
          <w:sz w:val="20"/>
          <w:szCs w:val="20"/>
          <w:color w:val="auto"/>
        </w:rPr>
      </w:pPr>
    </w:p>
    <w:p>
      <w:pPr>
        <w:ind w:left="60" w:right="239" w:firstLine="648"/>
        <w:spacing w:after="0" w:line="280" w:lineRule="auto"/>
        <w:rPr>
          <w:sz w:val="20"/>
          <w:szCs w:val="20"/>
          <w:color w:val="auto"/>
        </w:rPr>
      </w:pPr>
      <w:r>
        <w:rPr>
          <w:rFonts w:ascii="Times New Roman" w:cs="Times New Roman" w:eastAsia="Times New Roman" w:hAnsi="Times New Roman"/>
          <w:sz w:val="17"/>
          <w:szCs w:val="17"/>
          <w:color w:val="auto"/>
        </w:rPr>
        <w:t>Marketing exclusivity provisions under the FDCA can also delay the submission or the approval of certain marketing applications. The FDCA provides a five-year period of non-patent marketing exclusivity within the U.S. to the first applicant to obtain approval of an NDA for a new chemical entity. A drug is a new chemical entity if the FDA has</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68"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FDA may grant orphan drug designation to drugs intended to treat a rare disease or condition that affects fewer than 200,000 individuals in the U.S., or if it affects more than 200,000 individuals in the U.S., there is no reasonable expectation that the cost of developing and marketing the drug for this type of disease or condition will be recovered from sales in the U.S. In the EU, the European Commission, after receiving the opinion of the EMA’s Committee for Orphan Medicinal Products, or COMP, grants medicinal product designation to promote the development of products that are intended for the diagnosis, prevention or treatment of a life-threatening or chronically debilitating conditions affecting not more than five in 10,000 persons in the EU Community. In addition,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w:t>
      </w:r>
    </w:p>
    <w:p>
      <w:pPr>
        <w:spacing w:after="0" w:line="216"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95"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In the EU, orphan medicinal product designation also entitles a party to financial incentives such as reduction of fees or fee waivers and ten years of market exclusivity is granted following drug or biological product approval. This period may be reduced to six years if the medicinal product designation criteria are no longer met, including where it is shown that the product is sufficiently profitable not to justify maintenance of market exclusivity.</w:t>
      </w:r>
    </w:p>
    <w:p>
      <w:pPr>
        <w:spacing w:after="0" w:line="20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Rare Pediatric Disease Designation and Priority Review Vouchers</w:t>
      </w:r>
    </w:p>
    <w:p>
      <w:pPr>
        <w:spacing w:after="0" w:line="26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Under the FDCA, the FDA incentivizes the development of drugs products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product for such disease or condition will be received from sales in the United States of such drug product. The sponsor of a product candidate for a rare pediatric disease may be eligible for a voucher that can be used to obtain a priority review for a subsequent human drug product application after the date of approval of the rare pediatric disease drug product, referred to as a priority review voucher, or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Regulation of Diagnostic Tests</w:t>
      </w:r>
    </w:p>
    <w:p>
      <w:pPr>
        <w:spacing w:after="0" w:line="26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 xml:space="preserve">We expect that our drug candidates may require use of a diagnostic to identify appropriate patient populations for our products. These diagnostics, often referred to as companion diagnostic tests, are medical devices, often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devices, which provide information that is essential for the safe and effective use of a corresponding drug. For example, we have entered into agreements with third parties to develop and commercialize companion diagnostic tests, including for avapritinib in order to identify GIST patients with the PDGFRA D842V mutation and pralsetinib in order to identify NSCLC patients with RET fusions. In the U.S., the FDCA and its implementing regulations, and other federal and state statutes and regulations govern, among other things, medical device design and development, preclinical and clinical testing, premarket clearance or approval, establishment registration and device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test developed for our drug candidates will utilize the PMA pathway.</w:t>
      </w:r>
    </w:p>
    <w:p>
      <w:pPr>
        <w:spacing w:after="0" w:line="235"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post-approval requirements, conditions of approval or other regulatory standards is not maintained or problems are identified following initial marketing.</w:t>
      </w:r>
    </w:p>
    <w:p>
      <w:pPr>
        <w:spacing w:after="0" w:line="23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August 6, 2014, the FDA issued a final guidance document addressing the development and approval process for “In Vitro Companion Diagnostic Devices.” According to the guidance, for novel drugs such as our drug candidates, a companion diagnostic test device and its corresponding drug should be approved or cleared contemporaneously by FDA for the use indicated in the therapeutic product labeling. The guidance also explains that a companion diagnostic test device used to make treatment decisions in clinical trials of a drug generally will be</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23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the European Economic Area, or EEA (which is comprised of the Member States of the EU plus Norway, Iceland and Liechtenstein),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are required to conform with the general safety and performance requirements of the new in-vitro diagnostics Regulation (Regulation (EU) 2017/746) which applied from May 26, 2022, and replaced the EU Directive on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diagnostic medical devices (Directive No 98/79/EC). To demonstrate compliance with the general safety and performance requirements, the 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EU Notified Body. If successful, the conformity assessment concludes with the drawing up by the manufacturer of an EC Declaration of Conformity entitling the manufacturer to affix the CE mark to its products and to sell them throughout the EU.</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European Drug Development</w:t>
      </w:r>
    </w:p>
    <w:p>
      <w:pPr>
        <w:spacing w:after="0" w:line="270"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In the EU, our future drugs may also be subject to extensive regulatory requirements. As in the U.S., medicinal products can only be marketed if a marketing authorization from the competent regulatory agencies has been obtained.</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68" w:lineRule="exact"/>
        <w:rPr>
          <w:sz w:val="20"/>
          <w:szCs w:val="20"/>
          <w:color w:val="auto"/>
        </w:rPr>
      </w:pPr>
    </w:p>
    <w:p>
      <w:pPr>
        <w:ind w:left="60" w:right="379" w:firstLine="648"/>
        <w:spacing w:after="0" w:line="253"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or the Clinical Trials Regulation, which replaced the previous Clinical Trials Directive 2001/20/EC on January 31, 2022. The Clinical Trials Regulation is directly applicable in all EU Member States meaning no national implementing legislation in each EU Member State is required. The new legislation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European Drug Review and Approval</w:t>
      </w:r>
    </w:p>
    <w:p>
      <w:pPr>
        <w:spacing w:after="0" w:line="268"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In the UK and the EU, medicinal products can only be commercialized after obtaining a marketing authorization, or MA. There are two types of marketing authorizations:</w:t>
      </w:r>
    </w:p>
    <w:p>
      <w:pPr>
        <w:spacing w:after="0" w:line="189" w:lineRule="exact"/>
        <w:rPr>
          <w:sz w:val="20"/>
          <w:szCs w:val="20"/>
          <w:color w:val="auto"/>
        </w:rPr>
      </w:pPr>
    </w:p>
    <w:p>
      <w:pPr>
        <w:ind w:left="60" w:right="319" w:firstLine="648"/>
        <w:spacing w:after="0" w:line="252" w:lineRule="auto"/>
        <w:rPr>
          <w:sz w:val="20"/>
          <w:szCs w:val="20"/>
          <w:color w:val="auto"/>
        </w:rPr>
      </w:pPr>
      <w:r>
        <w:rPr>
          <w:rFonts w:ascii="Times New Roman" w:cs="Times New Roman" w:eastAsia="Times New Roman" w:hAnsi="Times New Roman"/>
          <w:sz w:val="18"/>
          <w:szCs w:val="18"/>
          <w:color w:val="auto"/>
        </w:rPr>
        <w:t>The centralized MA, which is issued by the European Commission through the centralized procedure, based on the opinion of the CHMP of the EMA and which is valid throughout the entire territory of the EU, and in the additional Member States of the European Economic Area (Iceland, Liechtenstein and Norway).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23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the decentralized procedure. Under the decentralized procedure an identical dossier is submitted to the competent authorities of each of the Member States in which the MA is sought, one of which is selected by the applicant as the reference member state, or RMS.</w:t>
      </w:r>
    </w:p>
    <w:p>
      <w:pPr>
        <w:spacing w:after="0" w:line="216"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EU make an assessment of the risk-benefit balance of the product on the basis of scientific criteria concerning its quality, safety and efficacy.</w:t>
      </w:r>
    </w:p>
    <w:p>
      <w:pPr>
        <w:spacing w:after="0" w:line="22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Now that the UK (which comprises Great Britain and Northern Ireland) has left the EU, Great Britain is no longer be covered by centralized MAs (under the Northern Ireland Protocol, centralized MAs continue to be recognized in Northern Ireland). All medicinal products with a current centralized MA were automatically converted to Great Britain MAs on January 1, 2021. For a period of three years from January 1, 2021, the Medicines and Healthcare products Regulatory Agency, or MHRA, the UK medicines regulator, may rely on a decision taken by the European Commission on the approval of a new marketing authorization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European Medicines Agency and certain other regulators. The MHRA also has the power to have regard to MAs approved in EU Member States through decentralized or mutual recognition procedures with a view to more quickly granting an MA in the United Kingdom or Great Britain.</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European Pediatric Investigation Plan</w:t>
      </w:r>
    </w:p>
    <w:p>
      <w:pPr>
        <w:spacing w:after="0" w:line="26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studies conducted in the pediatric population, in compliance with a pediatric investigation plan, or PIP, agreed with the EMA’s Pediatric Committee, or PDCO,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an MA is obtained and trial results are included in the product information, even when negative, the product is eligible for six-months’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European Data and Market Exclusivity</w:t>
      </w:r>
    </w:p>
    <w:p>
      <w:pPr>
        <w:spacing w:after="0" w:line="268"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(abbreviated) marketing authorization for eight years from the date on which the reference product was first authorized in the EU. During an additional two-year period of market exclusivity, a generic or biosimilar marketing authorization application can be submitted, and the innovator’s data may be referenced, but no generic or biosimilar medicinal product can be placed on the EU market until the expiration of the market exclusivity. The overall ten-year period will be extended to a maximum of</w:t>
      </w:r>
    </w:p>
    <w:p>
      <w:pPr>
        <w:spacing w:after="0" w:line="1" w:lineRule="exact"/>
        <w:rPr>
          <w:sz w:val="20"/>
          <w:szCs w:val="20"/>
          <w:color w:val="auto"/>
        </w:rPr>
      </w:pPr>
    </w:p>
    <w:p>
      <w:pPr>
        <w:ind w:left="60" w:right="119"/>
        <w:spacing w:after="0" w:line="249" w:lineRule="auto"/>
        <w:rPr>
          <w:sz w:val="20"/>
          <w:szCs w:val="20"/>
          <w:color w:val="auto"/>
        </w:rPr>
      </w:pPr>
      <w:r>
        <w:rPr>
          <w:rFonts w:ascii="Times New Roman" w:cs="Times New Roman" w:eastAsia="Times New Roman" w:hAnsi="Times New Roman"/>
          <w:sz w:val="18"/>
          <w:szCs w:val="18"/>
          <w:color w:val="auto"/>
        </w:rPr>
        <w:t>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w:t>
      </w:r>
    </w:p>
    <w:p>
      <w:pPr>
        <w:spacing w:after="0" w:line="2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European Orphan Drug Designation and Exclusivity</w:t>
      </w:r>
    </w:p>
    <w:p>
      <w:pPr>
        <w:spacing w:after="0" w:line="254"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(5) in ten thousand (10,000) persons in the EU when the application is made, or</w:t>
      </w:r>
    </w:p>
    <w:p>
      <w:pPr>
        <w:spacing w:after="0" w:line="2" w:lineRule="exact"/>
        <w:rPr>
          <w:sz w:val="20"/>
          <w:szCs w:val="20"/>
          <w:color w:val="auto"/>
        </w:rPr>
      </w:pPr>
    </w:p>
    <w:p>
      <w:pPr>
        <w:jc w:val="both"/>
        <w:ind w:left="60" w:right="59" w:hanging="10"/>
        <w:spacing w:after="0" w:line="236" w:lineRule="auto"/>
        <w:tabs>
          <w:tab w:leader="none" w:pos="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79" w:lineRule="exact"/>
        <w:rPr>
          <w:sz w:val="20"/>
          <w:szCs w:val="20"/>
          <w:color w:val="auto"/>
        </w:rPr>
      </w:pPr>
    </w:p>
    <w:p>
      <w:pPr>
        <w:jc w:val="both"/>
        <w:ind w:left="60" w:right="59" w:firstLine="648"/>
        <w:spacing w:after="0"/>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may be placed on the market in the EU. A “similar medicinal product” is defined as a medicinal product containing a similar active substance or substances as contained in an authorized orphan medicinal product, and which is intended for the same therapeutic indication.</w:t>
      </w:r>
    </w:p>
    <w:p>
      <w:pPr>
        <w:spacing w:after="0" w:line="18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7"/>
          <w:szCs w:val="17"/>
          <w:color w:val="auto"/>
        </w:rPr>
        <w:t>However, marketing authorization may be granted to a similar medicinal product with the same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indication if the similar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254"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9" w:lineRule="exact"/>
        <w:rPr>
          <w:sz w:val="20"/>
          <w:szCs w:val="20"/>
          <w:color w:val="auto"/>
        </w:rPr>
      </w:pPr>
    </w:p>
    <w:p>
      <w:pPr>
        <w:ind w:left="1340" w:right="179" w:hanging="324"/>
        <w:spacing w:after="0" w:line="266"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40" w:lineRule="exact"/>
        <w:rPr>
          <w:rFonts w:ascii="Times New Roman" w:cs="Times New Roman" w:eastAsia="Times New Roman" w:hAnsi="Times New Roman"/>
          <w:sz w:val="18"/>
          <w:szCs w:val="18"/>
          <w:color w:val="auto"/>
        </w:rPr>
      </w:pPr>
    </w:p>
    <w:p>
      <w:pPr>
        <w:ind w:left="1340" w:right="379" w:hanging="324"/>
        <w:spacing w:after="0" w:line="250"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w:t>
      </w:r>
    </w:p>
    <w:p>
      <w:pPr>
        <w:sectPr>
          <w:pgSz w:w="11900" w:h="16838" w:orient="portrait"/>
          <w:cols w:equalWidth="0" w:num="1">
            <w:col w:w="9019"/>
          </w:cols>
          <w:pgMar w:left="1440" w:top="513" w:right="1440" w:bottom="1440"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right="79"/>
        <w:spacing w:after="0" w:line="245" w:lineRule="auto"/>
        <w:rPr>
          <w:sz w:val="20"/>
          <w:szCs w:val="20"/>
          <w:color w:val="auto"/>
        </w:rPr>
      </w:pPr>
      <w:r>
        <w:rPr>
          <w:rFonts w:ascii="Times New Roman" w:cs="Times New Roman" w:eastAsia="Times New Roman" w:hAnsi="Times New Roman"/>
          <w:sz w:val="18"/>
          <w:szCs w:val="18"/>
          <w:color w:val="auto"/>
        </w:rPr>
        <w:t>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3" w:lineRule="exact"/>
        <w:rPr>
          <w:sz w:val="20"/>
          <w:szCs w:val="20"/>
          <w:color w:val="auto"/>
        </w:rPr>
      </w:pPr>
    </w:p>
    <w:p>
      <w:pPr>
        <w:ind w:left="1340" w:right="99" w:hanging="324"/>
        <w:spacing w:after="0" w:line="245"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medicinal products, including industry-sponsored continuing medical education and advertising directed toward the prescribers of medicinal products and/or the general public, are strictly regulated in the EU. Direct-to-consumer advertising of prescription medicines is prohibited across the EU.</w:t>
      </w:r>
    </w:p>
    <w:p>
      <w:pPr>
        <w:spacing w:after="0" w:line="73"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EEA, which consists of the EU Member States, plus Iceland, Liechtenstein and Norway.</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54"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The UK formally left the EU on January 31, 2020, and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Except in respect of the new EU Clinical Trials Regulation, the regulatory regime in Great Britain therefore aligns in many ways with EU regulations, however it is possible that these regimes will diverge more significantly in future now that Great Britain’s regulatory system is independent from the EU and the TCA does not provide for mutual recognition of UK and EU pharmaceutical legislation.</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5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 and the U.S.,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207"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7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the federal Health Insurance Portability and Accountability Act of 1996, as amended, and its implanting regulations, which are collectively referred to as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1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addition to federal regulation, many states have begun to focus on efforts to regulate privacy and data security. For example, in California the California Consumer Protection Act, or CCPA, which went into effect on January 1, 2020 and was expanded by the California Consumer Privacy Rights Act, or CPRA, which went into effect on January 1, 2023, collectively establishes a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and for businesses that fail to implement reasonable security procedures and practices to</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prevent data breaches. The California Confidentiality of Medical Information Act also applies to pharmaceutical companies, including requirements for written authorization to use and disclose medical information and restrictions on the circumstances under which medical information can be used for marketing purposes. Other states that have also recently enacted comprehensive data privacy and security laws, include Utah, Virginia, Colorado, and Connecticut. Furthermore, all fifty states, the District of Columbia, Puerto Rico, and U.S. territories have enacted data breach notification laws. These various state laws differ from one another and impose significant compliance efforts.</w:t>
      </w:r>
    </w:p>
    <w:p>
      <w:pPr>
        <w:spacing w:after="0" w:line="214"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EEA Member States, the UK, Switzerland and other jurisdictions have also adopted data protection laws and regulations, which impose significant compliance obligations. In the EEA and the UK, the collection and use of personal data, including clinical trial data, is governed by the provisions of the General Data Protection Regulation, or GDPR. The GDPR, together with national legislation, regulations and guidelines of the EEA Member States, the UK and Switzerland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the UK or Switzerland, data breach notifications, security and confidentiality, responding and handling data subject rights, ensuring appropriate assessments are carried out on processing operations and documented. Under these laws data protection authorities can impose substantial potential fines for breaches of the data protection obligations. European data protection authorities may interpret the GDPR and national laws differently and impose additional requirements, which add to the complexity of processing personal data in or from the EEA, UK or Switzerland. Guidance on implementation and compliance practices are often updated or otherwise revised.</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7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Sales of our drugs will depend, in part, on the extent to which our drugs will be covered by third-party payors, such as government health programs, commercial insurance and managed healthcare organizations. In the U.S. and markets in other countries, patients and health care providers generally rely on third-party payors to reimburse all or part of prescription medications and associated healthcare costs. Thus, even if a drug has marketing approval in a country, sales of the drug will depend, in part, on the extent to which third-party payors, including government health programs, including Medicare and Medicaid in the U.S., commercial health insurers and managed care organizations, provide coverage for the cost of the patient’s use of the drug, and establish adequate reimbursement levels for the product. In the U.S.,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may limit coverage to specific products on an approved list, also known as a formulary, which might not include all of the approved products for a particular indication. The insurance coverage and reimbursement status of newly-approved products is uncertain. Failure to obtain or maintain adequate coverage and reimbursement for any of our drug and drug candidates, if approved, could limit our ability to market those products and decrease our ability to generate revenue. Factors payors, including government health programs globally, consider in determining reimbursement are based on whether the product is:</w:t>
      </w:r>
    </w:p>
    <w:p>
      <w:pPr>
        <w:spacing w:after="0" w:line="222" w:lineRule="exact"/>
        <w:rPr>
          <w:sz w:val="20"/>
          <w:szCs w:val="20"/>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6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6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66"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These third-party payors are increasingly reducing or restricting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usage of such drugs and have a material adverse effect on our sales, results of operations and financial condition.</w:t>
      </w:r>
    </w:p>
    <w:p>
      <w:pPr>
        <w:spacing w:after="0" w:line="231"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w:t>
      </w:r>
    </w:p>
    <w:p>
      <w:pPr>
        <w:spacing w:after="0" w:line="233"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 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22"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23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noted above, the marketability of any products for which we receive regulatory approval for commercial sale may suffer if the government and third-party payors fail to provide coverage and reimbursement. Obtaining coverage and reimbursement for newly approved drugs and biologics is a time-consuming and costly process, and coverage may be more limited than the purposes for which a drug is approved by the FDA or comparable foreign regulatory authorities. Assuming coverage is obtained for a given product by a third-party payor, the resulting reimbursement payment rates may not be adequate or may require co-payments that patients find unacceptably high.</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Additionally, coverage policies and third-party reimbursement rates may change at any time. Patients who are prescribed medications for the treatment of their conditions, and their prescribing physicians, generally rely on third-party payors to reimburse all or part of the costs associated with their prescription drugs. Patients are unlikely to use products unless coverage is provided and reimbursement is adequate to cover all or a significant portion of the cost of prescribed products.</w:t>
      </w:r>
    </w:p>
    <w:p>
      <w:pPr>
        <w:spacing w:after="0" w:line="20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 do not follow price structures of the U.S. and generally tend to be significantly lower.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56" w:lineRule="exact"/>
        <w:rPr>
          <w:sz w:val="20"/>
          <w:szCs w:val="20"/>
          <w:color w:val="auto"/>
        </w:rPr>
      </w:pPr>
    </w:p>
    <w:p>
      <w:pPr>
        <w:ind w:left="60" w:right="159" w:firstLine="648"/>
        <w:spacing w:after="0" w:line="269"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legislative initiatives to contain healthcare costs. The Affordable Care Act, for example,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218"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Inflation Reduction Act, or IRA, enacted in August 2022, will have a significant impact on the pharmaceutical industry. The IRA redesigns Medicare by, most controversially, introducing a maximum fair price negotiation pursuant to which a statutorily set number of Part B and Part D drugs will be selected annually based on Medicare expenditures and the manufacturer required to negotiate a maximum fair price or be subject to a 95% excise tax on sales of the drug, subject to certain narrow exemptions and delayed implementation of 2026 for Part D and 2028 for Part B drugs. In addition, other notable changes set forth in the IRA include some positive and some more challenging features: implementing a $2,000 patient out of pocket cap on Part D drugs starting in 2025; eliminating patient cost-sharing in the Part D catastrophic phase; expanding the Part D low-income subsidy by moving the so-called “partial LIS” population into full LIS eligibility; and implementing inflation rebates calculated annually with the first such rebate expected to be owed in 2024 for Part D drugs and in 2023 for Part B drugs having price increases exceeding inflation. The IRA also eliminates the Medicare Part D coverage gap discount program, in which manufacturers had been required to offer 70% point-of-sale discounts off negotiated prices of applicable brand drugs to eligible beneficiaries during their coverage gap period, as a condition for the manufacturer’s outpatient drugs to be covered under Medicare Part D. Instead, manufacturers are responsible for 10% point-of-sale discounts in the initial coverage phase (i.e., after deductible and before patient reaches catastrophic phase, if ever) and 20% point-of-sale discounts in the catastrophic phase (i.e., after patient has spent $2,000 out of pocket), subject to exceptions and phase-in for small companies (as narrowly defined by the IRA).</w:t>
      </w:r>
    </w:p>
    <w:p>
      <w:pPr>
        <w:spacing w:after="0" w:line="22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In 2021,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other healthcare reform measures of the Biden administration or other efforts, if any, to challenge, repeal or replace the Affordable Care Act will impact our business.</w:t>
      </w:r>
    </w:p>
    <w:p>
      <w:pPr>
        <w:spacing w:after="0" w:line="214" w:lineRule="exact"/>
        <w:rPr>
          <w:sz w:val="20"/>
          <w:szCs w:val="20"/>
          <w:color w:val="auto"/>
        </w:rPr>
      </w:pPr>
    </w:p>
    <w:p>
      <w:pPr>
        <w:ind w:left="60" w:right="599" w:firstLine="648"/>
        <w:spacing w:after="0" w:line="289" w:lineRule="auto"/>
        <w:rPr>
          <w:sz w:val="20"/>
          <w:szCs w:val="20"/>
          <w:color w:val="auto"/>
        </w:rPr>
      </w:pPr>
      <w:r>
        <w:rPr>
          <w:rFonts w:ascii="Times New Roman" w:cs="Times New Roman" w:eastAsia="Times New Roman" w:hAnsi="Times New Roman"/>
          <w:sz w:val="17"/>
          <w:szCs w:val="17"/>
          <w:color w:val="auto"/>
        </w:rPr>
        <w:t>Prior to the Biden administration, on October 13, 2017, former President Trump signed an Executive Order terminating the cost-sharing subsidies that reimburse insurers under the Affordable Care Act. The former Trump administration concluded that cost-sharing reduction, or CSR, payments to insurance companies required under the</w:t>
      </w:r>
    </w:p>
    <w:p>
      <w:pPr>
        <w:sectPr>
          <w:pgSz w:w="11900" w:h="16838" w:orient="portrait"/>
          <w:cols w:equalWidth="0" w:num="1">
            <w:col w:w="9019"/>
          </w:cols>
          <w:pgMar w:left="1440" w:top="513" w:right="1440"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0" w:lineRule="auto"/>
        <w:rPr>
          <w:sz w:val="20"/>
          <w:szCs w:val="20"/>
          <w:color w:val="auto"/>
        </w:rPr>
      </w:pPr>
      <w:r>
        <w:rPr>
          <w:rFonts w:ascii="Times New Roman" w:cs="Times New Roman" w:eastAsia="Times New Roman" w:hAnsi="Times New Roman"/>
          <w:sz w:val="18"/>
          <w:szCs w:val="18"/>
          <w:color w:val="auto"/>
        </w:rPr>
        <w:t>Affordable Care Act have not received necessary appropriations from Congress and announced that it will discontinue these payments immediately until those appropriations are made. Several state Attorneys General filed suit to stop the administration from terminating these subsidies, but on October 25, 2017, a federal judge in California denied their request for a restraining order. On August 14, 2020, the U.S. Court of Appeals for the Federal Circuit ruled in two separate cases that the federal government is liable for the full amount of unpaid cost-sharing reduction, or CSR, payments for the years preceding and including 2017. For CSR claims made by health insurance companies for years 2018 and later, further litigation will be required to determine the amounts due, if any. Further, on June 14, 2018, the U.S. Court of Appeals for the Federal Circuit ruled that the federal government was not required to pay more than $12 billion in Affordable Care Act risk corridor payments to third-party payors who argued the payments were owed to them.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The effects of this gap in reimbursement on third-party payors, the viability of the ACA marketplace, providers, and potentially our business, are not yet known.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23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United States since the ACA was enacted:</w:t>
      </w:r>
    </w:p>
    <w:p>
      <w:pPr>
        <w:spacing w:after="0" w:line="189" w:lineRule="exact"/>
        <w:rPr>
          <w:sz w:val="20"/>
          <w:szCs w:val="20"/>
          <w:color w:val="auto"/>
        </w:rPr>
      </w:pPr>
    </w:p>
    <w:p>
      <w:pPr>
        <w:ind w:left="1380" w:right="239" w:hanging="331"/>
        <w:spacing w:after="0" w:line="243" w:lineRule="auto"/>
        <w:tabs>
          <w:tab w:leader="none" w:pos="1380"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began April 1, 2022, and remained through June 30, 2022. The 2% payment reduction resumed on July 1, 2022.</w:t>
      </w:r>
    </w:p>
    <w:p>
      <w:pPr>
        <w:spacing w:after="0" w:line="182" w:lineRule="exact"/>
        <w:rPr>
          <w:rFonts w:ascii="Times New Roman" w:cs="Times New Roman" w:eastAsia="Times New Roman" w:hAnsi="Times New Roman"/>
          <w:sz w:val="28"/>
          <w:szCs w:val="28"/>
          <w:color w:val="auto"/>
          <w:vertAlign w:val="superscript"/>
        </w:rPr>
      </w:pPr>
    </w:p>
    <w:p>
      <w:pPr>
        <w:ind w:left="1380" w:right="339" w:hanging="331"/>
        <w:spacing w:after="0" w:line="221" w:lineRule="auto"/>
        <w:tabs>
          <w:tab w:leader="none" w:pos="13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April 13, 2017, the Centers for Medicare &amp; Medicaid Services, or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200" w:lineRule="exact"/>
        <w:rPr>
          <w:rFonts w:ascii="Times New Roman" w:cs="Times New Roman" w:eastAsia="Times New Roman" w:hAnsi="Times New Roman"/>
          <w:sz w:val="29"/>
          <w:szCs w:val="29"/>
          <w:color w:val="auto"/>
          <w:vertAlign w:val="superscript"/>
        </w:rPr>
      </w:pPr>
    </w:p>
    <w:p>
      <w:pPr>
        <w:spacing w:after="0" w:line="203" w:lineRule="exact"/>
        <w:rPr>
          <w:rFonts w:ascii="Times New Roman" w:cs="Times New Roman" w:eastAsia="Times New Roman" w:hAnsi="Times New Roman"/>
          <w:sz w:val="29"/>
          <w:szCs w:val="29"/>
          <w:color w:val="auto"/>
          <w:vertAlign w:val="superscript"/>
        </w:rPr>
      </w:pPr>
    </w:p>
    <w:p>
      <w:pPr>
        <w:ind w:left="1380" w:right="139" w:hanging="331"/>
        <w:spacing w:after="0" w:line="231" w:lineRule="auto"/>
        <w:tabs>
          <w:tab w:leader="none" w:pos="13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00" w:lineRule="exact"/>
        <w:rPr>
          <w:rFonts w:ascii="Times New Roman" w:cs="Times New Roman" w:eastAsia="Times New Roman" w:hAnsi="Times New Roman"/>
          <w:sz w:val="29"/>
          <w:szCs w:val="29"/>
          <w:color w:val="auto"/>
          <w:vertAlign w:val="superscript"/>
        </w:rPr>
      </w:pPr>
    </w:p>
    <w:p>
      <w:pPr>
        <w:spacing w:after="0" w:line="214" w:lineRule="exact"/>
        <w:rPr>
          <w:rFonts w:ascii="Times New Roman" w:cs="Times New Roman" w:eastAsia="Times New Roman" w:hAnsi="Times New Roman"/>
          <w:sz w:val="29"/>
          <w:szCs w:val="29"/>
          <w:color w:val="auto"/>
          <w:vertAlign w:val="superscript"/>
        </w:rPr>
      </w:pPr>
    </w:p>
    <w:p>
      <w:pPr>
        <w:ind w:left="1380" w:right="339" w:hanging="331"/>
        <w:spacing w:after="0" w:line="193" w:lineRule="auto"/>
        <w:tabs>
          <w:tab w:leader="none" w:pos="13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200" w:lineRule="exact"/>
        <w:rPr>
          <w:rFonts w:ascii="Times New Roman" w:cs="Times New Roman" w:eastAsia="Times New Roman" w:hAnsi="Times New Roman"/>
          <w:sz w:val="29"/>
          <w:szCs w:val="29"/>
          <w:color w:val="auto"/>
          <w:vertAlign w:val="superscript"/>
        </w:rPr>
      </w:pPr>
    </w:p>
    <w:p>
      <w:pPr>
        <w:spacing w:after="0" w:line="215" w:lineRule="exact"/>
        <w:rPr>
          <w:rFonts w:ascii="Times New Roman" w:cs="Times New Roman" w:eastAsia="Times New Roman" w:hAnsi="Times New Roman"/>
          <w:sz w:val="29"/>
          <w:szCs w:val="29"/>
          <w:color w:val="auto"/>
          <w:vertAlign w:val="superscript"/>
        </w:rPr>
      </w:pPr>
    </w:p>
    <w:p>
      <w:pPr>
        <w:ind w:left="1380" w:right="99" w:hanging="331"/>
        <w:spacing w:after="0" w:line="221" w:lineRule="auto"/>
        <w:tabs>
          <w:tab w:leader="none" w:pos="13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200" w:lineRule="exact"/>
        <w:rPr>
          <w:rFonts w:ascii="Times New Roman" w:cs="Times New Roman" w:eastAsia="Times New Roman" w:hAnsi="Times New Roman"/>
          <w:sz w:val="29"/>
          <w:szCs w:val="29"/>
          <w:color w:val="auto"/>
          <w:vertAlign w:val="superscript"/>
        </w:rPr>
      </w:pPr>
    </w:p>
    <w:p>
      <w:pPr>
        <w:spacing w:after="0" w:line="203" w:lineRule="exact"/>
        <w:rPr>
          <w:rFonts w:ascii="Times New Roman" w:cs="Times New Roman" w:eastAsia="Times New Roman" w:hAnsi="Times New Roman"/>
          <w:sz w:val="29"/>
          <w:szCs w:val="29"/>
          <w:color w:val="auto"/>
          <w:vertAlign w:val="superscript"/>
        </w:rPr>
      </w:pPr>
    </w:p>
    <w:p>
      <w:pPr>
        <w:ind w:left="1380" w:right="119" w:hanging="331"/>
        <w:spacing w:after="0" w:line="224" w:lineRule="auto"/>
        <w:tabs>
          <w:tab w:leader="none" w:pos="13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w:t>
      </w:r>
    </w:p>
    <w:p>
      <w:pPr>
        <w:sectPr>
          <w:pgSz w:w="11900" w:h="16838" w:orient="portrait"/>
          <w:cols w:equalWidth="0" w:num="1">
            <w:col w:w="9019"/>
          </w:cols>
          <w:pgMar w:left="1440" w:top="513" w:right="1440" w:bottom="1440" w:gutter="0" w:footer="0" w:header="0"/>
        </w:sect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79"/>
        <w:spacing w:after="0" w:line="266" w:lineRule="auto"/>
        <w:rPr>
          <w:sz w:val="20"/>
          <w:szCs w:val="20"/>
          <w:color w:val="auto"/>
        </w:rPr>
      </w:pPr>
      <w:r>
        <w:rPr>
          <w:rFonts w:ascii="Times New Roman" w:cs="Times New Roman" w:eastAsia="Times New Roman" w:hAnsi="Times New Roman"/>
          <w:sz w:val="18"/>
          <w:szCs w:val="18"/>
          <w:color w:val="auto"/>
        </w:rPr>
        <w:t>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392"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Plaintiffs-appellees filed a petition for a writ of certiorari at the Supreme Court on February 10, 2021 and the petition was granted on July 2, 2021. On June 15, 2022, the Supreme Court unanimously reversed the Court of Appeals’ decision, holding that HHS’s 2018 and 2019 reimbursement rates for 340B hospitals were contrary to the statute and unlawful.</w:t>
      </w:r>
    </w:p>
    <w:p>
      <w:pPr>
        <w:spacing w:after="0" w:line="183" w:lineRule="exact"/>
        <w:rPr>
          <w:sz w:val="20"/>
          <w:szCs w:val="20"/>
          <w:color w:val="auto"/>
        </w:rPr>
      </w:pPr>
    </w:p>
    <w:p>
      <w:pPr>
        <w:ind w:left="60" w:right="59" w:firstLine="648"/>
        <w:spacing w:after="0" w:line="249" w:lineRule="auto"/>
        <w:rPr>
          <w:sz w:val="20"/>
          <w:szCs w:val="20"/>
          <w:color w:val="auto"/>
        </w:rPr>
      </w:pPr>
      <w:r>
        <w:rPr>
          <w:rFonts w:ascii="Times New Roman" w:cs="Times New Roman" w:eastAsia="Times New Roman" w:hAnsi="Times New Roman"/>
          <w:sz w:val="18"/>
          <w:szCs w:val="18"/>
          <w:color w:val="auto"/>
        </w:rPr>
        <w:t>There has also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all of which are addressed in the Inflation Reduction Act of 2022;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subject to Medicaid rebates under Section 1927 of the Social Security Act and manufacturers would not report these drugs for “best price” or Average Manufacturer Price purposes. Since these drugs are not considered covered outpatient drugs for purposes of the Medicaid Drug Rebate program, CMS further stated it will not publish a National Average Drug Acquisition Cost for these drugs. If implemented, importation of drugs from Canada may materially and adversely affect the price we receive for any of our product candidates.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this regulation was delayed first by court order, further delayed by the Bipartisan Safer Communities Act of 2022, and subsequently the Inflation Reduction Act of 2022 places a moratorium on implementation of this regulation until January 1, 2032. Both the Biden administration and Congress have indicated that they will continue to seek new legislative measures to control drug costs.</w:t>
      </w:r>
    </w:p>
    <w:p>
      <w:pPr>
        <w:spacing w:after="0" w:line="19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216" w:lineRule="exact"/>
        <w:rPr>
          <w:sz w:val="20"/>
          <w:szCs w:val="20"/>
          <w:color w:val="auto"/>
        </w:rPr>
      </w:pPr>
    </w:p>
    <w:p>
      <w:pPr>
        <w:ind w:left="60" w:right="31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and biological product pricing, including price or reimbursement constraints, discounts, restrictions on certain drug access, marketing cost disclosure, comprehensive price transparency disclosure requirements, and designed to encourage importation from other countries and bulk purchasing. Legally mandated price controls on payment amounts by third-party payors or other restrictions could harm our business,</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1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7"/>
          <w:szCs w:val="17"/>
          <w:color w:val="auto"/>
        </w:rPr>
        <w:t>In addition, in some foreign countries, the proposed pricing for a drug must be approved before it may be lawfully marketed. The requirements governing drug pricing vary widely from country to country. Many foreign countries’ health authorities are authorized to restrict the range of medicinal drugs for which their national health insurance systems provide reimbursement to control the prices of medicinal drugs for human use. In addition, countries may approve a specific price for the medicinal drug or it may instead adopt a system of direct or indirect controls on the profitability of the company placing the drug on the market. There can be no assurance that any country that has price controls or reimbursement limitations for pharmaceutical drugs will allow favorable reimbursement and pricing arrangements for any of our drugs. Historically, drugs launched in Europe do not follow price structures of the U.S. and generally tend to be significantly lower. More recently, developments in Europe include reforms to national reimbursement and pricing in Germany, France, Italy and the UK, that are expected to increase pressure on prices. For example, the German Federal Ministry of Health announced the SHI Financial Stabilisation Act which includes an extension of price moratorium for another 4 years, increases manufacturer mandatory discounts, and other measures intended to generate savings. Additionally, there is increased interest in cross-border collaboration on technology assessments, data/knowledge sharing, and group price negotiations as a means of controlling costs, such as the Beneluxa Initiative which includes Belgium, Luxembourg, the Netherlands, Austria and Ireland, and also the Nordic Pharmaceutical Forum.</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56"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also be subject to healthcare regulation and enforcement by the federal government and the states and foreign governments where we may market our drug candidates, if approved. These laws include, without limitation, fraud and abuse, false claims, privacy and data security, and sunshine laws and regulations. Many of which differ from each other in significant ways, thus complicating compliance efforts.</w:t>
      </w:r>
    </w:p>
    <w:p>
      <w:pPr>
        <w:spacing w:after="0" w:line="220"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For example, in the United States, 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civil monetary penalties. The majority of states also have anti-kickback laws, which establish similar prohibitions and, in some cases, may apply to items or services reimbursed by any third-party payor, including commercial insurers.</w:t>
      </w:r>
    </w:p>
    <w:p>
      <w:pPr>
        <w:spacing w:after="0" w:line="23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drug for unapproved uses and other sales and marketing practices.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compliance with applicable fraud and abuse laws.</w:t>
      </w:r>
    </w:p>
    <w:p>
      <w:pPr>
        <w:spacing w:after="0" w:line="26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28"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We may be subject to consumer protection and unfair competition laws enacted at the country and state level, which broadly regulate marketplace activities and activities that potentially harm consumers.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There has also been a recent global trend of increased regulation of payments made to physicians and other healthcare providers. For example, in the United States, the Affordable Care Act, among other things, imposes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Drug manufacturers are required to submit annual reports to the CMS, which publicly posts the data on its website. Effective January 1, 2022, these reporting obligations extend to include transfers of value made to certain non-physician providers such as physician assistants and nurse practitioners. Certain countries as well as U.S. states also mandate implementation of compliance programs, impose restrictions on drug manufacturer marketing practices and/or require the tracking and reporting of gifts, compensation and other remuneration to physicians.</w:t>
      </w:r>
    </w:p>
    <w:p>
      <w:pPr>
        <w:spacing w:after="0" w:line="215"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We are also subject to federal price reporting laws, which require manufacturers to calculate and report complex pricing metrics to government programs, where such reported prices may be used in the calculation of reimbursement and/or discounts on approved products. Likewise, we must comply with federal consumer protection and unfair competition laws. These laws broadly regulate marketplace activities and activities that potentially harm consumers.</w:t>
      </w:r>
    </w:p>
    <w:p>
      <w:pPr>
        <w:spacing w:after="0" w:line="19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Additionally, we may be subject to analogous state and foreign laws and regulations, such as fraud and abuse,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governmental agencies and through private actions. Some laws require pharmaceutical companies to comply with the pharmaceutical industry’s voluntary compliance guidelines and the relevant country-level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7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provide an inclusive, collaborative and safe work environment for our employees, who enjoy innovative work and development opportunities. As of January 31, 2023, we had 641 full- and part-time employees globally, approximately 583 of whom are employed in the U.S. and approximately 58 are employed in foreign countries. Of those employees, 361 are engaged in research and development activities and 209 hold Doctorate or Master’s degrees. To allow us flexibility in meeting varying workflow demands, we also engage consultants and temporary workers when needed.</w:t>
      </w:r>
    </w:p>
    <w:p>
      <w:pPr>
        <w:spacing w:after="0" w:line="22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believe our employees are among the most important assets to our company and are key to achieving our goals and expectations. Accordingly, we focus significant attention on attracting and retaining talented individuals. Our management teams and function leaders regularly review employee engagement and satisfaction surveys and monitor employee turnover rates. To recruit and retain our employees, we offer robust compensation packages, including</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competitive base pay, incentive compensation and equity programs, and provide a broad range of benefits, including 401(k) plan (pension outside the U.S.), healthcare and insurance benefits, paid time off, paid family and medical leave, flexible work schedules, and various innovative health and wellness programs. In addition, we are committed to the professional development of our employees, who can take advantage of various learning opportunities, such as our mentorship, lunch &amp; learn and skill builder accelerator programs, as well as various training programs.</w:t>
      </w:r>
    </w:p>
    <w:p>
      <w:pPr>
        <w:spacing w:after="0" w:line="21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None of our U.S. employees are represented by a labor union or covered by a collective bargaining agreement. Outside the U.S., our employees in France, Germany and Italy, respectively, are covered by a collective bargaining agreement applicable to our industry as required by applicable local law. We consider our relationship with our employees to be good.</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on the COVID-19 Pandemic</w:t>
      </w:r>
    </w:p>
    <w:p>
      <w:pPr>
        <w:spacing w:after="0" w:line="25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ongoing COVID-19 pandemic has had widespread, rapidly-evolving, and unpredictable impacts on global societies, economies, financial markets, and business practices. We continue to closely monitor the evolution and global impact of the COVID-19 pandemic, the identification of new variants of the COVID-19 virus and related developments, and our focus remains on promoting employee health and safety when continuing to advance the research and development of our drug candidates and to deliver our approved drugs to patients in need. For discussion regarding the impact of the COVID-19 pandemic on our business and financial results, see “Risk Factors” in Part I, Item 1A and “Management’s Discussion and Analysis of Financial Condition and Results of Operations” in Part II, Item 7 of this Annual Report on Form 10-K.</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7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234"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public conference calls and webcasts and our corporate website (https://www.blueprintmedicines.com/), including without limitation the “Investors &amp; Media” and “Presentations &amp; Publications” sections of our website. We use these channels, as well as social media channels such as Twitter (@BlueprintMeds) and LinkedIn, to communicate with the public about our company, our business, our approved drugs and drug candidates and other matters. It is possible that the information we post on our corporate website or other social media could be deemed to be material information. Therefore, we encourage investors, the media, and others interested in our company to review the information we post on the “Investors &amp; Media” and “Presentations &amp; Publications” sections of our corporate website and on the social media channels listed on the “Investors &amp; Media” section of our corporate website. The contents of our corporate website and social media channels are not, however, a part of this Annual Report on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We believe the risks described below include risks that are material to us as well as other risks that may adversely affect our business, financial condition, results of operations and growth prospects. Please see review the discussion regarding some of the forward-looking statements that are qualified by these risk factors contained elsewhere in this Annual Report on Form 10-K. If any of the following risks occur, our business, financial condition, results of operations and future growth prospects could be materially and adversely affected.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left="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in the process of growing as a commercial company and the marketing and sale of AYVAKIT/AYVAKYT, GAVRETO or any future approved drugs may be unsuccessful or less successful than anticipated.</w:t>
      </w:r>
    </w:p>
    <w:p>
      <w:pPr>
        <w:spacing w:after="0" w:line="13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have two approved precision therapies, AYVAKIT/AYVAKYT and GAVRETO. While we have been commercializing AYVAKIT in the U.S. and AYVAKYT in Europe and co-commercializing GAVRETO with Roche in the U.S., we only have several years experience as a commercial company, and we have a limited track record demonstrating our ability to successfully overcome the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spacing w:after="0" w:line="187" w:lineRule="exact"/>
        <w:rPr>
          <w:sz w:val="20"/>
          <w:szCs w:val="20"/>
          <w:color w:val="auto"/>
        </w:rPr>
      </w:pPr>
    </w:p>
    <w:p>
      <w:pPr>
        <w:ind w:left="1340" w:right="139" w:hanging="318"/>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patients who may receive our drugs and any future drugs;</w:t>
      </w:r>
    </w:p>
    <w:p>
      <w:pPr>
        <w:spacing w:after="0" w:line="161"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and any future drugs;</w:t>
      </w:r>
    </w:p>
    <w:p>
      <w:pPr>
        <w:spacing w:after="0" w:line="175"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existing collaborations with Roche, CStone Pharmaceuticals, or CStone, and Zai Lab;</w:t>
      </w:r>
    </w:p>
    <w:p>
      <w:pPr>
        <w:spacing w:after="0" w:line="225" w:lineRule="exact"/>
        <w:rPr>
          <w:rFonts w:ascii="Times New Roman" w:cs="Times New Roman" w:eastAsia="Times New Roman" w:hAnsi="Times New Roman"/>
          <w:sz w:val="18"/>
          <w:szCs w:val="18"/>
          <w:color w:val="auto"/>
        </w:rPr>
      </w:pPr>
    </w:p>
    <w:p>
      <w:pPr>
        <w:ind w:left="1340" w:right="419" w:hanging="318"/>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operations or enter into collaboration, partnerships or distribution arrangements in geographies where we may not have current operations or expertise; and</w:t>
      </w:r>
    </w:p>
    <w:p>
      <w:pPr>
        <w:spacing w:after="0" w:line="148" w:lineRule="exact"/>
        <w:rPr>
          <w:rFonts w:ascii="Times New Roman" w:cs="Times New Roman" w:eastAsia="Times New Roman" w:hAnsi="Times New Roman"/>
          <w:sz w:val="18"/>
          <w:szCs w:val="18"/>
          <w:color w:val="auto"/>
        </w:rPr>
      </w:pPr>
    </w:p>
    <w:p>
      <w:pPr>
        <w:ind w:left="1340" w:right="519" w:hanging="318"/>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6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72" w:lineRule="exact"/>
        <w:rPr>
          <w:sz w:val="20"/>
          <w:szCs w:val="20"/>
          <w:color w:val="auto"/>
        </w:rPr>
      </w:pPr>
    </w:p>
    <w:p>
      <w:pPr>
        <w:jc w:val="both"/>
        <w:ind w:left="60" w:right="2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8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the drug’s approved labeling;</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eligible patients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pacing w:after="0" w:line="225" w:lineRule="exact"/>
        <w:rPr>
          <w:rFonts w:ascii="Times New Roman" w:cs="Times New Roman" w:eastAsia="Times New Roman" w:hAnsi="Times New Roman"/>
          <w:sz w:val="18"/>
          <w:szCs w:val="18"/>
          <w:color w:val="auto"/>
        </w:rPr>
      </w:pPr>
    </w:p>
    <w:p>
      <w:pPr>
        <w:ind w:left="1340" w:right="61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1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3" w:lineRule="exact"/>
        <w:rPr>
          <w:sz w:val="20"/>
          <w:szCs w:val="20"/>
          <w:color w:val="auto"/>
        </w:rPr>
      </w:pPr>
    </w:p>
    <w:p>
      <w:pPr>
        <w:ind w:left="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71"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25"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61"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1"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 including due to the ongoing COVID-19 pandemic.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precise incidence and/or prevalence for SM, RET-altered cancers, EGFR-mutated NSCLC,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7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7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developing or discovering drugs before or more successfully than we do.</w:t>
      </w:r>
    </w:p>
    <w:p>
      <w:pPr>
        <w:spacing w:after="0" w:line="159"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9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AYVAKIT/AYVAKYT faces competition for advanced SM from Novartis AG’s midostaurin and imatinib, and may face competition from drug candidates in development, including that being developed by Cogent Biosciences, Inc. If avapritinib and elenestinib are approved for non-advanced SM, they may face competition from drug candidates in development, including those being developed by AB Science S.A., Allakos Inc. and Cogent Biosciences, Inc.</w:t>
      </w:r>
    </w:p>
    <w:p>
      <w:pPr>
        <w:spacing w:after="0" w:line="180"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7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BLU-525 and BLU-945 for treatment-resistant EGFR-mutated NSCLC, which, if approved, will face competition from AstraZeneca plc’s osimertinib and aumolertinib, which is under collaboration between Jiangsu Hansoh Pharmaceutical Group Co., Ltd. and EQRx, Inc. and approved in China. In addition, BLU-525 and BLU-945 may face competition from drug candidates in development for EGFR-mutated NSCLC, including those being developed by Allist Pharmaceuticals, Arrivent Biopharma, Inc., Betta Pharmaceuticals, Black Diamond Therapeutics, Inc., Boehringer Ingelheim RCV GmbH &amp; Co KG, Bridge Biotherapeutics, Inc., C4 Therapeutics, Inc., Daiichi Sankyo Company, Limited, Janssen Pharmaceuticals, Inc., J INTS Bio, Kanaph Therapeutics, RedCloud Bio, Theseus Pharmaceuticals, Inc., and Qilu Pharmaceutical.</w:t>
      </w:r>
    </w:p>
    <w:p>
      <w:pPr>
        <w:spacing w:after="0" w:line="23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BLU-451 for EGFR exon 20 insertion-positive NSCLC, which, if approved, will face competition from Janssen Pharmaceuticals, Inc. and Takeda Pharmaceuticals. In addition, BLU-451 may face competition from drug candidates in development for EGFR exon 20 insertion-positive NSCLC, including those being developed by Abbisko Therapeutics Co., Ltd., Bayer AG, Cullinan Oncology, Inc., Daiichi Sankyo Company, Limited, Dizal Pharmaceutical Co. Ltd., Shenzhen Forward Pharmaceutical Co., Ltd., Shanghai Junshi Biosciences Co., Ltd., Oric Pharmaceuticals, Inc. and Scorpion Therapeutics, Inc.</w:t>
      </w:r>
    </w:p>
    <w:p>
      <w:pPr>
        <w:spacing w:after="0" w:line="23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BLU-222 for cancers vulnerable to CDK2 inhibition, including cancers with aberrant cyclin E, which, if approved, will face competition from indication-specific therapies such as Genentech’s bevacizumab, AstraZeneca and Merck’s olaparib, AstraZeneca and Daiichi Sankyo’s Enhertu, Clovis Oncology’s rucaparib, GSK’s niraparib, Merck’s pembrolizumab, Menarini Group &amp; Stemline Therapeutics’ Elacestrant, and Eisai’s lenvatinib. In addition, BLU-222 may face competition from drug candidates in development, including those being developed by Acrivon Therapeutics, Allorion Therapeutics, Inc., Anrui Biomedical Technology, Arvinas, Aucentra Therapeutics, BioTheryX, Inc., Cedilla Therapeutics, Inc., Cyclacel Pharmaceuticals Inc., Eli Lilly and company, Exelixis, Gilead Sciences, Inc., Impact Therapeutics, Incyclix Bio, Incyte Corporation, Monte Rosa Therapeutics, Inc., Regor Therapeutics Inc., Relay Therapeutics, Pfizer Inc., AstraZeneca plc, Zentalis Pharmaceuticals, Inc. and Repare Therapeutics, Inc.</w:t>
      </w:r>
    </w:p>
    <w:p>
      <w:pPr>
        <w:spacing w:after="0" w:line="191" w:lineRule="exact"/>
        <w:rPr>
          <w:sz w:val="20"/>
          <w:szCs w:val="20"/>
          <w:color w:val="auto"/>
        </w:rPr>
      </w:pPr>
    </w:p>
    <w:p>
      <w:pPr>
        <w:ind w:left="60" w:right="219" w:firstLine="648"/>
        <w:spacing w:after="0" w:line="268" w:lineRule="auto"/>
        <w:rPr>
          <w:sz w:val="20"/>
          <w:szCs w:val="20"/>
          <w:color w:val="auto"/>
        </w:rPr>
      </w:pPr>
      <w:r>
        <w:rPr>
          <w:rFonts w:ascii="Times New Roman" w:cs="Times New Roman" w:eastAsia="Times New Roman" w:hAnsi="Times New Roman"/>
          <w:sz w:val="17"/>
          <w:szCs w:val="17"/>
          <w:color w:val="auto"/>
        </w:rPr>
        <w:t>We are developing BLU-852 for advanced cancers susceptible to MAP4K1 inhibition, which, if approved, will face competition from immuno-oncology products, including those developed by Bristol-Myers Squibb Company, Merck</w:t>
      </w:r>
    </w:p>
    <w:p>
      <w:pPr>
        <w:ind w:left="60" w:right="99" w:hanging="10"/>
        <w:spacing w:after="0" w:line="253"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 Regeneron Pharmaceuticals, Inc., Sanofi S.A., and AstraZeneca plc. In addition, BLU-852 may face competition from drug candidates in development for advanced cancers susceptible to MAP4K1 inhibition, including those being developed by Treadwell Therapeutics, Inc., BeiGene Ltd., Nimbus Therapeutics, LLC and MingMed Biotechnology Co., Ltd.</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9"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0" w:lineRule="exact"/>
        <w:rPr>
          <w:sz w:val="20"/>
          <w:szCs w:val="20"/>
          <w:color w:val="auto"/>
        </w:rPr>
      </w:pPr>
    </w:p>
    <w:p>
      <w:pPr>
        <w:ind w:left="1380" w:right="899" w:hanging="331"/>
        <w:spacing w:after="0" w:line="282" w:lineRule="auto"/>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25"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60"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demand for compassionate use of our drug candidates could negatively affect our reputation and harm our business.</w:t>
      </w:r>
    </w:p>
    <w:p>
      <w:pPr>
        <w:spacing w:after="0" w:line="14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prompt adverse publicity or other disruptions related to current or potential participants in such programs.</w:t>
      </w:r>
    </w:p>
    <w:p>
      <w:pPr>
        <w:spacing w:after="0" w:line="221"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75"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including for avapritinib in order to identify GIST patients with the PDGFRA D842V mutation, and pralsetinib in order to identify NSCLC patients with RET fusions and MTC patients with RET mutations.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including for avapritinib and pralsetinib,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99" w:lineRule="exact"/>
        <w:rPr>
          <w:sz w:val="20"/>
          <w:szCs w:val="20"/>
          <w:color w:val="auto"/>
        </w:rPr>
      </w:pPr>
    </w:p>
    <w:p>
      <w:pPr>
        <w:ind w:left="1340" w:hanging="318"/>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respective obligations as expected or as required under our agreements with them;</w:t>
      </w:r>
    </w:p>
    <w:p>
      <w:pPr>
        <w:spacing w:after="0" w:line="225" w:lineRule="exact"/>
        <w:rPr>
          <w:rFonts w:ascii="Times New Roman" w:cs="Times New Roman" w:eastAsia="Times New Roman" w:hAnsi="Times New Roman"/>
          <w:sz w:val="18"/>
          <w:szCs w:val="18"/>
          <w:color w:val="auto"/>
        </w:rPr>
      </w:pPr>
    </w:p>
    <w:p>
      <w:pPr>
        <w:ind w:left="1340" w:right="659" w:hanging="318"/>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a companion diagnostic test even if it receives any required regulatory clearances or approvals;</w:t>
      </w:r>
    </w:p>
    <w:p>
      <w:pPr>
        <w:spacing w:after="0" w:line="161" w:lineRule="exact"/>
        <w:rPr>
          <w:rFonts w:ascii="Times New Roman" w:cs="Times New Roman" w:eastAsia="Times New Roman" w:hAnsi="Times New Roman"/>
          <w:sz w:val="18"/>
          <w:szCs w:val="18"/>
          <w:color w:val="auto"/>
        </w:rPr>
      </w:pPr>
    </w:p>
    <w:p>
      <w:pPr>
        <w:jc w:val="both"/>
        <w:ind w:left="1340" w:right="319" w:hanging="318"/>
        <w:spacing w:after="0" w:line="266"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2" w:lineRule="exact"/>
        <w:rPr>
          <w:rFonts w:ascii="Times New Roman" w:cs="Times New Roman" w:eastAsia="Times New Roman" w:hAnsi="Times New Roman"/>
          <w:sz w:val="18"/>
          <w:szCs w:val="18"/>
          <w:color w:val="auto"/>
        </w:rPr>
      </w:pPr>
    </w:p>
    <w:p>
      <w:pPr>
        <w:ind w:left="1340" w:right="359" w:hanging="318"/>
        <w:spacing w:after="0" w:line="282"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a companion diagnostic test;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2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66" w:lineRule="exact"/>
        <w:rPr>
          <w:sz w:val="20"/>
          <w:szCs w:val="20"/>
          <w:color w:val="auto"/>
        </w:rPr>
      </w:pPr>
    </w:p>
    <w:p>
      <w:pPr>
        <w:ind w:left="1340" w:right="239" w:hanging="318"/>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approved drugs and drug candidates may be adversely affected if we are unable to appropriately select patients for enrollment in our clinical trials;</w:t>
      </w:r>
    </w:p>
    <w:p>
      <w:pPr>
        <w:spacing w:after="0" w:line="161" w:lineRule="exact"/>
        <w:rPr>
          <w:rFonts w:ascii="Times New Roman" w:cs="Times New Roman" w:eastAsia="Times New Roman" w:hAnsi="Times New Roman"/>
          <w:sz w:val="18"/>
          <w:szCs w:val="18"/>
          <w:color w:val="auto"/>
        </w:rPr>
      </w:pPr>
    </w:p>
    <w:p>
      <w:pPr>
        <w:ind w:left="1340" w:right="319" w:hanging="318"/>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not receive marketing approval if safe and effective use of a therapeutic drug candidate depends on an in vitro diagnostic;</w:t>
      </w:r>
    </w:p>
    <w:p>
      <w:pPr>
        <w:spacing w:after="0" w:line="161"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post-marketing requirements regarding the development and commercialization of companion diagnostic tests for our drugs and drug candidates;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279" w:hanging="318"/>
        <w:spacing w:after="0" w:line="266"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our business may be materially harmed.</w:t>
      </w:r>
    </w:p>
    <w:p>
      <w:pPr>
        <w:spacing w:after="0" w:line="22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72"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83"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or a new indication for a drug product for which we establish marketing capabilities is delayed or does not occur for any reason, we would have prematurely or unnecessarily incurred these commercialization expenses, which may be costly.</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If we do not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5" w:lineRule="exact"/>
        <w:rPr>
          <w:sz w:val="20"/>
          <w:szCs w:val="20"/>
          <w:color w:val="auto"/>
        </w:rPr>
      </w:pPr>
    </w:p>
    <w:p>
      <w:pPr>
        <w:ind w:left="60" w:right="3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5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93" w:lineRule="exact"/>
        <w:rPr>
          <w:sz w:val="20"/>
          <w:szCs w:val="20"/>
          <w:color w:val="auto"/>
        </w:rPr>
      </w:pPr>
    </w:p>
    <w:p>
      <w:pPr>
        <w:ind w:left="1340" w:right="139" w:hanging="318"/>
        <w:spacing w:after="0" w:line="266"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our drugs and drug candidates as monotherapies and in combination with other agents;</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any companion diagnostic tests for use with our drugs and drug candidates;</w:t>
      </w:r>
    </w:p>
    <w:p>
      <w:pPr>
        <w:spacing w:after="0" w:line="225"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and transitioning any conditional marketing authorizations to full approvals;</w:t>
      </w:r>
    </w:p>
    <w:p>
      <w:pPr>
        <w:spacing w:after="0" w:line="148" w:lineRule="exact"/>
        <w:rPr>
          <w:rFonts w:ascii="Times New Roman" w:cs="Times New Roman" w:eastAsia="Times New Roman" w:hAnsi="Times New Roman"/>
          <w:sz w:val="18"/>
          <w:szCs w:val="18"/>
          <w:color w:val="auto"/>
        </w:rPr>
      </w:pPr>
    </w:p>
    <w:p>
      <w:pPr>
        <w:ind w:left="1340" w:right="79" w:hanging="318"/>
        <w:spacing w:after="0" w:line="289" w:lineRule="auto"/>
        <w:tabs>
          <w:tab w:leader="none" w:pos="1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57" w:lineRule="exact"/>
        <w:rPr>
          <w:rFonts w:ascii="Times New Roman" w:cs="Times New Roman" w:eastAsia="Times New Roman" w:hAnsi="Times New Roman"/>
          <w:sz w:val="17"/>
          <w:szCs w:val="17"/>
          <w:color w:val="auto"/>
        </w:rPr>
      </w:pPr>
    </w:p>
    <w:p>
      <w:pPr>
        <w:ind w:left="1340" w:right="23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1" w:lineRule="exact"/>
        <w:rPr>
          <w:rFonts w:ascii="Times New Roman" w:cs="Times New Roman" w:eastAsia="Times New Roman" w:hAnsi="Times New Roman"/>
          <w:sz w:val="18"/>
          <w:szCs w:val="18"/>
          <w:color w:val="auto"/>
        </w:rPr>
      </w:pPr>
    </w:p>
    <w:p>
      <w:pPr>
        <w:ind w:left="1340" w:right="9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approved drugs and drug candidates, if and when approved, whether alone or in collaboration with others;</w:t>
      </w:r>
    </w:p>
    <w:p>
      <w:pPr>
        <w:spacing w:after="0" w:line="148"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drugs and drug candidates following approval.</w:t>
      </w:r>
    </w:p>
    <w:p>
      <w:pPr>
        <w:spacing w:after="0" w:line="225" w:lineRule="exact"/>
        <w:rPr>
          <w:sz w:val="20"/>
          <w:szCs w:val="20"/>
          <w:color w:val="auto"/>
        </w:rPr>
      </w:pPr>
    </w:p>
    <w:p>
      <w:pPr>
        <w:ind w:left="60" w:right="119" w:firstLine="648"/>
        <w:spacing w:after="0" w:line="280"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7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have experienced some delays or disruptions in enrollment in our ongoing clinical trials due to the COVID-19 pandemic, and we anticipate we may experience additional delays or disruptions in the future due to the ongoing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drug candidates and any companion diagnostic tests related to our approved drugs or drug candidates, including the companion diagnostic tests that we are developing or have developed for avapritinib in order to identify GIST patients with the PDGFRA D842V mutation, and pralsetinib in order to identify NSCLC patients with RET fusions and MTC patients with RET mutations,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pralsetinib.</w:t>
      </w:r>
    </w:p>
    <w:p>
      <w:pPr>
        <w:spacing w:after="0" w:line="191"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3"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75"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62" w:lineRule="exact"/>
        <w:rPr>
          <w:sz w:val="20"/>
          <w:szCs w:val="20"/>
          <w:color w:val="auto"/>
        </w:rPr>
      </w:pPr>
    </w:p>
    <w:p>
      <w:pPr>
        <w:ind w:left="1380" w:right="79" w:hanging="331"/>
        <w:spacing w:after="0" w:line="282"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58"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96"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79" w:hanging="331"/>
        <w:spacing w:after="0" w:line="312" w:lineRule="auto"/>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9" w:lineRule="exact"/>
        <w:rPr>
          <w:rFonts w:ascii="Times New Roman" w:cs="Times New Roman" w:eastAsia="Times New Roman" w:hAnsi="Times New Roman"/>
          <w:sz w:val="17"/>
          <w:szCs w:val="17"/>
          <w:color w:val="auto"/>
        </w:rPr>
      </w:pPr>
    </w:p>
    <w:p>
      <w:pPr>
        <w:ind w:left="1380" w:right="279" w:hanging="331"/>
        <w:spacing w:after="0" w:line="266"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and</w:t>
      </w:r>
    </w:p>
    <w:p>
      <w:pPr>
        <w:spacing w:after="0" w:line="161"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impacting the FDA or comparable foreign regulatory authorities due to the ongoing COVID-19 pandemic.</w:t>
      </w:r>
    </w:p>
    <w:p>
      <w:pPr>
        <w:spacing w:after="0" w:line="16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Moreover, during the COVID-19 pandemic,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spacing w:after="0" w:line="18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7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0" w:lineRule="exact"/>
        <w:rPr>
          <w:sz w:val="20"/>
          <w:szCs w:val="20"/>
          <w:color w:val="auto"/>
        </w:rPr>
      </w:pPr>
    </w:p>
    <w:p>
      <w:pPr>
        <w:ind w:left="60" w:right="259" w:firstLine="648"/>
        <w:spacing w:after="0" w:line="275" w:lineRule="auto"/>
        <w:rPr>
          <w:sz w:val="20"/>
          <w:szCs w:val="20"/>
          <w:color w:val="auto"/>
        </w:rPr>
      </w:pPr>
      <w:r>
        <w:rPr>
          <w:rFonts w:ascii="Times New Roman" w:cs="Times New Roman" w:eastAsia="Times New Roman" w:hAnsi="Times New Roman"/>
          <w:sz w:val="17"/>
          <w:szCs w:val="17"/>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87" w:lineRule="exact"/>
        <w:rPr>
          <w:sz w:val="20"/>
          <w:szCs w:val="20"/>
          <w:color w:val="auto"/>
        </w:rPr>
      </w:pPr>
    </w:p>
    <w:p>
      <w:pPr>
        <w:ind w:left="1380" w:right="119" w:hanging="331"/>
        <w:spacing w:after="0" w:line="258"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96" w:lineRule="exact"/>
        <w:rPr>
          <w:rFonts w:ascii="Times New Roman" w:cs="Times New Roman" w:eastAsia="Times New Roman" w:hAnsi="Times New Roman"/>
          <w:sz w:val="18"/>
          <w:szCs w:val="18"/>
          <w:color w:val="auto"/>
        </w:rPr>
      </w:pPr>
    </w:p>
    <w:p>
      <w:pPr>
        <w:ind w:left="1380" w:right="43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8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80" w:right="29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formulation issues, pricing or reimbursement issues or other factors that make a drug candidate uneconomical; and</w:t>
      </w:r>
    </w:p>
    <w:p>
      <w:pPr>
        <w:spacing w:after="0" w:line="189"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drug candidates from being commercialized.</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7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93"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83" w:lineRule="exact"/>
        <w:rPr>
          <w:sz w:val="20"/>
          <w:szCs w:val="20"/>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1"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1"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pacing w:after="0" w:line="161" w:lineRule="exact"/>
        <w:rPr>
          <w:rFonts w:ascii="Times New Roman" w:cs="Times New Roman" w:eastAsia="Times New Roman" w:hAnsi="Times New Roman"/>
          <w:sz w:val="18"/>
          <w:szCs w:val="18"/>
          <w:color w:val="auto"/>
        </w:rPr>
      </w:pPr>
    </w:p>
    <w:p>
      <w:pPr>
        <w:jc w:val="both"/>
        <w:ind w:left="1380" w:right="99" w:hanging="331"/>
        <w:spacing w:after="0" w:line="258"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9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83"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discovery platform as a designated platform technology, but we might not receive such designation, and even if we do, such designation may not lead to faster drug development or a faster regulatory review or approval process.</w:t>
      </w:r>
    </w:p>
    <w:p>
      <w:pPr>
        <w:spacing w:after="0" w:line="17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investigational new drug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w:t>
      </w:r>
    </w:p>
    <w:p>
      <w:pPr>
        <w:sectPr>
          <w:pgSz w:w="11900" w:h="16838" w:orient="portrait"/>
          <w:cols w:equalWidth="0" w:num="1">
            <w:col w:w="9019"/>
          </w:cols>
          <w:pgMar w:left="1440" w:top="513" w:right="1440" w:bottom="1440" w:gutter="0" w:footer="0" w:header="0"/>
        </w:sect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be developed or reviewed more quickly or receive FDA approval. Moreover, the FDA may revoke a designation if the FDA determines that a designated platform technology no longer meets the criteria for such designation.</w:t>
      </w:r>
    </w:p>
    <w:p>
      <w:pPr>
        <w:spacing w:after="0" w:line="158"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has granted fast track designation to BLU-782 for the treatment of FOP. The FDA has granted breakthrough therapy designation to avapritinib for the treatment of moderate to severe indolent SM. In addition, the FDA previously granted breakthrough designation to our drugs, AYVAKIT and GAVRETO, for the treatment of certain patients with GIST, advanced SM, moderate to severe indolent SM and RET-altered cancers, respectively.</w:t>
      </w:r>
    </w:p>
    <w:p>
      <w:pPr>
        <w:spacing w:after="0" w:line="187"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87"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The FDA has granted orphan drug designation to avapritinib for the treatment of GIST and the treatment of mastocytosis, to pralsetinib for the treatment of RET-rearranged NSCLC, JAK1/2-positive NSCLC or TRKC-positive</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NSCLC for the treatment of HCC. In addition, the European Commission, or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Similarly, in the EU, the European Commission grants orphan medicinal product designation after receiving the opinion of the European Medicines Agency’s, or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spacing w:after="0" w:line="187"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6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drug candidates.</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For example, in February 2022 we entered into a collaboration with Proteovant to research and advance novel targeted protein degrader therapies leveraging Proteovant’s artificial intelligence-enhanced targeted protein degradation platform and our small molecule precision medicine capabilities. However, we may not be able to identify any drug candidates for our pipeline through such acquisition or in-license.</w:t>
      </w:r>
    </w:p>
    <w:p>
      <w:pPr>
        <w:spacing w:after="0" w:line="17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drug candidates in combination with other therapies, which exposes us to additional risks.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intend to develop, launch and commercialize BLU-945, BLU-525,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183"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Government Legislations and Regulations</w:t>
      </w:r>
    </w:p>
    <w:p>
      <w:pPr>
        <w:spacing w:after="0" w:line="225" w:lineRule="exact"/>
        <w:rPr>
          <w:sz w:val="20"/>
          <w:szCs w:val="20"/>
          <w:color w:val="auto"/>
        </w:rPr>
      </w:pPr>
    </w:p>
    <w:p>
      <w:pPr>
        <w:ind w:left="6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as a condition of accelerated approval, be required to perform adequate and well-controlled post-marketing clinical trials to confirm the product’s clinical benefit. These post-market confirmatory trials must be completed according to timelines agreed upon with the FDA.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spacing w:after="0" w:line="19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w:t>
      </w:r>
    </w:p>
    <w:p>
      <w:pPr>
        <w:sectPr>
          <w:pgSz w:w="11900" w:h="16838" w:orient="portrait"/>
          <w:cols w:equalWidth="0" w:num="1">
            <w:col w:w="9019"/>
          </w:cols>
          <w:pgMar w:left="1440" w:top="513" w:right="1440" w:bottom="1440" w:gutter="0" w:footer="0" w:header="0"/>
        </w:sect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 party manufacturers or manufacturing processes, or failure to comply with regulatory requirements, may result in, among other things:</w:t>
      </w:r>
    </w:p>
    <w:p>
      <w:pPr>
        <w:spacing w:after="0" w:line="189" w:lineRule="exact"/>
        <w:rPr>
          <w:sz w:val="20"/>
          <w:szCs w:val="20"/>
          <w:color w:val="auto"/>
        </w:rPr>
      </w:pPr>
    </w:p>
    <w:p>
      <w:pPr>
        <w:ind w:left="1380" w:right="47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spacing w:after="0" w:line="18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may have obtained approvals for certain of our products, such drug or drug candidate may become subject to unfavorable pricing regulations or third-party coverage and reimbursement policies, which would harm our business.</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8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w:t>
      </w:r>
    </w:p>
    <w:p>
      <w:pPr>
        <w:spacing w:after="0" w:line="189"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 products. It is unclear what effect, if any, American Rescue Plan and other government efforts to expand coverage will have on the number of covered individuals. See section entitled “</w:t>
      </w:r>
      <w:r>
        <w:rPr>
          <w:rFonts w:ascii="Times New Roman" w:cs="Times New Roman" w:eastAsia="Times New Roman" w:hAnsi="Times New Roman"/>
          <w:sz w:val="17"/>
          <w:szCs w:val="17"/>
          <w:i w:val="1"/>
          <w:iCs w:val="1"/>
          <w:color w:val="auto"/>
        </w:rPr>
        <w:t>Business – Coverage and Reimbursement.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jc w:val="both"/>
        <w:ind w:left="60" w:right="139" w:firstLine="648"/>
        <w:spacing w:after="0" w:line="267" w:lineRule="auto"/>
        <w:rPr>
          <w:sz w:val="20"/>
          <w:szCs w:val="20"/>
          <w:color w:val="auto"/>
        </w:rPr>
      </w:pPr>
      <w:r>
        <w:rPr>
          <w:rFonts w:ascii="Times New Roman" w:cs="Times New Roman" w:eastAsia="Times New Roman" w:hAnsi="Times New Roman"/>
          <w:sz w:val="17"/>
          <w:szCs w:val="17"/>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spacing w:after="0" w:line="2"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product labeling; (iii) 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In August 2022, the Inflation Reduction Act of 2022, or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 See section entitled “</w:t>
      </w:r>
      <w:r>
        <w:rPr>
          <w:rFonts w:ascii="Times New Roman" w:cs="Times New Roman" w:eastAsia="Times New Roman" w:hAnsi="Times New Roman"/>
          <w:sz w:val="18"/>
          <w:szCs w:val="18"/>
          <w:i w:val="1"/>
          <w:iCs w:val="1"/>
          <w:color w:val="auto"/>
        </w:rPr>
        <w:t>Business – Coverage and Reimbursement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60" w:right="439" w:firstLine="648"/>
        <w:spacing w:after="0" w:line="255"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Legislation or regulations allowing the reimportation of drugs, if enacted, could decrease the price we receive for any</w:t>
      </w:r>
    </w:p>
    <w:p>
      <w:pPr>
        <w:spacing w:after="0" w:line="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products that we may develop and adversely affect our future revenues and prospects for profitability. For example, on July 9, 2021, President Biden issued an executive order directing the FDA to, among other things, continue to clarify and improve the approval framework for generic drugs and identify and address any efforts to impede generic drug competition which could adversely impact our business.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187"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8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83" w:lineRule="exact"/>
        <w:rPr>
          <w:sz w:val="20"/>
          <w:szCs w:val="20"/>
          <w:color w:val="auto"/>
        </w:rPr>
      </w:pPr>
    </w:p>
    <w:p>
      <w:pPr>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4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or HIPAA, the Physician Payment Sunshine Act, HIPAA, as amended by the Health Information Technology for Economic and Clinical Health Act of 2009, or HITECH, the federal false statements statute, federal consumer protection and unfair competition laws</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 w:cs="Times New Roman" w:eastAsia="Times New Roman" w:hAnsi="Times New Roman"/>
          <w:sz w:val="18"/>
          <w:szCs w:val="18"/>
          <w:i w:val="1"/>
          <w:iCs w:val="1"/>
          <w:color w:val="auto"/>
        </w:rPr>
        <w:t>Business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Laws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7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78" w:lineRule="exact"/>
        <w:rPr>
          <w:sz w:val="20"/>
          <w:szCs w:val="20"/>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11" w:lineRule="exact"/>
        <w:rPr>
          <w:rFonts w:ascii="Times New Roman" w:cs="Times New Roman" w:eastAsia="Times New Roman" w:hAnsi="Times New Roman"/>
          <w:sz w:val="18"/>
          <w:szCs w:val="18"/>
          <w:color w:val="auto"/>
        </w:rPr>
      </w:pPr>
    </w:p>
    <w:p>
      <w:pPr>
        <w:ind w:left="1340" w:right="13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1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in the process of growing our operations. We have incurred significant operating losses since our inception and anticipate that we will incur continued losses for the foreseeable future.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87"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2022, we have received an aggregate of $3.6 billion from such transactions, including $1.9 billion in aggregate gross proceeds from the sale of common stock in our initial public</w:t>
      </w:r>
    </w:p>
    <w:p>
      <w:pPr>
        <w:sectPr>
          <w:pgSz w:w="11900" w:h="16838" w:orient="portrait"/>
          <w:cols w:equalWidth="0" w:num="1">
            <w:col w:w="9019"/>
          </w:cols>
          <w:pgMar w:left="1440" w:top="513"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Pharma Holding, or Alexion and $150.0 million in gross proceeds from a term loan from Sixth Street Partners. In addition, since January 2020, we also have generated revenue through sales of our drug products.</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 December 31, 2020. Our net losses were $557.5 million and $644.1 million for the years ended December 31, 2022 and 2021, respectively. Our net income was $313.9 million for the year ended December 31, 2020 primarily due to the collaboration revenue recorded under our collaboration with Roche for pralsetinib. As of December 31, 2022, we had an accumulated deficit of $1,833.0 million.</w:t>
      </w:r>
    </w:p>
    <w:p>
      <w:pPr>
        <w:spacing w:after="0" w:line="183"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4"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Our ability to generate substantial revenue depends on a number of factors, including, but not limited to, our ability to:</w:t>
      </w:r>
    </w:p>
    <w:p>
      <w:pPr>
        <w:spacing w:after="0" w:line="162" w:lineRule="exact"/>
        <w:rPr>
          <w:sz w:val="20"/>
          <w:szCs w:val="20"/>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25" w:lineRule="exact"/>
        <w:rPr>
          <w:rFonts w:ascii="Times New Roman" w:cs="Times New Roman" w:eastAsia="Times New Roman" w:hAnsi="Times New Roman"/>
          <w:sz w:val="18"/>
          <w:szCs w:val="18"/>
          <w:color w:val="auto"/>
        </w:rPr>
      </w:pPr>
    </w:p>
    <w:p>
      <w:pPr>
        <w:ind w:left="1340" w:right="139" w:hanging="318"/>
        <w:spacing w:after="0" w:line="258"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82" w:lineRule="exact"/>
        <w:rPr>
          <w:rFonts w:ascii="Times New Roman" w:cs="Times New Roman" w:eastAsia="Times New Roman" w:hAnsi="Times New Roman"/>
          <w:sz w:val="18"/>
          <w:szCs w:val="18"/>
          <w:color w:val="auto"/>
        </w:rPr>
      </w:pPr>
    </w:p>
    <w:p>
      <w:pPr>
        <w:ind w:left="1340" w:right="459" w:hanging="318"/>
        <w:spacing w:after="0" w:line="282"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to ensure clinical supply and commercial manufacturing;</w:t>
      </w:r>
    </w:p>
    <w:p>
      <w:pPr>
        <w:spacing w:after="0" w:line="161" w:lineRule="exact"/>
        <w:rPr>
          <w:rFonts w:ascii="Times New Roman" w:cs="Times New Roman" w:eastAsia="Times New Roman" w:hAnsi="Times New Roman"/>
          <w:sz w:val="18"/>
          <w:szCs w:val="18"/>
          <w:color w:val="auto"/>
        </w:rPr>
      </w:pPr>
    </w:p>
    <w:p>
      <w:pPr>
        <w:ind w:left="1340" w:right="379" w:hanging="318"/>
        <w:spacing w:after="0" w:line="266"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if necessary, expand a sales, marketing and distribution infrastructure to commercialize AYVAKIT/AYVAKYT and any current or future drug candidates for which we obtain marketing approval;</w:t>
      </w:r>
    </w:p>
    <w:p>
      <w:pPr>
        <w:spacing w:after="0" w:line="162"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GAVRETO and any current or future drug candidates for which we receive marketing approval; and</w:t>
      </w:r>
    </w:p>
    <w:p>
      <w:pPr>
        <w:spacing w:after="0" w:line="175" w:lineRule="exact"/>
        <w:rPr>
          <w:rFonts w:ascii="Times New Roman" w:cs="Times New Roman" w:eastAsia="Times New Roman" w:hAnsi="Times New Roman"/>
          <w:sz w:val="18"/>
          <w:szCs w:val="18"/>
          <w:color w:val="auto"/>
        </w:rPr>
      </w:pPr>
    </w:p>
    <w:p>
      <w:pPr>
        <w:ind w:left="1340" w:right="119" w:hanging="318"/>
        <w:spacing w:after="0" w:line="266"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companies that may have significantly greater financial resources and expertise in research and development, manufacturing, preclinical testing, conducting clinical trials, obtaining regulatory approvals and marketing approved drugs.</w:t>
      </w:r>
    </w:p>
    <w:p>
      <w:pPr>
        <w:spacing w:after="0" w:line="176" w:lineRule="exact"/>
        <w:rPr>
          <w:sz w:val="20"/>
          <w:szCs w:val="20"/>
          <w:color w:val="auto"/>
        </w:rPr>
      </w:pPr>
    </w:p>
    <w:p>
      <w:pPr>
        <w:ind w:left="60" w:right="399" w:firstLine="648"/>
        <w:spacing w:after="0" w:line="272" w:lineRule="auto"/>
        <w:rPr>
          <w:sz w:val="20"/>
          <w:szCs w:val="20"/>
          <w:color w:val="auto"/>
        </w:rPr>
      </w:pPr>
      <w:r>
        <w:rPr>
          <w:rFonts w:ascii="Times New Roman" w:cs="Times New Roman" w:eastAsia="Times New Roman" w:hAnsi="Times New Roman"/>
          <w:sz w:val="17"/>
          <w:szCs w:val="17"/>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w:t>
      </w:r>
    </w:p>
    <w:p>
      <w:pPr>
        <w:sectPr>
          <w:pgSz w:w="11900" w:h="16838" w:orient="portrait"/>
          <w:cols w:equalWidth="0" w:num="1">
            <w:col w:w="9019"/>
          </w:cols>
          <w:pgMar w:left="1440" w:top="513" w:right="1440"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generate substantial drug revenue, we will not become profitable and may be unable to continue operations without continued funding.</w:t>
      </w:r>
    </w:p>
    <w:p>
      <w:pPr>
        <w:spacing w:after="0" w:line="15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76"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62" w:lineRule="exact"/>
        <w:rPr>
          <w:sz w:val="20"/>
          <w:szCs w:val="20"/>
          <w:color w:val="auto"/>
        </w:rPr>
      </w:pPr>
    </w:p>
    <w:p>
      <w:pPr>
        <w:ind w:left="1340" w:right="399" w:hanging="318"/>
        <w:spacing w:after="0" w:line="312" w:lineRule="auto"/>
        <w:tabs>
          <w:tab w:leader="none" w:pos="1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9" w:lineRule="exact"/>
        <w:rPr>
          <w:rFonts w:ascii="Times New Roman" w:cs="Times New Roman" w:eastAsia="Times New Roman" w:hAnsi="Times New Roman"/>
          <w:sz w:val="17"/>
          <w:szCs w:val="17"/>
          <w:color w:val="auto"/>
        </w:rPr>
      </w:pPr>
    </w:p>
    <w:p>
      <w:pPr>
        <w:ind w:left="1340" w:right="359" w:hanging="318"/>
        <w:spacing w:after="0" w:line="266"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40" w:right="99" w:hanging="318"/>
        <w:spacing w:after="0" w:line="258"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82"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40" w:right="239" w:hanging="318"/>
        <w:spacing w:after="0" w:line="282"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40" w:right="359" w:hanging="318"/>
        <w:spacing w:after="0" w:line="258"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2" w:lineRule="exact"/>
        <w:rPr>
          <w:rFonts w:ascii="Times New Roman" w:cs="Times New Roman" w:eastAsia="Times New Roman" w:hAnsi="Times New Roman"/>
          <w:sz w:val="18"/>
          <w:szCs w:val="18"/>
          <w:color w:val="auto"/>
        </w:rPr>
      </w:pPr>
    </w:p>
    <w:p>
      <w:pPr>
        <w:ind w:left="1340" w:right="559" w:hanging="318"/>
        <w:spacing w:after="0" w:line="266"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CStone and Zai Lab and our license agreements with Clementia and IDRx,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40" w:right="99" w:hanging="318"/>
        <w:spacing w:after="0" w:line="258"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spacing w:after="0" w:line="182"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719" w:hanging="318"/>
        <w:spacing w:after="0" w:line="282"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61" w:lineRule="exact"/>
        <w:rPr>
          <w:rFonts w:ascii="Times New Roman" w:cs="Times New Roman" w:eastAsia="Times New Roman" w:hAnsi="Times New Roman"/>
          <w:sz w:val="18"/>
          <w:szCs w:val="18"/>
          <w:color w:val="auto"/>
        </w:rPr>
      </w:pPr>
    </w:p>
    <w:p>
      <w:pPr>
        <w:ind w:left="1340" w:right="779" w:hanging="318"/>
        <w:spacing w:after="0" w:line="282"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25" w:lineRule="exact"/>
        <w:rPr>
          <w:sz w:val="20"/>
          <w:szCs w:val="20"/>
          <w:color w:val="auto"/>
        </w:rPr>
      </w:pPr>
    </w:p>
    <w:p>
      <w:pPr>
        <w:ind w:left="60" w:right="159" w:firstLine="693"/>
        <w:spacing w:after="0" w:line="250" w:lineRule="auto"/>
        <w:rPr>
          <w:sz w:val="20"/>
          <w:szCs w:val="20"/>
          <w:color w:val="auto"/>
        </w:rPr>
      </w:pPr>
      <w:r>
        <w:rPr>
          <w:rFonts w:ascii="Times New Roman" w:cs="Times New Roman" w:eastAsia="Times New Roman" w:hAnsi="Times New Roman"/>
          <w:sz w:val="18"/>
          <w:szCs w:val="18"/>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9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5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7"/>
          <w:szCs w:val="17"/>
          <w:color w:val="auto"/>
        </w:rPr>
        <w:t>Until such time, if ever, as we can generate substantial drug revenues,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collaborations with Roche, CStone and Zai Lab and the license agreements with Clementia and IDRx, the Royalty Purchase Agreement with Royalty Pharma,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which, we sold our right to receive all of the royalties payable to the Company with respect to net sales by Roche, in all countries besides China, Hong Kong, Macau, Taiwan (collectively, “Greater China”) and the U.S., of GAVRETO under the Collaboration Agreement, dated July 13, 2020, by and between the Company and Roche, as amended. As consideration for the arrangement, we received $175.0 million upfront in cash and may receive up to $165.0 million in milestone payments. As a result, we will no longer derive cash from royalty payments from sales of GAVRETO in all countries</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besides Greater China and the U.S., other than in the form of contingent milestone payments under the royalty purchase agreement with Royalty Pharma. In February 2023, Roche announced that it recorded a full impairment charge of the GAVRETO intangible asset during the fourth quarter of 2022 due to lower sales expectations. If specified net sales milestones are not achieved, we may not be eligible to receive certain milestone payments under the Royalty Purchase Agreement with Royalty Pharma and the Roche pralsetinib collaboration agreement.</w:t>
      </w:r>
    </w:p>
    <w:p>
      <w:pPr>
        <w:spacing w:after="0" w:line="183"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There are a number of factors that could materially affect the amount and timing of royalty payments to Royalty Pharma from Roche, and correspondingly, the amount of interest expense recorded by the Company, most of which are not within our control. Such factors include, but are not limited to, delays or discontinuation of development of pralsetinib,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 are made in U.S. dollars (USD) while the underlying sales of GAVRETO are made in currencies other than USD, and other events or circumstances that are not currently foreseen. Changes to any of these factors could result in increases or decreases to both royalty revenues and interest expense.</w:t>
      </w:r>
    </w:p>
    <w:p>
      <w:pPr>
        <w:spacing w:after="0" w:line="17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June 2022, we entered into a Future Revenue Purchase Agreement with Sixth Street Partners, the other purchasers from time to time party thereto, and Sixth Street Partners as representative for the purchasers, pursuant to which, we sold our right to receive future royalty payments at a rate of 9.75% on up to $900 million each year of (i) aggregate worldwide annual net product sales of AYVAKIT/ AYVAKYT (avapritinib) and (ii) if it is approved, aggregate worldwide annual net product sales of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As consideration for the arrangement, we received $250.0 million in cash in July 2022 upon the transactions closing.</w:t>
      </w:r>
    </w:p>
    <w:p>
      <w:pPr>
        <w:spacing w:after="0" w:line="186"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the terms of the Sixth Street financing agreement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the Financing Agreement by and among the Company, the other lenders from time to time party thereto and Tao Talents, LLC, as the administrative agent for the lenders,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We may also at any time request an incremental term loan in an amount not to exceed $260.0 million on terms to be agreed and subject to the consent of the lenders providing such incremental term loan.</w:t>
      </w:r>
    </w:p>
    <w:p>
      <w:pPr>
        <w:spacing w:after="0" w:line="192"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7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Sixth Street Financing Agreement could restrict our ability to grow our business or enter into transactions that we believe would be beneficial to our business.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w:t>
      </w:r>
    </w:p>
    <w:p>
      <w:pPr>
        <w:sectPr>
          <w:pgSz w:w="11900" w:h="16838" w:orient="portrait"/>
          <w:cols w:equalWidth="0" w:num="1">
            <w:col w:w="9019"/>
          </w:cols>
          <w:pgMar w:left="1440" w:top="513" w:right="1440"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7"/>
          <w:szCs w:val="17"/>
          <w:color w:val="auto"/>
        </w:rPr>
        <w:t>We have entered into collaborations and licenses with Roche, CStone, Zai Lab, Proteovant, Clementia and IDRx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8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Zai Lab, Proteovant, Clementia or IDRx, or of any future collaboration or license agreement, could adversely affect us financially or harm our business reputation.</w:t>
      </w:r>
    </w:p>
    <w:p>
      <w:pPr>
        <w:spacing w:after="0" w:line="185" w:lineRule="exact"/>
        <w:rPr>
          <w:sz w:val="20"/>
          <w:szCs w:val="20"/>
          <w:color w:val="auto"/>
        </w:rPr>
      </w:pPr>
    </w:p>
    <w:p>
      <w:pPr>
        <w:ind w:left="60" w:right="5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w:t>
      </w:r>
    </w:p>
    <w:p>
      <w:pPr>
        <w:sectPr>
          <w:pgSz w:w="11900" w:h="16838" w:orient="portrait"/>
          <w:cols w:equalWidth="0" w:num="1">
            <w:col w:w="9019"/>
          </w:cols>
          <w:pgMar w:left="1440" w:top="513"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9" w:lineRule="exact"/>
        <w:rPr>
          <w:sz w:val="20"/>
          <w:szCs w:val="20"/>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74" w:lineRule="exact"/>
        <w:rPr>
          <w:sz w:val="20"/>
          <w:szCs w:val="20"/>
          <w:color w:val="auto"/>
        </w:rPr>
      </w:pPr>
    </w:p>
    <w:p>
      <w:pPr>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8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commercialization efforts.</w:t>
      </w:r>
    </w:p>
    <w:p>
      <w:pPr>
        <w:spacing w:after="0" w:line="22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the FDA has been working to resume pre-pandemic levels of inspection activities, including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pandemic, a number of companies announced receipt of</w:t>
      </w:r>
    </w:p>
    <w:p>
      <w:pPr>
        <w:sectPr>
          <w:pgSz w:w="11900" w:h="16838" w:orient="portrait"/>
          <w:cols w:equalWidth="0" w:num="1">
            <w:col w:w="9019"/>
          </w:cols>
          <w:pgMar w:left="1440" w:top="513" w:right="1440" w:bottom="1440"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17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83" w:lineRule="exact"/>
        <w:rPr>
          <w:sz w:val="20"/>
          <w:szCs w:val="20"/>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1"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7"/>
          <w:szCs w:val="17"/>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ongoing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176"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contract manufacturers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87" w:lineRule="exact"/>
        <w:rPr>
          <w:sz w:val="20"/>
          <w:szCs w:val="20"/>
          <w:color w:val="auto"/>
        </w:rPr>
      </w:pPr>
    </w:p>
    <w:p>
      <w:pPr>
        <w:ind w:left="60" w:right="319" w:firstLine="648"/>
        <w:spacing w:after="0" w:line="255"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83"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w:t>
      </w:r>
    </w:p>
    <w:p>
      <w:pPr>
        <w:sectPr>
          <w:pgSz w:w="11900" w:h="16838" w:orient="portrait"/>
          <w:cols w:equalWidth="0" w:num="1">
            <w:col w:w="9019"/>
          </w:cols>
          <w:pgMar w:left="1440" w:top="513" w:right="1440" w:bottom="1440" w:gutter="0" w:footer="0" w:header="0"/>
        </w:sect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a result of the ongoing COVID-19 pandemic, it could significantly and adversely affect our business, the supply of our drug candidates or approved drugs and our financial condition.</w:t>
      </w:r>
    </w:p>
    <w:p>
      <w:pPr>
        <w:spacing w:after="0" w:line="162"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7"/>
          <w:szCs w:val="17"/>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ongoing COVID-19 pandemic could adversely impact our suppliers and result in delays or disruptions in our current or future supply chain.</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8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patent applications in the U.S. and abroad related to our proprietary compounds, as well as the use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56"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3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80"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70"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w:t>
      </w:r>
    </w:p>
    <w:p>
      <w:pPr>
        <w:spacing w:after="0" w:line="16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6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patents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8" w:lineRule="exact"/>
        <w:rPr>
          <w:sz w:val="20"/>
          <w:szCs w:val="20"/>
          <w:color w:val="auto"/>
        </w:rPr>
      </w:pPr>
    </w:p>
    <w:p>
      <w:pPr>
        <w:ind w:left="60" w:right="6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w:t>
      </w:r>
    </w:p>
    <w:p>
      <w:pPr>
        <w:sectPr>
          <w:pgSz w:w="11900" w:h="16838" w:orient="portrait"/>
          <w:cols w:equalWidth="0" w:num="1">
            <w:col w:w="9019"/>
          </w:cols>
          <w:pgMar w:left="1440" w:top="513" w:right="1440" w:bottom="1440" w:gutter="0" w:footer="0" w:header="0"/>
        </w:sect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of validity that attaches to every U.S. patent. This means that in order to prevail, we would have to present clear and convincing evidence as to the invalidity of the patent’s claims.</w:t>
      </w:r>
    </w:p>
    <w:p>
      <w:pPr>
        <w:spacing w:after="0" w:line="16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9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4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including against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9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3"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9"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w:t>
      </w:r>
    </w:p>
    <w:p>
      <w:pPr>
        <w:sectPr>
          <w:pgSz w:w="11900" w:h="16838" w:orient="portrait"/>
          <w:cols w:equalWidth="0" w:num="1">
            <w:col w:w="9019"/>
          </w:cols>
          <w:pgMar w:left="1440" w:top="513" w:right="1440" w:bottom="1440" w:gutter="0" w:footer="0" w:header="0"/>
        </w:sect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3" w:lineRule="exact"/>
        <w:rPr>
          <w:sz w:val="20"/>
          <w:szCs w:val="20"/>
          <w:color w:val="auto"/>
        </w:rPr>
      </w:pPr>
    </w:p>
    <w:p>
      <w:pPr>
        <w:ind w:left="60" w:right="259" w:firstLine="648"/>
        <w:spacing w:after="0" w:line="271"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0" w:lineRule="exact"/>
        <w:rPr>
          <w:sz w:val="20"/>
          <w:szCs w:val="20"/>
          <w:color w:val="auto"/>
        </w:rPr>
      </w:pPr>
    </w:p>
    <w:p>
      <w:pPr>
        <w:ind w:left="6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obtain, or in applicable cases maintain, patent term extension or non-patent exclusivity in the United States under the Hatch-Waxman Act and in foreign countries under similar legislation, thereby potentially extending the marketing exclusivity term of our products or product candidates, our business may be materially harmed.</w:t>
      </w:r>
    </w:p>
    <w:p>
      <w:pPr>
        <w:spacing w:after="0" w:line="35" w:lineRule="exact"/>
        <w:rPr>
          <w:sz w:val="20"/>
          <w:szCs w:val="20"/>
          <w:color w:val="auto"/>
        </w:rPr>
      </w:pPr>
    </w:p>
    <w:p>
      <w:pPr>
        <w:ind w:left="60" w:right="79" w:firstLine="500"/>
        <w:spacing w:after="0" w:line="251"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7" w:lineRule="exact"/>
        <w:rPr>
          <w:sz w:val="20"/>
          <w:szCs w:val="20"/>
          <w:color w:val="auto"/>
        </w:rPr>
      </w:pPr>
    </w:p>
    <w:p>
      <w:pPr>
        <w:ind w:left="60" w:right="79" w:firstLine="500"/>
        <w:spacing w:after="0" w:line="255" w:lineRule="auto"/>
        <w:rPr>
          <w:sz w:val="20"/>
          <w:szCs w:val="20"/>
          <w:color w:val="auto"/>
        </w:rPr>
      </w:pPr>
      <w:r>
        <w:rPr>
          <w:rFonts w:ascii="Times New Roman" w:cs="Times New Roman" w:eastAsia="Times New Roman" w:hAnsi="Times New Roman"/>
          <w:sz w:val="18"/>
          <w:szCs w:val="18"/>
          <w:color w:val="auto"/>
        </w:rPr>
        <w:t>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87" w:lineRule="exact"/>
        <w:rPr>
          <w:sz w:val="20"/>
          <w:szCs w:val="20"/>
          <w:color w:val="auto"/>
        </w:rPr>
      </w:pPr>
    </w:p>
    <w:p>
      <w:pPr>
        <w:ind w:left="60" w:right="79" w:firstLine="500"/>
        <w:spacing w:after="0" w:line="256"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w:t>
      </w:r>
    </w:p>
    <w:p>
      <w:pPr>
        <w:spacing w:after="0" w:line="174" w:lineRule="exact"/>
        <w:rPr>
          <w:sz w:val="20"/>
          <w:szCs w:val="20"/>
          <w:color w:val="auto"/>
        </w:rPr>
      </w:pPr>
    </w:p>
    <w:p>
      <w:pPr>
        <w:ind w:left="60" w:right="139" w:firstLine="500"/>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abbreviated new drug application, or ANDA, filed with the FDA to obtain permission to sell a generic version of such product.</w:t>
      </w:r>
    </w:p>
    <w:p>
      <w:pPr>
        <w:spacing w:after="0" w:line="175" w:lineRule="exact"/>
        <w:rPr>
          <w:sz w:val="20"/>
          <w:szCs w:val="20"/>
          <w:color w:val="auto"/>
        </w:rPr>
      </w:pPr>
    </w:p>
    <w:p>
      <w:pPr>
        <w:ind w:left="60" w:right="179" w:firstLine="500"/>
        <w:spacing w:after="0" w:line="261" w:lineRule="auto"/>
        <w:rPr>
          <w:sz w:val="20"/>
          <w:szCs w:val="20"/>
          <w:color w:val="auto"/>
        </w:rPr>
      </w:pPr>
      <w:r>
        <w:rPr>
          <w:rFonts w:ascii="Times New Roman" w:cs="Times New Roman" w:eastAsia="Times New Roman" w:hAnsi="Times New Roman"/>
          <w:sz w:val="18"/>
          <w:szCs w:val="18"/>
          <w:color w:val="auto"/>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may not be successful in doing so. Moreover, these non-patent exclusivities, if granted, are limited and other companies may be able to submit marketing applications and receive approval earlier than we anticipate.</w:t>
      </w:r>
    </w:p>
    <w:p>
      <w:pPr>
        <w:spacing w:after="0" w:line="158"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2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95"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(UPC) for the European Union, that is expected to be fully ratified in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product candidates.</w:t>
      </w:r>
    </w:p>
    <w:p>
      <w:pPr>
        <w:spacing w:after="0" w:line="22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59"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Unified Patent Court (UPC) for the European Union, that is expected to be fully ratified in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90"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9"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4" w:lineRule="exact"/>
        <w:rPr>
          <w:sz w:val="20"/>
          <w:szCs w:val="20"/>
          <w:color w:val="auto"/>
        </w:rPr>
      </w:pPr>
    </w:p>
    <w:p>
      <w:pPr>
        <w:ind w:left="60" w:right="199" w:firstLine="648"/>
        <w:spacing w:after="0" w:line="270"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8"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2"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including Employee Matters, Managing Growth and Others</w:t>
      </w:r>
    </w:p>
    <w:p>
      <w:pPr>
        <w:spacing w:after="0" w:line="22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future growth prospects could be materially and adversely affected by the ongoing COVID-19 pandemic.</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the ongoing COVID-19 pandemic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7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For example, public health actions being undertaken globally in response to the ongoing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w:t>
      </w:r>
    </w:p>
    <w:p>
      <w:pPr>
        <w:sectPr>
          <w:pgSz w:w="11900" w:h="16838" w:orient="portrait"/>
          <w:cols w:equalWidth="0" w:num="1">
            <w:col w:w="9019"/>
          </w:cols>
          <w:pgMar w:left="1440" w:top="513" w:right="1440"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pacing w:after="0" w:line="183" w:lineRule="exact"/>
        <w:rPr>
          <w:sz w:val="20"/>
          <w:szCs w:val="20"/>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planned clinical trials;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and business operations;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at our third-party suppliers and other vendors in the U.S. and other countries;</w:t>
      </w:r>
    </w:p>
    <w:p>
      <w:pPr>
        <w:spacing w:after="0" w:line="225" w:lineRule="exact"/>
        <w:rPr>
          <w:rFonts w:ascii="Times New Roman" w:cs="Times New Roman" w:eastAsia="Times New Roman" w:hAnsi="Times New Roman"/>
          <w:sz w:val="18"/>
          <w:szCs w:val="18"/>
          <w:color w:val="auto"/>
        </w:rPr>
      </w:pPr>
    </w:p>
    <w:p>
      <w:pPr>
        <w:jc w:val="both"/>
        <w:ind w:left="1340" w:right="159" w:hanging="318"/>
        <w:spacing w:after="0" w:line="266"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75"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activities related to AYVAKIT/AYVAKYT, GAVRETO and any drug candidates for which we may receive marketing approval in the U.S. or other geographies in the future.</w:t>
      </w:r>
    </w:p>
    <w:p>
      <w:pPr>
        <w:spacing w:after="0" w:line="162"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To the extent the ongoing COVID-19 pandemic adversely affects our business, results of operations and future growth prospects, it may also have the effect of heightening many of the other risks described in this “Risk Factors” section.</w:t>
      </w:r>
    </w:p>
    <w:p>
      <w:pPr>
        <w:spacing w:after="0" w:line="179"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9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As of January 31, 2023, we had 641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90"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ongoing COVID-19 pandemic has caused extreme volatility and disruptions in the capital and credit markets. In addition, geopolitical developments, such as the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Related sanctions, export controls or other actions that may be initiated by nations including the U.S., the EU or Russia (e.g., potential cyberattacks, disruption of energy flows) could adversely affect our business, our supply chain, CROs, CMOs, clinical trial sites, collaborative partners,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Political development can also lead to uncertainty around regulations and rules that may materially affect our business. For example, as the UK regulatory system is now independent from the EU, a long 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risks associated with the Russian invasion of Ukraine could have an adverse impact on our business, financial condition and results of operations, including our clinical trials.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February 24, 2022, Russian forces invaded Ukraine, which has resulted in conflict and disruption in the region. In response to this action taken by Russia, the U.S. and other countries immediately imposed various economic sanctions against Russia. In the event Russia’s invasion continues or geographically expands, additional governmental sanctions may be enacted. The uncertain nature of this evolving situation, including the potential effects of sanctions limitations, retaliatory cyber-attacks on the world economy and markets, have also contributed to increased market volatility and uncertainty, which could have an adverse impact on macroeconomic factors that affect our business and operations.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the ongoing conflict in Ukraine may disrupt the ability of our commercial research organizations, or CROs, to conduct clinical trials at certain sites in Ukraine. Moreover, enrollment and retention of clinical trial participants may be adversely affected. The overall impact of this conflict on our ability to conduct clinical trials at certain sites in future periods is hard to predict. However, interruptions of our clinical trials could significantly delay our clinical</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development plans and potential authorization or approval of our product candidates, which could increase our costs and impact our timelines for commercializing certain of our product candidates.</w:t>
      </w:r>
    </w:p>
    <w:p>
      <w:pPr>
        <w:spacing w:after="0" w:line="158"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United States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 fluctuations could have an adverse impact on our operating results.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contract with vendors that are located in Asia and Europe, which are denominated in foreign currencies. 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8"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4"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88"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70"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3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9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8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European Economic Area, or EEA, as well as any company outside the EEA that collects or otherwise processes personal data in connection with the offering goods or services to individuals in the EEA or the monitoring of their behavior. The GDPR enhances data protection obligations for processors and controllers of personal</w:t>
      </w:r>
    </w:p>
    <w:p>
      <w:pPr>
        <w:sectPr>
          <w:pgSz w:w="11900" w:h="16838" w:orient="portrait"/>
          <w:cols w:equalWidth="0" w:num="1">
            <w:col w:w="9019"/>
          </w:cols>
          <w:pgMar w:left="1440" w:top="513" w:right="1440" w:bottom="1440" w:gutter="0" w:footer="0" w:header="0"/>
        </w:sect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data, including, for example, expanded disclosures about how personal information is to be used, ensuring we have a valid legal basis to process personal data, maintaining records of our processing activities and to document data protection impact assessments where there is high risk processing, limitations on retention of information, mandatory data breach notification requirements, ensuring appropriate technical and organizational measures to be put in place to safeguard personal data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Further to the UK’s exit from the European Union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In this document, “GDPR” refers to both the EU and the UK GDPR, unless specified otherwise.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EEA.</w:t>
      </w:r>
    </w:p>
    <w:p>
      <w:pPr>
        <w:spacing w:after="0" w:line="19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 In addition, the UK has announced plans to reform the country’s data protection legal framework in its Data Reform Bill, but these have been put on hold.</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Further, European data protection laws also prohibit the transfer of personal data from the EEA and Switzerland to third countries that are not considered to provide adequate protections are provided for personal data, including the U.S. With regard to transfers of personal data from the EEA, transfers to third countries that have not been approved as “adequate” are prohibited unless an appropriate safeguard specified by the GDPR is implemented, such as the Standard Contractual Clauses, or SCCs, approved by the European Commission, or EC, or binding corporate rules, or a derogation applies. In the past, companies in the U.S. were able to rely upon the Privacy Shield framework to legitimize data transfers from the EEA to the U.S. In July 2020, the Court of Justice of the European Union, or CJEU, in Case C-311/18 (Data Protection Commissioner v Facebook Ireland and Maximillian Schrems, or Schrems II) invalidated the EU-U.S. Privacy Shield on the grounds that the Privacy Shield failed to offer adequate protections to EU personal data transferred to the U.S. The CJEU, in the same decision, deemed that the Standard Contractual Clauses, or SCCs, published by the EC are valid. However, the CJEU ruled that transfers made pursuant to the SCCs need to be assessed on a case-by-case basis to ensure the law in the recipient country provides “essentially equivalent” protections to safeguard the transferred personal data as the EEA, and required businesses to adopt supplementary measures if such standard is not met.</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June 4, 2021, the European Commission issued new SCCs that account for the CJEU’s decision and other developments, which need to be put in place for new contracts involving the transfer of personal data from the EEA to a third country since September 27, 2021, and incorporated into existing contracts since December 27, 2022. The New SCCs do not apply to the UK, but the UK Information Commissioner’s Office has published its own transfer mechanism, the International Data Transfer Agreement, or UK IDTA, which entered into force on 21 March 2022, and enables data transfers originating from the UK. It requires a similar assessment of the data protection provided in the importer’s country. The UK IDTA needs to be concluded in new contracts involving the transfer of personal data from the UK as of 22 September 2022. Organizations have until 21 March 2024 to update existing agreements. On March 25, 2022, the EC and the US announced to have reached a political agreement on a new “Trans-Atlantic Data Privacy Framework”, which will replace the invalidated Privacy Shield and on December 13, 2022. The EC published a draft adequacy decision on the Trans-Atlantic Data Privacy Framework. We will be required to implement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EU’s GDPR, the EC has issued a decision recognizing the UK as providing adequate protection under the EU GDPR and, therefore, transfers of personal data originating in the EEA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83" w:lineRule="exact"/>
        <w:rPr>
          <w:sz w:val="20"/>
          <w:szCs w:val="20"/>
          <w:color w:val="auto"/>
        </w:rPr>
      </w:pPr>
    </w:p>
    <w:p>
      <w:pPr>
        <w:jc w:val="both"/>
        <w:ind w:left="60" w:right="79" w:firstLine="648"/>
        <w:spacing w:after="0" w:line="257" w:lineRule="auto"/>
        <w:rPr>
          <w:sz w:val="20"/>
          <w:szCs w:val="20"/>
          <w:color w:val="auto"/>
        </w:rPr>
      </w:pPr>
      <w:r>
        <w:rPr>
          <w:rFonts w:ascii="Times New Roman" w:cs="Times New Roman" w:eastAsia="Times New Roman" w:hAnsi="Times New Roman"/>
          <w:sz w:val="18"/>
          <w:szCs w:val="18"/>
          <w:color w:val="auto"/>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w:t>
      </w:r>
    </w:p>
    <w:p>
      <w:pPr>
        <w:spacing w:after="0" w:line="1" w:lineRule="exact"/>
        <w:rPr>
          <w:sz w:val="20"/>
          <w:szCs w:val="20"/>
          <w:color w:val="auto"/>
        </w:rPr>
      </w:pPr>
    </w:p>
    <w:p>
      <w:pPr>
        <w:ind w:left="60" w:right="419"/>
        <w:spacing w:after="0" w:line="253" w:lineRule="auto"/>
        <w:rPr>
          <w:sz w:val="20"/>
          <w:szCs w:val="20"/>
          <w:color w:val="auto"/>
        </w:rPr>
      </w:pPr>
      <w:r>
        <w:rPr>
          <w:rFonts w:ascii="Times New Roman" w:cs="Times New Roman" w:eastAsia="Times New Roman" w:hAnsi="Times New Roman"/>
          <w:sz w:val="18"/>
          <w:szCs w:val="18"/>
          <w:color w:val="auto"/>
        </w:rPr>
        <w:t>Complying with this guidance as it exists today and evolves will be expensive and time consuming and may ultimately prevent us from transferring personal data outside the EEA, which would cause significant business disruption for ourselves and our customers and potentially require the changes in the way our products are configured, hosted and supported.</w:t>
      </w:r>
    </w:p>
    <w:p>
      <w:pPr>
        <w:spacing w:after="0" w:line="189"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subject to Swiss data protection laws, including the Federal Act on Data Protection, or FADP. While the FADP provides broad protections to personal data, on September 25, 2020, the Swiss federal Parliament enacted a revised version of the FADP, which is anticipated to become effective in September 2023. The new version of the FADP aligns Swiss data protection law with the GDPR.</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The Draft Regulation is still the subject of negotiations between the Council of the European Union and the European Parliament. It is unclear when the Draft Regulation will enter into force.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to European data protection requirements,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w:t>
      </w:r>
    </w:p>
    <w:p>
      <w:pPr>
        <w:spacing w:after="0" w:line="18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Additionally, a new California ballot initiative, the California Privacy Rights Act, or CPRA, was passed in November 2020 and became effective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8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Also, on March 2, 2021, Virginia enacted the Consumer Data Protection Act, or CDPA. The CDPA became effective on January 1, 2023. The CDPA regulates how businesses, which the CDPA refers to as “controllers”, collect and share personal information. The law applies to companies that conduct business in Virginia or product products or</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CDPA regulates impact how controllers collect and process personal sensitive data, conduct data protection assessments, transfer personal data to affiliates, and respond to consumer rights requests. In addition, on July 8, 2021, Colorado’s governor signed the Colorado Privacy Act, or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Moreover, on March 24, 2022, Utah’s governor signed the Utah Consumer Privacy Act, or UCPA, into law. The UCPA will take effect on December 31, 2023. Also, in 2022, Connecticut Governor Lamont signed the Connecticut Data Privacy Act, or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79"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curtailment of our operations, any of which could adversely affect our ability to operate our business and our results of operations.</w:t>
      </w:r>
    </w:p>
    <w:p>
      <w:pPr>
        <w:spacing w:after="0" w:line="158"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16"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As of December 31, 2022, the U.S. Congress has not passed legislation that would defer the amortization requirement to future periods and as such the inability to deduct research and development expenditures in their entirety in 2022 had a material impact on the carryover of taxable losses used to offset future taxable income, and in turn will impact our cash flows in future years.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16" w:lineRule="exact"/>
        <w:rPr>
          <w:sz w:val="20"/>
          <w:szCs w:val="20"/>
          <w:color w:val="auto"/>
        </w:rPr>
      </w:pPr>
    </w:p>
    <w:p>
      <w:pPr>
        <w:jc w:val="both"/>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February 15, 2023. As a result of this volatility, our stockholders could incur substantial losses.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9" w:lineRule="exact"/>
        <w:rPr>
          <w:sz w:val="20"/>
          <w:szCs w:val="20"/>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25" w:lineRule="exact"/>
        <w:rPr>
          <w:rFonts w:ascii="Times New Roman" w:cs="Times New Roman" w:eastAsia="Times New Roman" w:hAnsi="Times New Roman"/>
          <w:sz w:val="18"/>
          <w:szCs w:val="18"/>
          <w:color w:val="auto"/>
        </w:rPr>
      </w:pPr>
    </w:p>
    <w:p>
      <w:pPr>
        <w:ind w:left="1380" w:right="1179" w:hanging="331"/>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380" w:right="399" w:hanging="331"/>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including the COVID-19 pandemic, trade wars, political unrest or other similar events;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Future sales or issuances of common stock or other equity related securities may also adversely affect the market price of our common stock. In February 2022, we entered into a new sales agreement with Cowen and Company, LLC through which we may, from time to time, issue and sell shares of our common stock having an aggregate offering price of up to $300.0 million, subject to the terms and conditions of the sales agreement. We did not sell any shares of common stock under this sales agreement during the year ended December 31, 2022. If we seek authorization to sell shares of common stock under the new sales agreement, enter into new “at the market” stock offering programs, or conduct a public offering or private offering through other means, it could lead to additional dilution for our stockholders and may impact our stock price adversely.</w:t>
      </w:r>
    </w:p>
    <w:p>
      <w:pPr>
        <w:spacing w:after="0" w:line="192"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70"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February 2022, we commenced a new at-the-market, or ATM, program to raise capital. Under our ATM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 we have entered into a sales agreement to sell common shares, up to a maximum aggregate market value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$300.0 million, through one or more at-the-market offerings. Given volatility in the capital markets, we may not be willing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able to continue to raise equity capital through our ATM program. We may, therefore, need to turn to other sources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funding that may have terms that are not favorable to us, or reduce our business operations given capital constraints.</w:t>
      </w:r>
    </w:p>
    <w:p>
      <w:pPr>
        <w:spacing w:after="0" w:line="20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74" w:lineRule="auto"/>
        <w:rPr>
          <w:sz w:val="20"/>
          <w:szCs w:val="20"/>
          <w:color w:val="auto"/>
        </w:rPr>
      </w:pPr>
      <w:r>
        <w:rPr>
          <w:rFonts w:ascii="Times New Roman" w:cs="Times New Roman" w:eastAsia="Times New Roman" w:hAnsi="Times New Roman"/>
          <w:sz w:val="17"/>
          <w:szCs w:val="17"/>
          <w:color w:val="auto"/>
        </w:rPr>
        <w:t>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subsidiary, which would adversely affect the rights of holders of both the company’s equity securities and its debt and debt securities.</w:t>
      </w:r>
    </w:p>
    <w:p>
      <w:pPr>
        <w:spacing w:after="0" w:line="17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399"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59"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59" w:lineRule="exact"/>
        <w:rPr>
          <w:sz w:val="20"/>
          <w:szCs w:val="20"/>
          <w:color w:val="auto"/>
        </w:rPr>
      </w:pPr>
    </w:p>
    <w:p>
      <w:pPr>
        <w:ind w:left="60" w:right="119"/>
        <w:spacing w:after="0" w:line="250" w:lineRule="auto"/>
        <w:rPr>
          <w:sz w:val="20"/>
          <w:szCs w:val="20"/>
          <w:color w:val="auto"/>
        </w:rPr>
      </w:pPr>
      <w:r>
        <w:rPr>
          <w:rFonts w:ascii="Times New Roman" w:cs="Times New Roman" w:eastAsia="Times New Roman" w:hAnsi="Times New Roman"/>
          <w:sz w:val="18"/>
          <w:szCs w:val="18"/>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federal district courts of the United States will be the exclusive forum for resolving any complaint asserting a cause of action arising under the Securities Act, which we refer to as the federal forum provision. We have chosen the federal district courts of the United States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3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any person or entity purchasing or otherwise acquiring any interest in shares of our common stock is deemed to have notice of and consented to the Delaware forum provision and the federal forum provision.</w:t>
      </w:r>
    </w:p>
    <w:p>
      <w:pPr>
        <w:spacing w:after="0" w:line="203"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3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4" w:lineRule="exact"/>
        <w:rPr>
          <w:sz w:val="20"/>
          <w:szCs w:val="20"/>
          <w:color w:val="auto"/>
        </w:rPr>
      </w:pPr>
    </w:p>
    <w:p>
      <w:pPr>
        <w:ind w:left="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1"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our capital stock may be subject to additional tax.</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Congress recently enacted a new 1% excise tax on certain stock repurchases (or similar transactions) effected by publicly traded domestic corporations such as Blueprint. This tax could make stock repurchases less desirable (and therefore less likely) as compared with other possible uses of our funds, and could reduce the amount of cash available if we do determine to pursue a stock repurchase.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$648.1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w:t>
      </w:r>
    </w:p>
    <w:p>
      <w:pPr>
        <w:spacing w:after="0" w:line="18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With respect to the net operating losses and research and development tax credit carryforwards acquired from the acquisition of Lengo, the Company has completed a study to assess whether an ownership change under Section 382 of the Code has occurred, or whether there have been multiple ownership changes since Lengo’s formation. Based on the study all the net operating losses and research and development credits acquired will be available for utilization within their applicable carryforward periods.</w:t>
      </w:r>
    </w:p>
    <w:p>
      <w:pPr>
        <w:spacing w:after="0" w:line="187"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As of December 31, 2022, the Company performed an analysis of any potential ownership changes. The estimate concluded that it is more likely than not that an additional ownership change did not occur during the analysis period. The Company will finalize the analysis as part of the 2022 income tax return filing.</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As part of this update, the Company also analyzed the shifts in the stock ownership of Lengo Therapeutics, Inc. (Lengo), a company acquired on December 29, 2021, for purposes of determining (1) whether and when Lengo experienced an “ownership change,” as defined in section 382(g)(1) of the Internal Revenue Code, during the period beginning March 6, 2019, the date of the first reported issuance of Lengo stock, and ending on the date of the Company’s acquisition by Blueprint on December 29, 2021 (Owner Shift Analysis), and (2) the extent to which Lengo’s net operating loss and tax credit carryforwards may be subject to limitation under sections 382 and 383 as a result of any such ownership changes (Limitation Analysis) (collectively, the Analysis). The analysis concluded that it is more likely than not that ownership changes occurred on (1) March 26, 2020 in connection with the issuance of Series A Preferred stock and (2) on December 29, 2021 in connection with Blueprint’s acquisition of the Company. An analysis of Lengo Therapeutics, Inc. was not required as it was merged into the Company effective June 24,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Our headquarters are located at 45 Sidney Street in Cambridge, Massachusetts where we occupy approximately 139,216 rentable square feet of office and laboratory space under a lease that will expire on November 30, 2029, unless terminated sooner.</w:t>
      </w:r>
    </w:p>
    <w:p>
      <w:pPr>
        <w:spacing w:after="0" w:line="176"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also lease approximately 39,000 rentable square feet at our former corporate headquarters at 38 Sidney Street in Cambridge, Massachusetts under a lease that was extended on December 15, 2021, and will now expire on November 30, 2029.</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office and laboratory space is sufficient to meet our needs for the foreseeable future and that suitable additional space will be available as and when needed.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We are not currently a party to any material legal proceedings.</w:t>
      </w:r>
    </w:p>
    <w:p>
      <w:pPr>
        <w:spacing w:after="0" w:line="233"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“BPMC” on the Nasdaq Global Select Market and has been publicly traded since April 30, 2015.</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62"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As of January 31, 2023, there were 10 holders of record of our common stock. This number does not include beneficial owners whose shares are held by nominees in street name.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2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following performance graph compares the performance of our common stock to the Nasdaq Composite Index and to the Nasdaq Biotechnology Index from December 31, 2015 through December 31, 2022. The comparison assumes $100 was invested in our common stock and in each of the foregoing indices after the market closed on December 31, 2015, and it assumes reinvestment of dividends, if any. 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62230</wp:posOffset>
            </wp:positionV>
            <wp:extent cx="4594860" cy="2820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94860" cy="2820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will be included in our definitive proxy statement to be filed with the SEC with respect to our 2023 Annual Meeting of Stockholders and is incorporated herein by reference.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left="60" w:right="4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228"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Information pertaining to fiscal year 2020 was included in the Company’s Annual Report on Form 10-K for the year ended December 31, 2021 on pages 100 through 111 under Part II, Item 7, “Management’s Discussion and Analysis of Financial Position and Results of Operations,” which was filed with the Securities and Exchange Commission (the “SEC”) on February 17, 2022.</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are a global precision therapy company that is inventing life-changing medicines for people with cancer and blood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AYVAKIT®/AYVAKYT® (avapritinib) and GAVRETO® (pralsetinib), to patients in the U.S. and Europe, and we are globally advancing multiple programs for systemic mastocytosis, or SM, lung cancer, breast cancer and other genomically defined cancers, and cancer immunotherapy.</w:t>
      </w:r>
    </w:p>
    <w:p>
      <w:pPr>
        <w:spacing w:after="0" w:line="21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drug discovery approach combines our biological insights with our proprietary compound library and chemistry expertise to design highly selective and potent precision therapies. We aim to enable potent target inhibition that provides significant and durable clinical responses, limit side effects driven by off-target activity and combine therapies to shut down disease drivers and resistance,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3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At our Investor Day held in November 2022, we announced our five-year 2027 Blueprint strategy to achieve what we are calling Precision at Scale, which aims to bring the promise of precision medicine to impact larger patient</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populations by leveraging the strength of our scientific leadership, proven development capability, and global integrated business. Building on our significant achievements over the last decade, the five-year 2027 Blueprint strategy aims to double our impact across multiple measures of portfolio strength in about half the time. Specifically, we endeavor to achieve the following by the end of 2027:</w:t>
      </w:r>
    </w:p>
    <w:p>
      <w:pPr>
        <w:spacing w:after="0" w:line="220" w:lineRule="exact"/>
        <w:rPr>
          <w:sz w:val="20"/>
          <w:szCs w:val="20"/>
          <w:color w:val="auto"/>
        </w:rPr>
      </w:pPr>
    </w:p>
    <w:p>
      <w:pPr>
        <w:ind w:left="720" w:right="319" w:hanging="319"/>
        <w:spacing w:after="0" w:line="253"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AYVAKIT in indolent SM, improving treatment options for patients across the spectrum of the disease and expanding the company’s leadership position in SM.</w:t>
      </w:r>
    </w:p>
    <w:p>
      <w:pPr>
        <w:ind w:left="720" w:right="519" w:hanging="319"/>
        <w:spacing w:after="0" w:line="250"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 robust portfolio of innovative clinical programs, addressing broader patient populations, towards registration.</w:t>
      </w:r>
    </w:p>
    <w:p>
      <w:pPr>
        <w:ind w:left="720" w:right="479" w:hanging="319"/>
        <w:spacing w:after="0" w:line="260"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research and development pipeline with diverse, high-value programs from the company’s prolific scientific platform</w:t>
      </w:r>
    </w:p>
    <w:p>
      <w:pPr>
        <w:spacing w:after="0" w:line="21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Systemic Mastocytosis and other Mast Cell Disorders — AYVAKIT®/AYVAKYT® (avapritinib) and Elenestinib (BLU-263)</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Avapritinib</w:t>
      </w:r>
    </w:p>
    <w:p>
      <w:pPr>
        <w:spacing w:after="0" w:line="25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commercializing avapritinib for the treatment of SM and developing avapritinib for the treatment of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w:t>
      </w:r>
    </w:p>
    <w:p>
      <w:pPr>
        <w:spacing w:after="0" w:line="21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Avapritinib is approved in the U.S. under the brand name AYVAKIT for the treatment of adult patients with advanced SM, including aggressive SM or ASM, SM with an associated hematological neoplasm or SM-AHN, and mast cell leukemia or MCL. In March 2022, the European Commission expanded the marketing authorization for AYVAKYT to include the treatment of adult patients with ASM, SM-AHN, or MCL, after at least one systemic therapy. After receiving the European Commission’s approval, we launched AYVAKYT in Europe. These approvals were supported by our ongoing Phase 1 clinical trial in advanced SM, which we refer to as our EXPLORER trial, and our ongoing Phase 2 clinical trial in advanced SM, which we refer to as our PATHFINDER trial.</w:t>
      </w:r>
    </w:p>
    <w:p>
      <w:pPr>
        <w:spacing w:after="0" w:line="22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At the European Hematology Association, or EHA, Annual Meeting in June 2022, we presented data showing that AYVAKIT improved OS and other clinical outcomes in EXPLORER and PATHFINDER trial patients with advanced SM, when indirectly compared to real-world data for prior best available therapies.</w:t>
      </w:r>
    </w:p>
    <w:p>
      <w:pPr>
        <w:spacing w:after="0" w:line="22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At the American Society of Hematology, or ASH, Annual Meeting in December 2022, we reported EXPLORER and PATHFINDER trial data showing high, durable response rates and prolonged OS in patients with advanced SM. Safety data were consistent with previously reported results and the FDA approved labeling of AYVAKIT, and reinforce the favorable benefit-risk profile of AYVAKIT at the 200 mg once-daily recommended dose.</w:t>
      </w:r>
    </w:p>
    <w:p>
      <w:pPr>
        <w:spacing w:after="0" w:line="20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addition, we are evaluating avapritinib in an ongoing registration-enabling Phase 2 clinical trial in indolent SM, which we refer to as our PIONEER trial. In August 2022, we reported positive top-line data for Part 2 of the PIONEER trial of AYVAKIT plus best available care versus placebo plus best available care, or the control arm, demonstrating clinically meaningful and highly significant improvements across the primary and key secondary endpoints, including patient-reported symptoms and objective measures of mast cell burden. AYVAKIT had a favorable safety profile compared to the control arm, supporting the potential for long-term treatment. Based on these positive results and a strong safety profile, we submitted a supplemental new drug application, or sNDA to the FDA for AYVAKIT in indolent SM in November 2022. The FDA accepted this sNDA and granted priority review, with an action date of May 22, 2023 under the Prescription Drug User Fee Act, or PDUFA.</w:t>
      </w:r>
    </w:p>
    <w:p>
      <w:pPr>
        <w:spacing w:after="0" w:line="21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plan to present registrational PIONEER trial data for AYVAKIT in indolent SM at the American Academy of Allergy, Asthma and Immunology, or AAAAI, Annual Meeting in February 2023. In addition, we achieved European Medicines Agency, or EMA validation of a type II variation marketing authorization application, or MAA, for AYVAKYT for indolent SM in February 2023.</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Elenestinib (BLU-263)</w:t>
      </w:r>
    </w:p>
    <w:p>
      <w:pPr>
        <w:spacing w:after="0" w:line="26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are developing elenestinib, or BLU-263,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or CNS, relative to avapritinib based on preclinical data, which we believe will enable development of elenestinib for the treatment of indolent SM.</w:t>
      </w:r>
    </w:p>
    <w:p>
      <w:pPr>
        <w:spacing w:after="0" w:line="228" w:lineRule="exact"/>
        <w:rPr>
          <w:sz w:val="20"/>
          <w:szCs w:val="20"/>
          <w:color w:val="auto"/>
        </w:rPr>
      </w:pPr>
    </w:p>
    <w:p>
      <w:pPr>
        <w:ind w:left="60" w:right="339" w:firstLine="648"/>
        <w:spacing w:after="0" w:line="254" w:lineRule="auto"/>
        <w:rPr>
          <w:sz w:val="20"/>
          <w:szCs w:val="20"/>
          <w:color w:val="auto"/>
        </w:rPr>
      </w:pPr>
      <w:r>
        <w:rPr>
          <w:rFonts w:ascii="Times New Roman" w:cs="Times New Roman" w:eastAsia="Times New Roman" w:hAnsi="Times New Roman"/>
          <w:sz w:val="18"/>
          <w:szCs w:val="18"/>
          <w:color w:val="auto"/>
        </w:rPr>
        <w:t>We are evaluating elenestinib in an ongoing Phase 2/3 clinical trial in indolent SM, which we refer to as our HARBOR trial. In December 2022, we announced top-line, 12-week data from the dose-finding Part 1 of the HARBOR trial. Elenestinib showed improved measures of mast cell burden and patient-reported symptoms, and safety data were consistent with the preclinical profile of elenestinib and a completed Phase 1 healthy volunteer trial. We plan to present HARBOR Part 1 trial data for elenestinib in indolent SM at a medical conference in the second half of 2023.</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 — GAVRETO® (pralsetinib)</w:t>
      </w:r>
    </w:p>
    <w:p>
      <w:pPr>
        <w:spacing w:after="0" w:line="256"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are developing and commercializing pralsetinib for the treatment of RET fusion-positive non-small cell lung cancer, or NSCLC, and for the treatment of RET-altered thyroid carcinoma, including medullary thyroid carcinoma, or MTC. We are also developing pralsetinib for the treatment of other RET-altered solid tumors. We have granted exclusive licenses to Roche and CStone Pharmaceuticals, or CStone, to develop and commercialize pralsetinib in their respective territories. See “</w:t>
      </w:r>
      <w:r>
        <w:rPr>
          <w:rFonts w:ascii="Times New Roman" w:cs="Times New Roman" w:eastAsia="Times New Roman" w:hAnsi="Times New Roman"/>
          <w:sz w:val="18"/>
          <w:szCs w:val="18"/>
          <w:i w:val="1"/>
          <w:iCs w:val="1"/>
          <w:color w:val="auto"/>
        </w:rPr>
        <w:t>—Collaborations and Licenses Summary</w:t>
      </w:r>
      <w:r>
        <w:rPr>
          <w:rFonts w:ascii="Times New Roman" w:cs="Times New Roman" w:eastAsia="Times New Roman" w:hAnsi="Times New Roman"/>
          <w:sz w:val="18"/>
          <w:szCs w:val="18"/>
          <w:color w:val="auto"/>
        </w:rPr>
        <w:t>” below.</w:t>
      </w:r>
    </w:p>
    <w:p>
      <w:pPr>
        <w:spacing w:after="0" w:line="21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Pralsetinib received accelerated approval in the U.S.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1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Through our collaboration with Roche, the European Commission granted conditional marketing authorization for GAVRETO as a monotherapy for the treatment of adults with RET fusion-positive advanced NSCLC not previously treated with a RET inhibitor. In November 2022, Roche withdrew its type II variation MAA to the EMA for pralsetinib for RET-altered thyroid cancers in the second-line. Roche stated a change in strategy as the reason for the withdrawal, and that it was unrelated to product quality, efficacy or safety.</w:t>
      </w:r>
    </w:p>
    <w:p>
      <w:pPr>
        <w:spacing w:after="0" w:line="22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Through our collaboration with CStone, GAVRETO is approved by China’s National Medicinal Products Administration, or NMPA, for the treatment of patients with RET fusion-positive NSCLC previously treated with platinum-based chemotherapy. In March 2022, China’s NMPA approved GAVRETO for the treatment of RET-mutant MTC and RET fusion-positive thyroid cancer. In January 2023, the Taiwan Food and Drug Administration, or TFDA, approved GAVRETO for the treatment of adult patients with RET fusion-positive locally advanced or metastatic NSCLC, RET-mutant MTC and RET fusion-positive thyroid cancer. GAVRETO was approved in Hong Kong in July 2022 for the treatment of RET fusion-positive NSCLC.</w:t>
      </w:r>
    </w:p>
    <w:p>
      <w:pPr>
        <w:spacing w:after="0" w:line="22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are currently evaluating pralsetinib in an ongoing Phase 1/2 clinical trial in patients with RET-altered NSCLC, MTC and other advanced solid tumors, which we refer to as the ARROW trial. The ARROW trial was fully enrolled in December 2021 and was subsequently transferred to Roche in May 2022. Pursuant to our collaboration with Roche, we are co-developing pralsetinib globally in RET-altered solid tumors, including NSCLC, MTC and other thyroid cancers, as well as other solid tumors.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FDA has granted breakthrough therapy designation to pralsetinib for (i) the treatment of patients with RET fusion-positive NSCLC that has progressed following platinum-based chemotherapy, and (ii)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PDGFRA-Driven Gastrointestinal Stromal Tumors — AYVAKIT® / AYVAKYT® (avapritinib)</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commercializing avapritinib for the treatment of patients with PDGFRA exon 18 mutant GIST, a rare disease that is a sarcoma, or tumor of bone or connective tissue, of the gastrointestinal tract. Avapritinib is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w:t>
      </w:r>
    </w:p>
    <w:p>
      <w:pPr>
        <w:spacing w:after="0" w:line="23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Through our collaboration with CStone, AYVAKIT is approved by China’s NMPA for the treatment of adults with unresectable or metastatic GIST harboring a PDGFRA exon 18 mutation, including PDGFRA D842V mutations, and also received accelerated approval from the TFDA and approval in Hong Kong, both for adults with unresectable or metastatic GIST harboring PDGFRA D842V mutations.</w:t>
      </w:r>
    </w:p>
    <w:p>
      <w:pPr>
        <w:spacing w:after="0" w:line="227"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EGFR-Mutated NSCLC – BLU-945, BLU-701, BLU-525 and BLU-451</w:t>
      </w:r>
    </w:p>
    <w:p>
      <w:pPr>
        <w:spacing w:after="0" w:line="256"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7"/>
          <w:szCs w:val="17"/>
          <w:color w:val="auto"/>
        </w:rPr>
        <w:t>We are developing a portfolio of investigational epidermal growth factor receptor, or EGFR, inhibitors with the potential to address a spectrum of common and uncommon EGFR activating mutations, including exon 19 deletions, the L858R mutation and exon 20 insertions. Patients with EGFR-driven NSCLC have high medical needs despite current standards of care. First, osimertinib has demonstrated shorter OS and PFS in patients whose tumors have activating L858R mutations, and there are limited treatment options for exon 20 insertion-driven NSCLC. Second, the majority of patients will ultimately progress due to tumor resistance, and preventing mutations from emerging is an important treatment goal. Third, the brain is a common site of disease progression that has proven difficult to treat. We are working to address these challenges and prolong patient benefit by advancing development of rational combinations with our investigational EGFR therapies. Ultimately, we are seeking to address the significant medical needs in EGFR-mutant NSCLC that affect approximately 60,000 patients in major markets, including the U.S., European Union or EU, the UK, and Japan.</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BLU-945</w:t>
      </w:r>
    </w:p>
    <w:p>
      <w:pPr>
        <w:spacing w:after="0" w:line="254"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BLU-945 is a selective and potent investigational inhibitor of the activating EGFR L858R mutation and on-target T790M and C797X resistance mutations. Early data from the ongoing dose escalation part of the Phase 1/2 trial of BLU-945, which we refer to as our SYMPHONY trial, were presented at the AACR Annual Meeting in April 2022. BLU-945 demonstrated dose-dependent decreases in EGFR variant allele fractions via circulating tumor DNA, or ctDNA, analysis and radiographic tumor reductions. BLU-945 was generally well-tolerated, with no significant AEs associated with wild-type EGFR inhibition. In the second quarter of 2022, we initiated a BLU-945 and osimertinib combination dose-escalation cohort in the ongoing Phase 1/2 SYMPHONY trial. In October 2022, preclinical data presented at the EORTC-NCI-AACR Molecular Targets and Cancer Therapeutics Symposium showed that BLU-945 in combination with osimertinib prolonged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tumor regression and survival in EGFR L858R-driven, treatment-naïve, patient-derived xenograft models.</w:t>
      </w:r>
    </w:p>
    <w:p>
      <w:pPr>
        <w:spacing w:after="0" w:line="19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November 2022, at our Investor Day, we reported updated monotherapy dose escalation data from the SYMPHONY trial showing BLU-945 was generally well-tolerated and led to target ctDNA responses and tumor shrinkage. In the late-line setting, significant off-target resistance was identified at baseline and end-of-treatment by</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ctDNA analysis, leading us to prioritize clinical development of BLU-945 in combination with osimertinib in the first line, where we do not expect multiple overlapping driver mutations. Additionally, at our Investor Day, we reported early SYMPHONY trial dose escalation data showing BLU-945 in combination with osimertinib was generally well-tolerated to-date. We plan to provide an initial clinical data update on SYMPHONY trial expansion for the combination of BLU-945 and osimertinib in first-line EGFR L858R-positive NSCLC in the second half of 2023.</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NSCLC — BLU-701 and BLU-525</w:t>
      </w:r>
    </w:p>
    <w:p>
      <w:pPr>
        <w:spacing w:after="0" w:line="200" w:lineRule="exact"/>
        <w:rPr>
          <w:sz w:val="20"/>
          <w:szCs w:val="20"/>
          <w:color w:val="auto"/>
        </w:rPr>
      </w:pPr>
    </w:p>
    <w:p>
      <w:pPr>
        <w:ind w:left="60" w:right="199" w:firstLine="648"/>
        <w:spacing w:after="0" w:line="269" w:lineRule="auto"/>
        <w:rPr>
          <w:sz w:val="20"/>
          <w:szCs w:val="20"/>
          <w:color w:val="auto"/>
        </w:rPr>
      </w:pPr>
      <w:r>
        <w:rPr>
          <w:rFonts w:ascii="Times New Roman" w:cs="Times New Roman" w:eastAsia="Times New Roman" w:hAnsi="Times New Roman"/>
          <w:sz w:val="17"/>
          <w:szCs w:val="17"/>
          <w:color w:val="auto"/>
        </w:rPr>
        <w:t>BLU-701 is a selective and potent investigational inhibitor of activating EGFR L858R or exon 19 deletion mutations and the on-target C797X resistance mutation. In November 2022, based on emerging clinical and pharmacokinetic data, we announced plans to prioritize development of BLU-525, a next-generation EGFR inhibitor, and deprioritize further development of BLU-701. Compared to BLU-701, based on preclinical data, BLU-525 has a distinct chemical structure with improved kinome selectivity and differentiated metabolism, and equivalent EGFR mutation coverage, wild-type EGFR selectivity and CNS penetration. Data supporting the preclinical profile of BLU-525 were reported at the EORTC-NCI-AACR Molecular Targets and Cancer Therapeutics Symposium in October 2022. We plan to</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submit an investigational new drug application, or IND, to the FDA for BLU-525 in the first half of 2023.</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 Exon 20 Insertion-Positive NSCLC — BLU-451</w:t>
      </w:r>
    </w:p>
    <w:p>
      <w:pPr>
        <w:spacing w:after="0" w:line="25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BLU-451 is a selective and potent investigational inhibitor under development for the treatment of EGFR exon 20 insertion-positive NSCLC that we acquired in December 2021 through our acquisition of Lengo Therapeutics, Inc., which we refer to as BLU-451. In April 2022, we presented the first preclinical data for BLU-451 at the AACR Annual Meeting demonstrating that BLU-451 is a wild-type EGFR-sparing, CNS penetrant molecule which potently inhibited a broad range of exon 20 insertions and uncommon oncogenic point mutations. In addition, BLU-451 led to measurable tumor regression in a preclinical intracranial tumor model. Based on these foundational preclinical data, in March 2022 we initiated the Phase 1/2 trial of BLU-451 in patients with EGFR-driven NSCLC harboring exon 20 insertion mutations, which we refer to as our CONCERTO trial. We plan to present dose escalation data from the CONCERTO trial of BLU-451 in the first half of 2023.</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CDK2-Vulnerable Cancers – BLU-222</w:t>
      </w:r>
    </w:p>
    <w:p>
      <w:pPr>
        <w:spacing w:after="0" w:line="254"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an investigational inhibitor, BLU-222, targeting CDK2 for the treatment of patients with CDK2-vulnerable cancers. CDK2 is a cell cycle regulator and an important cancer target, with relevance across multiple malignancies, including hormone-receptor-positive breast cancer and other CDK2-vulnerable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w:t>
      </w:r>
    </w:p>
    <w:p>
      <w:pPr>
        <w:spacing w:after="0" w:line="23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At the AACR Annual Meeting in April 2022, we presented preclinical data showing BLU-222 demonstrated significant antitumor activity in a CCNE1-amplified ovarian cancer model. BLU-222 in combination with standard of care agents, including chemotherapy and the PARP inhibitor olaparib, led to sustained tumor regression even after treatment cessation. At the San Antonio Breast Cancer Symposium, in December 2022, we reported preclinical results showing BLU-222 in combination with ribociclib led to sustained antitumor activity, in preclinical models of CDK4/6 inhibitor-naïve and resistant HR+/HER2 breast cancer, supporting the clinical development of this combination regimen.</w:t>
      </w:r>
    </w:p>
    <w:p>
      <w:pPr>
        <w:spacing w:after="0" w:line="230" w:lineRule="exact"/>
        <w:rPr>
          <w:sz w:val="20"/>
          <w:szCs w:val="20"/>
          <w:color w:val="auto"/>
        </w:rPr>
      </w:pPr>
    </w:p>
    <w:p>
      <w:pPr>
        <w:jc w:val="both"/>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In the first quarter of 2022, we initiated the Phase 1/2 trial of BLU-222 in CDK2-vulnerable cancers, which we refer to as our VELA trial. BLU-222 is being developed as monotherapy and in combination with other agents, including CDK4/6 inhibitors and ER antagonists, in hormone-receptor-positive, HER2-negative breast cancer or HR+/HER2- BC, and as a single agent and in combination in CCNE1-amplified tumor types. We plan to present dose escalation data from the VELA trial of BLU-222 in the first half of 2023.</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Advanced Cancers – BLU-852</w:t>
      </w:r>
    </w:p>
    <w:p>
      <w:pPr>
        <w:spacing w:after="0" w:line="241"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BLU-852 is a selective and potent investigational inhibitor of MAP4K1, a well-characterized immunokinase that is believed to play a role in T cell regulation. Preclinical data presented at the virtual AACR Annual Meeting in</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April 2021 show that MAP4K1 inhibition enhanced intratumoral immune cell activation, overcame regulatory T cell, or Treg, mediated T cell suppression, and reduced tumor burden both as a monotherapy and in combination with checkpoint inhibition. These preclinical data support the continued development of BLU-852. In 2022, under our ongoing cancer immunotherapy collaboration, Roche endorsed clinical development plan for IND-enabling activities for BLU-852, as a single agent and in combination with atezolizumab, in advanced cancers.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we plan to expand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In 2022, we nominated two development candidates from our discovery programs: BLU-525 and IDRX-73, a KIT exon 13 inhibitor that we licensed to IDRx.</w:t>
      </w:r>
    </w:p>
    <w:p>
      <w:pPr>
        <w:spacing w:after="0" w:line="192"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In 2022, we started five early degrader research programs: three internal and two under our targeted protein degradation collaboration with Proteovant. Through the Proteovant collaboration, we plan to research and advance up to two novel protein degrader programs into development, with the option to expand to two additional programs. Under our immunotherapy collaboration with Roche, we are conducting activities for one program: BLU-852 for the treatment of advanced cancers. See “</w:t>
      </w:r>
      <w:r>
        <w:rPr>
          <w:rFonts w:ascii="Times New Roman" w:cs="Times New Roman" w:eastAsia="Times New Roman" w:hAnsi="Times New Roman"/>
          <w:sz w:val="18"/>
          <w:szCs w:val="18"/>
          <w:i w:val="1"/>
          <w:iCs w:val="1"/>
          <w:color w:val="auto"/>
        </w:rPr>
        <w:t>—Collaborations and Licenses Summary</w:t>
      </w:r>
      <w:r>
        <w:rPr>
          <w:rFonts w:ascii="Times New Roman" w:cs="Times New Roman" w:eastAsia="Times New Roman" w:hAnsi="Times New Roman"/>
          <w:sz w:val="18"/>
          <w:szCs w:val="18"/>
          <w:color w:val="auto"/>
        </w:rPr>
        <w:t>” below.</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Mast Cell Disorders – Wild-Type KIT Inhibition</w:t>
      </w:r>
    </w:p>
    <w:p>
      <w:pPr>
        <w:spacing w:after="0" w:line="20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pursuing a research program targeting wild-type KIT, which aims to build on our KIT target leadership to design a best-in-class oral precision therapy for prevalent mast cell diseases, including chronic urticaria. Wild-type KIT plays a central role in mast cell survival, proliferation and activation. In addition, mast cells are the primary effector cells in several allergic-inflammatory diseases, including both inducible and spontaneous chronic urticaria. Chronic urticaria is a debilitating inflammatory skin disorder characterized by wheals, or hives, and sleep disruption, stress and anxiety due to severe itching are major contributors to disease burden. We have identified multiple examples of compounds meeting our target product profile, which includes potent and selective inhibition of wild-type KIT, low potential for drug/drug</w:t>
      </w:r>
    </w:p>
    <w:p>
      <w:pPr>
        <w:spacing w:after="0" w:line="12"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interactions, and activity that is peripherally restricted. In the middle of 2023, we plan to nominate a development candidate targeting wild-type KIT for the treatment of chronic urticaria.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 Summary</w:t>
      </w:r>
    </w:p>
    <w:p>
      <w:pPr>
        <w:spacing w:after="0" w:line="22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Roche—Immunotherapy Collaboration</w:t>
      </w:r>
      <w:r>
        <w:rPr>
          <w:rFonts w:ascii="Times New Roman" w:cs="Times New Roman" w:eastAsia="Times New Roman" w:hAnsi="Times New Roman"/>
          <w:sz w:val="18"/>
          <w:szCs w:val="18"/>
          <w:color w:val="auto"/>
        </w:rPr>
        <w:t>. In March 2016, we entered into a collaboration with Roche 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small molecule therapeutics targeting kinases believed to be important in cancer immunotherapy (including the kinase target MAP4K1), as single products or possibly in combination with other therapeutics.</w:t>
      </w:r>
    </w:p>
    <w:p>
      <w:pPr>
        <w:spacing w:after="0" w:line="183"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Roche—Pralsetinib Collaboration</w:t>
      </w:r>
      <w:r>
        <w:rPr>
          <w:rFonts w:ascii="Times New Roman" w:cs="Times New Roman" w:eastAsia="Times New Roman" w:hAnsi="Times New Roman"/>
          <w:sz w:val="18"/>
          <w:szCs w:val="18"/>
          <w:color w:val="auto"/>
        </w:rPr>
        <w:t>. 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are also co-developing pralsetinib globally in RET-altered solid tumors, including NSCLC, MTC and other thyroid cancers, and expanding development of pralsetinib in multiple treatment settings.</w:t>
      </w:r>
    </w:p>
    <w:p>
      <w:pPr>
        <w:spacing w:after="0" w:line="184" w:lineRule="exact"/>
        <w:rPr>
          <w:sz w:val="20"/>
          <w:szCs w:val="20"/>
          <w:color w:val="auto"/>
        </w:rPr>
      </w:pPr>
    </w:p>
    <w:p>
      <w:pPr>
        <w:ind w:left="60" w:right="4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CStone</w:t>
      </w:r>
      <w:r>
        <w:rPr>
          <w:rFonts w:ascii="Times New Roman" w:cs="Times New Roman" w:eastAsia="Times New Roman" w:hAnsi="Times New Roman"/>
          <w:sz w:val="18"/>
          <w:szCs w:val="18"/>
          <w:color w:val="auto"/>
        </w:rPr>
        <w:t>. 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as well as back-up forms and certain other forms, in the CStone territory either as a monotherapy or as part of a combination therapy.</w:t>
      </w:r>
    </w:p>
    <w:p>
      <w:pPr>
        <w:spacing w:after="0" w:line="173" w:lineRule="exact"/>
        <w:rPr>
          <w:sz w:val="20"/>
          <w:szCs w:val="20"/>
          <w:color w:val="auto"/>
        </w:rPr>
      </w:pPr>
    </w:p>
    <w:p>
      <w:pPr>
        <w:ind w:left="60" w:right="2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Clementia</w:t>
      </w:r>
      <w:r>
        <w:rPr>
          <w:rFonts w:ascii="Times New Roman" w:cs="Times New Roman" w:eastAsia="Times New Roman" w:hAnsi="Times New Roman"/>
          <w:sz w:val="17"/>
          <w:szCs w:val="17"/>
          <w:color w:val="auto"/>
        </w:rPr>
        <w:t>. In October 2019, we entered into a license agreement with Clementia, and granted Clementia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exclusive, worldwide, royalty-bearing license to develop and commercialize BLU-782, as well as specified other compounds related to the BLU-782 program. BLU-782 is an investigational, orally available, potent and highly selective</w:t>
      </w:r>
    </w:p>
    <w:p>
      <w:pPr>
        <w:sectPr>
          <w:pgSz w:w="11900" w:h="16838" w:orient="portrait"/>
          <w:cols w:equalWidth="0" w:num="1">
            <w:col w:w="9019"/>
          </w:cols>
          <w:pgMar w:left="1440" w:top="513" w:right="1440"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 Clementia initiated patient dosing in a Phase 2 clinical trial of BLU-782, now referred to as fidrisertib, in the first quarter of 2022.</w:t>
      </w:r>
    </w:p>
    <w:p>
      <w:pPr>
        <w:spacing w:after="0" w:line="17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Zai Lab</w:t>
      </w:r>
      <w:r>
        <w:rPr>
          <w:rFonts w:ascii="Times New Roman" w:cs="Times New Roman" w:eastAsia="Times New Roman" w:hAnsi="Times New Roman"/>
          <w:sz w:val="18"/>
          <w:szCs w:val="18"/>
          <w:color w:val="auto"/>
        </w:rPr>
        <w:t>. In November 2021, we entered into a collaboration with Zai Lab to develop and commercialize BLU-945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BLU-701, including their respective back-up forms and certain other forms thereof, for the treatment of EGFR-driven NSCLC in Greater China, including Mainland China, Hong Kong, Macau and Taiwan. The collaboration aims to accelerate and expand global development of the licensed products, which currently include BLU-945 and BLU-525 (which served as a back-up candidate for BLU-701).</w:t>
      </w:r>
    </w:p>
    <w:p>
      <w:pPr>
        <w:spacing w:after="0" w:line="223"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Proteovant</w:t>
      </w:r>
      <w:r>
        <w:rPr>
          <w:rFonts w:ascii="Times New Roman" w:cs="Times New Roman" w:eastAsia="Times New Roman" w:hAnsi="Times New Roman"/>
          <w:sz w:val="18"/>
          <w:szCs w:val="18"/>
          <w:color w:val="auto"/>
        </w:rPr>
        <w:t>. In February 2022, we entered into an exclusive collaboration agreement, which we refer to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Proteovant collaboration agreement, with Proteovant, to jointly research and advance up to two novel targeted protein degrader therapies as well as up to two additional novel protein degrader target programs as we may mutually agree with Proteovant (each such program is referred to as a target program). On a target program-by-target program basis, we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we option, and, if we expand to additional target programs, Proteovant will have the same opt-in right for the fourth target program that we option.</w:t>
      </w:r>
    </w:p>
    <w:p>
      <w:pPr>
        <w:spacing w:after="0" w:line="218" w:lineRule="exact"/>
        <w:rPr>
          <w:sz w:val="20"/>
          <w:szCs w:val="20"/>
          <w:color w:val="auto"/>
        </w:rPr>
      </w:pPr>
    </w:p>
    <w:p>
      <w:pPr>
        <w:ind w:left="60" w:right="2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IDRx. </w:t>
      </w:r>
      <w:r>
        <w:rPr>
          <w:rFonts w:ascii="Times New Roman" w:cs="Times New Roman" w:eastAsia="Times New Roman" w:hAnsi="Times New Roman"/>
          <w:sz w:val="17"/>
          <w:szCs w:val="17"/>
          <w:color w:val="auto"/>
        </w:rPr>
        <w:t>In August 2022, we entered into a license agreement with IDRx, Inc., or IDRx, which we refer to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IDRx License Agreement. Pursuant to the IDRx License Agreement, we granted IDRx an exclusive, worldwide, royalty-bearing license to exploit our internally discovered development candidate-stage KIT exon 13 inhibitor, IDRX-73</w:t>
      </w:r>
    </w:p>
    <w:p>
      <w:pPr>
        <w:spacing w:after="0" w:line="15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as noncash consideration and the eligibility to receive up to $217.5 million in contingent cash payments, including specified development, regulatory and sales-based milestone payments and tiered royalty payments.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Mergers &amp; Acquisitions Summary</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Lengo Therapeutics</w:t>
      </w:r>
      <w:r>
        <w:rPr>
          <w:rFonts w:ascii="Times New Roman" w:cs="Times New Roman" w:eastAsia="Times New Roman" w:hAnsi="Times New Roman"/>
          <w:sz w:val="18"/>
          <w:szCs w:val="18"/>
          <w:color w:val="auto"/>
        </w:rPr>
        <w:t>. In December 2021, we completed our acquisition of Lengo Therapeutics, Inc., along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 compound LNG-451, now known as BLU-451, which is in development for the treatment of NSCLC in patients with EGFR exon 20 insertion mutations. The acquisition also brought additional undisclosed preclinical precision oncology programs and research tools, including a catalog of covalent, highly brain penetrant kinase inhibitors that we plan to add to our proprietary compound library to further enable future drug discovery efforts.</w:t>
      </w:r>
    </w:p>
    <w:p>
      <w:pPr>
        <w:spacing w:after="0" w:line="212"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We will continue to evaluate additional collaborations, acquisitions,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acquisitions, partnerships and license agreements to capitalize on or expand our discovery platform.</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 on the COVID-19 Pandemic</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Due to the continued evolution and global impact of the ongoing COVID-19 pandemic, we cannot precisely determine or quantify the impact this pandemic will have on our business, operations and financial performance. For our ongoing and planned clinical trials, while we anticipate and have experienced some delays or disruptions due to the COVID-19 pandemic, we have successfully worked with impacted clinical trial sites to ensure study continuity. We actively monitor for COVID-19-related impacts to our supply chain, and we currently have sufficient supply or plans for supply to meet our anticipated global commercial and clinical development needs for our approved drugs and clinical-stage drug candidates. COVID-19 may also impact and has impacted our commercial activities for AYVAKIT/ AYVAKYT and GAVRETO, including patient access to testing and identification, but we have observed an increase in</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in-person engagements and will continue to conduct commercial and medical affairs field activities across our portfolio in virtual formats where in-person interactions are not feasible. We will continue to assess the duration, scope and severity of the COVID-19 pandemic as it evolves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keeping the health and safety of our employees and their families, healthcare providers, patients and communities a top priority. Please refer to our Risk Factors in Part I, Item 1A of this Annual Report on Form 10-K for further discussion of risks related to the COVID-19 pandemic.</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70"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2022, we have received an aggregate of $3.6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and milestone payments under our collaborations with Roche, CStone and Zai Lab, our license agreement with Clementia and our former collaboration with Alexion Pharma Holding, or Alexion and $150.0 million in gross proceeds from a term loan from Sixth Street Partners. In addition, since January 2020, we have also generated revenue through the sales of our approved drug products.</w:t>
      </w:r>
    </w:p>
    <w:p>
      <w:pPr>
        <w:spacing w:after="0" w:line="23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 December 31, 2020. Our net losses were $557.5 million and $644.1 million for the years ended December 31, 2022 and 2021, respectively. Our net income was $313.9 million for the year ended December 31, 2020 primarily due to the collaboration revenue recorded under our collaboration with Roche for pralsetinib. As of December 31, 2022, we had an accumulated deficit of $1,833.0 million. We expect to continue to incur significant expenses and operating losses over the next few years. We anticipate that our expenses will continue to increase in connection with our ongoing activities, particularly as we:</w:t>
      </w:r>
    </w:p>
    <w:p>
      <w:pPr>
        <w:spacing w:after="0" w:line="214" w:lineRule="exact"/>
        <w:rPr>
          <w:sz w:val="20"/>
          <w:szCs w:val="20"/>
          <w:color w:val="auto"/>
        </w:rPr>
      </w:pPr>
    </w:p>
    <w:p>
      <w:pPr>
        <w:ind w:left="1380" w:right="319" w:hanging="331"/>
        <w:spacing w:after="0" w:line="312" w:lineRule="auto"/>
        <w:tabs>
          <w:tab w:leader="none" w:pos="13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expand our sales, marketing and distribution infrastructure to continue to commercialize our drug and any current or future drug candidates for which we may obtain marketing approval;</w:t>
      </w:r>
    </w:p>
    <w:p>
      <w:pPr>
        <w:spacing w:after="0" w:line="139" w:lineRule="exact"/>
        <w:rPr>
          <w:rFonts w:ascii="Times New Roman" w:cs="Times New Roman" w:eastAsia="Times New Roman" w:hAnsi="Times New Roman"/>
          <w:sz w:val="17"/>
          <w:szCs w:val="17"/>
          <w:color w:val="auto"/>
        </w:rPr>
      </w:pPr>
    </w:p>
    <w:p>
      <w:pPr>
        <w:ind w:left="1380" w:right="49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our drug candidates, including avapritinib and pralsetinib in additional indications or avapritinib in additional geographies;</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activities for avapritinib and pralsetinib and initiate or advance clinical development activities for other current or future drug candidates as monotherapies or in combination with other agents;</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BLU-945, BLU-525, BLU-451, elenestinib (BLU-263) and BLU-222;</w:t>
      </w:r>
    </w:p>
    <w:p>
      <w:pPr>
        <w:spacing w:after="0" w:line="161" w:lineRule="exact"/>
        <w:rPr>
          <w:rFonts w:ascii="Times New Roman" w:cs="Times New Roman" w:eastAsia="Times New Roman" w:hAnsi="Times New Roman"/>
          <w:sz w:val="18"/>
          <w:szCs w:val="18"/>
          <w:color w:val="auto"/>
        </w:rPr>
      </w:pPr>
    </w:p>
    <w:p>
      <w:pPr>
        <w:ind w:left="1380" w:right="239" w:hanging="331"/>
        <w:spacing w:after="0" w:line="261"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 and to purchase quantities of other agents for use in our clinical trial as we develop our drugs and drug candidates as potential combination therapies or for use as comparator agents;</w:t>
      </w:r>
    </w:p>
    <w:p>
      <w:pPr>
        <w:spacing w:after="0" w:line="166"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development and commercialization activities for companion diagnostic tests for our drugs and drug candidates;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our collaborations with Roche, CStone, Zai Lab and Proteovant;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 and</w:t>
      </w:r>
    </w:p>
    <w:p>
      <w:pPr>
        <w:spacing w:after="0" w:line="161" w:lineRule="exact"/>
        <w:rPr>
          <w:rFonts w:ascii="Times New Roman" w:cs="Times New Roman" w:eastAsia="Times New Roman" w:hAnsi="Times New Roman"/>
          <w:sz w:val="18"/>
          <w:szCs w:val="18"/>
          <w:color w:val="auto"/>
        </w:rPr>
      </w:pPr>
    </w:p>
    <w:p>
      <w:pPr>
        <w:ind w:left="1380" w:right="679" w:hanging="331"/>
        <w:spacing w:after="0" w:line="282"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0"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21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September 2020, the FDA granted accelerated approval to pralsetinib under the brand name GAVRETO for the treatment of adult patients with metastatic RET fusion-positive NSCLC as detected by an FDA approved test. In 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230"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the year ended December 31, 2022, our revenue mainly consisted of product sales of AYVAKIT/ AYVAKYT as well as collaboration and license revenue under our collaborations with CStone and Roche and license agreements with Clementia and IDRx. Collaboration and license revenue for the year ended December 31, 2022 primarily includes amounts that were recognized related to milestones achieved, amounts due to us for supply of inventory (under our collaboration agreements) and research and development services, and royalties on drug sales. License revenue – related party includes license revenue recorded under the IDRx License Agreement. We transferred certain responsibilities associated with product sales to customers, pricing and distribution matters related to U.S. product sales of GAVRETO to Roche on July 1, 2021, and have not recorded any net product revenue from product sales of GAVRETO after this date. For additional information, see Note 12,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 to our consolidated financial statements included in this Form 10-K.</w:t>
      </w:r>
    </w:p>
    <w:p>
      <w:pPr>
        <w:spacing w:after="0" w:line="21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year to year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5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21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Prior to receiving the initial FDA approval for AYVAKIT and GAVRETO in January 2020 and September 2020, respectively, and subsequent approval for AYVAKIT in June 2021, we manufactured inventory to be sold upon</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commercialization and recorded approximately $37.7 million related to this inventory as research and development expense. As a result, the manufacturing costs related to the inventory build-up incurred before FDA approval were expensed in a prior period and are therefore excluded from the cost of goods sold for the years ended December 31, 2022, 2021 and 2020. We estimate our cost of goods sold related to product revenue as a percentage of net product revenue will continue to be positively impacted as we sell through certain inventory that was previously expensed prior to FDA approval. We expect to sell through our pre-launch inventory in the near term. Once the low-cost inventory balances are sold through, we estimate our costs of goods sold related to product sales to remain in the mid-single digit percentage range. Cost of goods sold related to sales of drug products to our collaboration partners are at lower margins and will partially offset the positive impact of the previously expensed inventory.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12,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to our consolidated financial statements included in this Form 10-K. We expect collaboration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sharing will fluctuate from year to year as a result of the timing and amount of GAVRETO sales.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80" w:lineRule="exact"/>
        <w:rPr>
          <w:sz w:val="20"/>
          <w:szCs w:val="20"/>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acquire in-process research and development asset with no alternative future use;</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380" w:right="859" w:hanging="331"/>
        <w:spacing w:after="0" w:line="266"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89" w:lineRule="exact"/>
        <w:rPr>
          <w:rFonts w:ascii="Times New Roman" w:cs="Times New Roman" w:eastAsia="Times New Roman" w:hAnsi="Times New Roman"/>
          <w:sz w:val="18"/>
          <w:szCs w:val="18"/>
          <w:color w:val="auto"/>
        </w:rPr>
      </w:pPr>
    </w:p>
    <w:p>
      <w:pPr>
        <w:ind w:left="1380" w:right="379" w:hanging="331"/>
        <w:spacing w:after="0" w:line="266"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for the development and commercialization of companion diagnostic tests;</w:t>
      </w:r>
    </w:p>
    <w:p>
      <w:pPr>
        <w:spacing w:after="0" w:line="189" w:lineRule="exact"/>
        <w:rPr>
          <w:rFonts w:ascii="Times New Roman" w:cs="Times New Roman" w:eastAsia="Times New Roman" w:hAnsi="Times New Roman"/>
          <w:sz w:val="18"/>
          <w:szCs w:val="18"/>
          <w:color w:val="auto"/>
        </w:rPr>
      </w:pPr>
    </w:p>
    <w:p>
      <w:pPr>
        <w:ind w:left="1380" w:right="99" w:hanging="331"/>
        <w:spacing w:after="0" w:line="258"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development activities under our immunotherapy collaboration with Roche, development activities under our collaboration for pralsetinib with Roche, and research and development activities under our collaboration with Proteovant;</w:t>
      </w:r>
    </w:p>
    <w:p>
      <w:pPr>
        <w:spacing w:after="0" w:line="19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 connection with our research and development activities;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commercial supply materials; and</w:t>
      </w:r>
    </w:p>
    <w:p>
      <w:pPr>
        <w:spacing w:after="0" w:line="189" w:lineRule="exact"/>
        <w:rPr>
          <w:rFonts w:ascii="Times New Roman" w:cs="Times New Roman" w:eastAsia="Times New Roman" w:hAnsi="Times New Roman"/>
          <w:sz w:val="18"/>
          <w:szCs w:val="18"/>
          <w:color w:val="auto"/>
        </w:rPr>
      </w:pPr>
    </w:p>
    <w:p>
      <w:pPr>
        <w:ind w:left="1380" w:right="319" w:hanging="331"/>
        <w:spacing w:after="0" w:line="258"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2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195" w:lineRule="exact"/>
        <w:rPr>
          <w:sz w:val="20"/>
          <w:szCs w:val="20"/>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to ensure adequate clinical and commercial supply;</w:t>
      </w:r>
    </w:p>
    <w:p>
      <w:pPr>
        <w:spacing w:after="0" w:line="161" w:lineRule="exact"/>
        <w:rPr>
          <w:rFonts w:ascii="Times New Roman" w:cs="Times New Roman" w:eastAsia="Times New Roman" w:hAnsi="Times New Roman"/>
          <w:sz w:val="18"/>
          <w:szCs w:val="18"/>
          <w:color w:val="auto"/>
        </w:rPr>
      </w:pPr>
    </w:p>
    <w:p>
      <w:pPr>
        <w:ind w:left="1380" w:right="1139" w:hanging="331"/>
        <w:spacing w:after="0" w:line="282"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AYVAKIT/AYVAKYT, GAVRETO and our drug candidates;</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AYVAKIT/AYVAKYT, GAVRETO and our drug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GAVRETO and any future drug we may commercialize;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6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1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45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for the years ended December 31, 2022 and 2021. Other development and pre-development candidate expenses, unallocated expenses and internal research and development expenses have been classified separately.</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0" w:type="dxa"/>
            <w:vAlign w:val="bottom"/>
            <w:vMerge w:val="restart"/>
          </w:tcPr>
          <w:p>
            <w:pPr>
              <w:spacing w:after="0"/>
              <w:rPr>
                <w:sz w:val="16"/>
                <w:szCs w:val="16"/>
                <w:color w:val="auto"/>
              </w:rPr>
            </w:pP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Avapritinib external expenses</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50,484</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Pralsetinib external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Elenestinib external 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EGFR franchise (BLU-525/701/945)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BLU-222 external expenses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BLU-451 external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(238,985)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development and pre-development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candidate expenses and unallocated expenses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85,652</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133,350</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601,033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(123,614)</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right="99" w:hanging="322"/>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 reimbursable expenses under our collaboration for pralsetinib with Roche, and other development and pre-development candidate expenses include reimbursable expenses under our other collaboration agreements.</w:t>
      </w:r>
    </w:p>
    <w:p>
      <w:pPr>
        <w:spacing w:after="0" w:line="203"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In addition, we expect that our research and development expenses will increase in future periods as we incur additional costs in connection with research and development activities under our immunotherapy collaboration with Roche, development activities under our collaboration for pralsetinib with Roche, research and development activities under our collaboration with Proteovant and development activities for companion diagnostic tests for any current and future drug candidates. Our research and development expenses may further increase with potential new collaborations or future acquisitions.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spacing w:after="0" w:line="19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5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Interest income (expense), net consists primarily of interest expense related to our financing arrangements with Royalty Pharma and Sixth Street Partners. Interest expense on liabilities related to the sale of future royalties and revenues consists of the periodic interest calculated using the effective interest rate method over the future estimated</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royalty payments due to Royalty Pharma and Sixth Street Partners over the life of the agreements. Interest expense on the term loan with Sixth Street Partners results from the amortization of the debt liability using the effective interest method over the maturity of the term loan. We expect that the interest expense will fluctuate from period to period as a result of the timing and amount of the sales of the underlying products and the changes in interest rates.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w:t>
      </w:r>
    </w:p>
    <w:p>
      <w:pPr>
        <w:spacing w:after="0" w:line="210"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Interest income (expense), net also includes income earned on cash equivalents and marketable securities. Our interest income may fluctuate depending on the movement of interest rates and our total amount of cash equivalents and marketable securities.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of miscellaneous income and expenses unrelated to our core operations, including the impacts of foreign currency exchange differences.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expense consists of federal, state and foreign income taxes incurred.</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We evaluate our judgments and estimates in light of changes in circumstances, facts and experience on an ongoing basis.</w:t>
      </w:r>
    </w:p>
    <w:p>
      <w:pPr>
        <w:spacing w:after="0" w:line="224"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Critical accounting estimates are those estimates that, in accordance with generally accepted accounting principles, involve a significant level of estimation uncertainty and have had or are reasonably likely to have a material impact on our consolidated financial statements. Management has determined that our most critical accounting estimates are those relating to revenue recognition, accrued research and development expenses, acquisitions, equity investments, and liabilities related to the sale of future royalties and revenues. We have reviewed our critical accounting estimates with our audit committee. For further discussion about our general accounting policies, see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and Recent Accounting Pronouncements, </w:t>
      </w:r>
      <w:r>
        <w:rPr>
          <w:rFonts w:ascii="Times New Roman" w:cs="Times New Roman" w:eastAsia="Times New Roman" w:hAnsi="Times New Roman"/>
          <w:sz w:val="18"/>
          <w:szCs w:val="18"/>
          <w:color w:val="auto"/>
        </w:rPr>
        <w:t>to our consolidated financial statements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when we transfer control of goods or services to our customers. Revenue is measured as the amount of consideration we expect to receive in exchange for goods and services. We generate revenue from product sales and revenue transactions under our collaboration and license agreements.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For product sales to customers, provisions for returns, rebates and discounts are established in the same period the related product sales are recognized. To determine the appropriate transaction price for our product sales at the time we recognize a sale to a direct customer, we estimate any rebates, chargebacks or discounts that ultimately will be due to the direct customer and other customers in the distribution chain under the terms of our contracts. Significant judgments</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5" w:lineRule="auto"/>
        <w:rPr>
          <w:sz w:val="20"/>
          <w:szCs w:val="20"/>
          <w:color w:val="auto"/>
        </w:rPr>
      </w:pPr>
      <w:r>
        <w:rPr>
          <w:rFonts w:ascii="Times New Roman" w:cs="Times New Roman" w:eastAsia="Times New Roman" w:hAnsi="Times New Roman"/>
          <w:sz w:val="17"/>
          <w:szCs w:val="17"/>
          <w:color w:val="auto"/>
        </w:rPr>
        <w:t>are required in making these estimates. The largest of our sales rebate and discount amounts are rebates associated with sales covered by Medicare, Medicaid, and chargeback contracts in the U.S. We utilize the expected value method to determine the appropriate amount for estimates based on factors such as historical rebate payments for these programs, the current contractual and statutory requirements, specific known market events and sales trends, industry data and forecasted customer buying and payment patterns, the percentage of our products that are sold via these programs, and our product</w:t>
      </w:r>
    </w:p>
    <w:p>
      <w:pPr>
        <w:spacing w:after="0" w:line="1"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pricing.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68" w:lineRule="exact"/>
        <w:rPr>
          <w:sz w:val="20"/>
          <w:szCs w:val="20"/>
          <w:color w:val="auto"/>
        </w:rPr>
      </w:pPr>
    </w:p>
    <w:p>
      <w:pPr>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Revenue recognized from collaboration and license agreements will include royalties on drug sales, upfront, milestone, profit sharing and other payments, if any, under any current or future collaborations and licenses, including revenues related to the supply of our drug candidates or approved drugs to our various collaboration partners under these types of contracts.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25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30"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33"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21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therefore, any acquired in-process research and development assets that does not have an alternative future use is charged to research and development expense at the acquisition date, and goodwill is not recorded.</w:t>
      </w:r>
    </w:p>
    <w:p>
      <w:pPr>
        <w:spacing w:after="0" w:line="202"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The judgments made in determining the estimated fair values of the identifiable intangible assets acquired, the assigned to assets acquired and liabilities assumed in a business combination, as well as estimated asset lives, can materially affect our consolidated results of operations. The fair values of intangible assets, including acquired in-process research and development assets, are determined using information available near the acquisition date based on estimates and assumptions that are deemed reasonable by management. Significant estimates and assumptions include, but are not limited to, probability of technical success, revenue growth and discount rate. When significant identifiable intangible assets are acquired, we generally engage an independent third-party valuation firm to assist in determining the fair values of these assets.</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6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and where we have no significant influence are measured at cost, less any impairments, plus or minus changes resulting from observable price changes in orderly transactions for the identical or a similar investment of the same issuer. Each period we assess relevant transactions to identify observable price changes, and regularly monitor these investments to evaluate whether there is an indication of impairment. Judgement is required in identifying the existence of impairment indicators. If indicators of impairment exist, we evaluate whether an investment’s fair value is less than its carrying value using an estimate of fair value.</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54"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We account for net proceeds from sales of our rights to receive future royalty payments and from sales of future revenues as liabilities related to the sale of future royalties and revenues as we have significant continuing involvement in the generation of the related future cash flows. Interest on the liabilities related to the sale of future royalties and revenues is recognized using the effective interest rate method over the life of the related royalty or revenue stream. The liabilities related to the sale of future royalties and revenues and the related interest expenses are based on our current estimates of future royalties and revenues as well as commercial milestones expected to be achieved and received over the life of the arrangement, which we determine by using forecasts of the underlying drug products of the underlying regions. We periodically assess the expected payments and to the extent the amount or timing of the future estimated payments is materially different than previous estimates, we account for any such change by adjusting carrying value of the liabilities related to the sale of future royalties and revenues, and prospectively recognizing the related interest expenses. An increase or decrease of 5% to the interest rate would result in an increase or decrease to our liability related to the sale of future royalties of approximately $0.6 million.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56"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 together with the changes in those items in dollars and as a percentage.</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204,036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741,554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(80,507)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(15,660)</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(552,281)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(641,084)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88,803</w:t>
            </w:r>
          </w:p>
        </w:tc>
        <w:tc>
          <w:tcPr>
            <w:tcW w:w="14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(557,517)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(644,085)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4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i w:val="1"/>
                <w:iCs w:val="1"/>
                <w:color w:val="auto"/>
              </w:rPr>
              <w:t>Total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revenues consist of the following:</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Borders>
              <w:bottom w:val="single" w:sz="8" w:color="auto"/>
            </w:tcBorders>
            <w:gridSpan w:val="6"/>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8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20" w:type="dxa"/>
            <w:vAlign w:val="bottom"/>
          </w:tcPr>
          <w:p>
            <w:pPr>
              <w:spacing w:after="0"/>
              <w:rPr>
                <w:sz w:val="18"/>
                <w:szCs w:val="18"/>
                <w:color w:val="auto"/>
              </w:rPr>
            </w:pPr>
          </w:p>
        </w:tc>
        <w:tc>
          <w:tcPr>
            <w:tcW w:w="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$ 110,993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65,543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(56,850)</w:t>
            </w:r>
          </w:p>
        </w:tc>
        <w:tc>
          <w:tcPr>
            <w:tcW w:w="8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$ 204,036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54"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In March 2022, the European Commission expanded the marketing authorization for AYVAKYT to include the treatment of adult patients with ASM, SM-AHN, or MCL, after at least one systemic therapy.</w:t>
      </w:r>
    </w:p>
    <w:p>
      <w:pPr>
        <w:spacing w:after="0" w:line="21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We recorded net product revenue from the U.S. product sales of GAVRETO until it transferred, on July 1, 2021, certain responsibilities associated with product sales to customers, pricing and distribution matters related to U.S. product sales of GAVRETO to our collaboration partner. We did not record any net product revenue from product sales of GAVRETO subsequent to this transition date. Products sales of GAVRETO were reflected as part of collaboration loss sharing in the consolidated financial statements. For additional information, see Note 12</w:t>
      </w:r>
      <w:r>
        <w:rPr>
          <w:rFonts w:ascii="Times New Roman" w:cs="Times New Roman" w:eastAsia="Times New Roman" w:hAnsi="Times New Roman"/>
          <w:sz w:val="18"/>
          <w:szCs w:val="18"/>
          <w:i w:val="1"/>
          <w:iCs w:val="1"/>
          <w:color w:val="auto"/>
        </w:rPr>
        <w:t>, Collaboration and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to our consolidated financial statements included in this Form 10-K.</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AYVAKIT/AYVAKIT and GAVRETO during the years ended December 31, 2022, and 2021 (in thousands):</w:t>
      </w:r>
    </w:p>
    <w:tbl>
      <w:tblPr>
        <w:tblLayout w:type="fixed"/>
        <w:tblInd w:w="4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AYVAKIT/AYVAKYT</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$ 44,959</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52,267</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(4,706)</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$ 57,687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Product revenue, net increased during the year ended December 31, 2022 as compared to the year ended December 31, 2021 primarily driven by the FDA and European Commission approvals to expand the labeled indications to include adult patients with advanced SM.</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54"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recognized from our collaboration and license agreements during the years ended December 31, 2022 and 2021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5180" w:type="dxa"/>
            <w:vAlign w:val="bottom"/>
          </w:tcPr>
          <w:p>
            <w:pPr>
              <w:spacing w:after="0"/>
              <w:rPr>
                <w:sz w:val="18"/>
                <w:szCs w:val="18"/>
                <w:color w:val="auto"/>
              </w:rPr>
            </w:pPr>
          </w:p>
        </w:tc>
        <w:tc>
          <w:tcPr>
            <w:tcW w:w="7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Clementia license agreement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(9,101)</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with Roche for pralsetinib</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Cancer immunotherapy with Roche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(5,362)</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Zai Lab collaboration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(24,133)</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tcPr>
          <w:p>
            <w:pPr>
              <w:spacing w:after="0"/>
              <w:rPr>
                <w:sz w:val="19"/>
                <w:szCs w:val="19"/>
                <w:color w:val="auto"/>
              </w:rPr>
            </w:pPr>
          </w:p>
        </w:tc>
      </w:tr>
      <w:tr>
        <w:trPr>
          <w:trHeight w:val="21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collaboration and license revenue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$ 65,543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(56,850)</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recognized from our collaboration and license agreements decreased during the year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as compared to the year ended December 31, 2021 primarily due to:</w:t>
      </w:r>
    </w:p>
    <w:p>
      <w:pPr>
        <w:spacing w:after="0" w:line="246" w:lineRule="exact"/>
        <w:rPr>
          <w:sz w:val="20"/>
          <w:szCs w:val="20"/>
          <w:color w:val="auto"/>
        </w:rPr>
      </w:pPr>
    </w:p>
    <w:p>
      <w:pPr>
        <w:ind w:left="800" w:right="79" w:hanging="318"/>
        <w:spacing w:after="0" w:line="261"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 under our collaboration with Roche for pralsetinib primarily due to $50.0 million in specified regulatory milestones achieved during the year ended December 31, 2021;</w:t>
      </w:r>
    </w:p>
    <w:p>
      <w:pPr>
        <w:ind w:left="800" w:right="139" w:hanging="318"/>
        <w:spacing w:after="0" w:line="250"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 under our CStone collaboration primarily due to decreased manufacturing services related to CStone territory-specific activities during the year ended December 31, 2022; and</w:t>
      </w:r>
    </w:p>
    <w:p>
      <w:pPr>
        <w:ind w:left="800" w:right="239" w:hanging="318"/>
        <w:spacing w:after="0" w:line="260"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 under the Zai Lab collaboration due to the $25.0 million upfront payment recognized in the year ended December 31, 2021.</w:t>
      </w:r>
    </w:p>
    <w:p>
      <w:pPr>
        <w:spacing w:after="0" w:line="222" w:lineRule="exact"/>
        <w:rPr>
          <w:sz w:val="20"/>
          <w:szCs w:val="20"/>
          <w:color w:val="auto"/>
        </w:rPr>
      </w:pPr>
    </w:p>
    <w:p>
      <w:pPr>
        <w:jc w:val="both"/>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These decreases were partially offset by the achievement of a specified development milestone payment of $30.0 million for Clementia. For additional information, see Note 12</w:t>
      </w:r>
      <w:r>
        <w:rPr>
          <w:rFonts w:ascii="Times New Roman" w:cs="Times New Roman" w:eastAsia="Times New Roman" w:hAnsi="Times New Roman"/>
          <w:sz w:val="18"/>
          <w:szCs w:val="18"/>
          <w:i w:val="1"/>
          <w:iCs w:val="1"/>
          <w:color w:val="auto"/>
        </w:rPr>
        <w:t>, Collaboration and License Agreements</w:t>
      </w:r>
      <w:r>
        <w:rPr>
          <w:rFonts w:ascii="Times New Roman" w:cs="Times New Roman" w:eastAsia="Times New Roman" w:hAnsi="Times New Roman"/>
          <w:sz w:val="18"/>
          <w:szCs w:val="18"/>
          <w:color w:val="auto"/>
        </w:rPr>
        <w:t>, to our consolidated financial statements included in this Form 10-K.</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License Revenue – Related Party</w:t>
      </w:r>
    </w:p>
    <w:p>
      <w:pPr>
        <w:spacing w:after="0" w:line="25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License revenue – related party was $27.5 million for the year ended December 31, 2022, which represents license revenue recorded under the IDRx License Agreement. For additional information, see Note 12</w:t>
      </w:r>
      <w:r>
        <w:rPr>
          <w:rFonts w:ascii="Times New Roman" w:cs="Times New Roman" w:eastAsia="Times New Roman" w:hAnsi="Times New Roman"/>
          <w:sz w:val="18"/>
          <w:szCs w:val="18"/>
          <w:i w:val="1"/>
          <w:iCs w:val="1"/>
          <w:color w:val="auto"/>
        </w:rPr>
        <w:t>, Collaboration and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to our consolidated financial statements included in this Form 10-K.</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6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cost of product sales during the years ended December 31, 2022 and 2021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18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CEEFF"/>
            </w:tcBorders>
          </w:tcPr>
          <w:p>
            <w:pPr>
              <w:spacing w:after="0"/>
              <w:rPr>
                <w:sz w:val="18"/>
                <w:szCs w:val="18"/>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collaboration sales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9"/>
                <w:szCs w:val="19"/>
                <w:color w:val="auto"/>
              </w:rPr>
            </w:pPr>
          </w:p>
        </w:tc>
      </w:tr>
      <w:tr>
        <w:trPr>
          <w:trHeight w:val="21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sales decreased during the year ended December 31, 2022 as compared to the year ended</w:t>
      </w:r>
    </w:p>
    <w:p>
      <w:pPr>
        <w:spacing w:after="0" w:line="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December 31, 2021 primarily due to lower product manufacturing costs as a result of improved manufacturing processes and a lower write-down of inventory related to product sales. The increase in cost of sales related to collaboration sales was due to a higher write-down of inventory related to collaboration sales.</w:t>
      </w:r>
    </w:p>
    <w:p>
      <w:pPr>
        <w:spacing w:after="0" w:line="2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5240" w:type="dxa"/>
            <w:vAlign w:val="bottom"/>
          </w:tcPr>
          <w:p>
            <w:pPr>
              <w:spacing w:after="0"/>
              <w:rPr>
                <w:sz w:val="18"/>
                <w:szCs w:val="18"/>
                <w:color w:val="auto"/>
              </w:rPr>
            </w:pP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8,948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7,801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3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Collaboration loss sharing increased during the year ended December 31, 2022 as compared to the year ended December 31, 2021 primarily due to the year ended December 31, 2022 being the first full reporting year of activities after Roche took over certain responsibilities associated with product sales to customers, pricing and distribution matters related to GAVRETO in the U.S. and became the principal for recording product sales to customers in the U.S. on July 1, 2021. The increase was partially offset by higher GAVRETO product sales in the U.S. during the year ended December 31, 2022 as compared to the year ended December 31, 2021.</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68"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research and development expenses during the years ended December 31, 2022 and 2021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manufacturing related activities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related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drug discovery and platform</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(259,957)</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(123,614)</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8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during the year ended December 31, 2022 as compared to the year ended December 31, 2021 primarily due to a decrease of $260.0 million related to the acquisition of in-process research and development that occurred in the prior year. This decrease was partially offset by:</w:t>
      </w:r>
    </w:p>
    <w:p>
      <w:pPr>
        <w:spacing w:after="0" w:line="216" w:lineRule="exact"/>
        <w:rPr>
          <w:sz w:val="20"/>
          <w:szCs w:val="20"/>
          <w:color w:val="auto"/>
        </w:rPr>
      </w:pPr>
    </w:p>
    <w:p>
      <w:pPr>
        <w:ind w:left="800" w:right="520" w:hanging="318"/>
        <w:spacing w:after="0" w:line="25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$65.0 million in clinical development and supply manufacturing related activities due to the progression and expansion of our clinical trials, primarily for elenestinib, BLU-222, BLU-451, and EGFR franchises;</w:t>
      </w:r>
    </w:p>
    <w:p>
      <w:pPr>
        <w:ind w:left="800" w:hanging="318"/>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$29.2 million in compensation and related costs driven by increased headcount; and</w:t>
      </w:r>
    </w:p>
    <w:p>
      <w:pPr>
        <w:spacing w:after="0" w:line="22"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$24.1 million in costs related to early drug discovery efforts and expanding the platform.</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sales, general and administrative expenses during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and 2021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5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related</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tcPr>
          <w:p>
            <w:pPr>
              <w:spacing w:after="0"/>
              <w:rPr>
                <w:sz w:val="19"/>
                <w:szCs w:val="19"/>
                <w:color w:val="auto"/>
              </w:rPr>
            </w:pPr>
          </w:p>
        </w:tc>
      </w:tr>
      <w:tr>
        <w:trPr>
          <w:trHeight w:val="21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general and administrative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42,081</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00" w:lineRule="exact"/>
        <w:rPr>
          <w:sz w:val="20"/>
          <w:szCs w:val="20"/>
          <w:color w:val="auto"/>
        </w:rPr>
      </w:pPr>
    </w:p>
    <w:p>
      <w:pPr>
        <w:ind w:left="60" w:right="280"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during the year ended December 31, 2022 as compared to the year ended December 31, 2021 primarily due to:</w:t>
      </w:r>
    </w:p>
    <w:p>
      <w:pPr>
        <w:spacing w:after="0" w:line="202" w:lineRule="exact"/>
        <w:rPr>
          <w:sz w:val="20"/>
          <w:szCs w:val="20"/>
          <w:color w:val="auto"/>
        </w:rPr>
      </w:pPr>
    </w:p>
    <w:p>
      <w:pPr>
        <w:ind w:left="800" w:hanging="318"/>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$17.7 million in compensation and related costs driven by increased headcount.</w:t>
      </w:r>
    </w:p>
    <w:p>
      <w:pPr>
        <w:spacing w:after="0" w:line="27" w:lineRule="exact"/>
        <w:rPr>
          <w:rFonts w:ascii="Times New Roman" w:cs="Times New Roman" w:eastAsia="Times New Roman" w:hAnsi="Times New Roman"/>
          <w:sz w:val="18"/>
          <w:szCs w:val="18"/>
          <w:color w:val="auto"/>
        </w:rPr>
      </w:pPr>
    </w:p>
    <w:p>
      <w:pPr>
        <w:ind w:left="800" w:right="600" w:hanging="318"/>
        <w:spacing w:after="0" w:line="260" w:lineRule="auto"/>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$12.2 million in commercial and related activities primarily related to the expansion of our commercial infrastructure for commercialization of AYVAKIT/AYVAKYT.</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5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(25,619)</w:t>
            </w: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(25,619)</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0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increased during the year ended December 31, 2022 as compared to the year ended December 31, 2021 primarily due to the interest charges on the liabilities related to the sale of future royalties and revenues with Royalty Pharma and Sixth Street Partners as well as the term loan with Sixth Street Partners.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9"/>
        </w:trPr>
        <w:tc>
          <w:tcPr>
            <w:tcW w:w="5300" w:type="dxa"/>
            <w:vAlign w:val="bottom"/>
          </w:tcPr>
          <w:p>
            <w:pPr>
              <w:spacing w:after="0"/>
              <w:rPr>
                <w:sz w:val="18"/>
                <w:szCs w:val="18"/>
                <w:color w:val="auto"/>
              </w:rPr>
            </w:pP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0" w:lineRule="exact"/>
        <w:rPr>
          <w:sz w:val="20"/>
          <w:szCs w:val="20"/>
          <w:color w:val="auto"/>
        </w:rPr>
      </w:pPr>
    </w:p>
    <w:p>
      <w:pPr>
        <w:sectPr>
          <w:pgSz w:w="11900" w:h="16838" w:orient="portrait"/>
          <w:cols w:equalWidth="0" w:num="1">
            <w:col w:w="9040"/>
          </w:cols>
          <w:pgMar w:left="1440" w:top="513" w:right="14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9"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during the year ended December 31, 2022 as compared to the year ended December 31, 2021 primarily due to the transfers of our pre-launch inventory to a third party.</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5240" w:type="dxa"/>
            <w:vAlign w:val="bottom"/>
          </w:tcPr>
          <w:p>
            <w:pPr>
              <w:spacing w:after="0"/>
              <w:rPr>
                <w:sz w:val="18"/>
                <w:szCs w:val="18"/>
                <w:color w:val="auto"/>
              </w:rPr>
            </w:pPr>
          </w:p>
        </w:tc>
        <w:tc>
          <w:tcPr>
            <w:tcW w:w="7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5,236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2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Income tax expense increased during the year ended December 31, 2022 as compared to the year ended December 31, 2021 primarily due to the royalty purchase agreement and purchase and sale agreement we entered into in June 2022 with Royalty Pharma and Sixth Street Partners, respectively. Pursuant to the agreements, we received gross proceeds of $175.0 million from Royalty Pharma in June 2022 and $250.0 million from Sixth Street Partners in July 2022 upon the transactions closing. Both cash considerations in their entirety are considered as taxable income for the year ended December 31, 2022 which resulted in the Company being in a taxable income position for the year ended December 31, 2022 and the increase in income tax expense for the year ended December 31, 2022. For additional information, see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consolidated financial statements included in this Form 10-K.</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December 31, 2022, we have received an aggregate of $3.6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and CStone, Zai Lab and our license agreement with Clementia and our former collaboration with Alexion, and $150.0 million in gross proceeds from a term loan from Sixth Street Partners. In addition, since January 2020, we have also generated revenue through the sales of our approved drug products.</w:t>
      </w: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2022, we had cash, cash equivalents and marketable securities of $1,078.5 million.</w:t>
      </w:r>
    </w:p>
    <w:p>
      <w:pPr>
        <w:spacing w:after="0" w:line="2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9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800" w:type="dxa"/>
            <w:vAlign w:val="bottom"/>
            <w:tcBorders>
              <w:bottom w:val="single" w:sz="8" w:color="CCEEFF"/>
            </w:tcBorders>
            <w:vMerge w:val="continue"/>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(149,541)</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561,810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(90,008)</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(473,797)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2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For the year ended December 31, 2022,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$203.6 million increase in net cash used in operating activities was primarily due to an increase in net loss after adjusting for the effect of the acquired in-process research and development in the year ended December 31, 2021.</w:t>
      </w:r>
    </w:p>
    <w:p>
      <w:pPr>
        <w:spacing w:after="0" w:line="214" w:lineRule="exact"/>
        <w:rPr>
          <w:sz w:val="20"/>
          <w:szCs w:val="20"/>
          <w:color w:val="auto"/>
        </w:rPr>
      </w:pPr>
    </w:p>
    <w:p>
      <w:pPr>
        <w:jc w:val="both"/>
        <w:ind w:left="60" w:right="31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Net Cash Used in Investing Activities. </w:t>
      </w:r>
      <w:r>
        <w:rPr>
          <w:rFonts w:ascii="Times New Roman" w:cs="Times New Roman" w:eastAsia="Times New Roman" w:hAnsi="Times New Roman"/>
          <w:sz w:val="17"/>
          <w:szCs w:val="17"/>
          <w:color w:val="auto"/>
        </w:rPr>
        <w:t>For the year ended December 31, 2022,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the $76.3 million decrease in net cash used in investing activities was primarily due to the $258.2 million in cash used to acquire an in-process research and development asset in the year ended December 31, 2021, which was partially</w:t>
      </w:r>
    </w:p>
    <w:p>
      <w:pPr>
        <w:sectPr>
          <w:pgSz w:w="11900" w:h="16838" w:orient="portrait"/>
          <w:cols w:equalWidth="0" w:num="1">
            <w:col w:w="9019"/>
          </w:cols>
          <w:pgMar w:left="1440" w:top="513" w:right="1440"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offset by a $175.7 million increase in net purchases of available-for-sale investments.</w:t>
      </w:r>
    </w:p>
    <w:p>
      <w:pPr>
        <w:spacing w:after="0" w:line="22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year ended December 31, 2022,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2021, the $511.1 million increase in net cash provided by financing activities was primarily due to the $553.6 million in net proceeds received under the royalty purchase agreement with Royalty Pharma, the future revenue purchase agreement with Sixth Street Partners and the term loan from Sixth Street Partners, which was partially offset by the decrease in net proceeds received from stock options exercises and employee stock purchase plan.</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Net proceeds from the transaction were recorded as liabilities related to sale of future royalties and revenues on the consolidated balance sheet and as of December 31, 2022, the carrying value of the liability related to this arrangement was $176.0 million.</w:t>
      </w:r>
    </w:p>
    <w:p>
      <w:pPr>
        <w:spacing w:after="0" w:line="189"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In July 2022, we closed a Future Revenue Purchase Agreement with Sixth Street Partners and received gross proceeds of $250.0 million in exchange for future royalty payments at a rate of 9.75% on up to $900 million each year of</w:t>
      </w:r>
    </w:p>
    <w:p>
      <w:pPr>
        <w:spacing w:after="0" w:line="1" w:lineRule="exact"/>
        <w:rPr>
          <w:sz w:val="20"/>
          <w:szCs w:val="20"/>
          <w:color w:val="auto"/>
        </w:rPr>
      </w:pPr>
    </w:p>
    <w:p>
      <w:pPr>
        <w:ind w:left="60" w:right="59" w:hanging="10"/>
        <w:spacing w:after="0" w:line="249" w:lineRule="auto"/>
        <w:tabs>
          <w:tab w:leader="none" w:pos="2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worldwide annual net product sales of AYVAKIT/ 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December 31, 2022, the carrying value of the liability related to this arrangement was $254.3 million.</w:t>
      </w:r>
    </w:p>
    <w:p>
      <w:pPr>
        <w:spacing w:after="0" w:line="19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addition, we may at any time request an incremental term loan in an amount not to exceed $260.0 million on terms to be agreed and subject to the consent of the lenders providing such incremental term loan. As of December 31, 2022, the carrying value of the term loan was $139.1 million.</w:t>
      </w:r>
    </w:p>
    <w:p>
      <w:pPr>
        <w:spacing w:after="0" w:line="17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Our obligations under the Financing Agreement will be secured, subject to certain exceptions, by security interests in the substantially all of our assets and our certain subsidiaries. The financing agreement contains negative covenants that, among other things and subject to certain exceptions, could restrict the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w:t>
      </w:r>
    </w:p>
    <w:p>
      <w:pPr>
        <w:spacing w:after="0" w:line="173" w:lineRule="exact"/>
        <w:rPr>
          <w:sz w:val="20"/>
          <w:szCs w:val="20"/>
          <w:color w:val="auto"/>
        </w:rPr>
      </w:pPr>
    </w:p>
    <w:p>
      <w:pPr>
        <w:ind w:left="60" w:right="719"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consolidated financial statements included in this Form 10-K .</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68" w:lineRule="exact"/>
        <w:rPr>
          <w:sz w:val="20"/>
          <w:szCs w:val="20"/>
          <w:color w:val="auto"/>
        </w:rPr>
      </w:pPr>
    </w:p>
    <w:p>
      <w:pPr>
        <w:ind w:left="60" w:right="339" w:firstLine="648"/>
        <w:spacing w:after="0" w:line="275" w:lineRule="auto"/>
        <w:rPr>
          <w:sz w:val="20"/>
          <w:szCs w:val="20"/>
          <w:color w:val="auto"/>
        </w:rPr>
      </w:pPr>
      <w:r>
        <w:rPr>
          <w:rFonts w:ascii="Times New Roman" w:cs="Times New Roman" w:eastAsia="Times New Roman" w:hAnsi="Times New Roman"/>
          <w:sz w:val="17"/>
          <w:szCs w:val="17"/>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avapritinib in additional geographies, to the extent these expenses are not the responsibility of our collaborators. In addition, we expect to incur</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spacing w:after="0" w:line="23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had cash, cash equivalents and marketable securities of $1,078.5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166"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62" w:lineRule="exact"/>
        <w:rPr>
          <w:sz w:val="20"/>
          <w:szCs w:val="20"/>
          <w:color w:val="auto"/>
        </w:rPr>
      </w:pPr>
    </w:p>
    <w:p>
      <w:pPr>
        <w:ind w:left="1380" w:right="379" w:hanging="331"/>
        <w:spacing w:after="0" w:line="312" w:lineRule="auto"/>
        <w:tabs>
          <w:tab w:leader="none" w:pos="13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9" w:lineRule="exact"/>
        <w:rPr>
          <w:rFonts w:ascii="Times New Roman" w:cs="Times New Roman" w:eastAsia="Times New Roman" w:hAnsi="Times New Roman"/>
          <w:sz w:val="17"/>
          <w:szCs w:val="17"/>
          <w:color w:val="auto"/>
        </w:rPr>
      </w:pPr>
    </w:p>
    <w:p>
      <w:pPr>
        <w:ind w:left="1380" w:right="339" w:hanging="331"/>
        <w:spacing w:after="0" w:line="266"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80" w:right="139" w:hanging="331"/>
        <w:spacing w:after="0" w:line="261"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p>
      <w:pPr>
        <w:spacing w:after="0" w:line="166"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avapritinib in additional geographies;</w:t>
      </w:r>
    </w:p>
    <w:p>
      <w:pPr>
        <w:spacing w:after="0" w:line="175" w:lineRule="exact"/>
        <w:rPr>
          <w:rFonts w:ascii="Times New Roman" w:cs="Times New Roman" w:eastAsia="Times New Roman" w:hAnsi="Times New Roman"/>
          <w:sz w:val="18"/>
          <w:szCs w:val="18"/>
          <w:color w:val="auto"/>
        </w:rPr>
      </w:pPr>
    </w:p>
    <w:p>
      <w:pPr>
        <w:ind w:left="1380" w:right="739" w:hanging="331"/>
        <w:spacing w:after="0" w:line="266"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CStone, Zai Lab and Proteovant and our license agreements with Clementia and IDRx, as well as our ability to establish and maintain additional collaborations, partnerships or licenses on favorable terms, if at all;</w:t>
      </w:r>
    </w:p>
    <w:p>
      <w:pPr>
        <w:spacing w:after="0" w:line="175" w:lineRule="exact"/>
        <w:rPr>
          <w:rFonts w:ascii="Times New Roman" w:cs="Times New Roman" w:eastAsia="Times New Roman" w:hAnsi="Times New Roman"/>
          <w:sz w:val="18"/>
          <w:szCs w:val="18"/>
          <w:color w:val="auto"/>
        </w:rPr>
      </w:pPr>
    </w:p>
    <w:p>
      <w:pPr>
        <w:ind w:left="1380" w:right="459" w:hanging="331"/>
        <w:spacing w:after="0" w:line="266"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our financing arrangements, or any collaboration, partnership, financing or license agreements that we may enter into in the future;</w:t>
      </w:r>
    </w:p>
    <w:p>
      <w:pPr>
        <w:spacing w:after="0" w:line="175"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80" w:right="699" w:hanging="331"/>
        <w:spacing w:after="0" w:line="282"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759" w:hanging="331"/>
        <w:spacing w:after="0" w:line="282"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66"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avapritinib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avapritinib in additional geographies, may not achieve commercial success. Accordingly, we may need to rely on additional financing to achieve our business objectives. Adequate additional financing may not be available to us on acceptable terms, or at all.</w:t>
      </w:r>
    </w:p>
    <w:p>
      <w:pPr>
        <w:spacing w:after="0" w:line="21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future revenue monetizations, collaborations, strategic alliances and licensing arrangements. We do not have any committed external source of funds, other than our collaborations with Roche, CStone and Zai Lab, the license agreements with Clementia and IDRx, the Royalty Purchase Agreement with Royalty Pharma, and the Financing Agreement with Sixth Street Partners,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spacing w:after="0" w:line="221"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70"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 xml:space="preserve">We have entered into arrangements that contractually obligate us to make payments that will affect our liquidity and cash flows in future periods. Our contractual obligations primarily consist of our obligations under unconditional purchase obligations related to certain commercial manufacturing agreements, non-cancellable operating leases and term loan. The aggregate amount of future minimum purchase obligations under these manufacturing agreements over the period of next five years was approximately $13.3 million as of December 31, 2022, of which $4.0 million are expected to be paid within one year. The aggregate amount of future operating lease obligations over the term of our leases was $132.4 million as of December 31, 2022, of which $17.7 million are expected to be paid within one year. For additional information on our leases and timing of future payments, see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 consolidated financial statements included in this Form 10-K. The long-term debt obligation related to our term loan over the period of next five years and thereafter was $242.7 million as of December 31, 2022, of which $16.9 million are expected to be paid within one year. For additional information on the term loan,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the consolidated financial statements included in this Form 10-K.</w:t>
      </w:r>
    </w:p>
    <w:p>
      <w:pPr>
        <w:spacing w:after="0" w:line="23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contract research organizations for clinical trials and clinical supply manufacturing and with vendors for preclinical research studies, synthetic chemistry and other services and products for operating purposes. We have not included these payments in the contractual obligations above since the contracts are generally cancelable at any time by us upon less than 180 days’ prior written notice. Certain of these agreements require us to pay milestones to such third parties upon achievement of certain development, regulatory</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1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also have obligations to make future payments to third parties that become due and payable on the achievement of certain milestones, including future payments to third parties with whom we have entered into agreements to develop and commercialize companion diagnostic tests for certain of our drug candidates. We have not included these commitments on our balance sheet or in the contractual obligations above because the achievement and timing of these milestones is not fixed and determinable.</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1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 and 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Pronouncements</w:t>
      </w:r>
      <w:r>
        <w:rPr>
          <w:rFonts w:ascii="Times New Roman" w:cs="Times New Roman" w:eastAsia="Times New Roman" w:hAnsi="Times New Roman"/>
          <w:sz w:val="18"/>
          <w:szCs w:val="18"/>
          <w:color w:val="auto"/>
        </w:rPr>
        <w:t>, to our consolidated financial statements included in this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and 2021, we had cash, cash equivalents and marketable securities of $1,078.5 million and $1,034.6 million, respectively, consisting primarily of money market funds and investments in U.S. government agency securities and treasury obligations.</w:t>
      </w:r>
    </w:p>
    <w:p>
      <w:pPr>
        <w:spacing w:after="0" w:line="13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2"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including recent changes resulting from monetary policy from the U.S. and international central banks, inflationary pressures and the Russian invasion of Ukraine.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December 31, 2022 and 2021, we held limited funds and future obligations denominated in foreign currencies.</w:t>
      </w:r>
    </w:p>
    <w:p>
      <w:pPr>
        <w:spacing w:after="0" w:line="149" w:lineRule="exact"/>
        <w:rPr>
          <w:sz w:val="20"/>
          <w:szCs w:val="20"/>
          <w:color w:val="auto"/>
        </w:rPr>
      </w:pPr>
    </w:p>
    <w:p>
      <w:pPr>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years ended December 31, 2022, 2021 and 2020. However, if inflation remains at current levels for an extended period of time, or increases, our costs are likely to increase, which may negatively impact our margins and cash flows.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and the report of our independent registered public accounting firm (PCAOB ID:42) required to be filed pursuant to this Item 8 are appended to this Annual Report on Form 10-K. An index of those financial statements is found in Item 15 of this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 in and Disagreements with Accountants on Accounting and Financial Disclosure.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2022. Based upon such evaluation, our Chief Executive Officer and Chief Financial Officer have concluded that, as of December 31, 2022, our disclosure controls and procedures were effective at the reasonable assurance level.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1380" w:right="919" w:hanging="331"/>
        <w:spacing w:after="0" w:line="282"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61"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66" w:lineRule="exact"/>
        <w:rPr>
          <w:rFonts w:ascii="Times New Roman" w:cs="Times New Roman" w:eastAsia="Times New Roman" w:hAnsi="Times New Roman"/>
          <w:sz w:val="18"/>
          <w:szCs w:val="18"/>
          <w:color w:val="auto"/>
        </w:rPr>
      </w:pPr>
    </w:p>
    <w:p>
      <w:pPr>
        <w:ind w:left="1380" w:right="239" w:hanging="331"/>
        <w:spacing w:after="0" w:line="282"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2022.</w:t>
      </w:r>
    </w:p>
    <w:p>
      <w:pPr>
        <w:spacing w:after="0" w:line="183"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of our internal control over financial reporting. This report appears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 Blueprint Medicines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audited Blueprint Medicines Corporation’s internal control over financial reporting as of December 31, 2022,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2022, based on the COSO criteria.</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Blueprint Medicines Corporation as of December 31, 2022 and 2021, the related consolidated statements of operations and comprehensive income (loss), stockholders’ equity, and cash flows for each of the three years in the period ended December 31, 2022, and the related notes and our report dated February 16, 2023 expressed an unqualified opinion thereon.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16,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year ended December 31, 2022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right="199" w:firstLine="648"/>
        <w:spacing w:after="0" w:line="275" w:lineRule="auto"/>
        <w:rPr>
          <w:sz w:val="20"/>
          <w:szCs w:val="20"/>
          <w:color w:val="auto"/>
        </w:rPr>
      </w:pPr>
      <w:r>
        <w:rPr>
          <w:rFonts w:ascii="Times New Roman" w:cs="Times New Roman" w:eastAsia="Times New Roman" w:hAnsi="Times New Roman"/>
          <w:sz w:val="17"/>
          <w:szCs w:val="17"/>
          <w:color w:val="auto"/>
        </w:rPr>
        <w:t>On February 10, 2023, we received a letter from the FDA reiterating its verbal communication on February 8, 2023 notifying us that it has placed a partial clinical hold on our VELA trial, a Phase 1/2 trial of BLU-222 n CDK2-vulnerable cancers, due to visual AEs observed in a limited number of patients. Patients currently enrolled in the trial are continuing on study drug at this time, and additional patients will not be enrolled until the partial clinical hold is resolved.</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2023 Annual Meeting of Stockholders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2023 Annual Meeting of Stockholders and is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260" w:hanging="562"/>
        <w:spacing w:after="0"/>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F-46 attached hereto and are filed as part of this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900" w:type="dxa"/>
            <w:vAlign w:val="bottom"/>
          </w:tcPr>
          <w:p>
            <w:pPr>
              <w:spacing w:after="0"/>
              <w:rPr>
                <w:sz w:val="20"/>
                <w:szCs w:val="20"/>
                <w:color w:val="auto"/>
              </w:rPr>
            </w:pPr>
          </w:p>
        </w:tc>
      </w:tr>
      <w:tr>
        <w:trPr>
          <w:trHeight w:val="387"/>
        </w:trPr>
        <w:tc>
          <w:tcPr>
            <w:tcW w:w="4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2780" w:type="dxa"/>
            <w:vAlign w:val="bottom"/>
            <w:gridSpan w:val="2"/>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162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460" w:type="dxa"/>
            <w:vAlign w:val="bottom"/>
            <w:gridSpan w:val="3"/>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20"/>
        </w:trPr>
        <w:tc>
          <w:tcPr>
            <w:tcW w:w="10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53"/>
        </w:trPr>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w:t>
            </w:r>
          </w:p>
        </w:tc>
        <w:tc>
          <w:tcPr>
            <w:tcW w:w="59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1900" w:type="dxa"/>
            <w:vAlign w:val="bottom"/>
          </w:tcPr>
          <w:p>
            <w:pPr>
              <w:spacing w:after="0"/>
              <w:rPr>
                <w:sz w:val="24"/>
                <w:szCs w:val="24"/>
                <w:color w:val="auto"/>
              </w:rPr>
            </w:pPr>
          </w:p>
        </w:tc>
      </w:tr>
    </w:tbl>
    <w:p>
      <w:pPr>
        <w:spacing w:after="0" w:line="184"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Schedules have been omitted since they are either not required or not applicable or the information is otherwise included herein.</w:t>
      </w:r>
    </w:p>
    <w:p>
      <w:pPr>
        <w:spacing w:after="0" w:line="162" w:lineRule="exact"/>
        <w:rPr>
          <w:sz w:val="20"/>
          <w:szCs w:val="20"/>
          <w:color w:val="auto"/>
        </w:rPr>
      </w:pPr>
    </w:p>
    <w:p>
      <w:pPr>
        <w:ind w:left="1260" w:hanging="562"/>
        <w:spacing w:after="0"/>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40" w:type="dxa"/>
            <w:vAlign w:val="bottom"/>
          </w:tcPr>
          <w:p>
            <w:pPr>
              <w:spacing w:after="0"/>
              <w:rPr>
                <w:sz w:val="15"/>
                <w:szCs w:val="15"/>
                <w:color w:val="auto"/>
              </w:rPr>
            </w:pPr>
          </w:p>
        </w:tc>
      </w:tr>
      <w:tr>
        <w:trPr>
          <w:trHeight w:val="182"/>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40" w:type="dxa"/>
            <w:vAlign w:val="bottom"/>
            <w:gridSpan w:val="25"/>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640" w:type="dxa"/>
            <w:vAlign w:val="bottom"/>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140" w:type="dxa"/>
            <w:vAlign w:val="bottom"/>
            <w:gridSpan w:val="25"/>
          </w:tcPr>
          <w:p>
            <w:pPr>
              <w:spacing w:after="0" w:line="194"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Sales Agreement, dated as</w:t>
              </w:r>
            </w:hyperlink>
          </w:p>
        </w:tc>
        <w:tc>
          <w:tcPr>
            <w:tcW w:w="800" w:type="dxa"/>
            <w:vAlign w:val="bottom"/>
          </w:tcPr>
          <w:p>
            <w:pPr>
              <w:jc w:val="center"/>
              <w:ind w:right="13"/>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001-37359</w:t>
            </w:r>
          </w:p>
        </w:tc>
        <w:tc>
          <w:tcPr>
            <w:tcW w:w="1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1640" w:type="dxa"/>
            <w:vAlign w:val="bottom"/>
          </w:tcPr>
          <w:p>
            <w:pPr>
              <w:jc w:val="center"/>
              <w:ind w:left="153"/>
              <w:spacing w:after="0" w:line="194" w:lineRule="exact"/>
              <w:rPr>
                <w:sz w:val="20"/>
                <w:szCs w:val="20"/>
                <w:color w:val="auto"/>
              </w:rPr>
            </w:pPr>
            <w:r>
              <w:rPr>
                <w:rFonts w:ascii="Times New Roman" w:cs="Times New Roman" w:eastAsia="Times New Roman" w:hAnsi="Times New Roman"/>
                <w:sz w:val="18"/>
                <w:szCs w:val="18"/>
                <w:color w:val="auto"/>
                <w:w w:val="99"/>
              </w:rPr>
              <w:t>February 17, 2022</w:t>
            </w:r>
          </w:p>
        </w:tc>
      </w:tr>
      <w:tr>
        <w:trPr>
          <w:trHeight w:val="183"/>
        </w:trPr>
        <w:tc>
          <w:tcPr>
            <w:tcW w:w="1000" w:type="dxa"/>
            <w:vAlign w:val="bottom"/>
          </w:tcPr>
          <w:p>
            <w:pPr>
              <w:spacing w:after="0"/>
              <w:rPr>
                <w:sz w:val="15"/>
                <w:szCs w:val="15"/>
                <w:color w:val="auto"/>
              </w:rPr>
            </w:pPr>
          </w:p>
        </w:tc>
        <w:tc>
          <w:tcPr>
            <w:tcW w:w="190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of February 17, 2022, by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and between Blueprint</w:t>
              </w:r>
            </w:hyperlink>
          </w:p>
        </w:tc>
        <w:tc>
          <w:tcPr>
            <w:tcW w:w="140" w:type="dxa"/>
            <w:vAlign w:val="bottom"/>
            <w:tcBorders>
              <w:top w:val="single" w:sz="8" w:color="0000EE"/>
            </w:tcBorders>
            <w:gridSpan w:val="4"/>
          </w:tcPr>
          <w:p>
            <w:pPr>
              <w:spacing w:after="0"/>
              <w:rPr>
                <w:sz w:val="17"/>
                <w:szCs w:val="17"/>
                <w:color w:val="auto"/>
              </w:rPr>
            </w:pPr>
          </w:p>
        </w:tc>
        <w:tc>
          <w:tcPr>
            <w:tcW w:w="36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Medicines Corporation and</w:t>
              </w:r>
            </w:hyperlink>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69">
              <w:r>
                <w:rPr>
                  <w:rFonts w:ascii="Times New Roman" w:cs="Times New Roman" w:eastAsia="Times New Roman" w:hAnsi="Times New Roman"/>
                  <w:sz w:val="18"/>
                  <w:szCs w:val="18"/>
                  <w:color w:val="0000EE"/>
                  <w:w w:val="98"/>
                </w:rPr>
                <w:t>Cowen and Company, LLC</w:t>
              </w:r>
            </w:hyperlink>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140" w:type="dxa"/>
            <w:vAlign w:val="bottom"/>
            <w:gridSpan w:val="25"/>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Agreement and Plan of</w:t>
              </w:r>
            </w:hyperlink>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6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December 30, 2021</w:t>
            </w:r>
          </w:p>
        </w:tc>
      </w:tr>
      <w:tr>
        <w:trPr>
          <w:trHeight w:val="183"/>
        </w:trPr>
        <w:tc>
          <w:tcPr>
            <w:tcW w:w="100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Merger by and among</w:t>
              </w:r>
            </w:hyperlink>
          </w:p>
        </w:tc>
        <w:tc>
          <w:tcPr>
            <w:tcW w:w="20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w w:val="81"/>
              </w:rPr>
            </w:pPr>
            <w:hyperlink r:id="rId170">
              <w:r>
                <w:rPr>
                  <w:rFonts w:ascii="Times New Roman" w:cs="Times New Roman" w:eastAsia="Times New Roman" w:hAnsi="Times New Roman"/>
                  <w:sz w:val="18"/>
                  <w:szCs w:val="18"/>
                  <w:color w:val="0000EE"/>
                  <w:w w:val="81"/>
                </w:rPr>
                <w:t>the</w:t>
              </w:r>
            </w:hyperlink>
          </w:p>
        </w:tc>
        <w:tc>
          <w:tcPr>
            <w:tcW w:w="280" w:type="dxa"/>
            <w:vAlign w:val="bottom"/>
            <w:gridSpan w:val="8"/>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Company, Pavonis Merger</w:t>
              </w:r>
            </w:hyperlink>
          </w:p>
        </w:tc>
        <w:tc>
          <w:tcPr>
            <w:tcW w:w="22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Subsidiary, Inc., Lengo</w:t>
              </w:r>
            </w:hyperlink>
          </w:p>
        </w:tc>
        <w:tc>
          <w:tcPr>
            <w:tcW w:w="44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Therapeutics, Inc. and</w:t>
              </w:r>
            </w:hyperlink>
          </w:p>
        </w:tc>
        <w:tc>
          <w:tcPr>
            <w:tcW w:w="54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0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Fortis Advisors, LLC, dated</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25"/>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November 27, 2021</w:t>
              </w:r>
            </w:hyperlink>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tcBorders>
              <w:top w:val="single" w:sz="8" w:color="0000EE"/>
            </w:tcBorders>
            <w:gridSpan w:val="6"/>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Fifth Amended and</w:t>
              </w:r>
            </w:hyperlink>
          </w:p>
        </w:tc>
        <w:tc>
          <w:tcPr>
            <w:tcW w:w="720" w:type="dxa"/>
            <w:vAlign w:val="bottom"/>
            <w:gridSpan w:val="19"/>
          </w:tcPr>
          <w:p>
            <w:pPr>
              <w:spacing w:after="0"/>
              <w:rPr>
                <w:sz w:val="22"/>
                <w:szCs w:val="22"/>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9"/>
              </w:rPr>
              <w:t>November 9, 2015</w:t>
            </w:r>
          </w:p>
        </w:tc>
      </w:tr>
      <w:tr>
        <w:trPr>
          <w:trHeight w:val="183"/>
        </w:trPr>
        <w:tc>
          <w:tcPr>
            <w:tcW w:w="100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6"/>
              </w:rPr>
            </w:pPr>
            <w:hyperlink r:id="rId171">
              <w:r>
                <w:rPr>
                  <w:rFonts w:ascii="Times New Roman" w:cs="Times New Roman" w:eastAsia="Times New Roman" w:hAnsi="Times New Roman"/>
                  <w:sz w:val="18"/>
                  <w:szCs w:val="18"/>
                  <w:color w:val="0000EE"/>
                  <w:w w:val="96"/>
                </w:rPr>
                <w:t>Restated Certificate</w:t>
              </w:r>
            </w:hyperlink>
          </w:p>
        </w:tc>
        <w:tc>
          <w:tcPr>
            <w:tcW w:w="40" w:type="dxa"/>
            <w:vAlign w:val="bottom"/>
            <w:tcBorders>
              <w:bottom w:val="single" w:sz="8" w:color="0000EE"/>
            </w:tcBorders>
            <w:gridSpan w:val="2"/>
          </w:tcPr>
          <w:p>
            <w:pPr>
              <w:spacing w:after="0"/>
              <w:rPr>
                <w:sz w:val="15"/>
                <w:szCs w:val="15"/>
                <w:color w:val="auto"/>
              </w:rPr>
            </w:pPr>
          </w:p>
        </w:tc>
        <w:tc>
          <w:tcPr>
            <w:tcW w:w="180" w:type="dxa"/>
            <w:vAlign w:val="bottom"/>
            <w:tcBorders>
              <w:bottom w:val="single" w:sz="8" w:color="0000EE"/>
            </w:tcBorders>
            <w:gridSpan w:val="4"/>
          </w:tcPr>
          <w:p>
            <w:pPr>
              <w:ind w:left="20"/>
              <w:spacing w:after="0" w:line="182" w:lineRule="exact"/>
              <w:rPr>
                <w:rFonts w:ascii="Times New Roman" w:cs="Times New Roman" w:eastAsia="Times New Roman" w:hAnsi="Times New Roman"/>
                <w:sz w:val="18"/>
                <w:szCs w:val="18"/>
                <w:color w:val="0000EE"/>
                <w:w w:val="93"/>
              </w:rPr>
            </w:pPr>
            <w:hyperlink r:id="rId171">
              <w:r>
                <w:rPr>
                  <w:rFonts w:ascii="Times New Roman" w:cs="Times New Roman" w:eastAsia="Times New Roman" w:hAnsi="Times New Roman"/>
                  <w:sz w:val="18"/>
                  <w:szCs w:val="18"/>
                  <w:color w:val="0000EE"/>
                  <w:w w:val="93"/>
                </w:rPr>
                <w:t>of</w:t>
              </w:r>
            </w:hyperlink>
          </w:p>
        </w:tc>
        <w:tc>
          <w:tcPr>
            <w:tcW w:w="520" w:type="dxa"/>
            <w:vAlign w:val="bottom"/>
            <w:gridSpan w:val="14"/>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Incorporation of the</w:t>
              </w:r>
            </w:hyperlink>
          </w:p>
        </w:tc>
        <w:tc>
          <w:tcPr>
            <w:tcW w:w="700" w:type="dxa"/>
            <w:vAlign w:val="bottom"/>
            <w:gridSpan w:val="18"/>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71">
              <w:r>
                <w:rPr>
                  <w:rFonts w:ascii="Times New Roman" w:cs="Times New Roman" w:eastAsia="Times New Roman" w:hAnsi="Times New Roman"/>
                  <w:sz w:val="18"/>
                  <w:szCs w:val="18"/>
                  <w:color w:val="0000EE"/>
                  <w:w w:val="97"/>
                </w:rPr>
                <w:t>Registrant</w:t>
              </w:r>
            </w:hyperlink>
          </w:p>
        </w:tc>
        <w:tc>
          <w:tcPr>
            <w:tcW w:w="1400" w:type="dxa"/>
            <w:vAlign w:val="bottom"/>
            <w:gridSpan w:val="2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140" w:type="dxa"/>
            <w:vAlign w:val="bottom"/>
            <w:gridSpan w:val="25"/>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Amended and Restated</w:t>
              </w:r>
            </w:hyperlink>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December 6, 2022</w:t>
            </w:r>
          </w:p>
        </w:tc>
      </w:tr>
      <w:tr>
        <w:trPr>
          <w:trHeight w:val="183"/>
        </w:trPr>
        <w:tc>
          <w:tcPr>
            <w:tcW w:w="100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Bylaws, as amended on</w:t>
              </w:r>
            </w:hyperlink>
          </w:p>
        </w:tc>
        <w:tc>
          <w:tcPr>
            <w:tcW w:w="20" w:type="dxa"/>
            <w:vAlign w:val="bottom"/>
            <w:tcBorders>
              <w:bottom w:val="single" w:sz="8" w:color="0000EE"/>
            </w:tcBorders>
          </w:tcPr>
          <w:p>
            <w:pPr>
              <w:spacing w:after="0"/>
              <w:rPr>
                <w:sz w:val="15"/>
                <w:szCs w:val="15"/>
                <w:color w:val="auto"/>
              </w:rPr>
            </w:pPr>
          </w:p>
        </w:tc>
        <w:tc>
          <w:tcPr>
            <w:tcW w:w="1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November 30, 2022, of the</w:t>
              </w:r>
            </w:hyperlink>
          </w:p>
        </w:tc>
        <w:tc>
          <w:tcPr>
            <w:tcW w:w="2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Registrant</w:t>
              </w:r>
            </w:hyperlink>
          </w:p>
        </w:tc>
        <w:tc>
          <w:tcPr>
            <w:tcW w:w="1400" w:type="dxa"/>
            <w:vAlign w:val="bottom"/>
            <w:gridSpan w:val="24"/>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140" w:type="dxa"/>
            <w:vAlign w:val="bottom"/>
            <w:gridSpan w:val="25"/>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Specimen Common Stock</w:t>
              </w:r>
            </w:hyperlink>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7"/>
              </w:rPr>
              <w:t>S-1/A</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333-202938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April 20, 2015</w:t>
            </w:r>
          </w:p>
        </w:tc>
      </w:tr>
      <w:tr>
        <w:trPr>
          <w:trHeight w:val="183"/>
        </w:trPr>
        <w:tc>
          <w:tcPr>
            <w:tcW w:w="1000" w:type="dxa"/>
            <w:vAlign w:val="bottom"/>
          </w:tcPr>
          <w:p>
            <w:pPr>
              <w:spacing w:after="0"/>
              <w:rPr>
                <w:sz w:val="15"/>
                <w:szCs w:val="15"/>
                <w:color w:val="auto"/>
              </w:rPr>
            </w:pPr>
          </w:p>
        </w:tc>
        <w:tc>
          <w:tcPr>
            <w:tcW w:w="7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173">
              <w:r>
                <w:rPr>
                  <w:rFonts w:ascii="Times New Roman" w:cs="Times New Roman" w:eastAsia="Times New Roman" w:hAnsi="Times New Roman"/>
                  <w:sz w:val="18"/>
                  <w:szCs w:val="18"/>
                  <w:color w:val="0000EE"/>
                  <w:w w:val="97"/>
                </w:rPr>
                <w:t>Certificate</w:t>
              </w:r>
            </w:hyperlink>
          </w:p>
        </w:tc>
        <w:tc>
          <w:tcPr>
            <w:tcW w:w="1120" w:type="dxa"/>
            <w:vAlign w:val="bottom"/>
            <w:tcBorders>
              <w:top w:val="single" w:sz="8" w:color="0000EE"/>
            </w:tcBorders>
            <w:gridSpan w:val="16"/>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Description of the</w:t>
              </w:r>
            </w:hyperlink>
          </w:p>
        </w:tc>
        <w:tc>
          <w:tcPr>
            <w:tcW w:w="840" w:type="dxa"/>
            <w:vAlign w:val="bottom"/>
            <w:gridSpan w:val="21"/>
          </w:tcPr>
          <w:p>
            <w:pPr>
              <w:spacing w:after="0"/>
              <w:rPr>
                <w:sz w:val="24"/>
                <w:szCs w:val="24"/>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64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83"/>
        </w:trPr>
        <w:tc>
          <w:tcPr>
            <w:tcW w:w="1000" w:type="dxa"/>
            <w:vAlign w:val="bottom"/>
          </w:tcPr>
          <w:p>
            <w:pPr>
              <w:spacing w:after="0"/>
              <w:rPr>
                <w:sz w:val="15"/>
                <w:szCs w:val="15"/>
                <w:color w:val="auto"/>
              </w:rPr>
            </w:pPr>
          </w:p>
        </w:tc>
        <w:tc>
          <w:tcPr>
            <w:tcW w:w="1580" w:type="dxa"/>
            <w:vAlign w:val="bottom"/>
            <w:tcBorders>
              <w:bottom w:val="single" w:sz="8" w:color="0000EE"/>
            </w:tcBorders>
            <w:gridSpan w:val="9"/>
          </w:tcPr>
          <w:p>
            <w:pPr>
              <w:spacing w:after="0" w:line="182" w:lineRule="exact"/>
              <w:rPr>
                <w:rFonts w:ascii="Times New Roman" w:cs="Times New Roman" w:eastAsia="Times New Roman" w:hAnsi="Times New Roman"/>
                <w:sz w:val="18"/>
                <w:szCs w:val="18"/>
                <w:color w:val="0000EE"/>
                <w:w w:val="97"/>
              </w:rPr>
            </w:pPr>
            <w:hyperlink r:id="rId174">
              <w:r>
                <w:rPr>
                  <w:rFonts w:ascii="Times New Roman" w:cs="Times New Roman" w:eastAsia="Times New Roman" w:hAnsi="Times New Roman"/>
                  <w:sz w:val="18"/>
                  <w:szCs w:val="18"/>
                  <w:color w:val="0000EE"/>
                  <w:w w:val="97"/>
                </w:rPr>
                <w:t>Registrant’s securities</w:t>
              </w:r>
            </w:hyperlink>
          </w:p>
        </w:tc>
        <w:tc>
          <w:tcPr>
            <w:tcW w:w="560" w:type="dxa"/>
            <w:vAlign w:val="bottom"/>
            <w:gridSpan w:val="16"/>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registered pursuant to</w:t>
              </w:r>
            </w:hyperlink>
          </w:p>
        </w:tc>
        <w:tc>
          <w:tcPr>
            <w:tcW w:w="58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Section 12 of the Securities</w:t>
              </w:r>
            </w:hyperlink>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and Exchange Act of 1934,</w:t>
              </w:r>
            </w:hyperlink>
          </w:p>
        </w:tc>
        <w:tc>
          <w:tcPr>
            <w:tcW w:w="1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74">
              <w:r>
                <w:rPr>
                  <w:rFonts w:ascii="Times New Roman" w:cs="Times New Roman" w:eastAsia="Times New Roman" w:hAnsi="Times New Roman"/>
                  <w:sz w:val="18"/>
                  <w:szCs w:val="18"/>
                  <w:color w:val="0000EE"/>
                  <w:w w:val="97"/>
                </w:rPr>
                <w:t>as amended</w:t>
              </w:r>
            </w:hyperlink>
          </w:p>
        </w:tc>
        <w:tc>
          <w:tcPr>
            <w:tcW w:w="1300" w:type="dxa"/>
            <w:vAlign w:val="bottom"/>
            <w:gridSpan w:val="22"/>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tbl>
      <w:tblPr>
        <w:tblLayout w:type="fixed"/>
        <w:tblInd w:w="60" w:type="dxa"/>
        <w:tblCellMar>
          <w:top w:w="0" w:type="dxa"/>
          <w:left w:w="0" w:type="dxa"/>
          <w:bottom w:w="0" w:type="dxa"/>
          <w:right w:w="0" w:type="dxa"/>
        </w:tblCellMar>
      </w:tblPr>
      <w:tr>
        <w:trPr>
          <w:trHeight w:val="207"/>
        </w:trPr>
        <w:tc>
          <w:tcPr>
            <w:tcW w:w="31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9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Opinion of Goodwin</w:t>
            </w:r>
          </w:p>
        </w:tc>
        <w:tc>
          <w:tcPr>
            <w:tcW w:w="640" w:type="dxa"/>
            <w:vAlign w:val="bottom"/>
            <w:gridSpan w:val="20"/>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Procter LLP</w:t>
            </w:r>
          </w:p>
        </w:tc>
        <w:tc>
          <w:tcPr>
            <w:tcW w:w="126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2011 Stock Option and</w:t>
              </w:r>
            </w:hyperlink>
          </w:p>
        </w:tc>
        <w:tc>
          <w:tcPr>
            <w:tcW w:w="480" w:type="dxa"/>
            <w:vAlign w:val="bottom"/>
            <w:gridSpan w:val="14"/>
          </w:tcPr>
          <w:p>
            <w:pPr>
              <w:spacing w:after="0"/>
              <w:rPr>
                <w:sz w:val="22"/>
                <w:szCs w:val="22"/>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333-202938</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Grant Plan, as amended,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and forms of award</w:t>
              </w:r>
            </w:hyperlink>
          </w:p>
        </w:tc>
        <w:tc>
          <w:tcPr>
            <w:tcW w:w="340" w:type="dxa"/>
            <w:vAlign w:val="bottom"/>
            <w:tcBorders>
              <w:top w:val="single" w:sz="8" w:color="0000EE"/>
            </w:tcBorders>
            <w:gridSpan w:val="11"/>
          </w:tcPr>
          <w:p>
            <w:pPr>
              <w:spacing w:after="0"/>
              <w:rPr>
                <w:sz w:val="17"/>
                <w:szCs w:val="17"/>
                <w:color w:val="auto"/>
              </w:rPr>
            </w:pPr>
          </w:p>
        </w:tc>
        <w:tc>
          <w:tcPr>
            <w:tcW w:w="40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6"/>
              </w:rPr>
            </w:pPr>
            <w:hyperlink r:id="rId176">
              <w:r>
                <w:rPr>
                  <w:rFonts w:ascii="Times New Roman" w:cs="Times New Roman" w:eastAsia="Times New Roman" w:hAnsi="Times New Roman"/>
                  <w:sz w:val="18"/>
                  <w:szCs w:val="18"/>
                  <w:color w:val="0000EE"/>
                  <w:w w:val="96"/>
                </w:rPr>
                <w:t>agreements thereunder</w:t>
              </w:r>
            </w:hyperlink>
          </w:p>
        </w:tc>
        <w:tc>
          <w:tcPr>
            <w:tcW w:w="52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6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2015 Stock Option and</w:t>
              </w:r>
            </w:hyperlink>
          </w:p>
        </w:tc>
        <w:tc>
          <w:tcPr>
            <w:tcW w:w="480" w:type="dxa"/>
            <w:vAlign w:val="bottom"/>
            <w:gridSpan w:val="14"/>
          </w:tcPr>
          <w:p>
            <w:pPr>
              <w:spacing w:after="0"/>
              <w:rPr>
                <w:sz w:val="22"/>
                <w:szCs w:val="22"/>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001-37359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w:t>
            </w: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1000" w:type="dxa"/>
            <w:vAlign w:val="bottom"/>
          </w:tcPr>
          <w:p>
            <w:pPr>
              <w:spacing w:after="0"/>
              <w:rPr>
                <w:sz w:val="17"/>
                <w:szCs w:val="17"/>
                <w:color w:val="auto"/>
              </w:rPr>
            </w:pPr>
          </w:p>
        </w:tc>
        <w:tc>
          <w:tcPr>
            <w:tcW w:w="20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Incentive Plan and forms of</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award agreements</w:t>
              </w:r>
            </w:hyperlink>
          </w:p>
        </w:tc>
        <w:tc>
          <w:tcPr>
            <w:tcW w:w="840" w:type="dxa"/>
            <w:vAlign w:val="bottom"/>
            <w:gridSpan w:val="2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thereunder</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2015 Employee Stock</w:t>
              </w:r>
            </w:hyperlink>
          </w:p>
        </w:tc>
        <w:tc>
          <w:tcPr>
            <w:tcW w:w="540" w:type="dxa"/>
            <w:vAlign w:val="bottom"/>
            <w:gridSpan w:val="16"/>
          </w:tcPr>
          <w:p>
            <w:pPr>
              <w:spacing w:after="0"/>
              <w:rPr>
                <w:sz w:val="22"/>
                <w:szCs w:val="22"/>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001-37359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10.3</w:t>
            </w: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Purchase Plan</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9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2020 Inducement Plan and</w:t>
              </w:r>
            </w:hyperlink>
          </w:p>
        </w:tc>
        <w:tc>
          <w:tcPr>
            <w:tcW w:w="220" w:type="dxa"/>
            <w:vAlign w:val="bottom"/>
            <w:gridSpan w:val="5"/>
          </w:tcPr>
          <w:p>
            <w:pPr>
              <w:spacing w:after="0"/>
              <w:rPr>
                <w:sz w:val="22"/>
                <w:szCs w:val="22"/>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S-8</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333-238039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99.1</w:t>
            </w: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May 6, 2020</w:t>
            </w:r>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form of award agreements</w:t>
              </w:r>
            </w:hyperlink>
          </w:p>
        </w:tc>
        <w:tc>
          <w:tcPr>
            <w:tcW w:w="2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thereunder</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7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Lease Agreement, dated</w:t>
              </w:r>
            </w:hyperlink>
          </w:p>
        </w:tc>
        <w:tc>
          <w:tcPr>
            <w:tcW w:w="400" w:type="dxa"/>
            <w:vAlign w:val="bottom"/>
            <w:gridSpan w:val="10"/>
          </w:tcPr>
          <w:p>
            <w:pPr>
              <w:spacing w:after="0"/>
              <w:rPr>
                <w:sz w:val="22"/>
                <w:szCs w:val="22"/>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333-202938</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February 11, 2015, by and</w:t>
              </w:r>
            </w:hyperlink>
          </w:p>
        </w:tc>
        <w:tc>
          <w:tcPr>
            <w:tcW w:w="2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between the Registrant and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38 Sidney Street Limited</w:t>
              </w:r>
            </w:hyperlink>
          </w:p>
        </w:tc>
        <w:tc>
          <w:tcPr>
            <w:tcW w:w="140" w:type="dxa"/>
            <w:vAlign w:val="bottom"/>
            <w:tcBorders>
              <w:top w:val="single" w:sz="8" w:color="0000EE"/>
            </w:tcBorders>
            <w:gridSpan w:val="5"/>
          </w:tcPr>
          <w:p>
            <w:pPr>
              <w:spacing w:after="0"/>
              <w:rPr>
                <w:sz w:val="17"/>
                <w:szCs w:val="17"/>
                <w:color w:val="auto"/>
              </w:rPr>
            </w:pPr>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80">
              <w:r>
                <w:rPr>
                  <w:rFonts w:ascii="Times New Roman" w:cs="Times New Roman" w:eastAsia="Times New Roman" w:hAnsi="Times New Roman"/>
                  <w:sz w:val="18"/>
                  <w:szCs w:val="18"/>
                  <w:color w:val="0000EE"/>
                  <w:w w:val="97"/>
                </w:rPr>
                <w:t>Partnership</w:t>
              </w:r>
            </w:hyperlink>
          </w:p>
        </w:tc>
        <w:tc>
          <w:tcPr>
            <w:tcW w:w="1320" w:type="dxa"/>
            <w:vAlign w:val="bottom"/>
            <w:gridSpan w:val="27"/>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140" w:type="dxa"/>
            <w:vAlign w:val="bottom"/>
            <w:gridSpan w:val="32"/>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First Amendment to Lease</w:t>
              </w:r>
            </w:hyperlink>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001-37359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10.5</w:t>
            </w: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196"/>
        </w:trPr>
        <w:tc>
          <w:tcPr>
            <w:tcW w:w="10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Agreement, dated January</w:t>
              </w:r>
            </w:hyperlink>
          </w:p>
        </w:tc>
        <w:tc>
          <w:tcPr>
            <w:tcW w:w="20" w:type="dxa"/>
            <w:vAlign w:val="bottom"/>
            <w:tcBorders>
              <w:top w:val="single" w:sz="8" w:color="0000EE"/>
            </w:tcBorders>
          </w:tcPr>
          <w:p>
            <w:pPr>
              <w:spacing w:after="0"/>
              <w:rPr>
                <w:sz w:val="17"/>
                <w:szCs w:val="17"/>
                <w:color w:val="auto"/>
              </w:rPr>
            </w:pPr>
          </w:p>
        </w:tc>
        <w:tc>
          <w:tcPr>
            <w:tcW w:w="2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26, 2018, by and between</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the Registrant and 38</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5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Sidney Street Limited</w:t>
              </w:r>
            </w:hyperlink>
          </w:p>
        </w:tc>
        <w:tc>
          <w:tcPr>
            <w:tcW w:w="56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81">
              <w:r>
                <w:rPr>
                  <w:rFonts w:ascii="Times New Roman" w:cs="Times New Roman" w:eastAsia="Times New Roman" w:hAnsi="Times New Roman"/>
                  <w:sz w:val="18"/>
                  <w:szCs w:val="18"/>
                  <w:color w:val="0000EE"/>
                  <w:w w:val="97"/>
                </w:rPr>
                <w:t>Partnership</w:t>
              </w:r>
            </w:hyperlink>
          </w:p>
        </w:tc>
        <w:tc>
          <w:tcPr>
            <w:tcW w:w="1320" w:type="dxa"/>
            <w:vAlign w:val="bottom"/>
            <w:gridSpan w:val="27"/>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140" w:type="dxa"/>
            <w:vAlign w:val="bottom"/>
            <w:gridSpan w:val="32"/>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Second Amendment to</w:t>
              </w:r>
            </w:hyperlink>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001-37359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April 29,2021</w:t>
            </w:r>
          </w:p>
        </w:tc>
      </w:tr>
      <w:tr>
        <w:trPr>
          <w:trHeight w:val="20"/>
        </w:trPr>
        <w:tc>
          <w:tcPr>
            <w:tcW w:w="10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7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Lease Agreement, dated</w:t>
              </w:r>
            </w:hyperlink>
          </w:p>
        </w:tc>
        <w:tc>
          <w:tcPr>
            <w:tcW w:w="36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5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April 6, 2021, by and</w:t>
              </w:r>
            </w:hyperlink>
          </w:p>
        </w:tc>
        <w:tc>
          <w:tcPr>
            <w:tcW w:w="6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between Blueprint</w:t>
              </w:r>
            </w:hyperlink>
          </w:p>
        </w:tc>
        <w:tc>
          <w:tcPr>
            <w:tcW w:w="82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Medicines Corporation and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BRE-BMR 38 SIDNEY</w:t>
              </w:r>
            </w:hyperlink>
          </w:p>
        </w:tc>
        <w:tc>
          <w:tcPr>
            <w:tcW w:w="200" w:type="dxa"/>
            <w:vAlign w:val="bottom"/>
            <w:tcBorders>
              <w:top w:val="single" w:sz="8" w:color="0000EE"/>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LLC</w:t>
              </w:r>
            </w:hyperlink>
          </w:p>
        </w:tc>
        <w:tc>
          <w:tcPr>
            <w:tcW w:w="1780" w:type="dxa"/>
            <w:vAlign w:val="bottom"/>
            <w:gridSpan w:val="29"/>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9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Third Amendment to Lease</w:t>
              </w:r>
            </w:hyperlink>
          </w:p>
        </w:tc>
        <w:tc>
          <w:tcPr>
            <w:tcW w:w="160" w:type="dxa"/>
            <w:vAlign w:val="bottom"/>
            <w:gridSpan w:val="2"/>
          </w:tcPr>
          <w:p>
            <w:pPr>
              <w:spacing w:after="0"/>
              <w:rPr>
                <w:sz w:val="21"/>
                <w:szCs w:val="21"/>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6"/>
                <w:szCs w:val="16"/>
                <w:color w:val="auto"/>
              </w:rPr>
              <w:t>001-37359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10.8</w:t>
            </w: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100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Agreement, dated</w:t>
              </w:r>
            </w:hyperlink>
          </w:p>
        </w:tc>
        <w:tc>
          <w:tcPr>
            <w:tcW w:w="86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December 15, 2021, by and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between Blueprint</w:t>
              </w:r>
            </w:hyperlink>
          </w:p>
        </w:tc>
        <w:tc>
          <w:tcPr>
            <w:tcW w:w="660" w:type="dxa"/>
            <w:vAlign w:val="bottom"/>
            <w:tcBorders>
              <w:top w:val="single" w:sz="8" w:color="0000EE"/>
            </w:tcBorders>
            <w:gridSpan w:val="20"/>
          </w:tcPr>
          <w:p>
            <w:pPr>
              <w:spacing w:after="0"/>
              <w:rPr>
                <w:sz w:val="17"/>
                <w:szCs w:val="17"/>
                <w:color w:val="auto"/>
              </w:rPr>
            </w:pPr>
          </w:p>
        </w:tc>
        <w:tc>
          <w:tcPr>
            <w:tcW w:w="1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Medicines Corporation and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BRE-BMR 38 SIDNEY</w:t>
              </w:r>
            </w:hyperlink>
          </w:p>
        </w:tc>
        <w:tc>
          <w:tcPr>
            <w:tcW w:w="200" w:type="dxa"/>
            <w:vAlign w:val="bottom"/>
            <w:tcBorders>
              <w:top w:val="single" w:sz="8" w:color="0000EE"/>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LLC</w:t>
              </w:r>
            </w:hyperlink>
          </w:p>
        </w:tc>
        <w:tc>
          <w:tcPr>
            <w:tcW w:w="1780" w:type="dxa"/>
            <w:vAlign w:val="bottom"/>
            <w:gridSpan w:val="29"/>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Lease Agreement, dated</w:t>
              </w:r>
            </w:hyperlink>
          </w:p>
        </w:tc>
        <w:tc>
          <w:tcPr>
            <w:tcW w:w="360" w:type="dxa"/>
            <w:vAlign w:val="bottom"/>
            <w:gridSpan w:val="11"/>
          </w:tcPr>
          <w:p>
            <w:pPr>
              <w:spacing w:after="0"/>
              <w:rPr>
                <w:sz w:val="21"/>
                <w:szCs w:val="21"/>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001-37359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May 3, 2017</w:t>
            </w: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April 28, 2017, by and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gridSpan w:val="1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between the Registrant and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UP 45/75 Sidney Street,</w:t>
              </w:r>
            </w:hyperlink>
          </w:p>
        </w:tc>
        <w:tc>
          <w:tcPr>
            <w:tcW w:w="200" w:type="dxa"/>
            <w:vAlign w:val="bottom"/>
            <w:tcBorders>
              <w:top w:val="single" w:sz="8" w:color="0000EE"/>
            </w:tcBorders>
            <w:gridSpan w:val="9"/>
          </w:tcPr>
          <w:p>
            <w:pPr>
              <w:spacing w:after="0"/>
              <w:rPr>
                <w:sz w:val="17"/>
                <w:szCs w:val="17"/>
                <w:color w:val="auto"/>
              </w:rPr>
            </w:pPr>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84">
              <w:r>
                <w:rPr>
                  <w:rFonts w:ascii="Times New Roman" w:cs="Times New Roman" w:eastAsia="Times New Roman" w:hAnsi="Times New Roman"/>
                  <w:sz w:val="18"/>
                  <w:szCs w:val="18"/>
                  <w:color w:val="0000EE"/>
                  <w:w w:val="93"/>
                </w:rPr>
                <w:t>LLC</w:t>
              </w:r>
            </w:hyperlink>
          </w:p>
        </w:tc>
        <w:tc>
          <w:tcPr>
            <w:tcW w:w="1800" w:type="dxa"/>
            <w:vAlign w:val="bottom"/>
            <w:gridSpan w:val="30"/>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140" w:type="dxa"/>
            <w:vAlign w:val="bottom"/>
            <w:gridSpan w:val="32"/>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First Amendment of Lease,</w:t>
              </w:r>
            </w:hyperlink>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001-37359</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September 25, 2018</w:t>
            </w:r>
          </w:p>
        </w:tc>
      </w:tr>
      <w:tr>
        <w:trPr>
          <w:trHeight w:val="196"/>
        </w:trPr>
        <w:tc>
          <w:tcPr>
            <w:tcW w:w="100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dated September 19, 2018,</w:t>
              </w:r>
            </w:hyperlink>
          </w:p>
        </w:tc>
        <w:tc>
          <w:tcPr>
            <w:tcW w:w="40" w:type="dxa"/>
            <w:vAlign w:val="bottom"/>
            <w:tcBorders>
              <w:top w:val="single" w:sz="8" w:color="0000EE"/>
            </w:tcBorders>
            <w:gridSpan w:val="2"/>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between Blueprint</w:t>
              </w:r>
            </w:hyperlink>
          </w:p>
        </w:tc>
        <w:tc>
          <w:tcPr>
            <w:tcW w:w="82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3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Medicines Corporation and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UP 45/75 Sidney Street,</w:t>
              </w:r>
            </w:hyperlink>
          </w:p>
        </w:tc>
        <w:tc>
          <w:tcPr>
            <w:tcW w:w="220" w:type="dxa"/>
            <w:vAlign w:val="bottom"/>
            <w:tcBorders>
              <w:top w:val="single" w:sz="8" w:color="0000EE"/>
            </w:tcBorders>
            <w:gridSpan w:val="10"/>
          </w:tcPr>
          <w:p>
            <w:pPr>
              <w:spacing w:after="0"/>
              <w:rPr>
                <w:sz w:val="17"/>
                <w:szCs w:val="17"/>
                <w:color w:val="auto"/>
              </w:rPr>
            </w:pP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LLC</w:t>
              </w:r>
            </w:hyperlink>
          </w:p>
        </w:tc>
        <w:tc>
          <w:tcPr>
            <w:tcW w:w="1780" w:type="dxa"/>
            <w:vAlign w:val="bottom"/>
            <w:gridSpan w:val="29"/>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36" w:name="page137"/>
    <w:bookmarkEnd w:id="136"/>
    <w:tbl>
      <w:tblPr>
        <w:tblLayout w:type="fixed"/>
        <w:tblInd w:w="40" w:type="dxa"/>
        <w:tblCellMar>
          <w:top w:w="0" w:type="dxa"/>
          <w:left w:w="0" w:type="dxa"/>
          <w:bottom w:w="0" w:type="dxa"/>
          <w:right w:w="0" w:type="dxa"/>
        </w:tblCellMar>
      </w:tblPr>
      <w:tr>
        <w:trPr>
          <w:trHeight w:val="207"/>
        </w:trPr>
        <w:tc>
          <w:tcPr>
            <w:tcW w:w="3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938"/>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Employment Agreement,</w:t>
              </w:r>
            </w:hyperlink>
          </w:p>
        </w:tc>
        <w:tc>
          <w:tcPr>
            <w:tcW w:w="360" w:type="dxa"/>
            <w:vAlign w:val="bottom"/>
            <w:gridSpan w:val="8"/>
          </w:tcPr>
          <w:p>
            <w:pPr>
              <w:spacing w:after="0"/>
              <w:rPr>
                <w:sz w:val="24"/>
                <w:szCs w:val="24"/>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November 9, 2015</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dated November 6, 2015, by</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and between the Registrant</w:t>
              </w:r>
            </w:hyperlink>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and Jeffrey W. Albers</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6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56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First Amendment to</w:t>
              </w:r>
            </w:hyperlink>
          </w:p>
        </w:tc>
        <w:tc>
          <w:tcPr>
            <w:tcW w:w="620" w:type="dxa"/>
            <w:vAlign w:val="bottom"/>
            <w:gridSpan w:val="13"/>
          </w:tcPr>
          <w:p>
            <w:pPr>
              <w:spacing w:after="0"/>
              <w:rPr>
                <w:sz w:val="22"/>
                <w:szCs w:val="22"/>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Employment Agreement,</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dated December 22, 2021,</w:t>
              </w:r>
            </w:hyperlink>
          </w:p>
        </w:tc>
        <w:tc>
          <w:tcPr>
            <w:tcW w:w="2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by and between the</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Registrant and Jeffrey W.</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88">
              <w:r>
                <w:rPr>
                  <w:rFonts w:ascii="Times New Roman" w:cs="Times New Roman" w:eastAsia="Times New Roman" w:hAnsi="Times New Roman"/>
                  <w:sz w:val="18"/>
                  <w:szCs w:val="18"/>
                  <w:color w:val="0000EE"/>
                  <w:w w:val="95"/>
                </w:rPr>
                <w:t>Albers</w:t>
              </w:r>
            </w:hyperlink>
          </w:p>
        </w:tc>
        <w:tc>
          <w:tcPr>
            <w:tcW w:w="170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180" w:type="dxa"/>
            <w:vAlign w:val="bottom"/>
            <w:gridSpan w:val="18"/>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Amended and Restated</w:t>
              </w:r>
            </w:hyperlink>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January 5,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Employment Agreement,</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dated January 4, 2022 and</w:t>
              </w:r>
            </w:hyperlink>
          </w:p>
        </w:tc>
        <w:tc>
          <w:tcPr>
            <w:tcW w:w="3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89">
              <w:r>
                <w:rPr>
                  <w:rFonts w:ascii="Times New Roman" w:cs="Times New Roman" w:eastAsia="Times New Roman" w:hAnsi="Times New Roman"/>
                  <w:sz w:val="18"/>
                  <w:szCs w:val="18"/>
                  <w:color w:val="0000EE"/>
                  <w:w w:val="97"/>
                </w:rPr>
                <w:t>effective as of April 4,</w:t>
              </w:r>
            </w:hyperlink>
          </w:p>
        </w:tc>
        <w:tc>
          <w:tcPr>
            <w:tcW w:w="56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2022, by and between the</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Registrant and Jeffrey W.</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89">
              <w:r>
                <w:rPr>
                  <w:rFonts w:ascii="Times New Roman" w:cs="Times New Roman" w:eastAsia="Times New Roman" w:hAnsi="Times New Roman"/>
                  <w:sz w:val="18"/>
                  <w:szCs w:val="18"/>
                  <w:color w:val="0000EE"/>
                  <w:w w:val="95"/>
                </w:rPr>
                <w:t>Albers</w:t>
              </w:r>
            </w:hyperlink>
          </w:p>
        </w:tc>
        <w:tc>
          <w:tcPr>
            <w:tcW w:w="170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180" w:type="dxa"/>
            <w:vAlign w:val="bottom"/>
            <w:gridSpan w:val="18"/>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Amendment Agreement</w:t>
              </w:r>
            </w:hyperlink>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27,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dated as of December 23,</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2022 by and between the</w:t>
              </w:r>
            </w:hyperlink>
          </w:p>
        </w:tc>
        <w:tc>
          <w:tcPr>
            <w:tcW w:w="38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Registrant and Jeffrey W.</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90">
              <w:r>
                <w:rPr>
                  <w:rFonts w:ascii="Times New Roman" w:cs="Times New Roman" w:eastAsia="Times New Roman" w:hAnsi="Times New Roman"/>
                  <w:sz w:val="18"/>
                  <w:szCs w:val="18"/>
                  <w:color w:val="0000EE"/>
                  <w:w w:val="95"/>
                </w:rPr>
                <w:t>Albers</w:t>
              </w:r>
            </w:hyperlink>
          </w:p>
        </w:tc>
        <w:tc>
          <w:tcPr>
            <w:tcW w:w="170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6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180" w:type="dxa"/>
            <w:vAlign w:val="bottom"/>
            <w:gridSpan w:val="18"/>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Consulting Agreement</w:t>
              </w:r>
            </w:hyperlink>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27,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effective as of January 1,</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2023 by and between the</w:t>
              </w:r>
            </w:hyperlink>
          </w:p>
        </w:tc>
        <w:tc>
          <w:tcPr>
            <w:tcW w:w="38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Registrant and Jeffrey W.</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91">
              <w:r>
                <w:rPr>
                  <w:rFonts w:ascii="Times New Roman" w:cs="Times New Roman" w:eastAsia="Times New Roman" w:hAnsi="Times New Roman"/>
                  <w:sz w:val="18"/>
                  <w:szCs w:val="18"/>
                  <w:color w:val="0000EE"/>
                  <w:w w:val="95"/>
                </w:rPr>
                <w:t>Albers</w:t>
              </w:r>
            </w:hyperlink>
          </w:p>
        </w:tc>
        <w:tc>
          <w:tcPr>
            <w:tcW w:w="1700" w:type="dxa"/>
            <w:vAlign w:val="bottom"/>
            <w:gridSpan w:val="16"/>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6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Employment Agreement,</w:t>
              </w:r>
            </w:hyperlink>
          </w:p>
        </w:tc>
        <w:tc>
          <w:tcPr>
            <w:tcW w:w="360" w:type="dxa"/>
            <w:vAlign w:val="bottom"/>
            <w:gridSpan w:val="8"/>
          </w:tcPr>
          <w:p>
            <w:pPr>
              <w:spacing w:after="0"/>
              <w:rPr>
                <w:sz w:val="22"/>
                <w:szCs w:val="22"/>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10.9</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dated March 10, 2016, by</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and between the Registrant</w:t>
              </w:r>
            </w:hyperlink>
          </w:p>
        </w:tc>
        <w:tc>
          <w:tcPr>
            <w:tcW w:w="2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and Kathryn Haviland</w:t>
              </w:r>
            </w:hyperlink>
          </w:p>
        </w:tc>
        <w:tc>
          <w:tcPr>
            <w:tcW w:w="56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180" w:type="dxa"/>
            <w:vAlign w:val="bottom"/>
            <w:gridSpan w:val="18"/>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First Amendment to</w:t>
              </w:r>
            </w:hyperlink>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February 5, 2019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Employment Agreement,</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dated January 30, 2019, by</w:t>
              </w:r>
            </w:hyperlink>
          </w:p>
        </w:tc>
        <w:tc>
          <w:tcPr>
            <w:tcW w:w="24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and between the Registrant</w:t>
              </w:r>
            </w:hyperlink>
          </w:p>
        </w:tc>
        <w:tc>
          <w:tcPr>
            <w:tcW w:w="2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and Kathryn Haviland</w:t>
              </w:r>
            </w:hyperlink>
          </w:p>
        </w:tc>
        <w:tc>
          <w:tcPr>
            <w:tcW w:w="56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180" w:type="dxa"/>
            <w:vAlign w:val="bottom"/>
            <w:gridSpan w:val="18"/>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Second Amendment to</w:t>
              </w:r>
            </w:hyperlink>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Employment Agreement,</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dated December 22, 2021,</w:t>
              </w:r>
            </w:hyperlink>
          </w:p>
        </w:tc>
        <w:tc>
          <w:tcPr>
            <w:tcW w:w="2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by and between the</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Registrant and Kathryn</w:t>
              </w:r>
            </w:hyperlink>
          </w:p>
        </w:tc>
        <w:tc>
          <w:tcPr>
            <w:tcW w:w="46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94">
              <w:r>
                <w:rPr>
                  <w:rFonts w:ascii="Times New Roman" w:cs="Times New Roman" w:eastAsia="Times New Roman" w:hAnsi="Times New Roman"/>
                  <w:sz w:val="18"/>
                  <w:szCs w:val="18"/>
                  <w:color w:val="0000EE"/>
                  <w:w w:val="96"/>
                </w:rPr>
                <w:t>Haviland</w:t>
              </w:r>
            </w:hyperlink>
          </w:p>
        </w:tc>
        <w:tc>
          <w:tcPr>
            <w:tcW w:w="152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180" w:type="dxa"/>
            <w:vAlign w:val="bottom"/>
            <w:gridSpan w:val="18"/>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First Amendment to</w:t>
              </w:r>
            </w:hyperlink>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1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Amended and Restated</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Employment Agreement,</w:t>
              </w:r>
            </w:hyperlink>
          </w:p>
        </w:tc>
        <w:tc>
          <w:tcPr>
            <w:tcW w:w="3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dated September 23, 2022,</w:t>
              </w:r>
            </w:hyperlink>
          </w:p>
        </w:tc>
        <w:tc>
          <w:tcPr>
            <w:tcW w:w="2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by and between the</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Registrant and Kathryn</w:t>
              </w:r>
            </w:hyperlink>
          </w:p>
        </w:tc>
        <w:tc>
          <w:tcPr>
            <w:tcW w:w="46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18"/>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Haviland</w:t>
              </w:r>
            </w:hyperlink>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6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135</w:t>
            </w: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37" w:name="page138"/>
    <w:bookmarkEnd w:id="13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938"/>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120" w:type="dxa"/>
            <w:vAlign w:val="bottom"/>
            <w:gridSpan w:val="25"/>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Amended and Restated</w:t>
              </w:r>
            </w:hyperlink>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January 5,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dated January 4, 2022 and</w:t>
              </w:r>
            </w:hyperlink>
          </w:p>
        </w:tc>
        <w:tc>
          <w:tcPr>
            <w:tcW w:w="2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effective as of April 4,</w:t>
              </w:r>
            </w:hyperlink>
          </w:p>
        </w:tc>
        <w:tc>
          <w:tcPr>
            <w:tcW w:w="50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2022, by and between the</w:t>
              </w:r>
            </w:hyperlink>
          </w:p>
        </w:tc>
        <w:tc>
          <w:tcPr>
            <w:tcW w:w="2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Registrant and Kathryn</w:t>
              </w:r>
            </w:hyperlink>
          </w:p>
        </w:tc>
        <w:tc>
          <w:tcPr>
            <w:tcW w:w="42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96">
              <w:r>
                <w:rPr>
                  <w:rFonts w:ascii="Times New Roman" w:cs="Times New Roman" w:eastAsia="Times New Roman" w:hAnsi="Times New Roman"/>
                  <w:sz w:val="18"/>
                  <w:szCs w:val="18"/>
                  <w:color w:val="0000EE"/>
                  <w:w w:val="96"/>
                </w:rPr>
                <w:t>Haviland</w:t>
              </w:r>
            </w:hyperlink>
          </w:p>
        </w:tc>
        <w:tc>
          <w:tcPr>
            <w:tcW w:w="1460" w:type="dxa"/>
            <w:vAlign w:val="bottom"/>
            <w:gridSpan w:val="21"/>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8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10.3</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dated September 6, 2016,</w:t>
              </w:r>
            </w:hyperlink>
          </w:p>
        </w:tc>
        <w:tc>
          <w:tcPr>
            <w:tcW w:w="2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by and between the</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Registrant and Tracey L.</w:t>
              </w:r>
            </w:hyperlink>
          </w:p>
        </w:tc>
        <w:tc>
          <w:tcPr>
            <w:tcW w:w="3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97">
              <w:r>
                <w:rPr>
                  <w:rFonts w:ascii="Times New Roman" w:cs="Times New Roman" w:eastAsia="Times New Roman" w:hAnsi="Times New Roman"/>
                  <w:sz w:val="18"/>
                  <w:szCs w:val="18"/>
                  <w:color w:val="0000EE"/>
                  <w:w w:val="96"/>
                </w:rPr>
                <w:t>McCain</w:t>
              </w:r>
            </w:hyperlink>
          </w:p>
        </w:tc>
        <w:tc>
          <w:tcPr>
            <w:tcW w:w="154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120" w:type="dxa"/>
            <w:vAlign w:val="bottom"/>
            <w:gridSpan w:val="25"/>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First Amendment to</w:t>
              </w:r>
            </w:hyperlink>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10.5</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dated December 22, 2021,</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by and between the</w:t>
              </w:r>
            </w:hyperlink>
          </w:p>
        </w:tc>
        <w:tc>
          <w:tcPr>
            <w:tcW w:w="2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Registrant and Tracey L.</w:t>
              </w:r>
            </w:hyperlink>
          </w:p>
        </w:tc>
        <w:tc>
          <w:tcPr>
            <w:tcW w:w="3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98">
              <w:r>
                <w:rPr>
                  <w:rFonts w:ascii="Times New Roman" w:cs="Times New Roman" w:eastAsia="Times New Roman" w:hAnsi="Times New Roman"/>
                  <w:sz w:val="18"/>
                  <w:szCs w:val="18"/>
                  <w:color w:val="0000EE"/>
                  <w:w w:val="96"/>
                </w:rPr>
                <w:t>McCain</w:t>
              </w:r>
            </w:hyperlink>
          </w:p>
        </w:tc>
        <w:tc>
          <w:tcPr>
            <w:tcW w:w="154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120" w:type="dxa"/>
            <w:vAlign w:val="bottom"/>
            <w:gridSpan w:val="25"/>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Second Amendment to</w:t>
              </w:r>
            </w:hyperlink>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10.5</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dated September 23, 2022,</w:t>
              </w:r>
            </w:hyperlink>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by and between the</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Registrant and Tracey L.</w:t>
              </w:r>
            </w:hyperlink>
          </w:p>
        </w:tc>
        <w:tc>
          <w:tcPr>
            <w:tcW w:w="3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99">
              <w:r>
                <w:rPr>
                  <w:rFonts w:ascii="Times New Roman" w:cs="Times New Roman" w:eastAsia="Times New Roman" w:hAnsi="Times New Roman"/>
                  <w:sz w:val="18"/>
                  <w:szCs w:val="18"/>
                  <w:color w:val="0000EE"/>
                  <w:w w:val="96"/>
                </w:rPr>
                <w:t>McCain</w:t>
              </w:r>
            </w:hyperlink>
          </w:p>
        </w:tc>
        <w:tc>
          <w:tcPr>
            <w:tcW w:w="154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8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10-Q</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October 31, 2017</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dated October 10, 2017, by</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and between the Registrant</w:t>
              </w:r>
            </w:hyperlink>
          </w:p>
        </w:tc>
        <w:tc>
          <w:tcPr>
            <w:tcW w:w="16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and Christopher Murray</w:t>
              </w:r>
              <w:r>
                <w:rPr>
                  <w:rFonts w:ascii="Times New Roman" w:cs="Times New Roman" w:eastAsia="Times New Roman" w:hAnsi="Times New Roman"/>
                  <w:sz w:val="18"/>
                  <w:szCs w:val="18"/>
                  <w:color w:val="000000"/>
                </w:rPr>
                <w:t>,</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Ph.D.</w:t>
            </w:r>
          </w:p>
        </w:tc>
        <w:tc>
          <w:tcPr>
            <w:tcW w:w="380" w:type="dxa"/>
            <w:vAlign w:val="bottom"/>
            <w:gridSpan w:val="11"/>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4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2120" w:type="dxa"/>
            <w:vAlign w:val="bottom"/>
            <w:gridSpan w:val="25"/>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First Amendment to</w:t>
              </w:r>
            </w:hyperlink>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10.8</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dated December 22, 2021,</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by and between the</w:t>
              </w:r>
            </w:hyperlink>
          </w:p>
        </w:tc>
        <w:tc>
          <w:tcPr>
            <w:tcW w:w="24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Registrant and Christopher</w:t>
              </w:r>
            </w:hyperlink>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Murray</w:t>
              </w:r>
              <w:r>
                <w:rPr>
                  <w:rFonts w:ascii="Times New Roman" w:cs="Times New Roman" w:eastAsia="Times New Roman" w:hAnsi="Times New Roman"/>
                  <w:sz w:val="18"/>
                  <w:szCs w:val="18"/>
                  <w:color w:val="000000"/>
                </w:rPr>
                <w:t>, Ph.D.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2120" w:type="dxa"/>
            <w:vAlign w:val="bottom"/>
            <w:gridSpan w:val="25"/>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Second Amendment to</w:t>
              </w:r>
            </w:hyperlink>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dated September 23, 2022,</w:t>
              </w:r>
            </w:hyperlink>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by and between the</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Registrant and Christopher</w:t>
              </w:r>
            </w:hyperlink>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Murray, Ph.D.</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Third Amendment to</w:t>
            </w:r>
          </w:p>
        </w:tc>
        <w:tc>
          <w:tcPr>
            <w:tcW w:w="600" w:type="dxa"/>
            <w:vAlign w:val="bottom"/>
            <w:gridSpan w:val="16"/>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Employment Agreement,</w:t>
            </w:r>
          </w:p>
        </w:tc>
        <w:tc>
          <w:tcPr>
            <w:tcW w:w="2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February 15, 2023,</w:t>
            </w:r>
          </w:p>
        </w:tc>
        <w:tc>
          <w:tcPr>
            <w:tcW w:w="3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effective as of January 1,</w:t>
            </w:r>
          </w:p>
        </w:tc>
        <w:tc>
          <w:tcPr>
            <w:tcW w:w="3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2023, by and between the</w:t>
            </w:r>
          </w:p>
        </w:tc>
        <w:tc>
          <w:tcPr>
            <w:tcW w:w="2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Registrant and Christopher</w:t>
            </w:r>
          </w:p>
        </w:tc>
        <w:tc>
          <w:tcPr>
            <w:tcW w:w="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Murray, Ph.D.</w:t>
            </w: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8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Employment Agreement,</w:t>
              </w:r>
            </w:hyperlink>
          </w:p>
        </w:tc>
        <w:tc>
          <w:tcPr>
            <w:tcW w:w="300" w:type="dxa"/>
            <w:vAlign w:val="bottom"/>
            <w:gridSpan w:val="8"/>
          </w:tcPr>
          <w:p>
            <w:pPr>
              <w:spacing w:after="0"/>
              <w:rPr>
                <w:sz w:val="21"/>
                <w:szCs w:val="21"/>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001-37359</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November 22, 2017</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dated November 22, 2017,</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by and between the</w:t>
              </w:r>
            </w:hyperlink>
          </w:p>
        </w:tc>
        <w:tc>
          <w:tcPr>
            <w:tcW w:w="22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Registrant and Michael</w:t>
              </w:r>
            </w:hyperlink>
          </w:p>
        </w:tc>
        <w:tc>
          <w:tcPr>
            <w:tcW w:w="44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gridSpan w:val="25"/>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Landsittel</w:t>
              </w:r>
            </w:hyperlink>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38" w:name="page139"/>
    <w:bookmarkEnd w:id="13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2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938"/>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2180" w:type="dxa"/>
            <w:vAlign w:val="bottom"/>
            <w:gridSpan w:val="21"/>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First Amendment to</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February 5, 2019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dated January 30, 2019, by</w:t>
              </w:r>
            </w:hyperlink>
          </w:p>
        </w:tc>
        <w:tc>
          <w:tcPr>
            <w:tcW w:w="2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and between the Registrant</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r:id="rId204">
              <w:r>
                <w:rPr>
                  <w:rFonts w:ascii="Times New Roman" w:cs="Times New Roman" w:eastAsia="Times New Roman" w:hAnsi="Times New Roman"/>
                  <w:sz w:val="18"/>
                  <w:szCs w:val="18"/>
                  <w:color w:val="0000EE"/>
                  <w:w w:val="96"/>
                </w:rPr>
                <w:t>and Michael Landsittel</w:t>
              </w:r>
            </w:hyperlink>
          </w:p>
        </w:tc>
        <w:tc>
          <w:tcPr>
            <w:tcW w:w="300" w:type="dxa"/>
            <w:vAlign w:val="bottom"/>
            <w:tcBorders>
              <w:top w:val="single" w:sz="8" w:color="0000EE"/>
            </w:tcBorders>
            <w:gridSpan w:val="10"/>
          </w:tcPr>
          <w:p>
            <w:pPr>
              <w:spacing w:after="0"/>
              <w:rPr>
                <w:sz w:val="17"/>
                <w:szCs w:val="17"/>
                <w:color w:val="auto"/>
              </w:rPr>
            </w:pPr>
          </w:p>
        </w:tc>
        <w:tc>
          <w:tcPr>
            <w:tcW w:w="2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2180" w:type="dxa"/>
            <w:vAlign w:val="bottom"/>
            <w:gridSpan w:val="21"/>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Second Amendment to</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dated December 22, 2021,</w:t>
              </w:r>
            </w:hyperlink>
          </w:p>
        </w:tc>
        <w:tc>
          <w:tcPr>
            <w:tcW w:w="2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by and between the</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Registrant and Michael</w:t>
              </w:r>
            </w:hyperlink>
          </w:p>
        </w:tc>
        <w:tc>
          <w:tcPr>
            <w:tcW w:w="5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205">
              <w:r>
                <w:rPr>
                  <w:rFonts w:ascii="Times New Roman" w:cs="Times New Roman" w:eastAsia="Times New Roman" w:hAnsi="Times New Roman"/>
                  <w:sz w:val="18"/>
                  <w:szCs w:val="18"/>
                  <w:color w:val="0000EE"/>
                  <w:w w:val="97"/>
                </w:rPr>
                <w:t>Landsittel</w:t>
              </w:r>
            </w:hyperlink>
          </w:p>
        </w:tc>
        <w:tc>
          <w:tcPr>
            <w:tcW w:w="146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Third Amendment to</w:t>
              </w:r>
            </w:hyperlink>
          </w:p>
        </w:tc>
        <w:tc>
          <w:tcPr>
            <w:tcW w:w="660" w:type="dxa"/>
            <w:vAlign w:val="bottom"/>
            <w:gridSpan w:val="14"/>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dated September 23, 2022,</w:t>
              </w:r>
            </w:hyperlink>
          </w:p>
        </w:tc>
        <w:tc>
          <w:tcPr>
            <w:tcW w:w="2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by and between the</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Registrant and Michael</w:t>
              </w:r>
            </w:hyperlink>
          </w:p>
        </w:tc>
        <w:tc>
          <w:tcPr>
            <w:tcW w:w="5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206">
              <w:r>
                <w:rPr>
                  <w:rFonts w:ascii="Times New Roman" w:cs="Times New Roman" w:eastAsia="Times New Roman" w:hAnsi="Times New Roman"/>
                  <w:sz w:val="18"/>
                  <w:szCs w:val="18"/>
                  <w:color w:val="0000EE"/>
                  <w:w w:val="97"/>
                </w:rPr>
                <w:t>Landsittel</w:t>
              </w:r>
            </w:hyperlink>
          </w:p>
        </w:tc>
        <w:tc>
          <w:tcPr>
            <w:tcW w:w="146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8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October 29, 2018</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dated October 29, 2018, by</w:t>
              </w:r>
            </w:hyperlink>
          </w:p>
        </w:tc>
        <w:tc>
          <w:tcPr>
            <w:tcW w:w="2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and between the Registrant</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and Christina Rossi</w:t>
              </w:r>
            </w:hyperlink>
          </w:p>
        </w:tc>
        <w:tc>
          <w:tcPr>
            <w:tcW w:w="2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180" w:type="dxa"/>
            <w:vAlign w:val="bottom"/>
            <w:gridSpan w:val="21"/>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First Amendment to</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dated December 22, 2021,</w:t>
              </w:r>
            </w:hyperlink>
          </w:p>
        </w:tc>
        <w:tc>
          <w:tcPr>
            <w:tcW w:w="2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by and between the</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Registrant and Christina</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208">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8"/>
          </w:tcPr>
          <w:p>
            <w:pPr>
              <w:spacing w:after="0"/>
              <w:rPr>
                <w:sz w:val="17"/>
                <w:szCs w:val="17"/>
                <w:color w:val="auto"/>
              </w:rPr>
            </w:pPr>
          </w:p>
        </w:tc>
        <w:tc>
          <w:tcPr>
            <w:tcW w:w="44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2180" w:type="dxa"/>
            <w:vAlign w:val="bottom"/>
            <w:gridSpan w:val="21"/>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Amended and Restated</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January 5,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dated January 4, 2022 and</w:t>
              </w:r>
            </w:hyperlink>
          </w:p>
        </w:tc>
        <w:tc>
          <w:tcPr>
            <w:tcW w:w="30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effective as of April 4,</w:t>
              </w:r>
            </w:hyperlink>
          </w:p>
        </w:tc>
        <w:tc>
          <w:tcPr>
            <w:tcW w:w="5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2022, by and between the</w:t>
              </w:r>
            </w:hyperlink>
          </w:p>
        </w:tc>
        <w:tc>
          <w:tcPr>
            <w:tcW w:w="32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Registrant and Christina</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209">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8"/>
          </w:tcPr>
          <w:p>
            <w:pPr>
              <w:spacing w:after="0"/>
              <w:rPr>
                <w:sz w:val="17"/>
                <w:szCs w:val="17"/>
                <w:color w:val="auto"/>
              </w:rPr>
            </w:pPr>
          </w:p>
        </w:tc>
        <w:tc>
          <w:tcPr>
            <w:tcW w:w="44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2180" w:type="dxa"/>
            <w:vAlign w:val="bottom"/>
            <w:gridSpan w:val="21"/>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First Amendment to</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Amended and Restated</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dated September 23, 2022,</w:t>
              </w:r>
            </w:hyperlink>
          </w:p>
        </w:tc>
        <w:tc>
          <w:tcPr>
            <w:tcW w:w="2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by and between the</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Registrant and Christina</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210">
              <w:r>
                <w:rPr>
                  <w:rFonts w:ascii="Times New Roman" w:cs="Times New Roman" w:eastAsia="Times New Roman" w:hAnsi="Times New Roman"/>
                  <w:sz w:val="18"/>
                  <w:szCs w:val="18"/>
                  <w:color w:val="0000EE"/>
                  <w:w w:val="94"/>
                </w:rPr>
                <w:t>Rossi</w:t>
              </w:r>
            </w:hyperlink>
          </w:p>
        </w:tc>
        <w:tc>
          <w:tcPr>
            <w:tcW w:w="1340" w:type="dxa"/>
            <w:vAlign w:val="bottom"/>
            <w:tcBorders>
              <w:top w:val="single" w:sz="8" w:color="0000EE"/>
            </w:tcBorders>
            <w:gridSpan w:val="8"/>
          </w:tcPr>
          <w:p>
            <w:pPr>
              <w:spacing w:after="0"/>
              <w:rPr>
                <w:sz w:val="17"/>
                <w:szCs w:val="17"/>
                <w:color w:val="auto"/>
              </w:rPr>
            </w:pPr>
          </w:p>
        </w:tc>
        <w:tc>
          <w:tcPr>
            <w:tcW w:w="44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Employment Agreement,</w:t>
              </w:r>
            </w:hyperlink>
          </w:p>
        </w:tc>
        <w:tc>
          <w:tcPr>
            <w:tcW w:w="360" w:type="dxa"/>
            <w:vAlign w:val="bottom"/>
            <w:gridSpan w:val="9"/>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March 8, 2019</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dated March 6, 2019, by</w:t>
              </w:r>
            </w:hyperlink>
          </w:p>
        </w:tc>
        <w:tc>
          <w:tcPr>
            <w:tcW w:w="42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and between the Registrant</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and Ariel Hurley</w:t>
              </w:r>
            </w:hyperlink>
          </w:p>
        </w:tc>
        <w:tc>
          <w:tcPr>
            <w:tcW w:w="720" w:type="dxa"/>
            <w:vAlign w:val="bottom"/>
            <w:tcBorders>
              <w:top w:val="single" w:sz="8" w:color="0000EE"/>
            </w:tcBorders>
            <w:gridSpan w:val="14"/>
          </w:tcPr>
          <w:p>
            <w:pPr>
              <w:spacing w:after="0"/>
              <w:rPr>
                <w:sz w:val="17"/>
                <w:szCs w:val="17"/>
                <w:color w:val="auto"/>
              </w:rPr>
            </w:pPr>
          </w:p>
        </w:tc>
        <w:tc>
          <w:tcPr>
            <w:tcW w:w="24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180" w:type="dxa"/>
            <w:vAlign w:val="bottom"/>
            <w:gridSpan w:val="21"/>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First Amendment to</w:t>
              </w:r>
            </w:hyperlink>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0" w:type="dxa"/>
            <w:vAlign w:val="bottom"/>
            <w:tcBorders>
              <w:left w:val="single" w:sz="8" w:color="0000EE"/>
            </w:tcBorders>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Employment Agreement,</w:t>
              </w:r>
            </w:hyperlink>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dated December 22, 2021,</w:t>
              </w:r>
            </w:hyperlink>
          </w:p>
        </w:tc>
        <w:tc>
          <w:tcPr>
            <w:tcW w:w="2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by and between the</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620" w:type="dxa"/>
            <w:vAlign w:val="bottom"/>
            <w:gridSpan w:val="1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80" w:type="dxa"/>
            <w:vAlign w:val="bottom"/>
            <w:gridSpan w:val="2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Registrant and Ariel Hurley</w:t>
              </w:r>
            </w:hyperlink>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39" w:name="page140"/>
    <w:bookmarkEnd w:id="13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4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938"/>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020" w:type="dxa"/>
            <w:vAlign w:val="bottom"/>
            <w:gridSpan w:val="19"/>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Second Amendment to</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10.10</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Employment Agreement,</w:t>
              </w:r>
            </w:hyperlink>
          </w:p>
        </w:tc>
        <w:tc>
          <w:tcPr>
            <w:tcW w:w="1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dated September 23, 2022,</w:t>
              </w:r>
            </w:hyperlink>
          </w:p>
        </w:tc>
        <w:tc>
          <w:tcPr>
            <w:tcW w:w="1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Registrant and Ariel Hurley</w:t>
              </w:r>
            </w:hyperlink>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5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Third Amendment to</w:t>
            </w:r>
          </w:p>
        </w:tc>
        <w:tc>
          <w:tcPr>
            <w:tcW w:w="500" w:type="dxa"/>
            <w:vAlign w:val="bottom"/>
            <w:gridSpan w:val="12"/>
          </w:tcPr>
          <w:p>
            <w:pPr>
              <w:spacing w:after="0"/>
              <w:rPr>
                <w:sz w:val="22"/>
                <w:szCs w:val="22"/>
                <w:color w:val="auto"/>
              </w:rPr>
            </w:pP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Employment Agreement,</w:t>
            </w:r>
          </w:p>
        </w:tc>
        <w:tc>
          <w:tcPr>
            <w:tcW w:w="20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February 15, 2023,</w:t>
            </w:r>
          </w:p>
        </w:tc>
        <w:tc>
          <w:tcPr>
            <w:tcW w:w="20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effective as of January 1,</w:t>
            </w:r>
          </w:p>
        </w:tc>
        <w:tc>
          <w:tcPr>
            <w:tcW w:w="22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2023, by and between the</w:t>
            </w:r>
          </w:p>
        </w:tc>
        <w:tc>
          <w:tcPr>
            <w:tcW w:w="14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Registrant and Ariel Hurley</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Employment Agreement,</w:t>
              </w:r>
            </w:hyperlink>
          </w:p>
        </w:tc>
        <w:tc>
          <w:tcPr>
            <w:tcW w:w="180" w:type="dxa"/>
            <w:vAlign w:val="bottom"/>
            <w:gridSpan w:val="7"/>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10.19</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dated November 22, 2017,</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by and between the</w:t>
              </w:r>
            </w:hyperlink>
          </w:p>
        </w:tc>
        <w:tc>
          <w:tcPr>
            <w:tcW w:w="12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Registrant and Debra</w:t>
              </w:r>
            </w:hyperlink>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Durso-Bumpus, as amended</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by the First Amendment to</w:t>
              </w:r>
            </w:hyperlink>
          </w:p>
        </w:tc>
        <w:tc>
          <w:tcPr>
            <w:tcW w:w="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Employment Agreement,</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dated February 10, 2020,</w:t>
              </w:r>
            </w:hyperlink>
          </w:p>
        </w:tc>
        <w:tc>
          <w:tcPr>
            <w:tcW w:w="40" w:type="dxa"/>
            <w:vAlign w:val="bottom"/>
            <w:tcBorders>
              <w:bottom w:val="single" w:sz="8" w:color="0000EE"/>
            </w:tcBorders>
            <w:gridSpan w:val="2"/>
          </w:tcPr>
          <w:p>
            <w:pPr>
              <w:spacing w:after="0"/>
              <w:rPr>
                <w:sz w:val="15"/>
                <w:szCs w:val="15"/>
                <w:color w:val="auto"/>
              </w:rPr>
            </w:pPr>
          </w:p>
        </w:tc>
        <w:tc>
          <w:tcPr>
            <w:tcW w:w="160" w:type="dxa"/>
            <w:vAlign w:val="bottom"/>
            <w:tcBorders>
              <w:bottom w:val="single" w:sz="8" w:color="0000EE"/>
            </w:tcBorders>
            <w:gridSpan w:val="6"/>
          </w:tcPr>
          <w:p>
            <w:pPr>
              <w:spacing w:after="0" w:line="182" w:lineRule="exact"/>
              <w:rPr>
                <w:rFonts w:ascii="Times New Roman" w:cs="Times New Roman" w:eastAsia="Times New Roman" w:hAnsi="Times New Roman"/>
                <w:sz w:val="18"/>
                <w:szCs w:val="18"/>
                <w:color w:val="0000EE"/>
                <w:w w:val="77"/>
              </w:rPr>
            </w:pPr>
            <w:hyperlink r:id="rId214">
              <w:r>
                <w:rPr>
                  <w:rFonts w:ascii="Times New Roman" w:cs="Times New Roman" w:eastAsia="Times New Roman" w:hAnsi="Times New Roman"/>
                  <w:sz w:val="18"/>
                  <w:szCs w:val="18"/>
                  <w:color w:val="0000EE"/>
                  <w:w w:val="77"/>
                </w:rPr>
                <w:t>by</w:t>
              </w:r>
            </w:hyperlink>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and between the Registrant</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and Debra Durso-Bumpus</w:t>
              </w:r>
            </w:hyperlink>
          </w:p>
        </w:tc>
        <w:tc>
          <w:tcPr>
            <w:tcW w:w="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88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Second Amendment to</w:t>
              </w:r>
            </w:hyperlink>
          </w:p>
        </w:tc>
        <w:tc>
          <w:tcPr>
            <w:tcW w:w="140" w:type="dxa"/>
            <w:vAlign w:val="bottom"/>
            <w:gridSpan w:val="5"/>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10.10</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Employment Agreement,</w:t>
              </w:r>
            </w:hyperlink>
          </w:p>
        </w:tc>
        <w:tc>
          <w:tcPr>
            <w:tcW w:w="1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dated December 22, 2021,</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by and between the</w:t>
              </w:r>
            </w:hyperlink>
          </w:p>
        </w:tc>
        <w:tc>
          <w:tcPr>
            <w:tcW w:w="14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Registrant and Debra</w:t>
              </w:r>
            </w:hyperlink>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Durso-Bumpus</w:t>
              </w:r>
            </w:hyperlink>
          </w:p>
        </w:tc>
        <w:tc>
          <w:tcPr>
            <w:tcW w:w="9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5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Third Amendment to</w:t>
              </w:r>
            </w:hyperlink>
          </w:p>
        </w:tc>
        <w:tc>
          <w:tcPr>
            <w:tcW w:w="500" w:type="dxa"/>
            <w:vAlign w:val="bottom"/>
            <w:gridSpan w:val="12"/>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Employment Agreement,</w:t>
              </w:r>
            </w:hyperlink>
          </w:p>
        </w:tc>
        <w:tc>
          <w:tcPr>
            <w:tcW w:w="1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dated September 23, 2022,</w:t>
              </w:r>
            </w:hyperlink>
          </w:p>
        </w:tc>
        <w:tc>
          <w:tcPr>
            <w:tcW w:w="1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Registrant and Debra</w:t>
              </w:r>
            </w:hyperlink>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Durso-Bumpus</w:t>
              </w:r>
            </w:hyperlink>
          </w:p>
        </w:tc>
        <w:tc>
          <w:tcPr>
            <w:tcW w:w="920" w:type="dxa"/>
            <w:vAlign w:val="bottom"/>
            <w:gridSpan w:val="16"/>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Employment Agreement,</w:t>
              </w:r>
            </w:hyperlink>
          </w:p>
        </w:tc>
        <w:tc>
          <w:tcPr>
            <w:tcW w:w="200" w:type="dxa"/>
            <w:vAlign w:val="bottom"/>
            <w:gridSpan w:val="8"/>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September 1, 2020</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effective September 1,</w:t>
              </w:r>
            </w:hyperlink>
          </w:p>
        </w:tc>
        <w:tc>
          <w:tcPr>
            <w:tcW w:w="38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2020, by and between the</w:t>
              </w:r>
            </w:hyperlink>
          </w:p>
        </w:tc>
        <w:tc>
          <w:tcPr>
            <w:tcW w:w="1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Registrant and Fouad</w:t>
              </w:r>
            </w:hyperlink>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Namouni, M.D.</w:t>
              </w:r>
            </w:hyperlink>
          </w:p>
        </w:tc>
        <w:tc>
          <w:tcPr>
            <w:tcW w:w="88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2020" w:type="dxa"/>
            <w:vAlign w:val="bottom"/>
            <w:gridSpan w:val="19"/>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First Amendment to</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2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8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Employment Agreement,</w:t>
              </w:r>
            </w:hyperlink>
          </w:p>
        </w:tc>
        <w:tc>
          <w:tcPr>
            <w:tcW w:w="1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dated December 22, 2021,</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by and between the</w:t>
              </w:r>
            </w:hyperlink>
          </w:p>
        </w:tc>
        <w:tc>
          <w:tcPr>
            <w:tcW w:w="14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Registrant and Fouad</w:t>
              </w:r>
            </w:hyperlink>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Namouni</w:t>
              </w:r>
              <w:r>
                <w:rPr>
                  <w:rFonts w:ascii="Times New Roman" w:cs="Times New Roman" w:eastAsia="Times New Roman" w:hAnsi="Times New Roman"/>
                  <w:sz w:val="18"/>
                  <w:szCs w:val="18"/>
                  <w:color w:val="000000"/>
                </w:rPr>
                <w:t>, M.D.</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gridSpan w:val="1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2020" w:type="dxa"/>
            <w:vAlign w:val="bottom"/>
            <w:gridSpan w:val="19"/>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Second Amendment to</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2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Borders>
              <w:right w:val="single" w:sz="8" w:color="0000EE"/>
            </w:tcBorders>
            <w:gridSpan w:val="9"/>
            <w:shd w:val="clear" w:color="auto" w:fill="0000EE"/>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Employment Agreement,</w:t>
              </w:r>
            </w:hyperlink>
          </w:p>
        </w:tc>
        <w:tc>
          <w:tcPr>
            <w:tcW w:w="18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dated September 23, 2022,</w:t>
              </w:r>
            </w:hyperlink>
          </w:p>
        </w:tc>
        <w:tc>
          <w:tcPr>
            <w:tcW w:w="1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by and between the</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Registrant and Fouad</w:t>
              </w:r>
            </w:hyperlink>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19"/>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Namouni, M.D.</w:t>
              </w:r>
            </w:hyperlink>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56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40" w:name="page141"/>
    <w:bookmarkEnd w:id="140"/>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9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6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Amended and Restated</w:t>
              </w:r>
            </w:hyperlink>
          </w:p>
        </w:tc>
        <w:tc>
          <w:tcPr>
            <w:tcW w:w="460" w:type="dxa"/>
            <w:vAlign w:val="bottom"/>
            <w:gridSpan w:val="9"/>
          </w:tcPr>
          <w:p>
            <w:pPr>
              <w:spacing w:after="0"/>
              <w:rPr>
                <w:sz w:val="24"/>
                <w:szCs w:val="24"/>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January 11, 2021</w:t>
            </w:r>
          </w:p>
        </w:tc>
      </w:tr>
      <w:tr>
        <w:trPr>
          <w:trHeight w:val="196"/>
        </w:trPr>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dated January 11, 2021, by</w:t>
              </w:r>
            </w:hyperlink>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and between the Registrant</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and Becker Hewes, M.D.</w:t>
              </w:r>
            </w:hyperlink>
          </w:p>
        </w:tc>
        <w:tc>
          <w:tcPr>
            <w:tcW w:w="12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2140" w:type="dxa"/>
            <w:vAlign w:val="bottom"/>
            <w:gridSpan w:val="18"/>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First Amendment to</w:t>
              </w:r>
            </w:hyperlink>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Amended and Restated</w:t>
              </w:r>
            </w:hyperlink>
          </w:p>
        </w:tc>
        <w:tc>
          <w:tcPr>
            <w:tcW w:w="46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1">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dated December 22, 2021,</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by and between the</w:t>
              </w:r>
            </w:hyperlink>
          </w:p>
        </w:tc>
        <w:tc>
          <w:tcPr>
            <w:tcW w:w="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221">
              <w:r>
                <w:rPr>
                  <w:rFonts w:ascii="Times New Roman" w:cs="Times New Roman" w:eastAsia="Times New Roman" w:hAnsi="Times New Roman"/>
                  <w:sz w:val="18"/>
                  <w:szCs w:val="18"/>
                  <w:color w:val="0000EE"/>
                  <w:w w:val="97"/>
                </w:rPr>
                <w:t>Registrant and Lemuel</w:t>
              </w:r>
            </w:hyperlink>
          </w:p>
        </w:tc>
        <w:tc>
          <w:tcPr>
            <w:tcW w:w="50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Becker Hewes</w:t>
              </w:r>
              <w:r>
                <w:rPr>
                  <w:rFonts w:ascii="Times New Roman" w:cs="Times New Roman" w:eastAsia="Times New Roman" w:hAnsi="Times New Roman"/>
                  <w:sz w:val="18"/>
                  <w:szCs w:val="18"/>
                  <w:color w:val="000000"/>
                </w:rPr>
                <w:t>, M.D.</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2140" w:type="dxa"/>
            <w:vAlign w:val="bottom"/>
            <w:gridSpan w:val="18"/>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Second Amendment to</w:t>
              </w:r>
            </w:hyperlink>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dated September 23, 2022,</w:t>
              </w:r>
            </w:hyperlink>
          </w:p>
        </w:tc>
        <w:tc>
          <w:tcPr>
            <w:tcW w:w="22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by and between the</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222">
              <w:r>
                <w:rPr>
                  <w:rFonts w:ascii="Times New Roman" w:cs="Times New Roman" w:eastAsia="Times New Roman" w:hAnsi="Times New Roman"/>
                  <w:sz w:val="18"/>
                  <w:szCs w:val="18"/>
                  <w:color w:val="0000EE"/>
                  <w:w w:val="97"/>
                </w:rPr>
                <w:t>Registrant and Lemuel</w:t>
              </w:r>
            </w:hyperlink>
          </w:p>
        </w:tc>
        <w:tc>
          <w:tcPr>
            <w:tcW w:w="50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Becker Hewes, M.D.</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21"/>
                <w:szCs w:val="21"/>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July 29, 2021</w:t>
            </w:r>
          </w:p>
        </w:tc>
      </w:tr>
      <w:tr>
        <w:trPr>
          <w:trHeight w:val="196"/>
        </w:trPr>
        <w:tc>
          <w:tcPr>
            <w:tcW w:w="1000" w:type="dxa"/>
            <w:vAlign w:val="bottom"/>
          </w:tcPr>
          <w:p>
            <w:pPr>
              <w:spacing w:after="0"/>
              <w:rPr>
                <w:sz w:val="17"/>
                <w:szCs w:val="17"/>
                <w:color w:val="auto"/>
              </w:rPr>
            </w:pPr>
          </w:p>
        </w:tc>
        <w:tc>
          <w:tcPr>
            <w:tcW w:w="1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effective as of May 19,</w:t>
              </w:r>
            </w:hyperlink>
          </w:p>
        </w:tc>
        <w:tc>
          <w:tcPr>
            <w:tcW w:w="48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2021, by and between the</w:t>
              </w:r>
            </w:hyperlink>
          </w:p>
        </w:tc>
        <w:tc>
          <w:tcPr>
            <w:tcW w:w="30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Registrant and Percy H.</w:t>
              </w:r>
            </w:hyperlink>
          </w:p>
        </w:tc>
        <w:tc>
          <w:tcPr>
            <w:tcW w:w="42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Carter</w:t>
              </w:r>
              <w:r>
                <w:rPr>
                  <w:rFonts w:ascii="Times New Roman" w:cs="Times New Roman" w:eastAsia="Times New Roman" w:hAnsi="Times New Roman"/>
                  <w:sz w:val="18"/>
                  <w:szCs w:val="18"/>
                  <w:color w:val="000000"/>
                </w:rPr>
                <w:t>, M.D., Ph.D.</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2140" w:type="dxa"/>
            <w:vAlign w:val="bottom"/>
            <w:gridSpan w:val="18"/>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First Amendment to</w:t>
              </w:r>
            </w:hyperlink>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December 23, 2021</w:t>
            </w:r>
          </w:p>
        </w:tc>
      </w:tr>
      <w:tr>
        <w:trPr>
          <w:trHeight w:val="20"/>
        </w:trPr>
        <w:tc>
          <w:tcPr>
            <w:tcW w:w="10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dated December 22, 2021,</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by and between the</w:t>
              </w:r>
            </w:hyperlink>
          </w:p>
        </w:tc>
        <w:tc>
          <w:tcPr>
            <w:tcW w:w="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Registrant and Percy H.</w:t>
              </w:r>
            </w:hyperlink>
          </w:p>
        </w:tc>
        <w:tc>
          <w:tcPr>
            <w:tcW w:w="42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Carter</w:t>
              </w:r>
              <w:r>
                <w:rPr>
                  <w:rFonts w:ascii="Times New Roman" w:cs="Times New Roman" w:eastAsia="Times New Roman" w:hAnsi="Times New Roman"/>
                  <w:sz w:val="18"/>
                  <w:szCs w:val="18"/>
                  <w:color w:val="000000"/>
                </w:rPr>
                <w:t>, M.D., Ph.D.</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2140" w:type="dxa"/>
            <w:vAlign w:val="bottom"/>
            <w:gridSpan w:val="18"/>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Second Amendment to</w:t>
              </w:r>
            </w:hyperlink>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10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dated September 23, 2022,</w:t>
              </w:r>
            </w:hyperlink>
          </w:p>
        </w:tc>
        <w:tc>
          <w:tcPr>
            <w:tcW w:w="22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by and between the</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Registrant and Percy H.</w:t>
              </w:r>
            </w:hyperlink>
          </w:p>
        </w:tc>
        <w:tc>
          <w:tcPr>
            <w:tcW w:w="42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Carter, M.D., Ph.D.</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6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Amended and Restated</w:t>
              </w:r>
            </w:hyperlink>
          </w:p>
        </w:tc>
        <w:tc>
          <w:tcPr>
            <w:tcW w:w="460" w:type="dxa"/>
            <w:vAlign w:val="bottom"/>
            <w:gridSpan w:val="9"/>
          </w:tcPr>
          <w:p>
            <w:pPr>
              <w:spacing w:after="0"/>
              <w:rPr>
                <w:sz w:val="21"/>
                <w:szCs w:val="21"/>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January 20, 2022</w:t>
            </w:r>
          </w:p>
        </w:tc>
      </w:tr>
      <w:tr>
        <w:trPr>
          <w:trHeight w:val="196"/>
        </w:trPr>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dated January 19, 2022 and</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effective as of April 4,</w:t>
              </w:r>
            </w:hyperlink>
          </w:p>
        </w:tc>
        <w:tc>
          <w:tcPr>
            <w:tcW w:w="320" w:type="dxa"/>
            <w:vAlign w:val="bottom"/>
            <w:tcBorders>
              <w:top w:val="single" w:sz="8" w:color="0000EE"/>
            </w:tcBorders>
            <w:gridSpan w:val="10"/>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2022, by and between the</w:t>
              </w:r>
            </w:hyperlink>
          </w:p>
        </w:tc>
        <w:tc>
          <w:tcPr>
            <w:tcW w:w="30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40" w:type="dxa"/>
            <w:vAlign w:val="bottom"/>
            <w:gridSpan w:val="18"/>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Registrant and Philina Lee</w:t>
              </w:r>
            </w:hyperlink>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9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First Amendment to</w:t>
              </w:r>
            </w:hyperlink>
          </w:p>
        </w:tc>
        <w:tc>
          <w:tcPr>
            <w:tcW w:w="240" w:type="dxa"/>
            <w:vAlign w:val="bottom"/>
            <w:gridSpan w:val="4"/>
          </w:tcPr>
          <w:p>
            <w:pPr>
              <w:spacing w:after="0"/>
              <w:rPr>
                <w:sz w:val="21"/>
                <w:szCs w:val="21"/>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September 23, 2022</w:t>
            </w:r>
          </w:p>
        </w:tc>
      </w:tr>
      <w:tr>
        <w:trPr>
          <w:trHeight w:val="20"/>
        </w:trPr>
        <w:tc>
          <w:tcPr>
            <w:tcW w:w="10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20" w:type="dxa"/>
            <w:vAlign w:val="bottom"/>
            <w:tcBorders>
              <w:left w:val="single" w:sz="8" w:color="0000EE"/>
            </w:tcBorders>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Amended and Restated</w:t>
              </w:r>
            </w:hyperlink>
          </w:p>
        </w:tc>
        <w:tc>
          <w:tcPr>
            <w:tcW w:w="46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Employment Agreement,</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dated September 23, 2022,</w:t>
              </w:r>
            </w:hyperlink>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9" w:lineRule="exact"/>
        <w:rPr>
          <w:sz w:val="20"/>
          <w:szCs w:val="20"/>
          <w:color w:val="auto"/>
        </w:rPr>
      </w:pPr>
    </w:p>
    <w:p>
      <w:pPr>
        <w:ind w:left="1060"/>
        <w:spacing w:after="0"/>
        <w:rPr>
          <w:rFonts w:ascii="Times New Roman" w:cs="Times New Roman" w:eastAsia="Times New Roman" w:hAnsi="Times New Roman"/>
          <w:sz w:val="18"/>
          <w:szCs w:val="18"/>
          <w:u w:val="single" w:color="auto"/>
          <w:color w:val="0000EE"/>
        </w:rPr>
      </w:pPr>
      <w:hyperlink r:id="rId227">
        <w:r>
          <w:rPr>
            <w:rFonts w:ascii="Times New Roman" w:cs="Times New Roman" w:eastAsia="Times New Roman" w:hAnsi="Times New Roman"/>
            <w:sz w:val="18"/>
            <w:szCs w:val="18"/>
            <w:u w:val="single" w:color="auto"/>
            <w:color w:val="0000EE"/>
          </w:rPr>
          <w:t>by and between the</w:t>
        </w:r>
      </w:hyperlink>
    </w:p>
    <w:p>
      <w:pPr>
        <w:spacing w:after="0" w:line="27" w:lineRule="exact"/>
        <w:rPr>
          <w:sz w:val="20"/>
          <w:szCs w:val="20"/>
          <w:color w:val="auto"/>
        </w:rPr>
      </w:pPr>
    </w:p>
    <w:p>
      <w:pPr>
        <w:ind w:left="1060"/>
        <w:spacing w:after="0"/>
        <w:rPr>
          <w:rFonts w:ascii="Times New Roman" w:cs="Times New Roman" w:eastAsia="Times New Roman" w:hAnsi="Times New Roman"/>
          <w:sz w:val="18"/>
          <w:szCs w:val="18"/>
          <w:u w:val="single" w:color="auto"/>
          <w:color w:val="0000EE"/>
        </w:rPr>
      </w:pPr>
      <w:hyperlink r:id="rId227">
        <w:r>
          <w:rPr>
            <w:rFonts w:ascii="Times New Roman" w:cs="Times New Roman" w:eastAsia="Times New Roman" w:hAnsi="Times New Roman"/>
            <w:sz w:val="18"/>
            <w:szCs w:val="18"/>
            <w:u w:val="single" w:color="auto"/>
            <w:color w:val="0000EE"/>
          </w:rPr>
          <w:t>Registrant and Philina Lee</w:t>
        </w:r>
      </w:hyperlink>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41" w:name="page142"/>
    <w:bookmarkEnd w:id="141"/>
    <w:tbl>
      <w:tblPr>
        <w:tblLayout w:type="fixed"/>
        <w:tblInd w:w="60" w:type="dxa"/>
        <w:tblCellMar>
          <w:top w:w="0" w:type="dxa"/>
          <w:left w:w="0" w:type="dxa"/>
          <w:bottom w:w="0" w:type="dxa"/>
          <w:right w:w="0" w:type="dxa"/>
        </w:tblCellMar>
      </w:tblPr>
      <w:tr>
        <w:trPr>
          <w:trHeight w:val="207"/>
        </w:trPr>
        <w:tc>
          <w:tcPr>
            <w:tcW w:w="3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9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9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Collaboration and License</w:t>
              </w:r>
            </w:hyperlink>
          </w:p>
        </w:tc>
        <w:tc>
          <w:tcPr>
            <w:tcW w:w="200" w:type="dxa"/>
            <w:vAlign w:val="bottom"/>
            <w:gridSpan w:val="5"/>
          </w:tcPr>
          <w:p>
            <w:pPr>
              <w:spacing w:after="0"/>
              <w:rPr>
                <w:sz w:val="24"/>
                <w:szCs w:val="24"/>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10-Q/A</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July 22, 2016</w:t>
            </w: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Agreement, effective March</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14, 2016, by and among F.</w:t>
              </w:r>
            </w:hyperlink>
          </w:p>
        </w:tc>
        <w:tc>
          <w:tcPr>
            <w:tcW w:w="8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Hoffmann-La Roche Ltd,</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Hoffmann-La Roche Inc.</w:t>
              </w:r>
            </w:hyperlink>
          </w:p>
        </w:tc>
        <w:tc>
          <w:tcPr>
            <w:tcW w:w="3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and the Registrant, as</w:t>
              </w:r>
            </w:hyperlink>
          </w:p>
        </w:tc>
        <w:tc>
          <w:tcPr>
            <w:tcW w:w="240" w:type="dxa"/>
            <w:vAlign w:val="bottom"/>
            <w:tcBorders>
              <w:top w:val="single" w:sz="8" w:color="0000EE"/>
            </w:tcBorders>
            <w:gridSpan w:val="4"/>
          </w:tcPr>
          <w:p>
            <w:pPr>
              <w:spacing w:after="0"/>
              <w:rPr>
                <w:sz w:val="17"/>
                <w:szCs w:val="17"/>
                <w:color w:val="auto"/>
              </w:rPr>
            </w:pPr>
          </w:p>
        </w:tc>
        <w:tc>
          <w:tcPr>
            <w:tcW w:w="32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amended by Amendment to</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18"/>
          </w:tcPr>
          <w:p>
            <w:pPr>
              <w:spacing w:after="0" w:line="182"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Collaboration and License</w:t>
              </w:r>
            </w:hyperlink>
          </w:p>
        </w:tc>
        <w:tc>
          <w:tcPr>
            <w:tcW w:w="60" w:type="dxa"/>
            <w:vAlign w:val="bottom"/>
            <w:tcBorders>
              <w:top w:val="single" w:sz="8" w:color="0000EE"/>
            </w:tcBorders>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Agreement, effective April</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229">
              <w:r>
                <w:rPr>
                  <w:rFonts w:ascii="Times New Roman" w:cs="Times New Roman" w:eastAsia="Times New Roman" w:hAnsi="Times New Roman"/>
                  <w:sz w:val="18"/>
                  <w:szCs w:val="18"/>
                  <w:color w:val="0000EE"/>
                  <w:w w:val="95"/>
                </w:rPr>
                <w:t>15, 2016</w:t>
              </w:r>
            </w:hyperlink>
          </w:p>
        </w:tc>
        <w:tc>
          <w:tcPr>
            <w:tcW w:w="1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2120" w:type="dxa"/>
            <w:vAlign w:val="bottom"/>
            <w:gridSpan w:val="23"/>
          </w:tcPr>
          <w:p>
            <w:pPr>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Second Amendment to</w:t>
              </w:r>
            </w:hyperlink>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Collaboration and License</w:t>
              </w:r>
            </w:hyperlink>
          </w:p>
        </w:tc>
        <w:tc>
          <w:tcPr>
            <w:tcW w:w="2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Agreement, effective April</w:t>
              </w:r>
            </w:hyperlink>
          </w:p>
        </w:tc>
        <w:tc>
          <w:tcPr>
            <w:tcW w:w="16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27, 2016, by and among F.</w:t>
              </w:r>
            </w:hyperlink>
          </w:p>
        </w:tc>
        <w:tc>
          <w:tcPr>
            <w:tcW w:w="18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Hoffmann-La Roche Ltd,</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Hoffmann-La Roche Inc.</w:t>
              </w:r>
            </w:hyperlink>
          </w:p>
        </w:tc>
        <w:tc>
          <w:tcPr>
            <w:tcW w:w="3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and the Registrant</w:t>
              </w:r>
            </w:hyperlink>
          </w:p>
        </w:tc>
        <w:tc>
          <w:tcPr>
            <w:tcW w:w="32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5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Third Amendment to</w:t>
              </w:r>
            </w:hyperlink>
          </w:p>
        </w:tc>
        <w:tc>
          <w:tcPr>
            <w:tcW w:w="580" w:type="dxa"/>
            <w:vAlign w:val="bottom"/>
            <w:gridSpan w:val="14"/>
          </w:tcPr>
          <w:p>
            <w:pPr>
              <w:spacing w:after="0"/>
              <w:rPr>
                <w:sz w:val="21"/>
                <w:szCs w:val="21"/>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Collaboration and License</w:t>
              </w:r>
            </w:hyperlink>
          </w:p>
        </w:tc>
        <w:tc>
          <w:tcPr>
            <w:tcW w:w="22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Agreement, effective</w:t>
              </w:r>
            </w:hyperlink>
          </w:p>
        </w:tc>
        <w:tc>
          <w:tcPr>
            <w:tcW w:w="60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August 4, 2016, by and</w:t>
              </w:r>
            </w:hyperlink>
          </w:p>
        </w:tc>
        <w:tc>
          <w:tcPr>
            <w:tcW w:w="44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r:id="rId231">
              <w:r>
                <w:rPr>
                  <w:rFonts w:ascii="Times New Roman" w:cs="Times New Roman" w:eastAsia="Times New Roman" w:hAnsi="Times New Roman"/>
                  <w:sz w:val="18"/>
                  <w:szCs w:val="18"/>
                  <w:color w:val="0000EE"/>
                  <w:w w:val="97"/>
                </w:rPr>
                <w:t>among F. Hoffmann-La</w:t>
              </w:r>
            </w:hyperlink>
          </w:p>
        </w:tc>
        <w:tc>
          <w:tcPr>
            <w:tcW w:w="42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Roche Ltd, Hoffmann-La</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Roche Inc. and the</w:t>
              </w:r>
            </w:hyperlink>
          </w:p>
        </w:tc>
        <w:tc>
          <w:tcPr>
            <w:tcW w:w="3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7"/>
              </w:rPr>
            </w:pPr>
            <w:hyperlink r:id="rId231">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4"/>
          </w:tcPr>
          <w:p>
            <w:pPr>
              <w:spacing w:after="0"/>
              <w:rPr>
                <w:sz w:val="15"/>
                <w:szCs w:val="15"/>
                <w:color w:val="auto"/>
              </w:rPr>
            </w:pPr>
          </w:p>
        </w:tc>
        <w:tc>
          <w:tcPr>
            <w:tcW w:w="24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Fourth Amendment to</w:t>
              </w:r>
            </w:hyperlink>
          </w:p>
        </w:tc>
        <w:tc>
          <w:tcPr>
            <w:tcW w:w="480" w:type="dxa"/>
            <w:vAlign w:val="bottom"/>
            <w:gridSpan w:val="12"/>
          </w:tcPr>
          <w:p>
            <w:pPr>
              <w:spacing w:after="0"/>
              <w:rPr>
                <w:sz w:val="22"/>
                <w:szCs w:val="22"/>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10.26</w:t>
            </w: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Collaboration and License</w:t>
              </w:r>
            </w:hyperlink>
          </w:p>
        </w:tc>
        <w:tc>
          <w:tcPr>
            <w:tcW w:w="22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Agreement, effective</w:t>
              </w:r>
            </w:hyperlink>
          </w:p>
        </w:tc>
        <w:tc>
          <w:tcPr>
            <w:tcW w:w="60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February 25, 2019, by and</w:t>
              </w:r>
            </w:hyperlink>
          </w:p>
        </w:tc>
        <w:tc>
          <w:tcPr>
            <w:tcW w:w="2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r:id="rId232">
              <w:r>
                <w:rPr>
                  <w:rFonts w:ascii="Times New Roman" w:cs="Times New Roman" w:eastAsia="Times New Roman" w:hAnsi="Times New Roman"/>
                  <w:sz w:val="18"/>
                  <w:szCs w:val="18"/>
                  <w:color w:val="0000EE"/>
                  <w:w w:val="97"/>
                </w:rPr>
                <w:t>among F. Hoffmann-La</w:t>
              </w:r>
            </w:hyperlink>
          </w:p>
        </w:tc>
        <w:tc>
          <w:tcPr>
            <w:tcW w:w="42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Roche Ltd, Hoffmann-La</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Roche Inc. and the</w:t>
              </w:r>
            </w:hyperlink>
          </w:p>
        </w:tc>
        <w:tc>
          <w:tcPr>
            <w:tcW w:w="3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7"/>
              </w:rPr>
            </w:pPr>
            <w:hyperlink r:id="rId232">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gridSpan w:val="9"/>
          </w:tcPr>
          <w:p>
            <w:pPr>
              <w:spacing w:after="0"/>
              <w:rPr>
                <w:sz w:val="15"/>
                <w:szCs w:val="15"/>
                <w:color w:val="auto"/>
              </w:rPr>
            </w:pPr>
          </w:p>
        </w:tc>
        <w:tc>
          <w:tcPr>
            <w:tcW w:w="240" w:type="dxa"/>
            <w:vAlign w:val="bottom"/>
            <w:gridSpan w:val="7"/>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2120" w:type="dxa"/>
            <w:vAlign w:val="bottom"/>
            <w:gridSpan w:val="23"/>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Fifth Amendment to</w:t>
              </w:r>
            </w:hyperlink>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8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July 3, 2019</w:t>
            </w:r>
          </w:p>
        </w:tc>
      </w:tr>
      <w:tr>
        <w:trPr>
          <w:trHeight w:val="20"/>
        </w:trPr>
        <w:tc>
          <w:tcPr>
            <w:tcW w:w="100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233">
              <w:r>
                <w:rPr>
                  <w:rFonts w:ascii="Times New Roman" w:cs="Times New Roman" w:eastAsia="Times New Roman" w:hAnsi="Times New Roman"/>
                  <w:sz w:val="18"/>
                  <w:szCs w:val="18"/>
                  <w:color w:val="0000EE"/>
                  <w:w w:val="98"/>
                </w:rPr>
                <w:t>Collaboration and License</w:t>
              </w:r>
            </w:hyperlink>
          </w:p>
        </w:tc>
        <w:tc>
          <w:tcPr>
            <w:tcW w:w="22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Agreement, effective June</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380" w:type="dxa"/>
            <w:vAlign w:val="bottom"/>
            <w:gridSpan w:val="9"/>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28, 2019, by and among F.</w:t>
              </w:r>
            </w:hyperlink>
          </w:p>
        </w:tc>
        <w:tc>
          <w:tcPr>
            <w:tcW w:w="18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20" w:type="dxa"/>
            <w:vAlign w:val="bottom"/>
            <w:gridSpan w:val="23"/>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Hoffmann-La Roche Ltd,</w:t>
              </w:r>
            </w:hyperlink>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Hoffmann-La Roche Inc.</w:t>
              </w:r>
            </w:hyperlink>
          </w:p>
        </w:tc>
        <w:tc>
          <w:tcPr>
            <w:tcW w:w="30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and the Registrant</w:t>
              </w:r>
            </w:hyperlink>
          </w:p>
        </w:tc>
        <w:tc>
          <w:tcPr>
            <w:tcW w:w="32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2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34">
              <w:r>
                <w:rPr>
                  <w:rFonts w:ascii="Times New Roman" w:cs="Times New Roman" w:eastAsia="Times New Roman" w:hAnsi="Times New Roman"/>
                  <w:sz w:val="18"/>
                  <w:szCs w:val="18"/>
                  <w:color w:val="0000EE"/>
                  <w:w w:val="98"/>
                </w:rPr>
                <w:t>Sixth Amendment to</w:t>
              </w:r>
            </w:hyperlink>
          </w:p>
        </w:tc>
        <w:tc>
          <w:tcPr>
            <w:tcW w:w="620" w:type="dxa"/>
            <w:vAlign w:val="bottom"/>
            <w:gridSpan w:val="16"/>
          </w:tcPr>
          <w:p>
            <w:pPr>
              <w:spacing w:after="0"/>
              <w:rPr>
                <w:sz w:val="21"/>
                <w:szCs w:val="21"/>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001-37359</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5, 2019</w:t>
            </w: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Collaboration and License</w:t>
              </w:r>
            </w:hyperlink>
          </w:p>
        </w:tc>
        <w:tc>
          <w:tcPr>
            <w:tcW w:w="2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spacing w:after="0" w:line="9" w:lineRule="exact"/>
        <w:rPr>
          <w:sz w:val="20"/>
          <w:szCs w:val="20"/>
          <w:color w:val="auto"/>
        </w:rPr>
      </w:pPr>
    </w:p>
    <w:p>
      <w:pPr>
        <w:ind w:left="1060"/>
        <w:spacing w:after="0"/>
        <w:rPr>
          <w:rFonts w:ascii="Times New Roman" w:cs="Times New Roman" w:eastAsia="Times New Roman" w:hAnsi="Times New Roman"/>
          <w:sz w:val="18"/>
          <w:szCs w:val="18"/>
          <w:u w:val="single" w:color="auto"/>
          <w:color w:val="0000EE"/>
        </w:rPr>
      </w:pPr>
      <w:hyperlink r:id="rId234">
        <w:r>
          <w:rPr>
            <w:rFonts w:ascii="Times New Roman" w:cs="Times New Roman" w:eastAsia="Times New Roman" w:hAnsi="Times New Roman"/>
            <w:sz w:val="18"/>
            <w:szCs w:val="18"/>
            <w:u w:val="single" w:color="auto"/>
            <w:color w:val="0000EE"/>
          </w:rPr>
          <w:t>Agreement, effective</w:t>
        </w:r>
      </w:hyperlink>
    </w:p>
    <w:p>
      <w:pPr>
        <w:spacing w:after="0" w:line="27" w:lineRule="exact"/>
        <w:rPr>
          <w:sz w:val="20"/>
          <w:szCs w:val="20"/>
          <w:color w:val="auto"/>
        </w:rPr>
      </w:pPr>
    </w:p>
    <w:p>
      <w:pPr>
        <w:ind w:left="1060"/>
        <w:spacing w:after="0"/>
        <w:rPr>
          <w:rFonts w:ascii="Times New Roman" w:cs="Times New Roman" w:eastAsia="Times New Roman" w:hAnsi="Times New Roman"/>
          <w:sz w:val="18"/>
          <w:szCs w:val="18"/>
          <w:u w:val="single" w:color="auto"/>
          <w:color w:val="0000EE"/>
        </w:rPr>
      </w:pPr>
      <w:hyperlink r:id="rId234">
        <w:r>
          <w:rPr>
            <w:rFonts w:ascii="Times New Roman" w:cs="Times New Roman" w:eastAsia="Times New Roman" w:hAnsi="Times New Roman"/>
            <w:sz w:val="18"/>
            <w:szCs w:val="18"/>
            <w:u w:val="single" w:color="auto"/>
            <w:color w:val="0000EE"/>
          </w:rPr>
          <w:t>November 1, 2019, by and</w:t>
        </w:r>
      </w:hyperlink>
    </w:p>
    <w:p>
      <w:pPr>
        <w:spacing w:after="0" w:line="9" w:lineRule="exact"/>
        <w:rPr>
          <w:sz w:val="20"/>
          <w:szCs w:val="20"/>
          <w:color w:val="auto"/>
        </w:rPr>
      </w:pPr>
    </w:p>
    <w:p>
      <w:pPr>
        <w:ind w:left="1060"/>
        <w:spacing w:after="0"/>
        <w:rPr>
          <w:rFonts w:ascii="Times New Roman" w:cs="Times New Roman" w:eastAsia="Times New Roman" w:hAnsi="Times New Roman"/>
          <w:sz w:val="18"/>
          <w:szCs w:val="18"/>
          <w:u w:val="single" w:color="auto"/>
          <w:color w:val="0000EE"/>
        </w:rPr>
      </w:pPr>
      <w:hyperlink r:id="rId234">
        <w:r>
          <w:rPr>
            <w:rFonts w:ascii="Times New Roman" w:cs="Times New Roman" w:eastAsia="Times New Roman" w:hAnsi="Times New Roman"/>
            <w:sz w:val="18"/>
            <w:szCs w:val="18"/>
            <w:u w:val="single" w:color="auto"/>
            <w:color w:val="0000EE"/>
          </w:rPr>
          <w:t>among F. Hoffmann-La</w:t>
        </w:r>
      </w:hyperlink>
    </w:p>
    <w:p>
      <w:pPr>
        <w:spacing w:after="0" w:line="9" w:lineRule="exact"/>
        <w:rPr>
          <w:sz w:val="20"/>
          <w:szCs w:val="20"/>
          <w:color w:val="auto"/>
        </w:rPr>
      </w:pPr>
    </w:p>
    <w:p>
      <w:pPr>
        <w:ind w:left="1060"/>
        <w:spacing w:after="0"/>
        <w:rPr>
          <w:rFonts w:ascii="Times New Roman" w:cs="Times New Roman" w:eastAsia="Times New Roman" w:hAnsi="Times New Roman"/>
          <w:sz w:val="18"/>
          <w:szCs w:val="18"/>
          <w:u w:val="single" w:color="auto"/>
          <w:color w:val="0000EE"/>
        </w:rPr>
      </w:pPr>
      <w:hyperlink r:id="rId234">
        <w:r>
          <w:rPr>
            <w:rFonts w:ascii="Times New Roman" w:cs="Times New Roman" w:eastAsia="Times New Roman" w:hAnsi="Times New Roman"/>
            <w:sz w:val="18"/>
            <w:szCs w:val="18"/>
            <w:u w:val="single" w:color="auto"/>
            <w:color w:val="0000EE"/>
          </w:rPr>
          <w:t>Roche Ltd, Hoffmann-La</w:t>
        </w:r>
      </w:hyperlink>
    </w:p>
    <w:p>
      <w:pPr>
        <w:spacing w:after="0" w:line="6" w:lineRule="exact"/>
        <w:rPr>
          <w:sz w:val="20"/>
          <w:szCs w:val="20"/>
          <w:color w:val="auto"/>
        </w:rPr>
      </w:pPr>
    </w:p>
    <w:p>
      <w:pPr>
        <w:ind w:left="1060"/>
        <w:spacing w:after="0"/>
        <w:rPr>
          <w:rFonts w:ascii="Times New Roman" w:cs="Times New Roman" w:eastAsia="Times New Roman" w:hAnsi="Times New Roman"/>
          <w:sz w:val="18"/>
          <w:szCs w:val="18"/>
          <w:u w:val="single" w:color="auto"/>
          <w:color w:val="0000EE"/>
        </w:rPr>
      </w:pPr>
      <w:hyperlink r:id="rId234">
        <w:r>
          <w:rPr>
            <w:rFonts w:ascii="Times New Roman" w:cs="Times New Roman" w:eastAsia="Times New Roman" w:hAnsi="Times New Roman"/>
            <w:sz w:val="18"/>
            <w:szCs w:val="18"/>
            <w:u w:val="single" w:color="auto"/>
            <w:color w:val="0000EE"/>
          </w:rPr>
          <w:t>Roche Inc. and the</w:t>
        </w:r>
      </w:hyperlink>
    </w:p>
    <w:p>
      <w:pPr>
        <w:ind w:left="1060"/>
        <w:spacing w:after="0"/>
        <w:rPr>
          <w:rFonts w:ascii="Times New Roman" w:cs="Times New Roman" w:eastAsia="Times New Roman" w:hAnsi="Times New Roman"/>
          <w:sz w:val="18"/>
          <w:szCs w:val="18"/>
          <w:u w:val="single" w:color="auto"/>
          <w:color w:val="0000EE"/>
        </w:rPr>
      </w:pPr>
      <w:hyperlink r:id="rId234">
        <w:r>
          <w:rPr>
            <w:rFonts w:ascii="Times New Roman" w:cs="Times New Roman" w:eastAsia="Times New Roman" w:hAnsi="Times New Roman"/>
            <w:sz w:val="18"/>
            <w:szCs w:val="18"/>
            <w:u w:val="single" w:color="auto"/>
            <w:color w:val="0000EE"/>
          </w:rPr>
          <w:t>Registrant</w:t>
        </w:r>
      </w:hyperlink>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42" w:name="page143"/>
    <w:bookmarkEnd w:id="142"/>
    <w:tbl>
      <w:tblPr>
        <w:tblLayout w:type="fixed"/>
        <w:tblInd w:w="40" w:type="dxa"/>
        <w:tblCellMar>
          <w:top w:w="0" w:type="dxa"/>
          <w:left w:w="0" w:type="dxa"/>
          <w:bottom w:w="0" w:type="dxa"/>
          <w:right w:w="0" w:type="dxa"/>
        </w:tblCellMar>
      </w:tblPr>
      <w:tr>
        <w:trPr>
          <w:trHeight w:val="207"/>
        </w:trPr>
        <w:tc>
          <w:tcPr>
            <w:tcW w:w="31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938"/>
        </w:trPr>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Seventh Amendment to</w:t>
              </w:r>
            </w:hyperlink>
          </w:p>
        </w:tc>
        <w:tc>
          <w:tcPr>
            <w:tcW w:w="440" w:type="dxa"/>
            <w:vAlign w:val="bottom"/>
            <w:gridSpan w:val="12"/>
          </w:tcPr>
          <w:p>
            <w:pPr>
              <w:spacing w:after="0"/>
              <w:rPr>
                <w:sz w:val="24"/>
                <w:szCs w:val="24"/>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2019</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Collaboration and License</w:t>
              </w:r>
            </w:hyperlink>
          </w:p>
        </w:tc>
        <w:tc>
          <w:tcPr>
            <w:tcW w:w="2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Agreement, effective</w:t>
              </w:r>
            </w:hyperlink>
          </w:p>
        </w:tc>
        <w:tc>
          <w:tcPr>
            <w:tcW w:w="6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December 17, 2019, by and</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236">
              <w:r>
                <w:rPr>
                  <w:rFonts w:ascii="Times New Roman" w:cs="Times New Roman" w:eastAsia="Times New Roman" w:hAnsi="Times New Roman"/>
                  <w:sz w:val="18"/>
                  <w:szCs w:val="18"/>
                  <w:color w:val="0000EE"/>
                  <w:w w:val="97"/>
                </w:rPr>
                <w:t>among F. Hoffmann-La</w:t>
              </w:r>
            </w:hyperlink>
          </w:p>
        </w:tc>
        <w:tc>
          <w:tcPr>
            <w:tcW w:w="280" w:type="dxa"/>
            <w:vAlign w:val="bottom"/>
            <w:tcBorders>
              <w:top w:val="single" w:sz="8" w:color="0000EE"/>
            </w:tcBorders>
            <w:gridSpan w:val="11"/>
          </w:tcPr>
          <w:p>
            <w:pPr>
              <w:spacing w:after="0"/>
              <w:rPr>
                <w:sz w:val="17"/>
                <w:szCs w:val="17"/>
                <w:color w:val="auto"/>
              </w:rPr>
            </w:pPr>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Roche Ltd, Hoffmann-La</w:t>
              </w:r>
            </w:hyperlink>
          </w:p>
        </w:tc>
        <w:tc>
          <w:tcPr>
            <w:tcW w:w="3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Roche Inc. and the</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236">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63"/>
        </w:trPr>
        <w:tc>
          <w:tcPr>
            <w:tcW w:w="2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237">
              <w:r>
                <w:rPr>
                  <w:rFonts w:ascii="Times New Roman" w:cs="Times New Roman" w:eastAsia="Times New Roman" w:hAnsi="Times New Roman"/>
                  <w:sz w:val="18"/>
                  <w:szCs w:val="18"/>
                  <w:color w:val="0000EE"/>
                  <w:w w:val="98"/>
                </w:rPr>
                <w:t>Eighth Amendment to</w:t>
              </w:r>
            </w:hyperlink>
          </w:p>
        </w:tc>
        <w:tc>
          <w:tcPr>
            <w:tcW w:w="560" w:type="dxa"/>
            <w:vAlign w:val="bottom"/>
            <w:gridSpan w:val="16"/>
          </w:tcPr>
          <w:p>
            <w:pPr>
              <w:spacing w:after="0"/>
              <w:rPr>
                <w:sz w:val="22"/>
                <w:szCs w:val="22"/>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May 6, 2020</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Collaboration and License</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237">
              <w:r>
                <w:rPr>
                  <w:rFonts w:ascii="Times New Roman" w:cs="Times New Roman" w:eastAsia="Times New Roman" w:hAnsi="Times New Roman"/>
                  <w:sz w:val="18"/>
                  <w:szCs w:val="18"/>
                  <w:color w:val="0000EE"/>
                  <w:w w:val="98"/>
                </w:rPr>
                <w:t>Agreement, effective April</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37">
              <w:r>
                <w:rPr>
                  <w:rFonts w:ascii="Times New Roman" w:cs="Times New Roman" w:eastAsia="Times New Roman" w:hAnsi="Times New Roman"/>
                  <w:sz w:val="18"/>
                  <w:szCs w:val="18"/>
                  <w:color w:val="0000EE"/>
                  <w:w w:val="98"/>
                </w:rPr>
                <w:t>30, 2020, by and among F.</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Hoffmann-La Roche Ltd,</w:t>
              </w:r>
            </w:hyperlink>
          </w:p>
        </w:tc>
        <w:tc>
          <w:tcPr>
            <w:tcW w:w="3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Hoffmann-La Roche Inc.</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and the Registrant</w:t>
              </w:r>
            </w:hyperlink>
          </w:p>
        </w:tc>
        <w:tc>
          <w:tcPr>
            <w:tcW w:w="3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Ninth Amendment to</w:t>
              </w:r>
            </w:hyperlink>
          </w:p>
        </w:tc>
        <w:tc>
          <w:tcPr>
            <w:tcW w:w="620" w:type="dxa"/>
            <w:vAlign w:val="bottom"/>
            <w:gridSpan w:val="17"/>
          </w:tcPr>
          <w:p>
            <w:pPr>
              <w:spacing w:after="0"/>
              <w:rPr>
                <w:sz w:val="21"/>
                <w:szCs w:val="21"/>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Collaboration and License</w:t>
              </w:r>
            </w:hyperlink>
          </w:p>
        </w:tc>
        <w:tc>
          <w:tcPr>
            <w:tcW w:w="2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Agreement, effective</w:t>
              </w:r>
            </w:hyperlink>
          </w:p>
        </w:tc>
        <w:tc>
          <w:tcPr>
            <w:tcW w:w="6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January 8, 2021, by and</w:t>
              </w:r>
            </w:hyperlink>
          </w:p>
        </w:tc>
        <w:tc>
          <w:tcPr>
            <w:tcW w:w="44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238">
              <w:r>
                <w:rPr>
                  <w:rFonts w:ascii="Times New Roman" w:cs="Times New Roman" w:eastAsia="Times New Roman" w:hAnsi="Times New Roman"/>
                  <w:sz w:val="18"/>
                  <w:szCs w:val="18"/>
                  <w:color w:val="0000EE"/>
                  <w:w w:val="97"/>
                </w:rPr>
                <w:t>among F. Hoffmann-La</w:t>
              </w:r>
            </w:hyperlink>
          </w:p>
        </w:tc>
        <w:tc>
          <w:tcPr>
            <w:tcW w:w="46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Roche Ltd, Hoffmann-La</w:t>
              </w:r>
            </w:hyperlink>
          </w:p>
        </w:tc>
        <w:tc>
          <w:tcPr>
            <w:tcW w:w="3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Roche Inc. and the</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7"/>
              </w:rPr>
            </w:pPr>
            <w:hyperlink r:id="rId238">
              <w:r>
                <w:rPr>
                  <w:rFonts w:ascii="Times New Roman" w:cs="Times New Roman" w:eastAsia="Times New Roman" w:hAnsi="Times New Roman"/>
                  <w:sz w:val="18"/>
                  <w:szCs w:val="18"/>
                  <w:color w:val="0000EE"/>
                  <w:w w:val="97"/>
                </w:rPr>
                <w:t>Registrant</w:t>
              </w:r>
            </w:hyperlink>
          </w:p>
        </w:tc>
        <w:tc>
          <w:tcPr>
            <w:tcW w:w="60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2160" w:type="dxa"/>
            <w:vAlign w:val="bottom"/>
            <w:gridSpan w:val="25"/>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Tenth Amendment to</w:t>
              </w:r>
            </w:hyperlink>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001-37359</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3, 2022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Collaboration and License</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239">
              <w:r>
                <w:rPr>
                  <w:rFonts w:ascii="Times New Roman" w:cs="Times New Roman" w:eastAsia="Times New Roman" w:hAnsi="Times New Roman"/>
                  <w:sz w:val="18"/>
                  <w:szCs w:val="18"/>
                  <w:color w:val="0000EE"/>
                  <w:w w:val="98"/>
                </w:rPr>
                <w:t>Agreement, effective April</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39">
              <w:r>
                <w:rPr>
                  <w:rFonts w:ascii="Times New Roman" w:cs="Times New Roman" w:eastAsia="Times New Roman" w:hAnsi="Times New Roman"/>
                  <w:sz w:val="18"/>
                  <w:szCs w:val="18"/>
                  <w:color w:val="0000EE"/>
                  <w:w w:val="98"/>
                </w:rPr>
                <w:t>30, 2022, by and among F.</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Hoffmann-La Roche Ltd,</w:t>
              </w:r>
            </w:hyperlink>
          </w:p>
        </w:tc>
        <w:tc>
          <w:tcPr>
            <w:tcW w:w="3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Hoffmann-La Roche Inc.</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and the Registrant</w:t>
              </w:r>
            </w:hyperlink>
          </w:p>
        </w:tc>
        <w:tc>
          <w:tcPr>
            <w:tcW w:w="36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8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40">
              <w:r>
                <w:rPr>
                  <w:rFonts w:ascii="Times New Roman" w:cs="Times New Roman" w:eastAsia="Times New Roman" w:hAnsi="Times New Roman"/>
                  <w:sz w:val="18"/>
                  <w:szCs w:val="18"/>
                  <w:color w:val="0000EE"/>
                  <w:w w:val="98"/>
                </w:rPr>
                <w:t>Collaboration Agreement,</w:t>
              </w:r>
            </w:hyperlink>
          </w:p>
        </w:tc>
        <w:tc>
          <w:tcPr>
            <w:tcW w:w="280" w:type="dxa"/>
            <w:vAlign w:val="bottom"/>
            <w:gridSpan w:val="7"/>
          </w:tcPr>
          <w:p>
            <w:pPr>
              <w:spacing w:after="0"/>
              <w:rPr>
                <w:sz w:val="21"/>
                <w:szCs w:val="21"/>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30, 2020</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dated as of July 13, 2020,</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240">
              <w:r>
                <w:rPr>
                  <w:rFonts w:ascii="Times New Roman" w:cs="Times New Roman" w:eastAsia="Times New Roman" w:hAnsi="Times New Roman"/>
                  <w:sz w:val="18"/>
                  <w:szCs w:val="18"/>
                  <w:color w:val="0000EE"/>
                  <w:w w:val="98"/>
                </w:rPr>
                <w:t>by and among F. Hoffmann-</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La Roche Ltd, Genentech,</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Inc. and the Registrant</w:t>
              </w:r>
            </w:hyperlink>
          </w:p>
        </w:tc>
        <w:tc>
          <w:tcPr>
            <w:tcW w:w="240" w:type="dxa"/>
            <w:vAlign w:val="bottom"/>
            <w:tcBorders>
              <w:top w:val="single" w:sz="8" w:color="0000EE"/>
            </w:tcBorders>
            <w:gridSpan w:val="7"/>
          </w:tcPr>
          <w:p>
            <w:pPr>
              <w:spacing w:after="0"/>
              <w:rPr>
                <w:sz w:val="17"/>
                <w:szCs w:val="17"/>
                <w:color w:val="auto"/>
              </w:rPr>
            </w:pPr>
          </w:p>
        </w:tc>
        <w:tc>
          <w:tcPr>
            <w:tcW w:w="2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241">
              <w:r>
                <w:rPr>
                  <w:rFonts w:ascii="Times New Roman" w:cs="Times New Roman" w:eastAsia="Times New Roman" w:hAnsi="Times New Roman"/>
                  <w:sz w:val="18"/>
                  <w:szCs w:val="18"/>
                  <w:color w:val="0000EE"/>
                  <w:w w:val="98"/>
                </w:rPr>
                <w:t>License and Collaboration</w:t>
              </w:r>
            </w:hyperlink>
          </w:p>
        </w:tc>
        <w:tc>
          <w:tcPr>
            <w:tcW w:w="260" w:type="dxa"/>
            <w:vAlign w:val="bottom"/>
            <w:gridSpan w:val="6"/>
          </w:tcPr>
          <w:p>
            <w:pPr>
              <w:spacing w:after="0"/>
              <w:rPr>
                <w:sz w:val="22"/>
                <w:szCs w:val="22"/>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1, 2018</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Agreement, dated June 1,</w:t>
              </w:r>
            </w:hyperlink>
          </w:p>
        </w:tc>
        <w:tc>
          <w:tcPr>
            <w:tcW w:w="32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2018, between the</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241">
              <w:r>
                <w:rPr>
                  <w:rFonts w:ascii="Times New Roman" w:cs="Times New Roman" w:eastAsia="Times New Roman" w:hAnsi="Times New Roman"/>
                  <w:sz w:val="18"/>
                  <w:szCs w:val="18"/>
                  <w:color w:val="0000EE"/>
                  <w:w w:val="98"/>
                </w:rPr>
                <w:t>Registrant and CStone</w:t>
              </w:r>
            </w:hyperlink>
          </w:p>
        </w:tc>
        <w:tc>
          <w:tcPr>
            <w:tcW w:w="54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41">
              <w:r>
                <w:rPr>
                  <w:rFonts w:ascii="Times New Roman" w:cs="Times New Roman" w:eastAsia="Times New Roman" w:hAnsi="Times New Roman"/>
                  <w:sz w:val="18"/>
                  <w:szCs w:val="18"/>
                  <w:color w:val="0000EE"/>
                  <w:w w:val="98"/>
                </w:rPr>
                <w:t>Pharmaceuticals</w:t>
              </w:r>
            </w:hyperlink>
          </w:p>
        </w:tc>
        <w:tc>
          <w:tcPr>
            <w:tcW w:w="980" w:type="dxa"/>
            <w:vAlign w:val="bottom"/>
            <w:gridSpan w:val="22"/>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2160" w:type="dxa"/>
            <w:vAlign w:val="bottom"/>
            <w:gridSpan w:val="25"/>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License Agreement,</w:t>
              </w:r>
            </w:hyperlink>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5, 2019</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effective October 15, 2019,</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by and between the</w:t>
              </w:r>
            </w:hyperlink>
          </w:p>
        </w:tc>
        <w:tc>
          <w:tcPr>
            <w:tcW w:w="20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Registrant and Clementia</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242">
              <w:r>
                <w:rPr>
                  <w:rFonts w:ascii="Times New Roman" w:cs="Times New Roman" w:eastAsia="Times New Roman" w:hAnsi="Times New Roman"/>
                  <w:sz w:val="18"/>
                  <w:szCs w:val="18"/>
                  <w:color w:val="0000EE"/>
                  <w:w w:val="98"/>
                </w:rPr>
                <w:t>Pharmaceuticals, Inc.</w:t>
              </w:r>
            </w:hyperlink>
          </w:p>
        </w:tc>
        <w:tc>
          <w:tcPr>
            <w:tcW w:w="280" w:type="dxa"/>
            <w:vAlign w:val="bottom"/>
            <w:tcBorders>
              <w:top w:val="single" w:sz="8" w:color="0000EE"/>
            </w:tcBorders>
            <w:gridSpan w:val="7"/>
          </w:tcPr>
          <w:p>
            <w:pPr>
              <w:spacing w:after="0"/>
              <w:rPr>
                <w:sz w:val="17"/>
                <w:szCs w:val="17"/>
                <w:color w:val="auto"/>
              </w:rPr>
            </w:pPr>
          </w:p>
        </w:tc>
        <w:tc>
          <w:tcPr>
            <w:tcW w:w="34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243">
              <w:r>
                <w:rPr>
                  <w:rFonts w:ascii="Times New Roman" w:cs="Times New Roman" w:eastAsia="Times New Roman" w:hAnsi="Times New Roman"/>
                  <w:sz w:val="18"/>
                  <w:szCs w:val="18"/>
                  <w:color w:val="0000EE"/>
                  <w:w w:val="98"/>
                </w:rPr>
                <w:t>Collaboration and License</w:t>
              </w:r>
            </w:hyperlink>
          </w:p>
        </w:tc>
        <w:tc>
          <w:tcPr>
            <w:tcW w:w="260" w:type="dxa"/>
            <w:vAlign w:val="bottom"/>
            <w:gridSpan w:val="6"/>
          </w:tcPr>
          <w:p>
            <w:pPr>
              <w:spacing w:after="0"/>
              <w:rPr>
                <w:sz w:val="22"/>
                <w:szCs w:val="22"/>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10-K</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001-37359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10.54</w:t>
            </w:r>
          </w:p>
        </w:tc>
        <w:tc>
          <w:tcPr>
            <w:tcW w:w="2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February 17, 2021</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43">
              <w:r>
                <w:rPr>
                  <w:rFonts w:ascii="Times New Roman" w:cs="Times New Roman" w:eastAsia="Times New Roman" w:hAnsi="Times New Roman"/>
                  <w:sz w:val="18"/>
                  <w:szCs w:val="18"/>
                  <w:color w:val="0000EE"/>
                  <w:w w:val="98"/>
                </w:rPr>
                <w:t>Agreement, dated</w:t>
              </w:r>
            </w:hyperlink>
          </w:p>
        </w:tc>
        <w:tc>
          <w:tcPr>
            <w:tcW w:w="860" w:type="dxa"/>
            <w:vAlign w:val="bottom"/>
            <w:gridSpan w:val="21"/>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43">
              <w:r>
                <w:rPr>
                  <w:rFonts w:ascii="Times New Roman" w:cs="Times New Roman" w:eastAsia="Times New Roman" w:hAnsi="Times New Roman"/>
                  <w:sz w:val="18"/>
                  <w:szCs w:val="18"/>
                  <w:color w:val="0000EE"/>
                  <w:w w:val="98"/>
                </w:rPr>
                <w:t>November 8, 2021, by and</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between the Registrant and</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40" w:type="dxa"/>
            <w:vAlign w:val="bottom"/>
            <w:gridSpan w:val="2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60" w:type="dxa"/>
            <w:vAlign w:val="bottom"/>
            <w:gridSpan w:val="25"/>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Zai Lab (Shanghai) Co. Ltd</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141</w:t>
            </w: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43" w:name="page144"/>
    <w:bookmarkEnd w:id="14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8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9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44">
              <w:r>
                <w:rPr>
                  <w:rFonts w:ascii="Times New Roman" w:cs="Times New Roman" w:eastAsia="Times New Roman" w:hAnsi="Times New Roman"/>
                  <w:sz w:val="18"/>
                  <w:szCs w:val="18"/>
                  <w:color w:val="0000EE"/>
                  <w:w w:val="98"/>
                </w:rPr>
                <w:t>Form of Indemnification</w:t>
              </w:r>
            </w:hyperlink>
          </w:p>
        </w:tc>
        <w:tc>
          <w:tcPr>
            <w:tcW w:w="400" w:type="dxa"/>
            <w:vAlign w:val="bottom"/>
            <w:gridSpan w:val="11"/>
          </w:tcPr>
          <w:p>
            <w:pPr>
              <w:spacing w:after="0"/>
              <w:rPr>
                <w:sz w:val="24"/>
                <w:szCs w:val="24"/>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333-202938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96"/>
        </w:trPr>
        <w:tc>
          <w:tcPr>
            <w:tcW w:w="1000" w:type="dxa"/>
            <w:vAlign w:val="bottom"/>
          </w:tcPr>
          <w:p>
            <w:pPr>
              <w:spacing w:after="0"/>
              <w:rPr>
                <w:sz w:val="17"/>
                <w:szCs w:val="17"/>
                <w:color w:val="auto"/>
              </w:rPr>
            </w:pPr>
          </w:p>
        </w:tc>
        <w:tc>
          <w:tcPr>
            <w:tcW w:w="1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44">
              <w:r>
                <w:rPr>
                  <w:rFonts w:ascii="Times New Roman" w:cs="Times New Roman" w:eastAsia="Times New Roman" w:hAnsi="Times New Roman"/>
                  <w:sz w:val="18"/>
                  <w:szCs w:val="18"/>
                  <w:color w:val="0000EE"/>
                  <w:w w:val="98"/>
                </w:rPr>
                <w:t>Agreement entered into</w:t>
              </w:r>
            </w:hyperlink>
          </w:p>
        </w:tc>
        <w:tc>
          <w:tcPr>
            <w:tcW w:w="48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44">
              <w:r>
                <w:rPr>
                  <w:rFonts w:ascii="Times New Roman" w:cs="Times New Roman" w:eastAsia="Times New Roman" w:hAnsi="Times New Roman"/>
                  <w:sz w:val="18"/>
                  <w:szCs w:val="18"/>
                  <w:color w:val="0000EE"/>
                  <w:w w:val="99"/>
                </w:rPr>
                <w:t>between the Registrant and</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r:id="rId244">
              <w:r>
                <w:rPr>
                  <w:rFonts w:ascii="Times New Roman" w:cs="Times New Roman" w:eastAsia="Times New Roman" w:hAnsi="Times New Roman"/>
                  <w:sz w:val="18"/>
                  <w:szCs w:val="18"/>
                  <w:color w:val="0000EE"/>
                  <w:w w:val="96"/>
                </w:rPr>
                <w:t>its directors</w:t>
              </w:r>
            </w:hyperlink>
          </w:p>
        </w:tc>
        <w:tc>
          <w:tcPr>
            <w:tcW w:w="1340" w:type="dxa"/>
            <w:vAlign w:val="bottom"/>
            <w:gridSpan w:val="2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7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45">
              <w:r>
                <w:rPr>
                  <w:rFonts w:ascii="Times New Roman" w:cs="Times New Roman" w:eastAsia="Times New Roman" w:hAnsi="Times New Roman"/>
                  <w:sz w:val="18"/>
                  <w:szCs w:val="18"/>
                  <w:color w:val="0000EE"/>
                  <w:w w:val="98"/>
                </w:rPr>
                <w:t>Form of Indemnification</w:t>
              </w:r>
            </w:hyperlink>
          </w:p>
        </w:tc>
        <w:tc>
          <w:tcPr>
            <w:tcW w:w="400" w:type="dxa"/>
            <w:vAlign w:val="bottom"/>
            <w:gridSpan w:val="11"/>
          </w:tcPr>
          <w:p>
            <w:pPr>
              <w:spacing w:after="0"/>
              <w:rPr>
                <w:sz w:val="22"/>
                <w:szCs w:val="22"/>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333-202938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5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96"/>
        </w:trPr>
        <w:tc>
          <w:tcPr>
            <w:tcW w:w="1000" w:type="dxa"/>
            <w:vAlign w:val="bottom"/>
          </w:tcPr>
          <w:p>
            <w:pPr>
              <w:spacing w:after="0"/>
              <w:rPr>
                <w:sz w:val="17"/>
                <w:szCs w:val="17"/>
                <w:color w:val="auto"/>
              </w:rPr>
            </w:pPr>
          </w:p>
        </w:tc>
        <w:tc>
          <w:tcPr>
            <w:tcW w:w="17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45">
              <w:r>
                <w:rPr>
                  <w:rFonts w:ascii="Times New Roman" w:cs="Times New Roman" w:eastAsia="Times New Roman" w:hAnsi="Times New Roman"/>
                  <w:sz w:val="18"/>
                  <w:szCs w:val="18"/>
                  <w:color w:val="0000EE"/>
                  <w:w w:val="98"/>
                </w:rPr>
                <w:t>Agreement entered into</w:t>
              </w:r>
            </w:hyperlink>
          </w:p>
        </w:tc>
        <w:tc>
          <w:tcPr>
            <w:tcW w:w="48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between the Registrant and</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245">
              <w:r>
                <w:rPr>
                  <w:rFonts w:ascii="Times New Roman" w:cs="Times New Roman" w:eastAsia="Times New Roman" w:hAnsi="Times New Roman"/>
                  <w:sz w:val="18"/>
                  <w:szCs w:val="18"/>
                  <w:color w:val="0000EE"/>
                  <w:w w:val="96"/>
                </w:rPr>
                <w:t>its officers</w:t>
              </w:r>
            </w:hyperlink>
          </w:p>
        </w:tc>
        <w:tc>
          <w:tcPr>
            <w:tcW w:w="1420" w:type="dxa"/>
            <w:vAlign w:val="bottom"/>
            <w:gridSpan w:val="30"/>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Senior Executive Cash</w:t>
              </w:r>
            </w:hyperlink>
          </w:p>
        </w:tc>
        <w:tc>
          <w:tcPr>
            <w:tcW w:w="520" w:type="dxa"/>
            <w:vAlign w:val="bottom"/>
            <w:gridSpan w:val="17"/>
          </w:tcPr>
          <w:p>
            <w:pPr>
              <w:spacing w:after="0"/>
              <w:rPr>
                <w:sz w:val="22"/>
                <w:szCs w:val="22"/>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5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196"/>
        </w:trPr>
        <w:tc>
          <w:tcPr>
            <w:tcW w:w="100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246">
              <w:r>
                <w:rPr>
                  <w:rFonts w:ascii="Times New Roman" w:cs="Times New Roman" w:eastAsia="Times New Roman" w:hAnsi="Times New Roman"/>
                  <w:sz w:val="18"/>
                  <w:szCs w:val="18"/>
                  <w:color w:val="0000EE"/>
                  <w:w w:val="98"/>
                </w:rPr>
                <w:t>Incentive Bonus Plan</w:t>
              </w:r>
            </w:hyperlink>
          </w:p>
        </w:tc>
        <w:tc>
          <w:tcPr>
            <w:tcW w:w="640" w:type="dxa"/>
            <w:vAlign w:val="bottom"/>
            <w:gridSpan w:val="22"/>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2180" w:type="dxa"/>
            <w:vAlign w:val="bottom"/>
            <w:gridSpan w:val="34"/>
          </w:tcPr>
          <w:p>
            <w:pPr>
              <w:spacing w:after="0"/>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Purchase and Sale</w:t>
              </w:r>
            </w:hyperlink>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August 2, 2022</w:t>
            </w:r>
          </w:p>
        </w:tc>
      </w:tr>
      <w:tr>
        <w:trPr>
          <w:trHeight w:val="20"/>
        </w:trPr>
        <w:tc>
          <w:tcPr>
            <w:tcW w:w="10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Agreement, dated as of June</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0000EE"/>
                </w:rPr>
                <w:t>30, 2022, by and between</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247">
              <w:r>
                <w:rPr>
                  <w:rFonts w:ascii="Times New Roman" w:cs="Times New Roman" w:eastAsia="Times New Roman" w:hAnsi="Times New Roman"/>
                  <w:sz w:val="18"/>
                  <w:szCs w:val="18"/>
                  <w:color w:val="0000EE"/>
                  <w:w w:val="98"/>
                </w:rPr>
                <w:t>the Registrant and Royalty</w:t>
              </w:r>
            </w:hyperlink>
          </w:p>
        </w:tc>
        <w:tc>
          <w:tcPr>
            <w:tcW w:w="2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Pharma Investments 2019</w:t>
              </w:r>
            </w:hyperlink>
          </w:p>
        </w:tc>
        <w:tc>
          <w:tcPr>
            <w:tcW w:w="30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247">
              <w:r>
                <w:rPr>
                  <w:rFonts w:ascii="Times New Roman" w:cs="Times New Roman" w:eastAsia="Times New Roman" w:hAnsi="Times New Roman"/>
                  <w:sz w:val="18"/>
                  <w:szCs w:val="18"/>
                  <w:color w:val="0000EE"/>
                  <w:w w:val="90"/>
                </w:rPr>
                <w:t>ICAV</w:t>
              </w:r>
            </w:hyperlink>
          </w:p>
        </w:tc>
        <w:tc>
          <w:tcPr>
            <w:tcW w:w="1760" w:type="dxa"/>
            <w:vAlign w:val="bottom"/>
            <w:gridSpan w:val="32"/>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2180" w:type="dxa"/>
            <w:vAlign w:val="bottom"/>
            <w:gridSpan w:val="34"/>
          </w:tcPr>
          <w:p>
            <w:pPr>
              <w:spacing w:after="0"/>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Purchase and Sale</w:t>
              </w:r>
            </w:hyperlink>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August 2, 2022</w:t>
            </w:r>
          </w:p>
        </w:tc>
      </w:tr>
      <w:tr>
        <w:trPr>
          <w:trHeight w:val="20"/>
        </w:trPr>
        <w:tc>
          <w:tcPr>
            <w:tcW w:w="10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Agreement, dated as of June</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0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30, 2022, by and among the</w:t>
              </w:r>
            </w:hyperlink>
          </w:p>
        </w:tc>
        <w:tc>
          <w:tcPr>
            <w:tcW w:w="18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Registrant Garnich</w:t>
              </w:r>
            </w:hyperlink>
          </w:p>
        </w:tc>
        <w:tc>
          <w:tcPr>
            <w:tcW w:w="820" w:type="dxa"/>
            <w:vAlign w:val="bottom"/>
            <w:gridSpan w:val="23"/>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Adjacent Investments</w:t>
              </w:r>
            </w:hyperlink>
          </w:p>
        </w:tc>
        <w:tc>
          <w:tcPr>
            <w:tcW w:w="620" w:type="dxa"/>
            <w:vAlign w:val="bottom"/>
            <w:gridSpan w:val="21"/>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S.a.r.l. the various other</w:t>
              </w:r>
            </w:hyperlink>
          </w:p>
        </w:tc>
        <w:tc>
          <w:tcPr>
            <w:tcW w:w="46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purchasers from time to</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158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8"/>
              </w:rPr>
            </w:pPr>
            <w:hyperlink r:id="rId248">
              <w:r>
                <w:rPr>
                  <w:rFonts w:ascii="Times New Roman" w:cs="Times New Roman" w:eastAsia="Times New Roman" w:hAnsi="Times New Roman"/>
                  <w:sz w:val="18"/>
                  <w:szCs w:val="18"/>
                  <w:color w:val="0000EE"/>
                  <w:w w:val="98"/>
                </w:rPr>
                <w:t>time party thereto and</w:t>
              </w:r>
            </w:hyperlink>
          </w:p>
        </w:tc>
        <w:tc>
          <w:tcPr>
            <w:tcW w:w="120" w:type="dxa"/>
            <w:vAlign w:val="bottom"/>
            <w:tcBorders>
              <w:top w:val="single" w:sz="8" w:color="0000EE"/>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Garnish Adjacent</w:t>
              </w:r>
            </w:hyperlink>
          </w:p>
        </w:tc>
        <w:tc>
          <w:tcPr>
            <w:tcW w:w="88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Investments S.a.r.l, as</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Purchaser’s Representative</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206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Financing Agreement, dated</w:t>
              </w:r>
            </w:hyperlink>
          </w:p>
        </w:tc>
        <w:tc>
          <w:tcPr>
            <w:tcW w:w="120" w:type="dxa"/>
            <w:vAlign w:val="bottom"/>
          </w:tcPr>
          <w:p>
            <w:pPr>
              <w:spacing w:after="0"/>
              <w:rPr>
                <w:sz w:val="22"/>
                <w:szCs w:val="22"/>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August 2, 2022</w:t>
            </w: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as of June 30, 2022, by and</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249">
              <w:r>
                <w:rPr>
                  <w:rFonts w:ascii="Times New Roman" w:cs="Times New Roman" w:eastAsia="Times New Roman" w:hAnsi="Times New Roman"/>
                  <w:sz w:val="18"/>
                  <w:szCs w:val="18"/>
                  <w:color w:val="0000EE"/>
                  <w:w w:val="98"/>
                </w:rPr>
                <w:t>among the Registrant, as</w:t>
              </w:r>
            </w:hyperlink>
          </w:p>
        </w:tc>
        <w:tc>
          <w:tcPr>
            <w:tcW w:w="180" w:type="dxa"/>
            <w:vAlign w:val="bottom"/>
            <w:tcBorders>
              <w:top w:val="single" w:sz="8" w:color="0000EE"/>
            </w:tcBorders>
            <w:gridSpan w:val="7"/>
          </w:tcPr>
          <w:p>
            <w:pPr>
              <w:spacing w:after="0"/>
              <w:rPr>
                <w:sz w:val="17"/>
                <w:szCs w:val="17"/>
                <w:color w:val="auto"/>
              </w:rPr>
            </w:pPr>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r:id="rId249">
              <w:r>
                <w:rPr>
                  <w:rFonts w:ascii="Times New Roman" w:cs="Times New Roman" w:eastAsia="Times New Roman" w:hAnsi="Times New Roman"/>
                  <w:sz w:val="18"/>
                  <w:szCs w:val="18"/>
                  <w:color w:val="0000EE"/>
                  <w:w w:val="97"/>
                </w:rPr>
                <w:t>Borrower, certain</w:t>
              </w:r>
            </w:hyperlink>
          </w:p>
        </w:tc>
        <w:tc>
          <w:tcPr>
            <w:tcW w:w="92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subsidiaries of the</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Registrant, as Guarantors,</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various lenders from time to</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27"/>
          </w:tcPr>
          <w:p>
            <w:pPr>
              <w:spacing w:after="0" w:line="182" w:lineRule="exact"/>
              <w:rPr>
                <w:rFonts w:ascii="Times New Roman" w:cs="Times New Roman" w:eastAsia="Times New Roman" w:hAnsi="Times New Roman"/>
                <w:sz w:val="18"/>
                <w:szCs w:val="18"/>
                <w:color w:val="0000EE"/>
                <w:w w:val="98"/>
              </w:rPr>
            </w:pPr>
            <w:hyperlink r:id="rId249">
              <w:r>
                <w:rPr>
                  <w:rFonts w:ascii="Times New Roman" w:cs="Times New Roman" w:eastAsia="Times New Roman" w:hAnsi="Times New Roman"/>
                  <w:sz w:val="18"/>
                  <w:szCs w:val="18"/>
                  <w:color w:val="0000EE"/>
                  <w:w w:val="98"/>
                </w:rPr>
                <w:t>time party thereto and Tao</w:t>
              </w:r>
            </w:hyperlink>
          </w:p>
        </w:tc>
        <w:tc>
          <w:tcPr>
            <w:tcW w:w="14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Talents, LLC, as</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8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249">
              <w:r>
                <w:rPr>
                  <w:rFonts w:ascii="Times New Roman" w:cs="Times New Roman" w:eastAsia="Times New Roman" w:hAnsi="Times New Roman"/>
                  <w:sz w:val="18"/>
                  <w:szCs w:val="18"/>
                  <w:color w:val="0000EE"/>
                  <w:w w:val="98"/>
                </w:rPr>
                <w:t>Administrative Agent for</w:t>
              </w:r>
            </w:hyperlink>
          </w:p>
        </w:tc>
        <w:tc>
          <w:tcPr>
            <w:tcW w:w="34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249">
              <w:r>
                <w:rPr>
                  <w:rFonts w:ascii="Times New Roman" w:cs="Times New Roman" w:eastAsia="Times New Roman" w:hAnsi="Times New Roman"/>
                  <w:sz w:val="18"/>
                  <w:szCs w:val="18"/>
                  <w:color w:val="0000EE"/>
                  <w:w w:val="96"/>
                </w:rPr>
                <w:t>the lenders</w:t>
              </w:r>
            </w:hyperlink>
          </w:p>
        </w:tc>
        <w:tc>
          <w:tcPr>
            <w:tcW w:w="1400" w:type="dxa"/>
            <w:vAlign w:val="bottom"/>
            <w:gridSpan w:val="2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Amended and Restated</w:t>
              </w:r>
            </w:hyperlink>
          </w:p>
        </w:tc>
        <w:tc>
          <w:tcPr>
            <w:tcW w:w="500" w:type="dxa"/>
            <w:vAlign w:val="bottom"/>
            <w:gridSpan w:val="16"/>
          </w:tcPr>
          <w:p>
            <w:pPr>
              <w:spacing w:after="0"/>
              <w:rPr>
                <w:sz w:val="22"/>
                <w:szCs w:val="22"/>
                <w:color w:val="auto"/>
              </w:rPr>
            </w:pPr>
          </w:p>
        </w:tc>
        <w:tc>
          <w:tcPr>
            <w:tcW w:w="8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June 27, 2022</w:t>
            </w:r>
          </w:p>
        </w:tc>
      </w:tr>
      <w:tr>
        <w:trPr>
          <w:trHeight w:val="196"/>
        </w:trPr>
        <w:tc>
          <w:tcPr>
            <w:tcW w:w="1000" w:type="dxa"/>
            <w:vAlign w:val="bottom"/>
          </w:tcPr>
          <w:p>
            <w:pPr>
              <w:spacing w:after="0"/>
              <w:rPr>
                <w:sz w:val="17"/>
                <w:szCs w:val="17"/>
                <w:color w:val="auto"/>
              </w:rPr>
            </w:pPr>
          </w:p>
        </w:tc>
        <w:tc>
          <w:tcPr>
            <w:tcW w:w="1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2020 Inducement Plan</w:t>
              </w:r>
            </w:hyperlink>
          </w:p>
        </w:tc>
        <w:tc>
          <w:tcPr>
            <w:tcW w:w="5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251">
              <w:r>
                <w:rPr>
                  <w:rFonts w:ascii="Times New Roman" w:cs="Times New Roman" w:eastAsia="Times New Roman" w:hAnsi="Times New Roman"/>
                  <w:sz w:val="18"/>
                  <w:szCs w:val="18"/>
                  <w:color w:val="0000EE"/>
                  <w:w w:val="98"/>
                </w:rPr>
                <w:t>Collaboration and License</w:t>
              </w:r>
            </w:hyperlink>
          </w:p>
        </w:tc>
        <w:tc>
          <w:tcPr>
            <w:tcW w:w="280" w:type="dxa"/>
            <w:vAlign w:val="bottom"/>
            <w:gridSpan w:val="7"/>
          </w:tcPr>
          <w:p>
            <w:pPr>
              <w:spacing w:after="0"/>
              <w:rPr>
                <w:sz w:val="22"/>
                <w:szCs w:val="22"/>
                <w:color w:val="auto"/>
              </w:rPr>
            </w:pPr>
          </w:p>
        </w:tc>
        <w:tc>
          <w:tcPr>
            <w:tcW w:w="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May 3, 2022</w:t>
            </w:r>
          </w:p>
        </w:tc>
      </w:tr>
      <w:tr>
        <w:trPr>
          <w:trHeight w:val="196"/>
        </w:trPr>
        <w:tc>
          <w:tcPr>
            <w:tcW w:w="1000" w:type="dxa"/>
            <w:vAlign w:val="bottom"/>
          </w:tcPr>
          <w:p>
            <w:pPr>
              <w:spacing w:after="0"/>
              <w:rPr>
                <w:sz w:val="17"/>
                <w:szCs w:val="17"/>
                <w:color w:val="auto"/>
              </w:rPr>
            </w:pPr>
          </w:p>
        </w:tc>
        <w:tc>
          <w:tcPr>
            <w:tcW w:w="1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Agreement dated as of</w:t>
              </w:r>
            </w:hyperlink>
          </w:p>
        </w:tc>
        <w:tc>
          <w:tcPr>
            <w:tcW w:w="5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February 26, 2022 by and</w:t>
              </w:r>
            </w:hyperlink>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between Oncopia</w:t>
              </w:r>
            </w:hyperlink>
          </w:p>
        </w:tc>
        <w:tc>
          <w:tcPr>
            <w:tcW w:w="34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7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251">
              <w:r>
                <w:rPr>
                  <w:rFonts w:ascii="Times New Roman" w:cs="Times New Roman" w:eastAsia="Times New Roman" w:hAnsi="Times New Roman"/>
                  <w:sz w:val="18"/>
                  <w:szCs w:val="18"/>
                  <w:color w:val="0000EE"/>
                  <w:w w:val="98"/>
                </w:rPr>
                <w:t>Therapeutics, Inc., d/b/a</w:t>
              </w:r>
            </w:hyperlink>
          </w:p>
        </w:tc>
        <w:tc>
          <w:tcPr>
            <w:tcW w:w="44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251">
              <w:r>
                <w:rPr>
                  <w:rFonts w:ascii="Times New Roman" w:cs="Times New Roman" w:eastAsia="Times New Roman" w:hAnsi="Times New Roman"/>
                  <w:sz w:val="18"/>
                  <w:szCs w:val="18"/>
                  <w:color w:val="0000EE"/>
                  <w:w w:val="98"/>
                </w:rPr>
                <w:t>Proteovant Therapeutics,</w:t>
              </w:r>
            </w:hyperlink>
          </w:p>
        </w:tc>
        <w:tc>
          <w:tcPr>
            <w:tcW w:w="3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1">
              <w:r>
                <w:rPr>
                  <w:rFonts w:ascii="Times New Roman" w:cs="Times New Roman" w:eastAsia="Times New Roman" w:hAnsi="Times New Roman"/>
                  <w:sz w:val="18"/>
                  <w:szCs w:val="18"/>
                  <w:color w:val="0000EE"/>
                  <w:w w:val="99"/>
                </w:rPr>
                <w:t>Inc. and the Registrant</w:t>
              </w:r>
            </w:hyperlink>
          </w:p>
        </w:tc>
        <w:tc>
          <w:tcPr>
            <w:tcW w:w="54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206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Non-Qualified Stock Option</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Pr>
          <w:p>
            <w:pPr>
              <w:spacing w:after="0"/>
              <w:rPr>
                <w:sz w:val="17"/>
                <w:szCs w:val="17"/>
                <w:color w:val="auto"/>
              </w:rPr>
            </w:pPr>
          </w:p>
        </w:tc>
        <w:tc>
          <w:tcPr>
            <w:tcW w:w="21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for Employees under the</w:t>
            </w: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2015 Stock Option and</w:t>
            </w:r>
          </w:p>
        </w:tc>
        <w:tc>
          <w:tcPr>
            <w:tcW w:w="100" w:type="dxa"/>
            <w:vAlign w:val="bottom"/>
            <w:tcBorders>
              <w:top w:val="single" w:sz="8" w:color="0000EE"/>
            </w:tcBorders>
            <w:gridSpan w:val="5"/>
          </w:tcPr>
          <w:p>
            <w:pPr>
              <w:spacing w:after="0"/>
              <w:rPr>
                <w:sz w:val="17"/>
                <w:szCs w:val="17"/>
                <w:color w:val="auto"/>
              </w:rPr>
            </w:pPr>
          </w:p>
        </w:tc>
        <w:tc>
          <w:tcPr>
            <w:tcW w:w="42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Incentive Plan (annual</w:t>
            </w:r>
          </w:p>
        </w:tc>
        <w:tc>
          <w:tcPr>
            <w:tcW w:w="56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award)</w:t>
            </w:r>
          </w:p>
        </w:tc>
        <w:tc>
          <w:tcPr>
            <w:tcW w:w="1680" w:type="dxa"/>
            <w:vAlign w:val="bottom"/>
            <w:gridSpan w:val="31"/>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44" w:name="page145"/>
    <w:bookmarkEnd w:id="144"/>
    <w:tbl>
      <w:tblPr>
        <w:tblLayout w:type="fixed"/>
        <w:tblInd w:w="40" w:type="dxa"/>
        <w:tblCellMar>
          <w:top w:w="0" w:type="dxa"/>
          <w:left w:w="0" w:type="dxa"/>
          <w:bottom w:w="0" w:type="dxa"/>
          <w:right w:w="0" w:type="dxa"/>
        </w:tblCellMar>
      </w:tblPr>
      <w:tr>
        <w:trPr>
          <w:trHeight w:val="207"/>
        </w:trPr>
        <w:tc>
          <w:tcPr>
            <w:tcW w:w="37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5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938"/>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10.77#</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Non-Qualified Stock Option</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 Employees under the</w:t>
            </w:r>
          </w:p>
        </w:tc>
        <w:tc>
          <w:tcPr>
            <w:tcW w:w="6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2015 Stock Option and</w:t>
            </w:r>
          </w:p>
        </w:tc>
        <w:tc>
          <w:tcPr>
            <w:tcW w:w="100" w:type="dxa"/>
            <w:vAlign w:val="bottom"/>
            <w:tcBorders>
              <w:top w:val="single" w:sz="8" w:color="0000EE"/>
            </w:tcBorders>
            <w:gridSpan w:val="2"/>
          </w:tcPr>
          <w:p>
            <w:pPr>
              <w:spacing w:after="0"/>
              <w:rPr>
                <w:sz w:val="17"/>
                <w:szCs w:val="17"/>
                <w:color w:val="auto"/>
              </w:rPr>
            </w:pPr>
          </w:p>
        </w:tc>
        <w:tc>
          <w:tcPr>
            <w:tcW w:w="920" w:type="dxa"/>
            <w:vAlign w:val="bottom"/>
            <w:gridSpan w:val="9"/>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Incentive Plan (non-U.S.</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new hire award)</w:t>
            </w:r>
          </w:p>
        </w:tc>
        <w:tc>
          <w:tcPr>
            <w:tcW w:w="900" w:type="dxa"/>
            <w:vAlign w:val="bottom"/>
            <w:gridSpan w:val="8"/>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10.78#</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Non-Qualified Stock Option</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for Non-Employee</w:t>
            </w:r>
          </w:p>
        </w:tc>
        <w:tc>
          <w:tcPr>
            <w:tcW w:w="680" w:type="dxa"/>
            <w:vAlign w:val="bottom"/>
            <w:tcBorders>
              <w:top w:val="single" w:sz="8" w:color="0000EE"/>
            </w:tcBorders>
            <w:gridSpan w:val="15"/>
          </w:tcPr>
          <w:p>
            <w:pPr>
              <w:spacing w:after="0"/>
              <w:rPr>
                <w:sz w:val="17"/>
                <w:szCs w:val="17"/>
                <w:color w:val="auto"/>
              </w:rPr>
            </w:pPr>
          </w:p>
        </w:tc>
        <w:tc>
          <w:tcPr>
            <w:tcW w:w="6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Directors under the 2015</w:t>
            </w:r>
          </w:p>
        </w:tc>
        <w:tc>
          <w:tcPr>
            <w:tcW w:w="5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Stock Option and Incentive</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(annual award)</w:t>
            </w:r>
          </w:p>
        </w:tc>
        <w:tc>
          <w:tcPr>
            <w:tcW w:w="72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10.79#</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Non-Qualified Stock Option</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for Non-Employee</w:t>
            </w:r>
          </w:p>
        </w:tc>
        <w:tc>
          <w:tcPr>
            <w:tcW w:w="680" w:type="dxa"/>
            <w:vAlign w:val="bottom"/>
            <w:tcBorders>
              <w:top w:val="single" w:sz="8" w:color="0000EE"/>
            </w:tcBorders>
            <w:gridSpan w:val="15"/>
          </w:tcPr>
          <w:p>
            <w:pPr>
              <w:spacing w:after="0"/>
              <w:rPr>
                <w:sz w:val="17"/>
                <w:szCs w:val="17"/>
                <w:color w:val="auto"/>
              </w:rPr>
            </w:pPr>
          </w:p>
        </w:tc>
        <w:tc>
          <w:tcPr>
            <w:tcW w:w="6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Directors under the 2015</w:t>
            </w:r>
          </w:p>
        </w:tc>
        <w:tc>
          <w:tcPr>
            <w:tcW w:w="5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Stock Option and Incentive</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Plan (new director award)</w:t>
            </w:r>
          </w:p>
        </w:tc>
        <w:tc>
          <w:tcPr>
            <w:tcW w:w="80" w:type="dxa"/>
            <w:vAlign w:val="bottom"/>
            <w:tcBorders>
              <w:top w:val="single" w:sz="8" w:color="0000EE"/>
            </w:tcBorders>
            <w:gridSpan w:val="3"/>
          </w:tcPr>
          <w:p>
            <w:pPr>
              <w:spacing w:after="0"/>
              <w:rPr>
                <w:sz w:val="17"/>
                <w:szCs w:val="17"/>
                <w:color w:val="auto"/>
              </w:rPr>
            </w:pPr>
          </w:p>
        </w:tc>
        <w:tc>
          <w:tcPr>
            <w:tcW w:w="72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10.80#</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Non-Qualified Stock Option</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 Employees under the</w:t>
            </w:r>
          </w:p>
        </w:tc>
        <w:tc>
          <w:tcPr>
            <w:tcW w:w="6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2020 Inducement Plan</w:t>
            </w:r>
          </w:p>
        </w:tc>
        <w:tc>
          <w:tcPr>
            <w:tcW w:w="140" w:type="dxa"/>
            <w:vAlign w:val="bottom"/>
            <w:tcBorders>
              <w:top w:val="single" w:sz="8" w:color="0000EE"/>
            </w:tcBorders>
            <w:gridSpan w:val="3"/>
          </w:tcPr>
          <w:p>
            <w:pPr>
              <w:spacing w:after="0"/>
              <w:rPr>
                <w:sz w:val="17"/>
                <w:szCs w:val="17"/>
                <w:color w:val="auto"/>
              </w:rPr>
            </w:pPr>
          </w:p>
        </w:tc>
        <w:tc>
          <w:tcPr>
            <w:tcW w:w="920" w:type="dxa"/>
            <w:vAlign w:val="bottom"/>
            <w:gridSpan w:val="9"/>
          </w:tcPr>
          <w:p>
            <w:pPr>
              <w:spacing w:after="0"/>
              <w:rPr>
                <w:sz w:val="17"/>
                <w:szCs w:val="17"/>
                <w:color w:val="auto"/>
              </w:rPr>
            </w:pPr>
          </w:p>
        </w:tc>
        <w:tc>
          <w:tcPr>
            <w:tcW w:w="522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10.81#</w:t>
            </w:r>
          </w:p>
        </w:tc>
        <w:tc>
          <w:tcPr>
            <w:tcW w:w="1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Performance-Based</w:t>
            </w:r>
          </w:p>
        </w:tc>
        <w:tc>
          <w:tcPr>
            <w:tcW w:w="1240" w:type="dxa"/>
            <w:vAlign w:val="bottom"/>
            <w:gridSpan w:val="15"/>
          </w:tcPr>
          <w:p>
            <w:pPr>
              <w:spacing w:after="0"/>
              <w:rPr>
                <w:sz w:val="22"/>
                <w:szCs w:val="22"/>
                <w:color w:val="auto"/>
              </w:rPr>
            </w:pP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Restricted Stock Unit</w:t>
            </w:r>
          </w:p>
        </w:tc>
        <w:tc>
          <w:tcPr>
            <w:tcW w:w="5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Award Agreement for</w:t>
            </w:r>
          </w:p>
        </w:tc>
        <w:tc>
          <w:tcPr>
            <w:tcW w:w="5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Employees under the 2015</w:t>
            </w:r>
          </w:p>
        </w:tc>
        <w:tc>
          <w:tcPr>
            <w:tcW w:w="760" w:type="dxa"/>
            <w:vAlign w:val="bottom"/>
            <w:gridSpan w:val="4"/>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Stock Option and Incentive</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Plan</w:t>
            </w:r>
          </w:p>
        </w:tc>
        <w:tc>
          <w:tcPr>
            <w:tcW w:w="1640" w:type="dxa"/>
            <w:vAlign w:val="bottom"/>
            <w:tcBorders>
              <w:top w:val="single" w:sz="8" w:color="0000EE"/>
            </w:tcBorders>
            <w:gridSpan w:val="18"/>
          </w:tcPr>
          <w:p>
            <w:pPr>
              <w:spacing w:after="0"/>
              <w:rPr>
                <w:sz w:val="17"/>
                <w:szCs w:val="17"/>
                <w:color w:val="auto"/>
              </w:rPr>
            </w:pPr>
          </w:p>
        </w:tc>
        <w:tc>
          <w:tcPr>
            <w:tcW w:w="72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25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10.82#</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Restricted Stock Unit</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Award for Employees under</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the 2015 Stock Option and</w:t>
            </w:r>
          </w:p>
        </w:tc>
        <w:tc>
          <w:tcPr>
            <w:tcW w:w="66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Incentive Plan</w:t>
            </w:r>
          </w:p>
        </w:tc>
        <w:tc>
          <w:tcPr>
            <w:tcW w:w="760" w:type="dxa"/>
            <w:vAlign w:val="bottom"/>
            <w:gridSpan w:val="4"/>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10.83#</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Restricted Stock Unit</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Award for Non-Employee</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Directors under the 2015</w:t>
            </w:r>
          </w:p>
        </w:tc>
        <w:tc>
          <w:tcPr>
            <w:tcW w:w="820" w:type="dxa"/>
            <w:vAlign w:val="bottom"/>
            <w:gridSpan w:val="7"/>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Stock Option and Incentive</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(annual award)</w:t>
            </w:r>
          </w:p>
        </w:tc>
        <w:tc>
          <w:tcPr>
            <w:tcW w:w="72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6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10.84#</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Restricted Stock Unit</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Award for Non-Employee</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Directors under the 2015</w:t>
            </w:r>
          </w:p>
        </w:tc>
        <w:tc>
          <w:tcPr>
            <w:tcW w:w="820" w:type="dxa"/>
            <w:vAlign w:val="bottom"/>
            <w:gridSpan w:val="7"/>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Stock Option and Incentive</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(new director award)</w:t>
            </w:r>
          </w:p>
        </w:tc>
        <w:tc>
          <w:tcPr>
            <w:tcW w:w="72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26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10.85#</w:t>
            </w:r>
          </w:p>
        </w:tc>
        <w:tc>
          <w:tcPr>
            <w:tcW w:w="18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Restricted Stock Unit</w:t>
            </w:r>
          </w:p>
        </w:tc>
        <w:tc>
          <w:tcPr>
            <w:tcW w:w="820" w:type="dxa"/>
            <w:vAlign w:val="bottom"/>
            <w:gridSpan w:val="7"/>
          </w:tcPr>
          <w:p>
            <w:pPr>
              <w:spacing w:after="0"/>
              <w:rPr>
                <w:sz w:val="22"/>
                <w:szCs w:val="22"/>
                <w:color w:val="auto"/>
              </w:rPr>
            </w:pP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Award for Employees under</w:t>
            </w:r>
          </w:p>
        </w:tc>
        <w:tc>
          <w:tcPr>
            <w:tcW w:w="5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the 2020 Incentive Plan</w:t>
            </w:r>
          </w:p>
        </w:tc>
        <w:tc>
          <w:tcPr>
            <w:tcW w:w="320" w:type="dxa"/>
            <w:vAlign w:val="bottom"/>
            <w:tcBorders>
              <w:top w:val="single" w:sz="8" w:color="0000EE"/>
            </w:tcBorders>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r>
      <w:tr>
        <w:trPr>
          <w:trHeight w:val="264"/>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Subsidiaries of the</w:t>
            </w:r>
          </w:p>
        </w:tc>
        <w:tc>
          <w:tcPr>
            <w:tcW w:w="1340" w:type="dxa"/>
            <w:vAlign w:val="bottom"/>
            <w:gridSpan w:val="17"/>
          </w:tcPr>
          <w:p>
            <w:pPr>
              <w:spacing w:after="0"/>
              <w:rPr>
                <w:sz w:val="22"/>
                <w:szCs w:val="22"/>
                <w:color w:val="auto"/>
              </w:rPr>
            </w:pP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Registrant</w:t>
            </w:r>
          </w:p>
        </w:tc>
        <w:tc>
          <w:tcPr>
            <w:tcW w:w="1940" w:type="dxa"/>
            <w:vAlign w:val="bottom"/>
            <w:gridSpan w:val="20"/>
          </w:tcPr>
          <w:p>
            <w:pPr>
              <w:spacing w:after="0"/>
              <w:rPr>
                <w:sz w:val="17"/>
                <w:szCs w:val="17"/>
                <w:color w:val="auto"/>
              </w:rPr>
            </w:pPr>
          </w:p>
        </w:tc>
        <w:tc>
          <w:tcPr>
            <w:tcW w:w="5220" w:type="dxa"/>
            <w:vAlign w:val="bottom"/>
          </w:tcPr>
          <w:p>
            <w:pPr>
              <w:spacing w:after="0"/>
              <w:rPr>
                <w:sz w:val="17"/>
                <w:szCs w:val="17"/>
                <w:color w:val="auto"/>
              </w:rPr>
            </w:pPr>
          </w:p>
        </w:tc>
      </w:tr>
      <w:tr>
        <w:trPr>
          <w:trHeight w:val="26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Ernst &amp; Young</w:t>
            </w:r>
          </w:p>
        </w:tc>
        <w:tc>
          <w:tcPr>
            <w:tcW w:w="5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LLP</w:t>
            </w:r>
          </w:p>
        </w:tc>
        <w:tc>
          <w:tcPr>
            <w:tcW w:w="780" w:type="dxa"/>
            <w:vAlign w:val="bottom"/>
            <w:gridSpan w:val="5"/>
          </w:tcPr>
          <w:p>
            <w:pPr>
              <w:spacing w:after="0"/>
              <w:rPr>
                <w:sz w:val="17"/>
                <w:szCs w:val="17"/>
                <w:color w:val="auto"/>
              </w:rPr>
            </w:pPr>
          </w:p>
        </w:tc>
        <w:tc>
          <w:tcPr>
            <w:tcW w:w="5220" w:type="dxa"/>
            <w:vAlign w:val="bottom"/>
          </w:tcPr>
          <w:p>
            <w:pPr>
              <w:spacing w:after="0"/>
              <w:rPr>
                <w:sz w:val="17"/>
                <w:szCs w:val="17"/>
                <w:color w:val="auto"/>
              </w:rPr>
            </w:pPr>
          </w:p>
        </w:tc>
      </w:tr>
      <w:tr>
        <w:trPr>
          <w:trHeight w:val="57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2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143</w:t>
            </w:r>
          </w:p>
        </w:tc>
      </w:tr>
      <w:tr>
        <w:trPr>
          <w:trHeight w:val="561"/>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9" w:right="1440" w:bottom="1440" w:gutter="0" w:footer="0" w:header="0"/>
        </w:sectPr>
      </w:pPr>
    </w:p>
    <w:bookmarkStart w:id="145" w:name="page146"/>
    <w:bookmarkEnd w:id="14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4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52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9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w:t>
            </w:r>
          </w:p>
        </w:tc>
        <w:tc>
          <w:tcPr>
            <w:tcW w:w="2600" w:type="dxa"/>
            <w:vAlign w:val="bottom"/>
            <w:gridSpan w:val="6"/>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Pr>
          <w:p>
            <w:pPr>
              <w:spacing w:after="0"/>
              <w:rPr>
                <w:sz w:val="17"/>
                <w:szCs w:val="17"/>
                <w:color w:val="auto"/>
              </w:rPr>
            </w:pPr>
          </w:p>
        </w:tc>
        <w:tc>
          <w:tcPr>
            <w:tcW w:w="1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w:t>
            </w:r>
          </w:p>
        </w:tc>
        <w:tc>
          <w:tcPr>
            <w:tcW w:w="250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Rule</w:t>
            </w:r>
          </w:p>
        </w:tc>
        <w:tc>
          <w:tcPr>
            <w:tcW w:w="25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of the Exchange</w:t>
            </w:r>
          </w:p>
        </w:tc>
        <w:tc>
          <w:tcPr>
            <w:tcW w:w="2520" w:type="dxa"/>
            <w:vAlign w:val="bottom"/>
            <w:gridSpan w:val="3"/>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Act, as adopted pursuant to</w:t>
            </w:r>
          </w:p>
        </w:tc>
        <w:tc>
          <w:tcPr>
            <w:tcW w:w="2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w:t>
            </w:r>
          </w:p>
        </w:tc>
        <w:tc>
          <w:tcPr>
            <w:tcW w:w="25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25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9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w:t>
            </w:r>
          </w:p>
        </w:tc>
        <w:tc>
          <w:tcPr>
            <w:tcW w:w="2600" w:type="dxa"/>
            <w:vAlign w:val="bottom"/>
            <w:gridSpan w:val="6"/>
          </w:tcPr>
          <w:p>
            <w:pPr>
              <w:spacing w:after="0"/>
              <w:rPr>
                <w:sz w:val="22"/>
                <w:szCs w:val="22"/>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 pursuant</w:t>
            </w:r>
          </w:p>
        </w:tc>
        <w:tc>
          <w:tcPr>
            <w:tcW w:w="2540" w:type="dxa"/>
            <w:vAlign w:val="bottom"/>
            <w:gridSpan w:val="4"/>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to Rule 13a-14(a) or Rule</w:t>
            </w:r>
          </w:p>
        </w:tc>
        <w:tc>
          <w:tcPr>
            <w:tcW w:w="25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of the Exchange</w:t>
            </w:r>
          </w:p>
        </w:tc>
        <w:tc>
          <w:tcPr>
            <w:tcW w:w="2520" w:type="dxa"/>
            <w:vAlign w:val="bottom"/>
            <w:gridSpan w:val="3"/>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Act, as adopted pursuant to</w:t>
            </w:r>
          </w:p>
        </w:tc>
        <w:tc>
          <w:tcPr>
            <w:tcW w:w="2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w:t>
            </w:r>
          </w:p>
        </w:tc>
        <w:tc>
          <w:tcPr>
            <w:tcW w:w="25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w:t>
            </w:r>
          </w:p>
        </w:tc>
        <w:tc>
          <w:tcPr>
            <w:tcW w:w="25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9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6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Certifications of Principal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0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w:t>
            </w:r>
          </w:p>
        </w:tc>
        <w:tc>
          <w:tcPr>
            <w:tcW w:w="280" w:type="dxa"/>
            <w:vAlign w:val="bottom"/>
            <w:tcBorders>
              <w:top w:val="single" w:sz="8" w:color="0000EE"/>
            </w:tcBorders>
            <w:gridSpan w:val="3"/>
          </w:tcPr>
          <w:p>
            <w:pPr>
              <w:spacing w:after="0"/>
              <w:rPr>
                <w:sz w:val="17"/>
                <w:szCs w:val="17"/>
                <w:color w:val="auto"/>
              </w:rPr>
            </w:pPr>
          </w:p>
        </w:tc>
        <w:tc>
          <w:tcPr>
            <w:tcW w:w="2580" w:type="dxa"/>
            <w:vAlign w:val="bottom"/>
            <w:gridSpan w:val="5"/>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Financial Officer</w:t>
            </w:r>
          </w:p>
        </w:tc>
        <w:tc>
          <w:tcPr>
            <w:tcW w:w="2520" w:type="dxa"/>
            <w:vAlign w:val="bottom"/>
            <w:gridSpan w:val="3"/>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pursuant to 18 U.S.C.</w:t>
            </w:r>
          </w:p>
        </w:tc>
        <w:tc>
          <w:tcPr>
            <w:tcW w:w="2880" w:type="dxa"/>
            <w:vAlign w:val="bottom"/>
            <w:gridSpan w:val="9"/>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8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w:t>
            </w:r>
          </w:p>
        </w:tc>
        <w:tc>
          <w:tcPr>
            <w:tcW w:w="2600" w:type="dxa"/>
            <w:vAlign w:val="bottom"/>
            <w:gridSpan w:val="6"/>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pursuant to Section 906 of</w:t>
            </w:r>
          </w:p>
        </w:tc>
        <w:tc>
          <w:tcPr>
            <w:tcW w:w="2540" w:type="dxa"/>
            <w:vAlign w:val="bottom"/>
            <w:gridSpan w:val="4"/>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w:t>
            </w:r>
          </w:p>
        </w:tc>
        <w:tc>
          <w:tcPr>
            <w:tcW w:w="25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2002</w:t>
            </w:r>
          </w:p>
        </w:tc>
        <w:tc>
          <w:tcPr>
            <w:tcW w:w="9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instance document does</w:t>
            </w:r>
          </w:p>
        </w:tc>
        <w:tc>
          <w:tcPr>
            <w:tcW w:w="25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not appear in the Interactive</w:t>
            </w:r>
          </w:p>
        </w:tc>
        <w:tc>
          <w:tcPr>
            <w:tcW w:w="25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Data File because its XBRL</w:t>
            </w:r>
          </w:p>
        </w:tc>
        <w:tc>
          <w:tcPr>
            <w:tcW w:w="25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tags are embedded within</w:t>
            </w:r>
          </w:p>
        </w:tc>
        <w:tc>
          <w:tcPr>
            <w:tcW w:w="25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2520" w:type="dxa"/>
            <w:vAlign w:val="bottom"/>
          </w:tcPr>
          <w:p>
            <w:pPr>
              <w:spacing w:after="0"/>
              <w:rPr>
                <w:sz w:val="20"/>
                <w:szCs w:val="20"/>
                <w:color w:val="auto"/>
              </w:rPr>
            </w:pP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Extension Schema</w:t>
            </w:r>
          </w:p>
        </w:tc>
        <w:tc>
          <w:tcPr>
            <w:tcW w:w="25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2520" w:type="dxa"/>
            <w:vAlign w:val="bottom"/>
          </w:tcPr>
          <w:p>
            <w:pPr>
              <w:spacing w:after="0"/>
              <w:rPr>
                <w:sz w:val="20"/>
                <w:szCs w:val="20"/>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Extension Calculation</w:t>
            </w:r>
          </w:p>
        </w:tc>
        <w:tc>
          <w:tcPr>
            <w:tcW w:w="25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20" w:type="dxa"/>
            <w:vAlign w:val="bottom"/>
          </w:tcPr>
          <w:p>
            <w:pPr>
              <w:spacing w:after="0"/>
              <w:rPr>
                <w:sz w:val="20"/>
                <w:szCs w:val="20"/>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Extension Definition</w:t>
            </w:r>
          </w:p>
        </w:tc>
        <w:tc>
          <w:tcPr>
            <w:tcW w:w="25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20" w:type="dxa"/>
            <w:vAlign w:val="bottom"/>
          </w:tcPr>
          <w:p>
            <w:pPr>
              <w:spacing w:after="0"/>
              <w:rPr>
                <w:sz w:val="20"/>
                <w:szCs w:val="20"/>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Extension Label Linkbase</w:t>
            </w:r>
          </w:p>
        </w:tc>
        <w:tc>
          <w:tcPr>
            <w:tcW w:w="25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2520" w:type="dxa"/>
            <w:vAlign w:val="bottom"/>
          </w:tcPr>
          <w:p>
            <w:pPr>
              <w:spacing w:after="0"/>
              <w:rPr>
                <w:sz w:val="20"/>
                <w:szCs w:val="20"/>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Extension Presentation</w:t>
            </w:r>
          </w:p>
        </w:tc>
        <w:tc>
          <w:tcPr>
            <w:tcW w:w="25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520" w:type="dxa"/>
            <w:vAlign w:val="bottom"/>
          </w:tcPr>
          <w:p>
            <w:pPr>
              <w:spacing w:after="0"/>
              <w:rPr>
                <w:sz w:val="20"/>
                <w:szCs w:val="20"/>
                <w:color w:val="auto"/>
              </w:rPr>
            </w:pPr>
          </w:p>
        </w:tc>
      </w:tr>
      <w:tr>
        <w:trPr>
          <w:trHeight w:val="26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 (formatted as inline</w:t>
            </w:r>
          </w:p>
        </w:tc>
        <w:tc>
          <w:tcPr>
            <w:tcW w:w="25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with applicable</w:t>
            </w:r>
          </w:p>
        </w:tc>
        <w:tc>
          <w:tcPr>
            <w:tcW w:w="25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taxonomy extension</w:t>
            </w:r>
          </w:p>
        </w:tc>
        <w:tc>
          <w:tcPr>
            <w:tcW w:w="25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information contained in</w:t>
            </w:r>
          </w:p>
        </w:tc>
        <w:tc>
          <w:tcPr>
            <w:tcW w:w="252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44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2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499"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557530</wp:posOffset>
            </wp:positionV>
            <wp:extent cx="14141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ind w:left="240" w:right="159" w:hanging="190"/>
        <w:spacing w:after="0" w:line="312" w:lineRule="auto"/>
        <w:tabs>
          <w:tab w:leader="none" w:pos="2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to the Agreement have been omitted pursuant to Item 601(a)(5) of Regulation S-K. A copy of any omitted schedule and/or exhibit will be furnished to the Securities and Exchange Commission upon request</w:t>
      </w:r>
    </w:p>
    <w:p>
      <w:pPr>
        <w:spacing w:after="0" w:line="342" w:lineRule="exact"/>
        <w:rPr>
          <w:sz w:val="20"/>
          <w:szCs w:val="20"/>
          <w:color w:val="auto"/>
        </w:rPr>
      </w:pPr>
    </w:p>
    <w:p>
      <w:pPr>
        <w:ind w:left="240" w:right="299" w:hanging="190"/>
        <w:spacing w:after="0" w:line="282" w:lineRule="auto"/>
        <w:tabs>
          <w:tab w:leader="none" w:pos="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ind w:left="240" w:right="559" w:hanging="18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Certain portions of the exhibit have been omitted pursuant to Regulation S-K Item 601(b) because it is both (i)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 to investors and (ii) likely to cause competitive harm to the Company if publicly disclosed.</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240" w:right="339" w:hanging="190"/>
        <w:spacing w:after="0" w:line="261" w:lineRule="auto"/>
        <w:tabs>
          <w:tab w:leader="none" w:pos="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62" w:lineRule="exact"/>
        <w:rPr>
          <w:sz w:val="20"/>
          <w:szCs w:val="20"/>
          <w:color w:val="auto"/>
        </w:rPr>
      </w:pPr>
    </w:p>
    <w:p>
      <w:pPr>
        <w:jc w:val="center"/>
        <w:ind w:right="6539"/>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33"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5240" w:val="left"/>
          <w:tab w:leader="none" w:pos="680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34290</wp:posOffset>
            </wp:positionV>
            <wp:extent cx="13544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i w:val="1"/>
          <w:iCs w:val="1"/>
          <w:color w:val="auto"/>
        </w:rPr>
        <w:t>President, Chief Executive</w:t>
      </w:r>
    </w:p>
    <w:p>
      <w:pPr>
        <w:spacing w:after="0" w:line="3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i w:val="1"/>
          <w:iCs w:val="1"/>
          <w:color w:val="auto"/>
        </w:rPr>
        <w:t>Officer and Director</w:t>
      </w:r>
    </w:p>
    <w:p>
      <w:pPr>
        <w:spacing w:after="0" w:line="200" w:lineRule="exact"/>
        <w:rPr>
          <w:sz w:val="20"/>
          <w:szCs w:val="20"/>
          <w:color w:val="auto"/>
        </w:rPr>
      </w:pPr>
    </w:p>
    <w:p>
      <w:pPr>
        <w:spacing w:after="0" w:line="27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Kathryn Haviland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Kathryn Haviland</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Michael Landsittel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Michael Landsittel</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Ariel Hurley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W. Albers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Jeffrey W. Albers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Daniella Beckman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Lonnel Coats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Habib Dable</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Habib Dable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Goldberg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Lydon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Seely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Tsai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John Tsai,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4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Blueprint Medicines Corporation</w:t>
            </w:r>
          </w:p>
        </w:tc>
        <w:tc>
          <w:tcPr>
            <w:tcW w:w="1520" w:type="dxa"/>
            <w:vAlign w:val="bottom"/>
          </w:tcPr>
          <w:p>
            <w:pPr>
              <w:spacing w:after="0"/>
              <w:rPr>
                <w:sz w:val="20"/>
                <w:szCs w:val="20"/>
                <w:color w:val="auto"/>
              </w:rPr>
            </w:pPr>
          </w:p>
        </w:tc>
      </w:tr>
      <w:tr>
        <w:trPr>
          <w:trHeight w:val="459"/>
        </w:trPr>
        <w:tc>
          <w:tcPr>
            <w:tcW w:w="2080" w:type="dxa"/>
            <w:vAlign w:val="bottom"/>
          </w:tcPr>
          <w:p>
            <w:pPr>
              <w:spacing w:after="0"/>
              <w:rPr>
                <w:sz w:val="24"/>
                <w:szCs w:val="24"/>
                <w:color w:val="auto"/>
              </w:rPr>
            </w:pPr>
          </w:p>
        </w:tc>
        <w:tc>
          <w:tcPr>
            <w:tcW w:w="53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20" w:type="dxa"/>
            <w:vAlign w:val="bottom"/>
          </w:tcPr>
          <w:p>
            <w:pPr>
              <w:spacing w:after="0"/>
              <w:rPr>
                <w:sz w:val="24"/>
                <w:szCs w:val="24"/>
                <w:color w:val="auto"/>
              </w:rPr>
            </w:pPr>
          </w:p>
        </w:tc>
      </w:tr>
      <w:tr>
        <w:trPr>
          <w:trHeight w:val="405"/>
        </w:trPr>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3160" w:type="dxa"/>
            <w:vAlign w:val="bottom"/>
            <w:gridSpan w:val="2"/>
          </w:tcPr>
          <w:p>
            <w:pPr>
              <w:spacing w:after="0"/>
              <w:rPr>
                <w:sz w:val="24"/>
                <w:szCs w:val="24"/>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2000" w:type="dxa"/>
            <w:vAlign w:val="bottom"/>
          </w:tcPr>
          <w:p>
            <w:pPr>
              <w:spacing w:after="0"/>
              <w:rPr>
                <w:sz w:val="17"/>
                <w:szCs w:val="17"/>
                <w:color w:val="auto"/>
              </w:rPr>
            </w:pP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840" w:type="dxa"/>
            <w:vAlign w:val="bottom"/>
            <w:gridSpan w:val="3"/>
          </w:tcPr>
          <w:p>
            <w:pPr>
              <w:spacing w:after="0"/>
              <w:rPr>
                <w:sz w:val="17"/>
                <w:szCs w:val="17"/>
                <w:color w:val="auto"/>
              </w:rPr>
            </w:pP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7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520" w:type="dxa"/>
            <w:vAlign w:val="bottom"/>
          </w:tcPr>
          <w:p>
            <w:pPr>
              <w:ind w:left="126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Blueprint Medicines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Blueprint Medicines Corporation as of December 31, 2022 and 2021, the related consolidated statements of operations and comprehensive income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7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16, 2023 expressed an unqualified opinion thereon.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w:t>
      </w:r>
    </w:p>
    <w:p>
      <w:pPr>
        <w:spacing w:after="0" w:line="227" w:lineRule="exact"/>
        <w:rPr>
          <w:sz w:val="20"/>
          <w:szCs w:val="20"/>
          <w:color w:val="auto"/>
        </w:rPr>
      </w:pPr>
    </w:p>
    <w:p>
      <w:pPr>
        <w:ind w:left="1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discussed in Note 2 to the consolidated financial statements, the Company accrues costs for</w:t>
      </w:r>
    </w:p>
    <w:p>
      <w:pPr>
        <w:spacing w:after="0" w:line="29" w:lineRule="exact"/>
        <w:rPr>
          <w:sz w:val="20"/>
          <w:szCs w:val="20"/>
          <w:color w:val="auto"/>
        </w:rPr>
      </w:pPr>
    </w:p>
    <w:p>
      <w:pPr>
        <w:ind w:left="1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clinical trial activities based upon estimates of the services received and related expenses incurred</w:t>
      </w:r>
    </w:p>
    <w:p>
      <w:pPr>
        <w:spacing w:after="0" w:line="9" w:lineRule="exact"/>
        <w:rPr>
          <w:sz w:val="20"/>
          <w:szCs w:val="20"/>
          <w:color w:val="auto"/>
        </w:rPr>
      </w:pPr>
    </w:p>
    <w:p>
      <w:pPr>
        <w:ind w:left="1780" w:right="179"/>
        <w:spacing w:after="0" w:line="260" w:lineRule="auto"/>
        <w:rPr>
          <w:sz w:val="20"/>
          <w:szCs w:val="20"/>
          <w:color w:val="auto"/>
        </w:rPr>
      </w:pPr>
      <w:r>
        <w:rPr>
          <w:rFonts w:ascii="Times New Roman" w:cs="Times New Roman" w:eastAsia="Times New Roman" w:hAnsi="Times New Roman"/>
          <w:sz w:val="18"/>
          <w:szCs w:val="18"/>
          <w:color w:val="auto"/>
        </w:rPr>
        <w:t>through the balance sheet date that have yet to be invoiced by the contract research organizations or other clinical trial vendors that perform the activities.</w:t>
      </w:r>
    </w:p>
    <w:p>
      <w:pPr>
        <w:spacing w:after="0" w:line="168" w:lineRule="exact"/>
        <w:rPr>
          <w:sz w:val="20"/>
          <w:szCs w:val="20"/>
          <w:color w:val="auto"/>
        </w:rPr>
      </w:pPr>
    </w:p>
    <w:p>
      <w:pPr>
        <w:ind w:left="1780" w:right="239"/>
        <w:spacing w:after="0" w:line="258" w:lineRule="auto"/>
        <w:rPr>
          <w:sz w:val="20"/>
          <w:szCs w:val="20"/>
          <w:color w:val="auto"/>
        </w:rPr>
      </w:pPr>
      <w:r>
        <w:rPr>
          <w:rFonts w:ascii="Times New Roman" w:cs="Times New Roman" w:eastAsia="Times New Roman" w:hAnsi="Times New Roman"/>
          <w:sz w:val="18"/>
          <w:szCs w:val="18"/>
          <w:color w:val="auto"/>
        </w:rPr>
        <w:t>Auditing the Company’s accruals for clinical trials is challenging due to the fact that information necessary to estimate the accruals is accumulated from multiple sources. In addition, in certain circumstances, the determination of the nature and level of services that have been received during the reporting period requires judgment because the timing and pattern of vendor invoicing does not correspond to the level of services provided and there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7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26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be delays in invoicing from clinical study sites and other vendors.</w:t>
            </w:r>
          </w:p>
        </w:tc>
        <w:tc>
          <w:tcPr>
            <w:tcW w:w="0" w:type="dxa"/>
            <w:vAlign w:val="bottom"/>
          </w:tcPr>
          <w:p>
            <w:pPr>
              <w:spacing w:after="0"/>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internal controls that addressed the identified risks related to the Company’s process for recording</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0" w:type="dxa"/>
            <w:vAlign w:val="bottom"/>
          </w:tcPr>
          <w:p>
            <w:pPr>
              <w:spacing w:after="0"/>
              <w:rPr>
                <w:sz w:val="1"/>
                <w:szCs w:val="1"/>
                <w:color w:val="auto"/>
              </w:rPr>
            </w:pPr>
          </w:p>
        </w:tc>
      </w:tr>
      <w:tr>
        <w:trPr>
          <w:trHeight w:val="23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To evaluate the accrual for clinical expenses, our audit procedures included, among others,</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testing the completeness and accuracy of the underlying data used in the estimates and</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5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evaluating the significant assumptions including, but not limited to, expected patient enrollment,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per patient, site activation and estimated project duration, that are used by management to</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estimate the recorded accruals. To assess the reasonableness of the significant assumptions, we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corroborated the progress of clinical trials with the Company’s clinical team and obtained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information directly from third parties related to active patient sites and currently enrolled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patients. We also tested subsequent invoicing received from such third parties and inspected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contracts with third parties and any pending change orders to assess the impact to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accrual through the balance sheet date and compared that to the Company’s estimates.</w:t>
            </w:r>
          </w:p>
        </w:tc>
        <w:tc>
          <w:tcPr>
            <w:tcW w:w="0" w:type="dxa"/>
            <w:vAlign w:val="bottom"/>
          </w:tcPr>
          <w:p>
            <w:pPr>
              <w:spacing w:after="0"/>
              <w:rPr>
                <w:sz w:val="1"/>
                <w:szCs w:val="1"/>
                <w:color w:val="auto"/>
              </w:rPr>
            </w:pPr>
          </w:p>
        </w:tc>
      </w:tr>
      <w:tr>
        <w:trPr>
          <w:trHeight w:val="418"/>
        </w:trPr>
        <w:tc>
          <w:tcPr>
            <w:tcW w:w="126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IDRx Inc. License and Stock Purchase Agreement</w:t>
            </w:r>
          </w:p>
        </w:tc>
        <w:tc>
          <w:tcPr>
            <w:tcW w:w="0" w:type="dxa"/>
            <w:vAlign w:val="bottom"/>
          </w:tcPr>
          <w:p>
            <w:pPr>
              <w:spacing w:after="0"/>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Description of</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discussed in Note 12 to the consolidated financial statements, the Company entered into</w:t>
            </w:r>
          </w:p>
        </w:tc>
        <w:tc>
          <w:tcPr>
            <w:tcW w:w="0" w:type="dxa"/>
            <w:vAlign w:val="bottom"/>
          </w:tcPr>
          <w:p>
            <w:pPr>
              <w:spacing w:after="0"/>
              <w:rPr>
                <w:sz w:val="1"/>
                <w:szCs w:val="1"/>
                <w:color w:val="auto"/>
              </w:rPr>
            </w:pPr>
          </w:p>
        </w:tc>
      </w:tr>
      <w:tr>
        <w:trPr>
          <w:trHeight w:val="218"/>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the Matter</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License and Stock Purchase Agreements with IDRx Inc. (“IDRx”), a related party, on August 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2022. The license agreement was for an exclusive royalty-bearing license to exploit Blueprint’s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internally discovered compounds for KIT exon 13 inhibitor in exchange for non-monetary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consideration consisting of Series A-1 preferred stock.</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Company determined that the agreement contained one distinct performance obligation:</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5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license and initial know-how transfer. The Company accounts for the license and related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activities pursuant to ASC 606, Revenue from Contracts with Customers, and the Series A-</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preferred stock consideration under ASC 321, Investments-Equity Securities.</w:t>
            </w:r>
          </w:p>
        </w:tc>
        <w:tc>
          <w:tcPr>
            <w:tcW w:w="0" w:type="dxa"/>
            <w:vAlign w:val="bottom"/>
          </w:tcPr>
          <w:p>
            <w:pPr>
              <w:spacing w:after="0"/>
              <w:rPr>
                <w:sz w:val="1"/>
                <w:szCs w:val="1"/>
                <w:color w:val="auto"/>
              </w:rPr>
            </w:pPr>
          </w:p>
        </w:tc>
      </w:tr>
      <w:tr>
        <w:trPr>
          <w:trHeight w:val="414"/>
        </w:trPr>
        <w:tc>
          <w:tcPr>
            <w:tcW w:w="1260" w:type="dxa"/>
            <w:vAlign w:val="bottom"/>
          </w:tcPr>
          <w:p>
            <w:pPr>
              <w:spacing w:after="0"/>
              <w:rPr>
                <w:sz w:val="24"/>
                <w:szCs w:val="24"/>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 was a high degree of auditor judgment involved in assessing the accounting for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estimation of Series A-1 preferred stock nonmonetary consideration received. Specifically, it was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challenging to assess the interpretation and application of the accounting literature to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transaction and also required professionals with specialized skills and knowledge to assess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5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methodology and key inputs used by the Company to estimate the fair value of the Series A-1</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preferred stock.</w:t>
            </w:r>
          </w:p>
        </w:tc>
        <w:tc>
          <w:tcPr>
            <w:tcW w:w="0" w:type="dxa"/>
            <w:vAlign w:val="bottom"/>
          </w:tcPr>
          <w:p>
            <w:pPr>
              <w:spacing w:after="0"/>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internal controls that addressed the identified risks related to the Company’s process for the</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accounting for and valuation of its investment in IDRx.</w:t>
            </w:r>
          </w:p>
        </w:tc>
        <w:tc>
          <w:tcPr>
            <w:tcW w:w="0" w:type="dxa"/>
            <w:vAlign w:val="bottom"/>
          </w:tcPr>
          <w:p>
            <w:pPr>
              <w:spacing w:after="0"/>
              <w:rPr>
                <w:sz w:val="1"/>
                <w:szCs w:val="1"/>
                <w:color w:val="auto"/>
              </w:rPr>
            </w:pPr>
          </w:p>
        </w:tc>
      </w:tr>
      <w:tr>
        <w:trPr>
          <w:trHeight w:val="23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Our testing of the company's accounting for the Series A-1 preferred stock included, among</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others, reading the terms of the License and Stock Purchase Agreements, confirming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520" w:type="dxa"/>
            <w:vAlign w:val="bottom"/>
          </w:tcPr>
          <w:p>
            <w:pPr>
              <w:ind w:left="460"/>
              <w:spacing w:after="0" w:line="202" w:lineRule="exact"/>
              <w:rPr>
                <w:sz w:val="20"/>
                <w:szCs w:val="20"/>
                <w:color w:val="auto"/>
              </w:rPr>
            </w:pPr>
            <w:r>
              <w:rPr>
                <w:rFonts w:ascii="Times New Roman" w:cs="Times New Roman" w:eastAsia="Times New Roman" w:hAnsi="Times New Roman"/>
                <w:sz w:val="18"/>
                <w:szCs w:val="18"/>
                <w:color w:val="auto"/>
              </w:rPr>
              <w:t>investment and terms directly with the counterparty and evaluating the Company’s application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the accounting literature regarding accounting for its investment in the Series A-1 preferred stock.</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addition, we involved valuation professionals with specialized skills and knowledge, who</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assisted in performing an independent assessment of the valuation methodology applied and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concluded fair value of the Series A-1 preferred stock recorded by the Company.</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16, 2023</w:t>
      </w:r>
    </w:p>
    <w:p>
      <w:pPr>
        <w:sectPr>
          <w:pgSz w:w="11900" w:h="16838" w:orient="portrait"/>
          <w:cols w:equalWidth="0" w:num="1">
            <w:col w:w="9019"/>
          </w:cols>
          <w:pgMar w:left="1440" w:top="499"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4"/>
        </w:trPr>
        <w:tc>
          <w:tcPr>
            <w:tcW w:w="6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83"/>
        </w:trPr>
        <w:tc>
          <w:tcPr>
            <w:tcW w:w="6620" w:type="dxa"/>
            <w:vAlign w:val="bottom"/>
            <w:shd w:val="clear" w:color="auto" w:fill="CCEEFF"/>
          </w:tcPr>
          <w:p>
            <w:pPr>
              <w:ind w:left="304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119,709</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209,948</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825,283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267,166</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25,155</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11,875</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21,817</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18,064</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1,046,651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554,025</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133,480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557,529</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30,700</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90,162</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14,638</w:t>
            </w:r>
          </w:p>
        </w:tc>
        <w:tc>
          <w:tcPr>
            <w:tcW w:w="100" w:type="dxa"/>
            <w:vAlign w:val="bottom"/>
            <w:shd w:val="clear" w:color="auto" w:fill="CCEEFF"/>
          </w:tcPr>
          <w:p>
            <w:pPr>
              <w:spacing w:after="0"/>
              <w:rPr>
                <w:sz w:val="16"/>
                <w:szCs w:val="16"/>
                <w:color w:val="auto"/>
              </w:rPr>
            </w:pPr>
          </w:p>
        </w:tc>
      </w:tr>
      <w:tr>
        <w:trPr>
          <w:trHeight w:val="223"/>
        </w:trPr>
        <w:tc>
          <w:tcPr>
            <w:tcW w:w="66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1,349,902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1,252,225</w:t>
            </w:r>
          </w:p>
        </w:tc>
        <w:tc>
          <w:tcPr>
            <w:tcW w:w="100" w:type="dxa"/>
            <w:vAlign w:val="bottom"/>
            <w:tcBorders>
              <w:bottom w:val="single" w:sz="8" w:color="CCEEFF"/>
            </w:tcBorders>
          </w:tcPr>
          <w:p>
            <w:pPr>
              <w:spacing w:after="0"/>
              <w:rPr>
                <w:sz w:val="19"/>
                <w:szCs w:val="19"/>
                <w:color w:val="auto"/>
              </w:rPr>
            </w:pPr>
          </w:p>
        </w:tc>
      </w:tr>
      <w:tr>
        <w:trPr>
          <w:trHeight w:val="170"/>
        </w:trPr>
        <w:tc>
          <w:tcPr>
            <w:tcW w:w="6620" w:type="dxa"/>
            <w:vAlign w:val="bottom"/>
            <w:shd w:val="clear" w:color="auto" w:fill="CCEEFF"/>
          </w:tcPr>
          <w:p>
            <w:pPr>
              <w:ind w:left="2040"/>
              <w:spacing w:after="0" w:line="17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121,829</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liabilities related to the sale of future royalties and revenues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66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183,234</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149,765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92,789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103,315</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25,066</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Liabilities related to the sale of future royalties and revenues, net of current portion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413,045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10,301</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835,225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281,490</w:t>
            </w:r>
          </w:p>
        </w:tc>
        <w:tc>
          <w:tcPr>
            <w:tcW w:w="100" w:type="dxa"/>
            <w:vAlign w:val="bottom"/>
            <w:shd w:val="clear" w:color="auto" w:fill="CCEEFF"/>
          </w:tcPr>
          <w:p>
            <w:pPr>
              <w:spacing w:after="0"/>
              <w:rPr>
                <w:sz w:val="15"/>
                <w:szCs w:val="15"/>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66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Common stock, $0.001 par value; 120,000,000 shares authorized; 59,958,919 and 59,141,086 shares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issued and outstanding at December 31, 2022 and December 31, 2021,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2,358,018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2,250,250</w:t>
            </w:r>
          </w:p>
        </w:tc>
        <w:tc>
          <w:tcPr>
            <w:tcW w:w="100" w:type="dxa"/>
            <w:vAlign w:val="bottom"/>
          </w:tcPr>
          <w:p>
            <w:pPr>
              <w:spacing w:after="0"/>
              <w:rPr>
                <w:sz w:val="16"/>
                <w:szCs w:val="16"/>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100" w:type="dxa"/>
            <w:vAlign w:val="bottom"/>
            <w:shd w:val="clear" w:color="auto" w:fill="CCEEFF"/>
          </w:tcPr>
          <w:p>
            <w:pPr>
              <w:spacing w:after="0"/>
              <w:rPr>
                <w:sz w:val="16"/>
                <w:szCs w:val="16"/>
                <w:color w:val="auto"/>
              </w:rPr>
            </w:pPr>
          </w:p>
        </w:tc>
      </w:tr>
      <w:tr>
        <w:trPr>
          <w:trHeight w:val="18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(1,832,958)</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(1,275,441)</w:t>
            </w:r>
          </w:p>
        </w:tc>
        <w:tc>
          <w:tcPr>
            <w:tcW w:w="100" w:type="dxa"/>
            <w:vAlign w:val="bottom"/>
            <w:tcBorders>
              <w:bottom w:val="single" w:sz="8" w:color="CCEEFF"/>
            </w:tcBorders>
          </w:tcPr>
          <w:p>
            <w:pPr>
              <w:spacing w:after="0"/>
              <w:rPr>
                <w:sz w:val="16"/>
                <w:szCs w:val="16"/>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514,677</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970,735</w:t>
            </w:r>
          </w:p>
        </w:tc>
        <w:tc>
          <w:tcPr>
            <w:tcW w:w="100" w:type="dxa"/>
            <w:vAlign w:val="bottom"/>
            <w:shd w:val="clear" w:color="auto" w:fill="CCEEFF"/>
          </w:tcPr>
          <w:p>
            <w:pPr>
              <w:spacing w:after="0"/>
              <w:rPr>
                <w:sz w:val="15"/>
                <w:szCs w:val="15"/>
                <w:color w:val="auto"/>
              </w:rPr>
            </w:pPr>
          </w:p>
        </w:tc>
      </w:tr>
      <w:tr>
        <w:trPr>
          <w:trHeight w:val="183"/>
        </w:trPr>
        <w:tc>
          <w:tcPr>
            <w:tcW w:w="66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1,349,902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1,252,225</w:t>
            </w:r>
          </w:p>
        </w:tc>
        <w:tc>
          <w:tcPr>
            <w:tcW w:w="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6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771,601</w:t>
            </w: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revenue - related party</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793,735</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326,860</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237,374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157,743</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485,028</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(16,767)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314,940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(557,517)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(644,085)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313,882</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pension benefit obligations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(643,004)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311,202</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 (loss) per</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58,518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54,534</w:t>
            </w:r>
          </w:p>
        </w:tc>
        <w:tc>
          <w:tcPr>
            <w:tcW w:w="0" w:type="dxa"/>
            <w:vAlign w:val="bottom"/>
          </w:tcPr>
          <w:p>
            <w:pPr>
              <w:spacing w:after="0"/>
              <w:rPr>
                <w:sz w:val="1"/>
                <w:szCs w:val="1"/>
                <w:color w:val="auto"/>
              </w:rPr>
            </w:pPr>
          </w:p>
        </w:tc>
      </w:tr>
      <w:tr>
        <w:trPr>
          <w:trHeight w:val="261"/>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 basic</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60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number of common shares used in net income (loss) per</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56,168</w:t>
            </w: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diluted</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4"/>
        </w:trPr>
        <w:tc>
          <w:tcPr>
            <w:tcW w:w="3880" w:type="dxa"/>
            <w:vAlign w:val="bottom"/>
          </w:tcPr>
          <w:p>
            <w:pPr>
              <w:spacing w:after="0"/>
              <w:rPr>
                <w:sz w:val="16"/>
                <w:szCs w:val="16"/>
                <w:color w:val="auto"/>
              </w:rPr>
            </w:pPr>
          </w:p>
        </w:tc>
        <w:tc>
          <w:tcPr>
            <w:tcW w:w="11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75"/>
        </w:trPr>
        <w:tc>
          <w:tcPr>
            <w:tcW w:w="3880" w:type="dxa"/>
            <w:vAlign w:val="bottom"/>
          </w:tcPr>
          <w:p>
            <w:pPr>
              <w:spacing w:after="0"/>
              <w:rPr>
                <w:sz w:val="15"/>
                <w:szCs w:val="15"/>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83"/>
        </w:trPr>
        <w:tc>
          <w:tcPr>
            <w:tcW w:w="38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2019</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49,272,223</w:t>
            </w: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49</w:t>
            </w:r>
          </w:p>
        </w:tc>
        <w:tc>
          <w:tcPr>
            <w:tcW w:w="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$ 1,412,082</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(2,534)</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(945,238)</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464,359</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952,205</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33,283</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38,516</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76,602</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Follow on offering, net of issuance costs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6,495,070</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503,176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503,182</w:t>
            </w:r>
          </w:p>
        </w:tc>
        <w:tc>
          <w:tcPr>
            <w:tcW w:w="40" w:type="dxa"/>
            <w:vAlign w:val="bottom"/>
            <w:shd w:val="clear" w:color="auto" w:fill="CCEEFF"/>
          </w:tcPr>
          <w:p>
            <w:pPr>
              <w:spacing w:after="0"/>
              <w:rPr>
                <w:sz w:val="16"/>
                <w:szCs w:val="16"/>
                <w:color w:val="auto"/>
              </w:rPr>
            </w:pPr>
          </w:p>
        </w:tc>
      </w:tr>
      <w:tr>
        <w:trPr>
          <w:trHeight w:val="175"/>
        </w:trPr>
        <w:tc>
          <w:tcPr>
            <w:tcW w:w="38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related to collaboration</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agreement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1,035,519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79,306</w:t>
            </w:r>
          </w:p>
        </w:tc>
        <w:tc>
          <w:tcPr>
            <w:tcW w:w="40" w:type="dxa"/>
            <w:vAlign w:val="bottom"/>
          </w:tcPr>
          <w:p>
            <w:pPr>
              <w:spacing w:after="0"/>
              <w:rPr>
                <w:sz w:val="18"/>
                <w:szCs w:val="18"/>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(2,680)</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(2,680)</w:t>
            </w: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313,882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313,882</w:t>
            </w:r>
          </w:p>
        </w:tc>
        <w:tc>
          <w:tcPr>
            <w:tcW w:w="40" w:type="dxa"/>
            <w:vAlign w:val="bottom"/>
          </w:tcPr>
          <w:p>
            <w:pPr>
              <w:spacing w:after="0"/>
              <w:rPr>
                <w:sz w:val="16"/>
                <w:szCs w:val="16"/>
                <w:color w:val="auto"/>
              </w:rPr>
            </w:pPr>
          </w:p>
        </w:tc>
      </w:tr>
      <w:tr>
        <w:trPr>
          <w:trHeight w:val="183"/>
        </w:trPr>
        <w:tc>
          <w:tcPr>
            <w:tcW w:w="38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2020</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57,793,533</w:t>
            </w: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58</w:t>
            </w:r>
          </w:p>
        </w:tc>
        <w:tc>
          <w:tcPr>
            <w:tcW w:w="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$ 2,106,600</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(5,214)</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(631,356)</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1,470,088</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1,304,386</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47,303</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43,167</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93,035</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(644,085)</w:t>
            </w:r>
          </w:p>
        </w:tc>
        <w:tc>
          <w:tcPr>
            <w:tcW w:w="1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(644,085)</w:t>
            </w:r>
          </w:p>
        </w:tc>
      </w:tr>
      <w:tr>
        <w:trPr>
          <w:trHeight w:val="183"/>
        </w:trPr>
        <w:tc>
          <w:tcPr>
            <w:tcW w:w="38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2021</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59,141,086</w:t>
            </w: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59</w:t>
            </w:r>
          </w:p>
        </w:tc>
        <w:tc>
          <w:tcPr>
            <w:tcW w:w="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$ 2,250,250</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(4,133)</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(1,275,441)</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970,735</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737,116</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80,717</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40" w:type="dxa"/>
            <w:vAlign w:val="bottom"/>
            <w:shd w:val="clear" w:color="auto" w:fill="CCEEFF"/>
          </w:tcPr>
          <w:p>
            <w:pPr>
              <w:spacing w:after="0"/>
              <w:rPr>
                <w:sz w:val="16"/>
                <w:szCs w:val="16"/>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99,634</w:t>
            </w:r>
          </w:p>
        </w:tc>
        <w:tc>
          <w:tcPr>
            <w:tcW w:w="40" w:type="dxa"/>
            <w:vAlign w:val="bottom"/>
          </w:tcPr>
          <w:p>
            <w:pPr>
              <w:spacing w:after="0"/>
              <w:rPr>
                <w:sz w:val="16"/>
                <w:szCs w:val="16"/>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(6,310)</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(6,310)</w:t>
            </w: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(557,517)</w:t>
            </w:r>
          </w:p>
        </w:tc>
        <w:tc>
          <w:tcPr>
            <w:tcW w:w="1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(557,517)</w:t>
            </w:r>
          </w:p>
        </w:tc>
      </w:tr>
      <w:tr>
        <w:trPr>
          <w:trHeight w:val="183"/>
        </w:trPr>
        <w:tc>
          <w:tcPr>
            <w:tcW w:w="388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2022</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59,958,919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60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$ 2,358,018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(10,443)</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(1,832,958)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514,677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4"/>
        </w:trPr>
        <w:tc>
          <w:tcPr>
            <w:tcW w:w="6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(557,517)</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(644,085)</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313,882</w:t>
            </w: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customer consideration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premiums and discounts on investments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16"/>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16"/>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0" w:type="dxa"/>
            <w:vAlign w:val="bottom"/>
          </w:tcPr>
          <w:p>
            <w:pPr>
              <w:spacing w:after="0"/>
              <w:rPr>
                <w:sz w:val="1"/>
                <w:szCs w:val="1"/>
                <w:color w:val="auto"/>
              </w:rPr>
            </w:pPr>
          </w:p>
        </w:tc>
      </w:tr>
      <w:tr>
        <w:trPr>
          <w:trHeight w:val="216"/>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209"/>
        </w:trPr>
        <w:tc>
          <w:tcPr>
            <w:tcW w:w="6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(298,653)</w:t>
            </w: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387,035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in-process research and development asset, net of cash acquired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(489,705)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(969,437)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538,347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(434,249)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the sale of future royalties and revenues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term loan facility</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common stock offerings, net of issuance costs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503,189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related to collaboration agreement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79,305</w:t>
            </w:r>
          </w:p>
        </w:tc>
        <w:tc>
          <w:tcPr>
            <w:tcW w:w="0" w:type="dxa"/>
            <w:vAlign w:val="bottom"/>
          </w:tcPr>
          <w:p>
            <w:pPr>
              <w:spacing w:after="0"/>
              <w:rPr>
                <w:sz w:val="1"/>
                <w:szCs w:val="1"/>
                <w:color w:val="auto"/>
              </w:rPr>
            </w:pPr>
          </w:p>
        </w:tc>
      </w:tr>
      <w:tr>
        <w:trPr>
          <w:trHeight w:val="209"/>
        </w:trPr>
        <w:tc>
          <w:tcPr>
            <w:tcW w:w="6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617,759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(90,008)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(473,797)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570,545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215,119</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689,804</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6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taxes, net</w:t>
            </w: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vMerge w:val="continue"/>
          </w:tcPr>
          <w:p>
            <w:pPr>
              <w:spacing w:after="0"/>
              <w:rPr>
                <w:sz w:val="17"/>
                <w:szCs w:val="17"/>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6,505</w:t>
            </w:r>
          </w:p>
        </w:tc>
        <w:tc>
          <w:tcPr>
            <w:tcW w:w="16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6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r>
      <w:tr>
        <w:trPr>
          <w:trHeight w:val="16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119,709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209,948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684,636</w:t>
            </w:r>
          </w:p>
        </w:tc>
        <w:tc>
          <w:tcPr>
            <w:tcW w:w="80" w:type="dxa"/>
            <w:vAlign w:val="bottom"/>
            <w:shd w:val="clear" w:color="auto" w:fill="CCEEFF"/>
          </w:tcPr>
          <w:p>
            <w:pPr>
              <w:spacing w:after="0"/>
              <w:rPr>
                <w:sz w:val="14"/>
                <w:szCs w:val="14"/>
                <w:color w:val="auto"/>
              </w:rPr>
            </w:pPr>
          </w:p>
        </w:tc>
      </w:tr>
      <w:tr>
        <w:trPr>
          <w:trHeight w:val="17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80" w:type="dxa"/>
            <w:vAlign w:val="bottom"/>
            <w:tcBorders>
              <w:bottom w:val="single" w:sz="8" w:color="CCEEFF"/>
            </w:tcBorders>
          </w:tcPr>
          <w:p>
            <w:pPr>
              <w:spacing w:after="0"/>
              <w:rPr>
                <w:sz w:val="15"/>
                <w:szCs w:val="15"/>
                <w:color w:val="auto"/>
              </w:rPr>
            </w:pPr>
          </w:p>
        </w:tc>
      </w:tr>
      <w:tr>
        <w:trPr>
          <w:trHeight w:val="16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consolidated statements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124,904</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215,119</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689,804</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1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precision therapy company focused on genomically defined cancers and blood disorders. The Company’s approach is to leverage its novel research engine to systematically and reproducibly identify drivers of diseases in genomically defined patient populations, and to craft highly selective and potent drug candidates that are intended to provide significant and durable clinical responses to patients.</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has two approved precision therapies and is globally advancing multiple programs for systemic mastocytosis (SM), lung cancer, breast cancer and other genomically defined cancers,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other companies transitioning to a commercial stage, including but not limited to: successful commercialization of its current and future drugs, either by itself or through collaboration with third parties; establishing safety and efficacy in clinical trials and obtaining regulatory approvals for its drug candidates; competition from other companies; compliance with comprehensive and ongoing regulatory requirements and legislative changes; and the need to obtain adequate additional financing to fund the development of its drug candidates. If the Company is unable to raise capital when needed or on attractive terms, it may be forced to delay, reduce, eliminate or out-license certain of its research and development programs or future commercialization efforts.</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cash, cash equivalents and marketable securities of $1,078.5 million. Based on the Company’s current operating plans, the Company anticipates that its existing cash, cash equivalents and marketable securities will be sufficient to enable it to fund its current operations for at least the next twelve months from the issuance of the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included herein have been prepared in accordance with accounting principles generally accepted in the U.S. (GAAP) as found in the Accounting Standards Codification (ASC) and Accounting Standards Update (ASU) of the Financial Accounting Standards Board (FASB) and the rules and regulations of the Securities and Exchange Commission (SEC).</w:t>
      </w:r>
    </w:p>
    <w:p>
      <w:pPr>
        <w:spacing w:after="0" w:line="180"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Blueprint Medicines (Italy) S.r.L. Lengo Therapeutics Inc (Lengo), which was acquired on December 30, 2021, was dissolved in June 2022. All intercompany transactions and balances have been eliminated.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related to the sale of future royalties and future revenues, equity investment, and income taxes. Actual results may differ from these estimates. The Russian invasion of Ukraine has not had a material impact on the Company’s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Topic 606, </w:t>
      </w:r>
      <w:r>
        <w:rPr>
          <w:rFonts w:ascii="Times New Roman" w:cs="Times New Roman" w:eastAsia="Times New Roman" w:hAnsi="Times New Roman"/>
          <w:sz w:val="18"/>
          <w:szCs w:val="18"/>
          <w:i w:val="1"/>
          <w:iCs w:val="1"/>
          <w:color w:val="auto"/>
        </w:rPr>
        <w:t>Revenue from Contracts</w:t>
      </w:r>
    </w:p>
    <w:p>
      <w:pPr>
        <w:spacing w:after="0" w:line="50"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 The Company recognizes revenue when its customer obtains control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generated product revenue from sales of </w:t>
      </w:r>
      <w:r>
        <w:rPr>
          <w:rFonts w:ascii="Times New Roman" w:cs="Times New Roman" w:eastAsia="Times New Roman" w:hAnsi="Times New Roman"/>
          <w:sz w:val="18"/>
          <w:szCs w:val="18"/>
          <w:color w:val="0A0A0A"/>
          <w:highlight w:val="white"/>
        </w:rPr>
        <w:t>AYVAKIT and GAVRETO</w:t>
      </w:r>
      <w:r>
        <w:rPr>
          <w:rFonts w:ascii="Times New Roman" w:cs="Times New Roman" w:eastAsia="Times New Roman" w:hAnsi="Times New Roman"/>
          <w:sz w:val="18"/>
          <w:szCs w:val="18"/>
          <w:color w:val="auto"/>
        </w:rPr>
        <w:t xml:space="preserve"> in the U.S and sales of AYVAKYT in the European Union to a limited number of specialty distributors and specialty pharmacy providers. These customers subsequently resell the products or dispense the products directly to patients. In addition, the Company entered into arrangements with payors that provide for government mandated rebates, discounts and allowances with respect to the utilization of </w:t>
      </w:r>
      <w:r>
        <w:rPr>
          <w:rFonts w:ascii="Times New Roman" w:cs="Times New Roman" w:eastAsia="Times New Roman" w:hAnsi="Times New Roman"/>
          <w:sz w:val="18"/>
          <w:szCs w:val="18"/>
          <w:color w:val="0A0A0A"/>
          <w:highlight w:val="white"/>
        </w:rPr>
        <w:t>its products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0" w:right="139" w:firstLine="648"/>
        <w:spacing w:after="0" w:line="251" w:lineRule="auto"/>
        <w:rPr>
          <w:sz w:val="20"/>
          <w:szCs w:val="20"/>
          <w:color w:val="auto"/>
        </w:rPr>
      </w:pPr>
      <w:r>
        <w:rPr>
          <w:rFonts w:ascii="Times New Roman" w:cs="Times New Roman" w:eastAsia="Times New Roman" w:hAnsi="Times New Roman"/>
          <w:sz w:val="18"/>
          <w:szCs w:val="18"/>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 appropriate amount for estimates of variable consideration based on factors such as the Company’s current contractual and statutory requirements, specific known market events and trends, industry data and forecasted customer buying and payment patterns, the percentage of product that are sold via these programs, and the product’s pricing.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for fees and discounts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 to qualified healthcare providers and government agencies at prices lower than the list prices charged to the customers who directly purchase the product from the Company. The customers charge the Company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87" w:lineRule="exact"/>
        <w:rPr>
          <w:sz w:val="20"/>
          <w:szCs w:val="20"/>
          <w:color w:val="auto"/>
        </w:rPr>
      </w:pPr>
    </w:p>
    <w:p>
      <w:pPr>
        <w:ind w:left="60" w:right="2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Government rebates: </w:t>
      </w:r>
      <w:r>
        <w:rPr>
          <w:rFonts w:ascii="Times New Roman" w:cs="Times New Roman" w:eastAsia="Times New Roman" w:hAnsi="Times New Roman"/>
          <w:sz w:val="17"/>
          <w:szCs w:val="17"/>
          <w:color w:val="auto"/>
        </w:rPr>
        <w:t>Government rebates consist of Medicare, Tricare and Medicaid rebates, which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using the expected value method, based upon a range of possible outcomes for the estimated payor mix. These reserves are recorded in the same period the related revenue is recognized, resulting in a reduction of product revenue.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For Medicare, the Company also estimates the number of patients in the prescription drug coverage gap for whom it will owe a rebate under the Medicare Part D program.</w:t>
      </w:r>
    </w:p>
    <w:p>
      <w:pPr>
        <w:spacing w:after="0" w:line="16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the customers with discounts that are explicitly stated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estimates the amount of its product sales that may be returned by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83"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deductions: </w:t>
      </w:r>
      <w:r>
        <w:rPr>
          <w:rFonts w:ascii="Times New Roman" w:cs="Times New Roman" w:eastAsia="Times New Roman" w:hAnsi="Times New Roman"/>
          <w:sz w:val="18"/>
          <w:szCs w:val="18"/>
          <w:color w:val="auto"/>
        </w:rPr>
        <w:t>Co-pay assistance relates to financial assistance provided to qualified patients, whereby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and license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For the co-commercialization and marketing activities of certain of the Company’s products and product candidates in a collaboration arrangement, where the Company is the principal on sales transactions with third parties, the Company recognizes revenues, cost of sales and operating expenses on a gross basis in their respective lines in its consolidated statements of operations and comprehensive income (loss). Where the Company is not the principal on sales transactions with third parties, the Company records its share of the revenues, cost of sales and operating expenses on a net basis as revenue (expenses) from the collaboration arrangement in its consolidated statements of operations and comprehensive income (loss).</w:t>
      </w:r>
    </w:p>
    <w:p>
      <w:pPr>
        <w:spacing w:after="0" w:line="174"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For elements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and 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94"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Exclusive Licenses. </w:t>
      </w:r>
      <w:r>
        <w:rPr>
          <w:rFonts w:ascii="Times New Roman" w:cs="Times New Roman" w:eastAsia="Times New Roman" w:hAnsi="Times New Roman"/>
          <w:sz w:val="18"/>
          <w:szCs w:val="18"/>
          <w:color w:val="auto"/>
        </w:rPr>
        <w:t>If the license to the Company’s intellectual property is determined to be distinct from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promises or performance obligations identified in the arrangement, the Company recognizes revenue from non-</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93"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The promises under the Company’s collaboration agreements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services to be performed by the Company on behalf of the partner. Payments or reimbursements resulting from the Company’s research and development efforts are recognized as revenue when the services are performed and presented on a gross basis because the Company is the principal for such efforts. Payments or reimbursements from the partner that are the result of a collaborative relationship with the partner, instead of a customer relationship, such as co-development activities, are recorded as a reduction to research and development expense.</w:t>
      </w:r>
    </w:p>
    <w:p>
      <w:pPr>
        <w:spacing w:after="0" w:line="18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If an arrangement is determined to contain customer options that allow the customer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9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or development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upon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sales and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revenue, net of current portion. If the Company transfer goods or services to a customer before the customer pays consideration or before payment is due, the Company records a contract asset as unbilled accounts receivable on the consolidated balance sheets.</w:t>
      </w:r>
    </w:p>
    <w:p>
      <w:pPr>
        <w:spacing w:after="0" w:line="174" w:lineRule="exact"/>
        <w:rPr>
          <w:sz w:val="20"/>
          <w:szCs w:val="20"/>
          <w:color w:val="auto"/>
        </w:rPr>
      </w:pPr>
    </w:p>
    <w:p>
      <w:pPr>
        <w:ind w:left="60" w:right="279"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complete discussion of accounting for collaboration and license revenues, see Note 12, </w:t>
      </w:r>
      <w:r>
        <w:rPr>
          <w:rFonts w:ascii="Times New Roman" w:cs="Times New Roman" w:eastAsia="Times New Roman" w:hAnsi="Times New Roman"/>
          <w:sz w:val="18"/>
          <w:szCs w:val="18"/>
          <w:i w:val="1"/>
          <w:iCs w:val="1"/>
          <w:color w:val="auto"/>
        </w:rPr>
        <w:t>Collaboration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Accounts receivable arise from product sales and amounts due from the Company’s collaboration partners. The amount from product sales represents amounts due from specialty distributors and specialty pharmacy providers in the U.S. and in the European Union. The Company monitors economic conditions and the financial performance and credit worthiness of its counterparties to identify facts or circumstances that may indicate that its receivables are at risk of collection. The Company provides reserves against accounts receivable for estimated losses that may result from a customer’s inability to pay based on the composition of its accounts receivable, considering past events, current economic conditions, and reasonable and supportable forecasts about the future economic conditions. The contractual life of our accounts receivable is generally short-term. Amounts determined to be uncollectible are charged or written-off against the reserve. For the years ended December 31, 2022, 2021 and 2020, the Company did not record any expected credit losses related to outstanding accounts receivable.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The Company classifies its inventory costs as long-term when it expects to utilize the inventory beyond its normal operating cycle and includes these costs in other assets in the consolidated balance sheets.</w:t>
      </w:r>
    </w:p>
    <w:p>
      <w:pPr>
        <w:spacing w:after="0" w:line="170"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income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40" w:lineRule="exact"/>
        <w:rPr>
          <w:sz w:val="20"/>
          <w:szCs w:val="20"/>
          <w:color w:val="auto"/>
        </w:rPr>
      </w:pPr>
    </w:p>
    <w:p>
      <w:pPr>
        <w:ind w:left="1380" w:right="119" w:hanging="331"/>
        <w:spacing w:after="0" w:line="266" w:lineRule="auto"/>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quoted prices (unadjusted) in active markets for identical assets or liabilities that the Company has the ability to access;</w:t>
      </w:r>
    </w:p>
    <w:p>
      <w:pPr>
        <w:spacing w:after="0" w:line="189" w:lineRule="exact"/>
        <w:rPr>
          <w:rFonts w:ascii="Times New Roman" w:cs="Times New Roman" w:eastAsia="Times New Roman" w:hAnsi="Times New Roman"/>
          <w:sz w:val="18"/>
          <w:szCs w:val="18"/>
          <w:color w:val="auto"/>
        </w:rPr>
      </w:pPr>
    </w:p>
    <w:p>
      <w:pPr>
        <w:ind w:left="1380" w:right="439" w:hanging="331"/>
        <w:spacing w:after="0" w:line="258" w:lineRule="auto"/>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196" w:lineRule="exact"/>
        <w:rPr>
          <w:rFonts w:ascii="Times New Roman" w:cs="Times New Roman" w:eastAsia="Times New Roman" w:hAnsi="Times New Roman"/>
          <w:sz w:val="18"/>
          <w:szCs w:val="18"/>
          <w:color w:val="auto"/>
        </w:rPr>
      </w:pPr>
    </w:p>
    <w:p>
      <w:pPr>
        <w:ind w:left="1380" w:right="119" w:hanging="331"/>
        <w:spacing w:after="0" w:line="255" w:lineRule="auto"/>
        <w:tabs>
          <w:tab w:leader="none" w:pos="1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assets, which include cash equivalents and marketable securities, have been initially valued at the transaction price, and subsequently revalued at the end of each reporting period, utilizing third-party pricing services. The pricing services utilize industry standard valuation models, including both income and market based approaches, to determine value.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have been no changes to the valuation methods during the years ended December 31, 2022 and 2021.</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from the date of purchase to be cash equivalents. As of December 31, 2022 and 2021, the Company’s cash equivalents comprised of money market funds with less than 90 days from the date of purchase. Cash equivalents are reported at fair value.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22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classifies marketable debt securities with a remaining maturity when purchased of greater than three months available-for-sale, and marketable debt securities with a remaining maturity date greater than one year as non-current assets. Available-for-sale marketable debt securities are maintained by an investment manager and mainly consist of U.S. treasury securities and U.S. government agency securities. Available-for-sale marketable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Other comprehensive income (loss) consisted of foreign currency translation adjustments, unrealized gains and losses on available-for-sale investments and unrealized gains and losses on pension benefit obligations.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 As part of the process of preparing the consolidated financial statements, the Company accrues costs for clinical trial activities based upon estimates of the services received and related expenses incurred that have yet to be invoiced by the contract research organizations or other clinical trial vendors that perform the activities.</w:t>
      </w:r>
    </w:p>
    <w:p>
      <w:pPr>
        <w:spacing w:after="0" w:line="17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399" w:firstLine="648"/>
        <w:spacing w:after="0" w:line="280" w:lineRule="auto"/>
        <w:rPr>
          <w:sz w:val="20"/>
          <w:szCs w:val="20"/>
          <w:color w:val="auto"/>
        </w:rPr>
      </w:pPr>
      <w:r>
        <w:rPr>
          <w:rFonts w:ascii="Times New Roman" w:cs="Times New Roman" w:eastAsia="Times New Roman" w:hAnsi="Times New Roman"/>
          <w:sz w:val="17"/>
          <w:szCs w:val="17"/>
          <w:color w:val="auto"/>
        </w:rPr>
        <w:t>Selling, general and administrative expenses are primarily comprised of compensation and benefits associated with sales and marketing, finance, human resources, legal, information technology and other administrative personnel, business development, advertising and legal expenses and other general and administrative costs. Advertising costs are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expensed as incurred. For years ended December 31, 2022, 2021 and 2020, advertising costs totaled $18.1 million, $13.5 million and $9.4 million,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associated with long-lived assets for the years ended December 31, 2022, 2021 and 2020.</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 xml:space="preserve">Leases are accounted for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8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87"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w:t>
      </w:r>
    </w:p>
    <w:p>
      <w:pPr>
        <w:spacing w:after="0" w:line="187" w:lineRule="exact"/>
        <w:rPr>
          <w:sz w:val="20"/>
          <w:szCs w:val="20"/>
          <w:color w:val="auto"/>
        </w:rPr>
      </w:pPr>
    </w:p>
    <w:p>
      <w:pPr>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58"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8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has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5"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color w:val="auto"/>
        </w:rPr>
        <w:t xml:space="preserve">Stock-based compensation awards are accounted for in accordance with ASC Topic 718, </w:t>
      </w:r>
      <w:r>
        <w:rPr>
          <w:rFonts w:ascii="Times New Roman" w:cs="Times New Roman" w:eastAsia="Times New Roman" w:hAnsi="Times New Roman"/>
          <w:sz w:val="18"/>
          <w:szCs w:val="18"/>
          <w:i w:val="1"/>
          <w:iCs w:val="1"/>
          <w:color w:val="auto"/>
        </w:rPr>
        <w:t>Compensation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The Company expenses the fair value of stock awards granted to employees and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over the requisite service period, which is typically the vesting period. Compensation cost for stock-based awards issued to employees is measured using the estimated fair value at the grant date and is adjusted to reflect actual forfeitures. Fair value of options granted to employees at the date of grant are estimated using the Black-Scholes option-pricing model that requires management to apply judgment and make estimates, including:</w:t>
      </w:r>
    </w:p>
    <w:p>
      <w:pPr>
        <w:spacing w:after="0" w:line="171" w:lineRule="exact"/>
        <w:rPr>
          <w:sz w:val="20"/>
          <w:szCs w:val="20"/>
          <w:color w:val="auto"/>
        </w:rPr>
      </w:pPr>
    </w:p>
    <w:p>
      <w:pPr>
        <w:ind w:left="1380" w:right="119" w:hanging="331"/>
        <w:spacing w:after="0" w:line="252"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was calculated using the historical volatility of the Company’s publicly traded stock for awards granted during the year ended December 31, 2022. In prior reporting periods, expected volatility was calculated based on a blend of the Company’s reported volatility data for the length of time that market data is available for the Company’s stock and the historical data for a representative group of publicly traded companies, for which historical information is available. For these analyses, the Company selected companies with comparable characteristics to itself including enterprise value, risk profiles, position within the industry, and with historical share price information sufficient to meet the expected life of the stock-based awards. The Company computed the historical volatility data using the daily closing prices during the equivalent period of the calculated expected term of its stock-based awards;</w:t>
      </w:r>
    </w:p>
    <w:p>
      <w:pPr>
        <w:spacing w:after="0" w:line="189" w:lineRule="exact"/>
        <w:rPr>
          <w:rFonts w:ascii="Times New Roman" w:cs="Times New Roman" w:eastAsia="Times New Roman" w:hAnsi="Times New Roman"/>
          <w:sz w:val="18"/>
          <w:szCs w:val="18"/>
          <w:color w:val="auto"/>
        </w:rPr>
      </w:pPr>
    </w:p>
    <w:p>
      <w:pPr>
        <w:ind w:left="1380" w:right="559" w:hanging="331"/>
        <w:spacing w:after="0" w:line="282"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is based on the U.S. Treasury yield curve in effect at the time of grant commensurate with the expected term assumption;</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56"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term, which is calculated using the simplified method, as prescribed by the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and</w:t>
      </w:r>
    </w:p>
    <w:p>
      <w:pPr>
        <w:spacing w:after="0" w:line="173"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which is zero based on the fact that the Company never paid cash dividends and does not expect to pay any cash dividends in the foreseeable future.</w:t>
      </w:r>
    </w:p>
    <w:p>
      <w:pPr>
        <w:spacing w:after="0" w:line="16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Stock-based awards issued to non-employees, including directors for non-board-related services, are accounted for based on the fair value of such services received or the fair value of the awards granted on the grant date, whichever is more reliably measured. Stock-based awards subject to service-based vesting conditions are expensed on a straight-line basis over the vesting period.</w:t>
      </w:r>
    </w:p>
    <w:p>
      <w:pPr>
        <w:spacing w:after="0" w:line="180" w:lineRule="exact"/>
        <w:rPr>
          <w:sz w:val="20"/>
          <w:szCs w:val="20"/>
          <w:color w:val="auto"/>
        </w:rPr>
      </w:pPr>
    </w:p>
    <w:p>
      <w:pPr>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The purchase price of common stock under the Company’s 2015 employee stock purchase plan (as amended, the 2015 ESPP) is equal to 85% of the lesser of (i) the fair market value per share of the common stock on the first business day of an offering period and (ii) 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Investments in non-marketable equity securities of privately-held companies that do not have readily determinable fair values are carried at cost, less any impairments, plus or minus changes resulting from observable price changes in orderly transactions for the identical or a similar investment of the same issuer. Each period the Company assesses relevant transactions to identify observable price changes, and the Company regularly monitors these investments to evaluate whether there is an indication of impairment. The Company evaluates whether an investment’s fair value is less than its carrying value using an estimate of fair value, if such an estimate is available. For periods in which there is no estimate of fair value, the Company evaluates whether an event or change in circumstances has occurred that may have a significant adverse effect on the value of the investment.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Liabilities related to the sale of future royalties and revenues</w:t>
      </w:r>
    </w:p>
    <w:p>
      <w:pPr>
        <w:spacing w:after="0" w:line="22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The Company accounts for net proceeds from sales of the Company’s rights to receive future royalty payments and from sales of future revenues as liabilities if the Company has significant continuing involvement in the generation of the related future cash flows. Interest expenses on the liabilities related to the sale of future royalties and revenues are recognized using the effective interest rate method over the life of the related royalty or revenue stream. The liabilities related to the sale of future royalties and revenues and the related interest expenses are based on the Company’s current estimates of future royalties or revenues as well as commercial milestones expected to be achieved and received over the life of the arrangement, which the Company determines by using forecasts of the underlying drug products of the underlying regions. The Company periodically assesses the expected payments and to the extent the amount or timing of the future estimated payments is materially different than previous estimates, the Company accounts for any such change by adjusting the carrying value of the liabilities related to the sale of future royalties and revenues, and prospectively recognizing the related interest expenses.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22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When entering an acquisition transaction, the Company first determines whether the transaction is a business combination by applying the definition in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definition of a “business”, requires considerations in the form of two steps: (1) determination of whether “substantially all” of the fair value of the gross assets acquired is concentrated in a single identifiable asset or a group of similar identifiable assets (i.e., “screen test”); if not, then (2) evaluate whether the set of transferred assets and activities meets the definition of a business which includes, at a minimum, an input and a substantive process that together significantly contribute to the ability to create outputs. If the assets acquired are not a business, the Company accounts for the transaction as an asset acquisition. If the transaction is a business combination, it is accounted for by applying the acquisition method.</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asset acquisitions, the Company allocates the cost of a group of assets acquired to the individual assets acquired or liabilities assumed based on their relative fair values. Goodwill is not recognized in an asset acquisition. Any difference between the cost of an asset acquisition and the fair value of the net assets acquired is allocated to the non-monetary identifiable assets based on their relative fair values. The Company follows the guidance in ASC Topic 730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 </w:t>
      </w:r>
      <w:r>
        <w:rPr>
          <w:rFonts w:ascii="Times New Roman" w:cs="Times New Roman" w:eastAsia="Times New Roman" w:hAnsi="Times New Roman"/>
          <w:sz w:val="18"/>
          <w:szCs w:val="18"/>
          <w:color w:val="auto"/>
        </w:rPr>
        <w:t>(ASC 730) and determines whether any acquired research and development assets have alternative use.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have an alternative future use, they are recognized as assets by the Company. If they have no alternative future use, they are charged to research and development expense at the acquisition date.</w:t>
      </w:r>
    </w:p>
    <w:p>
      <w:pPr>
        <w:spacing w:after="0" w:line="187"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 business combinations, the acquisition method is applied, where the identifiable assets acquired, the liabilities assumed, and any noncontrolling interest in the acquiree as well as any goodwill is measured and recognized based on its fair value at acquisition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1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each of the Company’s subsidiaries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Suppliers</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investments, accounts receivable and unbilled account receivables.</w:t>
      </w:r>
    </w:p>
    <w:p>
      <w:pPr>
        <w:spacing w:after="0" w:line="15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its cash, cash equivalents and marketable securities in custodian accounts at high quality financial institutions, and as of December 31, 2022 and 2021, substantially all the Company’s cash, cash equivalents and marketable securities were invested in money market funds and U.S. government agency securities and treasury obligations, and consequently, the Company believes that such funds are subject to minimal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receivables and unbilled accounts receivables represent amounts arising from product sales and amounts due from the Company’s collaboration partners. The Company monitors economic conditions to identify facts or circumstances that may indicate that its receivables are at risk of collection.</w:t>
      </w:r>
    </w:p>
    <w:p>
      <w:pPr>
        <w:spacing w:after="0" w:line="162"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commercial and research and development activities associated with its drug and drug candidates, as applicable. In particular, the Company relies and expects to continue to rely on a small number of manufacturers to supply it with its requirements for the active pharmaceutical ingredients and formulated drugs related to the Company's drug and drug candidate activities. These activities, including the commercialization of AYVAKIT/AYVAKYT, could be adversely affected by a significant interruption in the supply of active pharmaceutical ingredients and formulated drugs.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in the U.S. and Europe. All material long-lived assets of the Company reside in the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Equity Securities Subject to Contractual Sale Restrictions</w:t>
      </w:r>
      <w:r>
        <w:rPr>
          <w:rFonts w:ascii="Times New Roman" w:cs="Times New Roman" w:eastAsia="Times New Roman" w:hAnsi="Times New Roman"/>
          <w:sz w:val="18"/>
          <w:szCs w:val="18"/>
          <w:color w:val="auto"/>
        </w:rPr>
        <w:t>. This standard clarifies that a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on the sale of an equity security is not considered part of the unit of account of the equity security and, therefore, is not considered in measuring fair value. This standard will be effective for the Company on January 1, 2024, and is not expected to have a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Financing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Royalty Pharma Purchase and Sale Agreement</w:t>
      </w:r>
    </w:p>
    <w:p>
      <w:pPr>
        <w:spacing w:after="0" w:line="227" w:lineRule="exact"/>
        <w:rPr>
          <w:sz w:val="20"/>
          <w:szCs w:val="20"/>
          <w:color w:val="auto"/>
        </w:rPr>
      </w:pPr>
    </w:p>
    <w:p>
      <w:pPr>
        <w:ind w:left="60" w:right="219" w:firstLine="648"/>
        <w:spacing w:after="0" w:line="275" w:lineRule="auto"/>
        <w:rPr>
          <w:sz w:val="20"/>
          <w:szCs w:val="20"/>
          <w:color w:val="auto"/>
        </w:rPr>
      </w:pPr>
      <w:r>
        <w:rPr>
          <w:rFonts w:ascii="Times New Roman" w:cs="Times New Roman" w:eastAsia="Times New Roman" w:hAnsi="Times New Roman"/>
          <w:sz w:val="17"/>
          <w:szCs w:val="17"/>
          <w:color w:val="auto"/>
        </w:rPr>
        <w:t>On June 30, 2022, the Company entered into a purchase and sale agreement (Royalty Purchase Agreement) with Royalty Pharma. Pursuant to the Royalty Purchase Agreement, the Company received an upfront payment of $175.0 million in consideration for the Company’s rights to receive royalty payments on the net sales of GAVRETO worldwide excluding the CStone territory and U.S. territory under the terms of the Roche pralsetinib collaboration agreement.</w:t>
      </w:r>
    </w:p>
    <w:p>
      <w:pPr>
        <w:spacing w:after="0" w:line="17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Although the Company sold all of the rights to receive royalties on the net sales of GAVRETO worldwide excluding the CStone territory and U.S. territory to Royalty Pharma, the Company continues to co-develop pralsetinib with Roche globally and is therefore involved in the generation of these future royalties. Due to the Company’s significant continuing involvement, the Company continues to account for any royalties and development and commercialization milestones earned related to the underlying territory under the Roche pralsetinib collaboration agreement as collaboration revenue on its consolidated statements of operations and comprehensive income (loss). Net proceeds from the transaction were recorded as a liability related to sale of future royalties and revenues on the consolidated balance sheet. The Company will accrete the $175.0 million, net of transaction costs of $3.8 million, to the total of these royalties as interest expense using the effective interest method over the estimated life of the arrangement. As of December 31, 2022, the Company’s estimate of this total interest expense resulted in an effective annual interest rate of 6.2%. These estimates contain assumptions that impact the amount recorded and the interest expense that will be recognized in future periods.</w:t>
      </w:r>
    </w:p>
    <w:p>
      <w:pPr>
        <w:spacing w:after="0" w:line="17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As payments are made to Royalty Pharma, the balance of the liability will be effectively repaid over the life of the Royalty Purchase Agreement. In order to determine the amortization of the liability, the Company estimates the total amount of future royalty payments to be paid to Royalty Pharma over the life of the arrangement. The exact amount of repayment is likely to change each reporting period. A significant increase or decrease in GAVRETO’s net revenue of the underlying territory will impact the liability related to this arrangement and interest expense. The Company periodically assesses the expected payments to Royalty Pharma and will prospectively adjust the amortization of the liability related to this arrangement for material changes in such payments, including the prospective impact around the uncertainty related to GAVRETO’s commercial outlook in the underlying territory during the life of the arrangement.</w:t>
      </w:r>
    </w:p>
    <w:p>
      <w:pPr>
        <w:spacing w:after="0" w:line="19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the carrying value of the liability related to this arrangement was $176.0 million, net of transaction costs of $3.8 million. The following table shows the activity within the liability account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January 1, 2022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closing costs</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December 31, 2022</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176,002</w:t>
            </w: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19" w:firstLine="648"/>
        <w:spacing w:after="0" w:line="255" w:lineRule="auto"/>
        <w:rPr>
          <w:sz w:val="20"/>
          <w:szCs w:val="20"/>
          <w:color w:val="auto"/>
        </w:rPr>
      </w:pPr>
      <w:r>
        <w:rPr>
          <w:rFonts w:ascii="Times New Roman" w:cs="Times New Roman" w:eastAsia="Times New Roman" w:hAnsi="Times New Roman"/>
          <w:sz w:val="18"/>
          <w:szCs w:val="18"/>
          <w:color w:val="auto"/>
        </w:rPr>
        <w:t>Pursuant to the Royalty Purchase Agreement, the Company is eligible to receive certain milestone payments totaling up to $165.0 million, subject to the achievement of specified net sales milestones by Roche. The potential milestone payments will be added to the carrying value of the liability related to this arrangement if and when the milestones are achieved and received.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Arrangements with Sixth Street Partners</w:t>
      </w:r>
    </w:p>
    <w:p>
      <w:pPr>
        <w:spacing w:after="0" w:line="22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2022, the Company closed two transactions pursuant to a purchase and sale agreement (Future Revenue Purchase Agreement) and a financing transaction for up to $660.0 million (Financing Agreement) with Sixth Street Partners (Sixth Street).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Purchase and Sale Agreement</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the Future Revenue Purchase Agreement, the Company received gross proceeds of $250.0 million in exchange for future royalty payments at a rate of 9.75% on up to $900 million each year of (i) aggregate worldwide annual net product sales of AYVAKIT/ 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continues to own the research, development, manufacturing and commercialization of AYVAKIT/ AYVAKYT and if it is approved, elenestinib, and has significant continuing involvement in the generation of the cash flows under the Future Revenue Purchase Agreement. Therefore, the Company continues to account for any revenue earned from worldwide product sales of AYVAKIT/ AYVAKYT and, if it is approved, elenestinib, on its consolidated statements of operations and comprehensive income (loss). Net proceeds from the transaction were recorded as a liability related to sale of future royalties and revenues on the consolidated balance sheet. The Company will accrete the $250.0 million, net of transaction costs of $5.4 million, to the total of these future payments as interest expense using the effective interest method over the estimated life of the arrangement.</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As payments are made to Sixth Street, the balance of the liability will be effectively repaid over the life of the Future Revenue Purchase Agreement. In order to determine the amortization of the liability, the Company estimates the total amount of future revenue payments to be paid to Sixth Street over the life of the arrangement. The exact amount of repayment is likely to change each reporting period. A significant increase or decrease in worldwide product sales of AYVAKIT/ AYVAKYT and, if it is approved, elenestinib, will materially impact the liability related to this arrangement, interest expense and the time period for repayment. The Company periodically assesses the expected payments to Sixth Street and will prospectively adjust the amortization of the liability related to this arrangement for material changes in such payments. As of December 31, 2022, the Company’s estimate of this total interest expense resulted in an effective annual interest rate of 11.3%. These estimates contain assumptions that impact the amount recorded and the interest expense that will be recognized in future periods.</w:t>
      </w:r>
    </w:p>
    <w:p>
      <w:pPr>
        <w:spacing w:after="0" w:line="1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the carrying value of the liability related to this arrangement was $254.3 million, net of transaction costs of $5.4 million. The following table shows the activity within the liability account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January 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future revenue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closing costs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December 31, 2022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254,328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Term Loan</w:t>
      </w:r>
    </w:p>
    <w:p>
      <w:pPr>
        <w:spacing w:after="0" w:line="214"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The term loans will mature on June 30, 2028 and bear interest at a variable rate equal to either the Secured Overnight Financing Rate (SOFR) plus 6.50% or the base rate plus 5.50%, subject to a floor of 1% and 2% with respect to the SOFR and base rate, respectively.</w:t>
      </w:r>
    </w:p>
    <w:p>
      <w:pPr>
        <w:spacing w:after="0" w:line="183"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 part of the Financing Agreement with Sixth Street Partners, the Company received gross proceeds of $150.0 million in July 2022 and incurred an aggregate of $12.2 million of debt discounts and transaction costs, which have been recorded as a reduction to the carrying amount of the debt on the Company’s consolidated balance sheet and will be amortized as additional interest expenses using the effective interest rate method over the period from issuance through maturity. As of December 31, 2022, the Company’s estimate of the total interest expense resulted in an effective annual interest rate of 13.0%. The carrying amount of the debt as of December 31, 2022 is subject to variable interest rates, which are based on current market rates, and as such, approximates fair value.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(in thousands):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January 1, 2022</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discounts and capitalized closing costs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December 31, 2022</w:t>
            </w: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total estimated total gross payments due under the term loan are as follows as of December 31, 2022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16,897</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16,851</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158,402</w:t>
            </w:r>
          </w:p>
        </w:tc>
      </w:tr>
      <w:tr>
        <w:trPr>
          <w:trHeight w:val="210"/>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242,703</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Company’s obligations under the Financing Agreement is secured, subject to certain exceptions, by security interests in the substantially all of the Company’s assets and the Company’s certain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(i) $50.0 million during the period commencing from the date on which the term loans are funded to the date which is the day before the next term loans are funded and (ii) $80.0 million for each day thereafter. As of December 31, 2022, we were in compliance with the applicable terms and conditions of the covenants under the Financing Agreement.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Acquisition</w:t>
      </w:r>
    </w:p>
    <w:p>
      <w:pPr>
        <w:spacing w:after="0" w:line="20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On November 27, 2021, the Company entered into a merger agreement for the acquisition of all the outstanding shares of Lengo Therapeutics Inc. (“Lengo”), a biopharmaceutical company committed to developing novel, best-in-class precision medicines targeting driver mutations in oncology to improve the lives of patients with cancer. The acquisition was completed on December 30, 2021.</w:t>
      </w:r>
    </w:p>
    <w:p>
      <w:pPr>
        <w:spacing w:after="0" w:line="180" w:lineRule="exact"/>
        <w:rPr>
          <w:sz w:val="20"/>
          <w:szCs w:val="20"/>
          <w:color w:val="auto"/>
        </w:rPr>
      </w:pPr>
    </w:p>
    <w:p>
      <w:pPr>
        <w:ind w:left="60" w:right="33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acquisition, the Company agreed to pay Lengo shareholders an upfront consideration of $250.0 million, subject to customary net indebtedness, transaction expenses, and other adjustments, as set forth in the acquisition agreement, and future contingent cash milestone payments of up to $215.0 million, upon achievement of specified regulatory approval and sales milestones. The milestone payments were determined to be contingent consideration which will be recognized when the contingency is resolved, and the consideration is paid or becomes payable.</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total net purchase price was $258.4 million upon closing of the transaction, which consists of the $250.0 million upfront payment, and $8.4 million of adjustments associated with net indebtedness, transaction expenses, and other adjustments per the terms of the agreement.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as acquisition of assets that did not meet the definition of a business. The asset acquisition did not constitute a business as substantially all of the fair value of the gross assets acquired was concentrated in Lengo’s lead compound LNG-451, now known as BLU-451. The acquired assets and liabilities were recorded at their relative fair values and the Company immediately expensed the acquired intellectual property in the consolidated statement of operations and comprehensive income (loss) in the amount of $260.0 million as the acquired assets represent in-process research and development with no alternative future use.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net purchase price and the allocation of the consideration is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net of cash acquired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assets and liabilities acquired: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current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259,957</w:t>
            </w:r>
          </w:p>
        </w:tc>
      </w:tr>
      <w:tr>
        <w:trPr>
          <w:trHeight w:val="20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258,377</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consisted of the following at December 31, 2022 and 2021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6"/>
                <w:szCs w:val="16"/>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6"/>
                <w:szCs w:val="16"/>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26"/>
        </w:trPr>
        <w:tc>
          <w:tcPr>
            <w:tcW w:w="4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9"/>
                <w:szCs w:val="19"/>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591,193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586,092</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968,712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958,763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24"/>
                <w:szCs w:val="24"/>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24"/>
                <w:szCs w:val="24"/>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26"/>
        </w:trPr>
        <w:tc>
          <w:tcPr>
            <w:tcW w:w="4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9"/>
                <w:szCs w:val="19"/>
                <w:color w:val="auto"/>
              </w:rPr>
            </w:pPr>
          </w:p>
        </w:tc>
        <w:tc>
          <w:tcPr>
            <w:tcW w:w="8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498,582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(1,249)</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827,383</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824,695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held 122 debt securities that were in an unrealized loss position with an aggregate fair value of $922.3 million. Of the 122 debt securities, 56 were in an unrealized loss position for more than twelve months with an aggregate fair value of $550.6 million. As of December 31, 2021, the Company held 74 debt securities that were in an unrealized loss position with an aggregate fair value of $750.5 million, and no security held by the Company was in an unrealized loss position for more than twelve months. The Company has the intent and ability to hold its debt securities until recovery. As a result, the Company did not record any charges for credit-related impairments for its marketable debt securities for the years ended December 31, 2022 and 2021</w:t>
      </w:r>
      <w:r>
        <w:rPr>
          <w:rFonts w:ascii="Times New Roman" w:cs="Times New Roman" w:eastAsia="Times New Roman" w:hAnsi="Times New Roman"/>
          <w:sz w:val="18"/>
          <w:szCs w:val="18"/>
          <w:color w:val="212529"/>
        </w:rPr>
        <w:t>.</w:t>
      </w:r>
    </w:p>
    <w:p>
      <w:pPr>
        <w:spacing w:after="0" w:line="18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212529"/>
        </w:rPr>
        <w:t>The following table summarizes the fair value (in thousands) and the number of the Company’s available-for-sale securities by their maturities at December 31, 2022 and 2021:</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6"/>
                <w:szCs w:val="16"/>
                <w:color w:val="auto"/>
              </w:rPr>
            </w:pPr>
          </w:p>
        </w:tc>
      </w:tr>
      <w:tr>
        <w:trPr>
          <w:trHeight w:val="223"/>
        </w:trPr>
        <w:tc>
          <w:tcPr>
            <w:tcW w:w="5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234"/>
        </w:trPr>
        <w:tc>
          <w:tcPr>
            <w:tcW w:w="5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r>
      <w:tr>
        <w:trPr>
          <w:trHeight w:val="215"/>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825,283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267,166</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through five years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133,480</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557,529</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958,763</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824,695</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212529"/>
        </w:rPr>
        <w:t>The Company received proceeds of $349.4 million and $690.8 million from maturities of debt securities for the years ended December 31, 2022 and 2021, respectively. The Company did not realize any gains or losses from maturities of debt securities for the years ended December 31,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6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2022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6"/>
        </w:trPr>
        <w:tc>
          <w:tcPr>
            <w:tcW w:w="3960" w:type="dxa"/>
            <w:vAlign w:val="bottom"/>
            <w:tcBorders>
              <w:bottom w:val="single" w:sz="8" w:color="CCEEFF"/>
            </w:tcBorders>
            <w:vMerge w:val="continue"/>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686,279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6"/>
        </w:trPr>
        <w:tc>
          <w:tcPr>
            <w:tcW w:w="40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$ 118,880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943,575</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$ 446,432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Product Revenue Reserves and Allowances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January 2020, the U.S. Food and Drug Administration (FDA) approved AYVAKIT for the treatment of adults with unresectable or metastatic gastrointestinal stromal tumor (GIST) harboring a PDGFRA exon 18 mutation, including PDGFRA D842V mutations. In September 2020, the European Commission granted conditional marketing authorization to AYVAKYT as a monotherapy for the treatment of adult patients with unresectable or metastatic GIST harboring the PDGFRA D842V mutation. In June 2021, the FDA granted a subsequent approval for AYVAKIT, expanding the labeled indications to include adult patients with advanced systemic mastocytosis (Advanced SM), including aggressive SM (ASM), SM with an associated hematological neoplasm (SM-AHN) and mast cell leukemia (MCL). In March 2022, the European Commission expanded the marketing authorization for AYVAKYT to include the treatment of adult patients with ASM, SM-AHN, or MCL, after at least one systemic therapy.</w:t>
      </w:r>
    </w:p>
    <w:p>
      <w:pPr>
        <w:spacing w:after="0" w:line="190"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In September 2020, the FDA granted accelerated approval of GAVRETO for the treatment of adult patients with metastatic RET fusion-positive non-small cell lung cancer (NSCLC) as detected by an FDA approved test. In December 2020, the FDA 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w:t>
      </w:r>
    </w:p>
    <w:p>
      <w:pPr>
        <w:spacing w:after="0" w:line="18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net product revenue from the U.S. product sales of GAVRETO in 2021 until it transferred, on July 1, 2021, certain responsibilities associated with product sales to customers, pricing and distribution matters related to U.S. product sales of GAVRETO to its collaboration partner. The Company did not record any net product revenue from product sales of GAVRETO subsequent to this transition date. Products sales of GAVRETO were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 xml:space="preserve">reflected as part of collaboration loss sharing in the consolidated statements of operations and comprehensive income (loss). For additional information, see Note 12,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product sales for the years ended December 31, 2022 2021, and 2020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1"/>
        </w:trPr>
        <w:tc>
          <w:tcPr>
            <w:tcW w:w="62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AYVAKIT/AYVAKYT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44,959</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20,522</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1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21,262</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GAVRETO</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09"/>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22,134</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159" w:firstLine="315"/>
        <w:spacing w:after="0" w:line="256" w:lineRule="auto"/>
        <w:rPr>
          <w:sz w:val="20"/>
          <w:szCs w:val="20"/>
          <w:color w:val="auto"/>
        </w:rPr>
      </w:pPr>
      <w:r>
        <w:rPr>
          <w:rFonts w:ascii="Times New Roman" w:cs="Times New Roman" w:eastAsia="Times New Roman" w:hAnsi="Times New Roman"/>
          <w:sz w:val="18"/>
          <w:szCs w:val="18"/>
          <w:color w:val="auto"/>
        </w:rPr>
        <w:t>The Company primarily sells AYVAKIT/AYVAKYT through specialty distributors and specialty pharmacies. The Company recognized revenues from three customers accounting for 53%, 13%, and 11% of gross product revenues for the year ended December 31, 2022, and 55%, 8%, and 9% of gross product revenues for the year ended December 31, 2021, respectively. As of December 31, 2022, three customers individually accounted for approximately 40%, 18% and 15% of accounts receivable associated with the Company's product sales, as compared to 45%, 13% and 12% as of December 31, 2021, respectively.</w:t>
      </w:r>
    </w:p>
    <w:p>
      <w:pPr>
        <w:spacing w:after="0" w:line="18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years ended December 31, 2022 and 2021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6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related to prior periods sales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(13,140)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r>
      <w:tr>
        <w:trPr>
          <w:trHeight w:val="210"/>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total reserves above, which are included in the Company’s consolidated balance sheets as of December 31, 2022 and 2021, are summarized as follows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6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at December 31, 2022 and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4"/>
        </w:trPr>
        <w:tc>
          <w:tcPr>
            <w:tcW w:w="6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17,702</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Balance sheet classification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4"/>
        </w:trPr>
        <w:tc>
          <w:tcPr>
            <w:tcW w:w="67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w:t>
            </w: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w:t>
            </w:r>
          </w:p>
        </w:tc>
      </w:tr>
      <w:tr>
        <w:trPr>
          <w:trHeight w:val="20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For the years ended December 31, 2022 and 2021, the Company recognized write-downs of $2.1 million and $0.6 million, respectively. Long-term inventory, which primarily consists of work in process, is included in other assets in the consolidated balance sheets.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Restricted Cash</w:t>
      </w:r>
    </w:p>
    <w:p>
      <w:pPr>
        <w:spacing w:after="0" w:line="229"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December 31, 2022 and 2021, respectively, $5.2 million and $5.2 million, of the Company’s cash is restricted by a bank primarily related to security deposits for the lease agreements for the Company’s current and former corporate headquarters. For additional information, see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as follows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510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9"/>
                <w:szCs w:val="19"/>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5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r>
      <w:tr>
        <w:trPr>
          <w:trHeight w:val="214"/>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Term of lease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36,945</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56,118</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(31,282)</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(25,418)</w:t>
            </w:r>
          </w:p>
        </w:tc>
      </w:tr>
      <w:tr>
        <w:trPr>
          <w:trHeight w:val="21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historical cost, net of accumulated depreciation. Depreciation expense for the years ended December 31, 2022, 2021 and 2020 was $6.5 million, $6.5 million and $6.6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4"/>
        </w:trPr>
        <w:tc>
          <w:tcPr>
            <w:tcW w:w="6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68,164</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29,166</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Revenue-related reserves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121,829</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Collaboration and License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IDRx</w:t>
      </w:r>
    </w:p>
    <w:p>
      <w:pPr>
        <w:spacing w:after="0" w:line="229"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In August 2022, the Company entered into 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among IDRx’s founders are Alexis Borisy, Nicholas Lydon, Ph.D., and George Demetri, M.D., each of whom are then-current members of our board of directors. Due to these relationships, the transaction with IDRx is a related party transaction.</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IDRx License Agreement, the Company also entered into a stock purchase agreement with IDRx (IDRx Stock Purchase Agreement), pursuant to which the Company received 4,509,105 shares of IDRx’s Series A preferred stock and the Company has the right to receive additional shares of IDRx’s Series A preferred stock through an anti-dilution provision subject to a defined financing cap.</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w:t>
      </w:r>
    </w:p>
    <w:p>
      <w:pPr>
        <w:spacing w:after="0" w:line="187"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spacing w:after="0" w:line="19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spacing w:after="0" w:line="187"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For the purposes of ASC 606, the transaction price of the IDRx License Agreement at the contract inception was determined to be $27.5 million and recorded as license revenue-related party on the consolidated statements of operations and comprehensive income (loss).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Company accounts for the preferred stock investment under the measurement alternative for equity investments that do not have a readily determinable fair value, which is at cost of $27.8 million, including transaction costs of $0.3 million. As of December 31, 2022, the cost of the investment in IDRx’s preferred stock was $27.8 million and was recorded as equity investment on the consolidated balance sheets. As of December 31, 2022, no adjustments have been recognized related to the preferred stock investment as a result of the application of the measurement.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Proteovant</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February 2022, the Company entered into an exclusive collaboration agreement (the Proteovant collaboration agreement) with Oncopia Therapeutics, Inc., d/b/a Proteovant Therapeutics, Inc. (Proteovant), pursuant to which the parties will jointly research and advance up to two novel protein degrader therapies into development candidates, as well as up to two additional novel protein degrader target programs as may be mutually agreed to by the Company and Proteovant (each program is referred to as a target program). On a target program-by-target program basis, the Company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the second target program that the Company options, and if the parties add additional target programs, Proteovant will have the same opt-in right for the fourth target program that the Company options.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paid Proteovant an upfront payment of $20.0 million in connection with the execution of the agreement and Proteovant will be eligible to receive up to an additional $632.0 million in contingent milestone payments including specified research, development, regulatory and commercialization milestones and tiered percentage royalties on a licensed product-by-licensed product basis ranging from the mid- to high-single digits on net sales on the first two target programs, subject to adjustment in specified circumstances. If Proteovant opts in to the second target program, the parties will split profits and losses of that program equally in the U.S. along with development costs and the milestone payments for the program will be reduced accordingly. Proteovant will be eligible to receive milestone payments and royalties on ex-U.S. sales. In addition, the parties may jointly extend the collaboration, with the same structure and financial terms, to two additional program targets through additional funding by the Company.</w:t>
      </w:r>
    </w:p>
    <w:p>
      <w:pPr>
        <w:spacing w:after="0" w:line="190"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Company concluded that Proteovant is providing the Company with research services throughout the period until the Company can exercise its option to obtain a worldwide, exclusive license to develop and commercialize any licensed compound. Therefore, the Company recorded the $20.0 million upfront payment as an asset on the consolidated financial statements and will record it as research and development expense over the expected research period. During the year ended December 31, 2022, the Company recorded research and development expense of $4.4 million under the Proteovant collaboration agreement. The Company reevaluates the research period at the end of each reporting period and as any changes in circumstances occur, and if necessary, the Company adjusts its estimate of expected research period accordingly. Each research and development milestone payment will be accrued and expensed when probable.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November 2021, the Company entered into a collaboration (the Zai Lab agreement) with Zai Lab (Shanghai) Co., Ltd., (Zai Lab), pursuant to which the Company granted Zai Lab exclusive rights to develop and commercialize the Company’s drug candidates BLU-701 and BLU-945, including their respective back-up forms and certain other forms thereof, for the treatment of EGFR-driven non-small cell lung cancer in Greater China, including Mainland China, Hong Kong, Macau and Taiwan (collectively, the Zai Lab territory), either as a monotherapy or as part of a combination therapy. The collaboration aims to accelerate and expand global development of the licensed products, which currently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include BLU-945 and BLU-525 (which served as a back-up candidate for BLU-701). The Company retains exclusive rights to the licensed products outside the Zai Lab territory.</w:t>
      </w:r>
    </w:p>
    <w:p>
      <w:pPr>
        <w:spacing w:after="0" w:line="16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will be shared by the Company and Zai Lab.</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spacing w:after="0" w:line="170"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The Zai Lab agreement will continue on a licensed product-by-product and region-by-region basis until the later of (i) the 12th anniversary of the date of the first commercial sale of a licensed product in the Zai Lab territory, (ii) the date of expiration of the last valid patent claim related to the Company’s patent rights of the product in the Zai Lab territory, and</w:t>
      </w:r>
    </w:p>
    <w:p>
      <w:pPr>
        <w:spacing w:after="0" w:line="2" w:lineRule="exact"/>
        <w:rPr>
          <w:sz w:val="20"/>
          <w:szCs w:val="20"/>
          <w:color w:val="auto"/>
        </w:rPr>
      </w:pPr>
    </w:p>
    <w:p>
      <w:pPr>
        <w:ind w:left="60" w:right="179" w:hanging="10"/>
        <w:spacing w:after="0" w:line="249" w:lineRule="auto"/>
        <w:tabs>
          <w:tab w:leader="none" w:pos="3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last regulatory exclusivity for that product in a region in the Zai Lab territory. Zai Lab may terminate the agreement for convenience by giving a written notice after the second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194"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year ended December 31, 2022, the Company did not record material net reduction of expenses under the Zai Lab agreement.</w:t>
      </w:r>
    </w:p>
    <w:p>
      <w:pPr>
        <w:spacing w:after="0" w:line="19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pricing was not issued at a significant and incremental discount. Therefore, the manufacturing activities were excluded as performance obligation at the outset of the arrangement.</w:t>
      </w:r>
    </w:p>
    <w:p>
      <w:pPr>
        <w:spacing w:after="0" w:line="16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Lab and are recognized as revenue. During the year ended December 31, 2022, the Company recorded $0.9 million in revenue related to Zai Lab territory specific activities in the consolidated financial statements.</w:t>
      </w:r>
    </w:p>
    <w:p>
      <w:pPr>
        <w:spacing w:after="0" w:line="19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For the purposes of ASC 606, the transaction price of the Zai Lab agreement at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in 2021.</w:t>
      </w:r>
    </w:p>
    <w:p>
      <w:pPr>
        <w:spacing w:after="0" w:line="187"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 million, and through December 31, 2022, the Company has received an aggregate of $105.0 million in specified regulatory and commercialization milestones. In addition to the upfront and milestone payments received through December 31, 2022, the Company is eligible to receive up to $822.0 million in contingent payments, including specified development, regulatory and sales-based milestones for pralsetinib and any licensed product containing a next-generation RET compound.</w:t>
      </w:r>
    </w:p>
    <w:p>
      <w:pPr>
        <w:spacing w:after="0" w:line="189"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7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pralsetinib collaboration agreement, effective upon termination of the agreement, the Company is entitled to retain specified licenses to be able to continue to exploit the licensed products.</w:t>
      </w:r>
    </w:p>
    <w:p>
      <w:pPr>
        <w:spacing w:after="0" w:line="16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determined that the Roche pralsetinib collaboration agreement contained four material components:</w:t>
      </w:r>
    </w:p>
    <w:p>
      <w:pPr>
        <w:spacing w:after="0" w:line="39" w:lineRule="exact"/>
        <w:rPr>
          <w:sz w:val="20"/>
          <w:szCs w:val="20"/>
          <w:color w:val="auto"/>
        </w:rPr>
      </w:pPr>
    </w:p>
    <w:p>
      <w:pPr>
        <w:ind w:left="60" w:right="199" w:hanging="10"/>
        <w:spacing w:after="0" w:line="266" w:lineRule="auto"/>
        <w:tabs>
          <w:tab w:leader="none" w:pos="27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 evaluated the Roche territory activities under ASC 606 and identified one material promise</w:t>
      </w:r>
    </w:p>
    <w:p>
      <w:pPr>
        <w:spacing w:after="0" w:line="16"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the revenue is recognized when the related sales occur. Costs that are incurred associated with the Roche territory activities are reimbursable from Roche and are recognized as revenue.</w:t>
      </w:r>
    </w:p>
    <w:p>
      <w:pPr>
        <w:spacing w:after="0" w:line="19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December 31, 2022, the Company has achieved an aggregate of $105.0 million in specified regulatory and commercialization milestones and added the $105.0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reevaluates the transaction price at the end of each reporting period and as uncertain events are resolved or other changes in</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under the Roche pralsetinib collaboration during the years ended December 31, 2022, 2021 and 2020 (in thousands):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94"/>
        </w:trPr>
        <w:tc>
          <w:tcPr>
            <w:tcW w:w="52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4"/>
        </w:trPr>
        <w:tc>
          <w:tcPr>
            <w:tcW w:w="52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ex-US territory-specific activities</w:t>
            </w:r>
          </w:p>
        </w:tc>
        <w:tc>
          <w:tcPr>
            <w:tcW w:w="8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3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milestone revenue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Upfront license revenue</w:t>
            </w:r>
          </w:p>
        </w:tc>
        <w:tc>
          <w:tcPr>
            <w:tcW w:w="6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695,694</w:t>
            </w:r>
          </w:p>
        </w:tc>
      </w:tr>
      <w:tr>
        <w:trPr>
          <w:trHeight w:val="209"/>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Roche pralsetinib collaboration revenue</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56,022</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753,100</w:t>
            </w:r>
          </w:p>
        </w:tc>
      </w:tr>
      <w:tr>
        <w:trPr>
          <w:trHeight w:val="20"/>
        </w:trPr>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Prior to July 1, 2021, the Company was the principal for product sales to customers in the U.S. and recognized revenues on sales to third parties in product revenue, net in its consolidated statements of operations and comprehensive income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consolidated statements of operations and comprehensive income (loss).</w:t>
      </w:r>
    </w:p>
    <w:p>
      <w:pPr>
        <w:spacing w:after="0" w:line="194"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from collaboration loss sharing after Roche became the principal for product sales of GAVRETO to customers in the U.S. (in thousands):</w:t>
      </w:r>
    </w:p>
    <w:p>
      <w:pPr>
        <w:spacing w:after="0" w:line="20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24765</wp:posOffset>
            </wp:positionV>
            <wp:extent cx="19030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9" w:lineRule="exact"/>
        <w:rPr>
          <w:sz w:val="20"/>
          <w:szCs w:val="20"/>
          <w:color w:val="auto"/>
        </w:rPr>
      </w:pPr>
    </w:p>
    <w:p>
      <w:pPr>
        <w:ind w:left="6260"/>
        <w:spacing w:after="0"/>
        <w:tabs>
          <w:tab w:leader="none" w:pos="7300" w:val="left"/>
          <w:tab w:leader="none" w:pos="83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34" w:lineRule="exact"/>
        <w:rPr>
          <w:sz w:val="20"/>
          <w:szCs w:val="20"/>
          <w:color w:val="auto"/>
        </w:rPr>
      </w:pPr>
    </w:p>
    <w:p>
      <w:pPr>
        <w:ind w:left="60"/>
        <w:spacing w:after="0"/>
        <w:tabs>
          <w:tab w:leader="none" w:pos="5940" w:val="left"/>
          <w:tab w:leader="none" w:pos="6380" w:val="left"/>
          <w:tab w:leader="none" w:pos="7000" w:val="left"/>
          <w:tab w:leader="none" w:pos="7420" w:val="left"/>
          <w:tab w:leader="none" w:pos="8020" w:val="left"/>
          <w:tab w:leader="none" w:pos="8700" w:val="left"/>
        </w:tabs>
        <w:rPr>
          <w:sz w:val="20"/>
          <w:szCs w:val="20"/>
          <w:color w:val="auto"/>
        </w:rPr>
      </w:pPr>
      <w:r>
        <w:rPr>
          <w:rFonts w:ascii="Times New Roman" w:cs="Times New Roman" w:eastAsia="Times New Roman" w:hAnsi="Times New Roman"/>
          <w:sz w:val="18"/>
          <w:szCs w:val="18"/>
          <w:color w:val="auto"/>
        </w:rPr>
        <w:t>The Company's share of loss in the U.S. for GAVRETO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8,948</w:t>
        <w:tab/>
        <w:t>$</w:t>
      </w:r>
      <w:r>
        <w:rPr>
          <w:sz w:val="20"/>
          <w:szCs w:val="20"/>
          <w:color w:val="auto"/>
        </w:rPr>
        <w:tab/>
      </w:r>
      <w:r>
        <w:rPr>
          <w:rFonts w:ascii="Times New Roman" w:cs="Times New Roman" w:eastAsia="Times New Roman" w:hAnsi="Times New Roman"/>
          <w:sz w:val="18"/>
          <w:szCs w:val="18"/>
          <w:color w:val="auto"/>
        </w:rPr>
        <w:t>7,801</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32" w:lineRule="exact"/>
        <w:rPr>
          <w:sz w:val="20"/>
          <w:szCs w:val="20"/>
          <w:color w:val="auto"/>
        </w:rPr>
      </w:pPr>
    </w:p>
    <w:p>
      <w:pPr>
        <w:ind w:left="60" w:right="379"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amounts recognized as reductions to selling, general and administrative expenses related to the commercialization of GAVRETO in the U.S., and reductions to (increases in) research and development expenses related to global development activities for pralsetinib under the Roche pralsetinib collaboration during the years ended December 31, 2022, 2021 and 2020 (in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9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7"/>
                <w:szCs w:val="17"/>
                <w:color w:val="auto"/>
              </w:rPr>
            </w:pPr>
          </w:p>
        </w:tc>
      </w:tr>
      <w:tr>
        <w:trPr>
          <w:trHeight w:val="214"/>
        </w:trPr>
        <w:tc>
          <w:tcPr>
            <w:tcW w:w="590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99"/>
              </w:rPr>
              <w:t>Reductions to selling, general and administrative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20" w:type="dxa"/>
            <w:vAlign w:val="bottom"/>
          </w:tcPr>
          <w:p>
            <w:pPr>
              <w:spacing w:after="0"/>
              <w:rPr>
                <w:sz w:val="18"/>
                <w:szCs w:val="18"/>
                <w:color w:val="auto"/>
              </w:rPr>
            </w:pPr>
          </w:p>
        </w:tc>
      </w:tr>
      <w:tr>
        <w:trPr>
          <w:trHeight w:val="234"/>
        </w:trPr>
        <w:tc>
          <w:tcPr>
            <w:tcW w:w="59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9"/>
              </w:rPr>
              <w:t>Reductions to (increases in) research and development expenses</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(19,297)</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20,459</w:t>
            </w:r>
          </w:p>
        </w:tc>
        <w:tc>
          <w:tcPr>
            <w:tcW w:w="20" w:type="dxa"/>
            <w:vAlign w:val="bottom"/>
          </w:tcPr>
          <w:p>
            <w:pPr>
              <w:spacing w:after="0"/>
              <w:rPr>
                <w:sz w:val="20"/>
                <w:szCs w:val="20"/>
                <w:color w:val="auto"/>
              </w:rPr>
            </w:pPr>
          </w:p>
        </w:tc>
      </w:tr>
      <w:tr>
        <w:trPr>
          <w:trHeight w:val="900"/>
        </w:trPr>
        <w:tc>
          <w:tcPr>
            <w:tcW w:w="59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F-31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5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0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contract assets and liability associated with the Roche pralsetinib collaboration as of December 31, 2022 and 2021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the Company sold its right to receive royalty payments from Roche’s sales of GAVRETO in Roche territory to Royalty Pharma in June 2022, given the Company’s significant continuing involvement in the generation of future royalties, the Company continues to account for any royalties and development and commercialization milestones earned related to the Roche territory activities under the Roche pralsetinib collaboration agreement as collaboration revenue on its consolidated statements of operations and comprehensive income (loss).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1F2328"/>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8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1F2328"/>
        </w:rPr>
        <w:t xml:space="preserve">Under the Clementia agreement, the Company received an upfront cash payment of $25.0 million and through December 31, 2022, the Company has received an aggregate of $50.0 million in cash milestone payments. Subject to the terms of the Clementia agreement, in addition to the upfront and milestone payments </w:t>
      </w:r>
      <w:r>
        <w:rPr>
          <w:rFonts w:ascii="Times New Roman" w:cs="Times New Roman" w:eastAsia="Times New Roman" w:hAnsi="Times New Roman"/>
          <w:sz w:val="18"/>
          <w:szCs w:val="18"/>
          <w:color w:val="000000"/>
        </w:rPr>
        <w:t>received through December 31, 2022</w:t>
      </w:r>
      <w:r>
        <w:rPr>
          <w:rFonts w:ascii="Times New Roman" w:cs="Times New Roman" w:eastAsia="Times New Roman" w:hAnsi="Times New Roman"/>
          <w:sz w:val="18"/>
          <w:szCs w:val="18"/>
          <w:color w:val="1F2328"/>
        </w:rPr>
        <w:t>,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92" w:lineRule="exact"/>
        <w:rPr>
          <w:sz w:val="20"/>
          <w:szCs w:val="20"/>
          <w:color w:val="auto"/>
        </w:rPr>
      </w:pPr>
    </w:p>
    <w:p>
      <w:pPr>
        <w:jc w:val="both"/>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w:t>
      </w:r>
    </w:p>
    <w:p>
      <w:pPr>
        <w:spacing w:after="0" w:line="2"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9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determined that the transaction price at the outset of the arrangement was $46.5 million, which was allocated to the three performance obligations on a relative stand-alone selling price basis. The Company recognized revenue in total of $46.2 million related to the license and the technology transfer and inventory transfer in 2019 and $0.3 million related to remaining inventory transfer in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During the year ended December 31, 2022, cash consideration associated with an achieved development milestone of $30.0 million was added to the estimated transaction price for the Clementia agreement and recognized as revenue. The other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58"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and 2020, no material revenue was recognized from the Clementia collaboration. There was no revenue deferred as a contract liability associated with the Clementia agreement as of December 31,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 Pharmaceuticals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through December 31, 2022, the Company has achieved an aggregate of $29.5 million in milestones under this collaboration. Subject to the terms of the CStone agreement, in addition to the upfront payments received and milestones achieved through December 31, 2022, the Company will be eligible to receive up to $316.5 million in contingent payments, including specified development, regulatory and sales-based milestones for licensed products.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92"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percentage royalty on a licensed product-by-licensed product basis on annual net sales of such licensed product in the CStone territory, subject to a cap and other specified exceptions.</w:t>
      </w:r>
    </w:p>
    <w:p>
      <w:pPr>
        <w:spacing w:after="0" w:line="162"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w:t>
      </w:r>
    </w:p>
    <w:p>
      <w:pPr>
        <w:spacing w:after="0" w:line="194" w:lineRule="exact"/>
        <w:rPr>
          <w:sz w:val="20"/>
          <w:szCs w:val="20"/>
          <w:color w:val="auto"/>
        </w:rPr>
      </w:pPr>
    </w:p>
    <w:p>
      <w:pPr>
        <w:jc w:val="both"/>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A summary of manufacturing and research and development services related to the global development activities, net of expenses payable to CStone during the years ended December 31, 2022, 2021 and 2020 is as follows (in thousands):</w:t>
      </w:r>
    </w:p>
    <w:p>
      <w:pPr>
        <w:spacing w:after="0" w:line="147"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p>
      <w:pPr>
        <w:ind w:left="6640"/>
        <w:spacing w:after="0"/>
        <w:tabs>
          <w:tab w:leader="none" w:pos="7520" w:val="left"/>
          <w:tab w:leader="none" w:pos="84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-95250</wp:posOffset>
            </wp:positionV>
            <wp:extent cx="16116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research and development services related to global development</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activities, net of expenses payable to CStone</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1,749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2,358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-273685</wp:posOffset>
            </wp:positionV>
            <wp:extent cx="5648960" cy="274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3">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spacing w:after="0" w:line="20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9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87"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76"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performance obligations upon delivery of the licenses, initial know-how transfers and product trademark and recognized the upfront payment of $40.0 million as revenue in 2018.</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2021, and 2020, cash consideration associated with achieved development and sales-based milestones of $6.5 million, $9.0 million and $2.0 million, respectively, were added to the estimated transaction price for the CStone agreement and recognized as revenue in such periods.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87"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In 2021, the Company entered into commercial supply agreements and an avapritinib manufacturing technology transfer agreement with CStone related to supply of drug substance of avapritinib and drug product of avapritinib and pralsetinib to assist CStone’s commercialization activities conducted specifically for the CStone territory. In 2022, the Company entered into a pralsetinib manufacturing technology transfer agreement with CStone related to supply of drug substance of pralsetinib. The manufacturing activities in these agreements were considered as distinct performance obligations from the CStone collaboration agreement and collaboration revenue is recognized upon delivery of the drug substance and drug product to CStone.</w:t>
      </w:r>
    </w:p>
    <w:p>
      <w:pPr>
        <w:spacing w:after="0" w:line="18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A summary of revenue recognized under the CStone agreement during the years ended December 31, 2022, 2021 and 2020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milestone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198"/>
        </w:trPr>
        <w:tc>
          <w:tcPr>
            <w:tcW w:w="6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Manufacturing services and royalty revenue related to CStone territory-specific</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CStone collaboration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contract assets and liability associated with the CStone collaboration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and 2021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7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4,991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8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2,265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r>
    </w:tbl>
    <w:p>
      <w:pPr>
        <w:spacing w:after="0" w:line="198" w:lineRule="exact"/>
        <w:rPr>
          <w:sz w:val="20"/>
          <w:szCs w:val="20"/>
          <w:color w:val="auto"/>
        </w:rPr>
      </w:pPr>
    </w:p>
    <w:p>
      <w:pPr>
        <w:ind w:left="60" w:right="539" w:firstLine="648"/>
        <w:spacing w:after="0" w:line="296" w:lineRule="auto"/>
        <w:rPr>
          <w:sz w:val="20"/>
          <w:szCs w:val="20"/>
          <w:color w:val="auto"/>
        </w:rPr>
      </w:pPr>
      <w:r>
        <w:rPr>
          <w:rFonts w:ascii="Times New Roman" w:cs="Times New Roman" w:eastAsia="Times New Roman" w:hAnsi="Times New Roman"/>
          <w:sz w:val="17"/>
          <w:szCs w:val="17"/>
          <w:color w:val="auto"/>
        </w:rPr>
        <w:t>The contract liability associated with the CStone as of December 31, 2022 and 2021 resulted primarily from advance payments made by CStone in connection with commercial supply of pralsetinib for the CStone territory.</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w:t>
      </w:r>
    </w:p>
    <w:p>
      <w:pPr>
        <w:spacing w:after="0" w:line="180" w:lineRule="exact"/>
        <w:rPr>
          <w:sz w:val="20"/>
          <w:szCs w:val="20"/>
          <w:color w:val="auto"/>
        </w:rPr>
      </w:pPr>
    </w:p>
    <w:p>
      <w:pPr>
        <w:jc w:val="both"/>
        <w:ind w:left="60" w:right="259" w:firstLine="648"/>
        <w:spacing w:after="0" w:line="272" w:lineRule="auto"/>
        <w:rPr>
          <w:sz w:val="20"/>
          <w:szCs w:val="20"/>
          <w:color w:val="auto"/>
        </w:rPr>
      </w:pPr>
      <w:r>
        <w:rPr>
          <w:rFonts w:ascii="Times New Roman" w:cs="Times New Roman" w:eastAsia="Times New Roman" w:hAnsi="Times New Roman"/>
          <w:sz w:val="17"/>
          <w:szCs w:val="17"/>
          <w:color w:val="auto"/>
        </w:rPr>
        <w:t>Under the Roche immunotherapy agreement, Roche was originally granted up to five option rights to obtain an exclusive license to exploit products derived from the collaboration programs in the field of cancer immunotherapy. As a result of amendments to the Roche immunotherapy agreement in prior reporting periods and following the ending of the option period for one of the collaboration programs in February 2023, the Company and Roche are currently conducting activities only for the development program for the kinase target MAP4K1 (BLU-852) under the collaboration.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Roche’s option right is triggered upon the achievement of Phase 1 proof-of-concept. If Roche exercises its option, Roche will receive worldwide, exclusive commercialization rights for the licensed product. The Company will retain worldwide rights to any product for which Roche elects not to exercise its option.</w:t>
      </w:r>
    </w:p>
    <w:p>
      <w:pPr>
        <w:spacing w:after="0" w:line="17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Prior to Roche’s exercise of its option, the Company has the lead responsibility for drug discovery and preclinical development of the collaboration program. In addition, the Company has the lead responsibility for the conduct of the Phase 1 clinical trial other than any Phase 1 clinical trial for the product in combination with Roche’s portfolio of therapeutics, for which Roche has the right to lead the conduct of such Phase 1 clinical trial. Pursuant to the Roche immunotherapy agreement, the parties share the costs of Phase 1 development for the collaboration program. In addition, Roche will be responsible for post-Phase 1 development costs for the licensed product for which it retains global commercialization rights.</w:t>
      </w:r>
    </w:p>
    <w:p>
      <w:pPr>
        <w:spacing w:after="0" w:line="18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an upfront cash payment of $45.0 million, and through December 31, 2022, the Company has achieved an aggregate of $25.0 million in milestone payments under this collaboration. Subject to the terms of the Roche immunotherapy agreement, as amended, in addition to the upfront and milestone payments received through December 31, 2022, the Company is eligible to receive up to approximately $292.5 million in contingent option fee and milestone payments related to specified research, preclinical, clinical, regulatory and sales-based milestones. In addition, the Company will be eligible to receive tiered royalties ranging from low double-digits to high-teens on future net sales of the licensed product. The upfront cash payment and any payments for milestones, option fee and royalties are non-refundable, non-creditable and not subject to set-off.</w:t>
      </w:r>
    </w:p>
    <w:p>
      <w:pPr>
        <w:spacing w:after="0" w:line="19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Roche immunotherapy agreement will continue until the date when no royalty or other payment obligations are or will become due, unless earlier terminated in accordance with the terms of the Roche immunotherapy agreement. Prior to its exercise of the option, Roche may terminate the Roche immunotherapy agreement at will upon 120 days’ prior written notice to the Company. Following its exercise of the option, Roche may terminate the Roche immunotherapy agreement at will, or, if a licensed product has been commercially sold, on a country-by-country basis, (i) upon 120 days’ prior written notice if the licensed product has not been commercially sold or (ii) upon 180 days’ prior written notice if the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 to be able to continue to exploit the licensed product.</w:t>
      </w:r>
    </w:p>
    <w:p>
      <w:pPr>
        <w:spacing w:after="0" w:line="18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7"/>
          <w:szCs w:val="17"/>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2" w:lineRule="exact"/>
        <w:rPr>
          <w:sz w:val="20"/>
          <w:szCs w:val="20"/>
          <w:color w:val="auto"/>
        </w:rPr>
      </w:pPr>
    </w:p>
    <w:p>
      <w:pPr>
        <w:ind w:left="60" w:right="59" w:hanging="10"/>
        <w:spacing w:after="0" w:line="249" w:lineRule="auto"/>
        <w:tabs>
          <w:tab w:leader="none" w:pos="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95" w:lineRule="exact"/>
        <w:rPr>
          <w:sz w:val="20"/>
          <w:szCs w:val="20"/>
          <w:color w:val="auto"/>
        </w:rPr>
      </w:pPr>
    </w:p>
    <w:p>
      <w:pPr>
        <w:ind w:left="60" w:right="379" w:firstLine="648"/>
        <w:spacing w:after="0" w:line="255" w:lineRule="auto"/>
        <w:rPr>
          <w:sz w:val="20"/>
          <w:szCs w:val="20"/>
          <w:color w:val="auto"/>
        </w:rPr>
      </w:pPr>
      <w:r>
        <w:rPr>
          <w:rFonts w:ascii="Times New Roman" w:cs="Times New Roman" w:eastAsia="Times New Roman" w:hAnsi="Times New Roman"/>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87"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at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reevaluates the transaction price at the end of each reporting period and as uncertain events are resolved or other changes in circumstances occur, and, if necessary, adjusts its estimate of the transaction price.</w:t>
      </w:r>
    </w:p>
    <w:p>
      <w:pPr>
        <w:spacing w:after="0" w:line="19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Through December 31, 2022, the Company has achieved an aggregate of $25.0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 During the years ended December 31, 2022 and 2021, cash considerations associated with an achieved research milestones of $1.5 million and $4.0 million, respectively, were added to the estimated transaction price. During the year ended December 31, 2022, the Company and Roche endorsed a clinical development plan for IND enabling activities for BLU-852, in combination with atezolizumab, an approved drug product commercialized by Roche, and pursuant to the Roche immunotherapy agreement, the Company is obligated to share with Roche the development cost up to $15.0 million. As a result, during the year ended December 31, 2022, the Company reduced the aggregated transaction price of this collaboration by $15.0 million and recorded its commitment of $15.0 million as a liability on its consolidated financial statements.</w:t>
      </w:r>
    </w:p>
    <w:p>
      <w:pPr>
        <w:spacing w:after="0" w:line="188"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During the year ended December 31, 2022, a reduction in the costs expected to be incurred in the future to satisfy certain performance obligations under the collaboration became probable as a result of Roche and the Company endorsing the clinical development plan for IND enabling activities for BLU-852 in combination with Roche’s product.</w:t>
      </w:r>
    </w:p>
    <w:p>
      <w:pPr>
        <w:spacing w:after="0" w:line="23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Because of the revision to the cost expected to be incurred to satisfy the performance obligation and the reduction of the $15.0 million payment commitment to Roche from the aggregated transaction price, the Company recorded a cumulative revenue catch-up of $2.9 million during the year ended December 31, 2022. A summary of revenue recognized under the Roche immunotherapy agreement during the years ended December 31, 2022, 2021 and 2020 is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174"/>
        </w:trPr>
        <w:tc>
          <w:tcPr>
            <w:tcW w:w="5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collaboration research and development services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r>
    </w:tbl>
    <w:p>
      <w:pPr>
        <w:spacing w:after="0" w:line="23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recognized the following revenue due to the changes in the contract liability balances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174"/>
        </w:trPr>
        <w:tc>
          <w:tcPr>
            <w:tcW w:w="5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liabilities related to the Roche immunotherapy agreement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and 2021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40" w:type="dxa"/>
            <w:vAlign w:val="bottom"/>
            <w:tcBorders>
              <w:bottom w:val="single" w:sz="8" w:color="auto"/>
            </w:tcBorders>
          </w:tcPr>
          <w:p>
            <w:pPr>
              <w:spacing w:after="0"/>
              <w:rPr>
                <w:sz w:val="16"/>
                <w:szCs w:val="16"/>
                <w:color w:val="auto"/>
              </w:rPr>
            </w:pPr>
          </w:p>
        </w:tc>
      </w:tr>
      <w:tr>
        <w:trPr>
          <w:trHeight w:val="209"/>
        </w:trPr>
        <w:tc>
          <w:tcPr>
            <w:tcW w:w="4340" w:type="dxa"/>
            <w:vAlign w:val="bottom"/>
          </w:tcPr>
          <w:p>
            <w:pPr>
              <w:spacing w:after="0"/>
              <w:rPr>
                <w:sz w:val="18"/>
                <w:szCs w:val="18"/>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4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5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16,026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31,405</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11,208</w:t>
            </w: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5"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the research and development services related to the performance obligation were expected to be performed over a remaining period of approximately 3 years.</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22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performance-based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years beginning January 1, 2022 and 2023, the number of shares reserved for issuance under the 2015 Plan was increased by 2,365,643 and 2,398,356 shares, respectively. In addition, the total number of shares reserved for issuance is subject to adjustment in the event of a stock split, stock dividend or other change in the Company’s capitalization. As of December 31, 2022, there were 4,116,893 shares available for future grant under the 2015 Plan.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229"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December 31, 2022, there were 1,473,235 shares available for future grant under the Inducement Plan.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totaling $99.0 million, $91.6 million and $75.5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award type included within the consolidated statements of operations and comprehensive income (loss) is as follows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57,237</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3"/>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76,602</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(1,405)</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included in total cost and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91,630</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75,526</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that is included in operating expenses by classification within the consolidated statements of operations and comprehensive income (loss) is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5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40,302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33,642</w:t>
            </w:r>
          </w:p>
        </w:tc>
        <w:tc>
          <w:tcPr>
            <w:tcW w:w="4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58,669</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51,960</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41,884</w:t>
            </w:r>
          </w:p>
        </w:tc>
        <w:tc>
          <w:tcPr>
            <w:tcW w:w="40" w:type="dxa"/>
            <w:vAlign w:val="bottom"/>
            <w:tcBorders>
              <w:bottom w:val="single" w:sz="8" w:color="CCEEFF"/>
            </w:tcBorders>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included in operating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98,971</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75,526</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there was $179.7 million of total unrecognized compensation cost related to non-vested stock awards, which is expected to be recognized over a weighted-average period of 2.5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Stock options granted by the Company generally vest ratably over four years, with a one-year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2780" w:type="dxa"/>
            <w:vAlign w:val="bottom"/>
            <w:gridSpan w:val="6"/>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1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60.48 %</w:t>
            </w:r>
          </w:p>
        </w:tc>
      </w:tr>
    </w:tbl>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year ended December 31, 2022:</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4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5,682,022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1,192,170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(385,808)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6,233,451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3"/>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4,187,832</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67.47</w:t>
            </w: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00" w:right="99" w:hanging="650"/>
        <w:spacing w:after="0" w:line="280" w:lineRule="auto"/>
        <w:tabs>
          <w:tab w:leader="none" w:pos="7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Intrinsic value represents the amount by which the fair market value as of December 31, 2022 of the underlying common stock exceeds the exercise price of the option.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in the years ended December 31, 2022, 2021 and 2020 was $32.30, $52.93 and $34.77, respectively. The total intrinsic value of options exercised in the years ended December 31, 2022, 2021, and 2020 was $11.8 million, $52.3 million, and $43.3 million, respectively.</w:t>
      </w:r>
    </w:p>
    <w:p>
      <w:pPr>
        <w:spacing w:after="0" w:line="1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the total unrecognized compensation expense related to unvested stock option awards was $75.0 million, which is expected to be recognized over a weighted-average period of approximately 2.4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51"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granted by the Company generally vest ratably over four years. The following table summarizes the restricted stock units activity for the year ended December 31, 2022:</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6"/>
        </w:trPr>
        <w:tc>
          <w:tcPr>
            <w:tcW w:w="6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4"/>
        </w:trPr>
        <w:tc>
          <w:tcPr>
            <w:tcW w:w="62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6"/>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1,590,160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(482,229)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(170,654)</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Borders>
              <w:bottom w:val="single" w:sz="8" w:color="CCEEFF"/>
            </w:tcBorders>
          </w:tcPr>
          <w:p>
            <w:pPr>
              <w:spacing w:after="0"/>
              <w:rPr>
                <w:sz w:val="18"/>
                <w:szCs w:val="18"/>
                <w:color w:val="auto"/>
              </w:rPr>
            </w:pPr>
          </w:p>
        </w:tc>
      </w:tr>
      <w:tr>
        <w:trPr>
          <w:trHeight w:val="210"/>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1,893,994</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total fair value of restricted stock units vested during the years ended December 31, 2022, 2021 and 2020 was $29.4 million, $31.6 million and $7.4 million, respectively. As of December 31, 2022, the total unrecognized compensation expense related to unvested restricted stock units was $104.7 million, which is expected to be recognized over a weighted-average period of approximately 2.5 years.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years beginning January 1, 2022 and 2023, the number of shares reserved for issuance under the 2015 ESPP was increased by 591,410 and 599,589 shares, respectively. The Company issued 80,717, 43,167, and 38,516 shares under the ESPP during the years ended December 31, 2022, 2021, and 2020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1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Basic net income (loss) per share (earnings per share, EPS) is calculated by dividing net income (loss) by the weighted average shares of common stock outstanding during the period, without consideration for common stock equivalents. Diluted net income (loss) per share is calculated by adjusting weighted average shares outstanding for the dilutive effect of common stock equivalents outstanding for the period. For purposes of the diluted net income (loss) per share calculation, the effect of stock options, unvested restricted stock units and ESPP shares on weighted average number of shares is calculated using the treasury stock method. In periods with reported net operating losses, all common stock equivalents are deemed anti-dilutive such that basic net loss per share and diluted net loss per share are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calculation of net income (loss) and the number of shares used to compute basic and diluted net income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share for the years ended December 31, 2022, 2021 and 2020 are as follows (in thousands, except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4"/>
        </w:trPr>
        <w:tc>
          <w:tcPr>
            <w:tcW w:w="44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 basic and diluted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(644,085)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313,882</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54,534</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16"/>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58,518</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56,168</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c>
          <w:tcPr>
            <w:tcW w:w="4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(11.01)</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bl>
    <w:p>
      <w:pPr>
        <w:spacing w:after="0" w:line="193" w:lineRule="exact"/>
        <w:rPr>
          <w:sz w:val="20"/>
          <w:szCs w:val="20"/>
          <w:color w:val="auto"/>
        </w:rPr>
      </w:pPr>
    </w:p>
    <w:p>
      <w:pPr>
        <w:jc w:val="both"/>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following dilutive securities were not included in the computation of net income (loss) per share because the effect would be anti-dilutive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3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8"/>
                <w:szCs w:val="18"/>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 for the years ended December 31, 2022, 2021 and 2020:</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320" w:type="dxa"/>
            <w:vAlign w:val="bottom"/>
            <w:tcBorders>
              <w:bottom w:val="single" w:sz="8" w:color="auto"/>
            </w:tcBorders>
            <w:gridSpan w:val="5"/>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30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(benefit) at statutory rate</w:t>
            </w:r>
          </w:p>
        </w:tc>
        <w:tc>
          <w:tcPr>
            <w:tcW w:w="2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80" w:type="dxa"/>
            <w:vAlign w:val="bottom"/>
          </w:tcPr>
          <w:p>
            <w:pPr>
              <w:spacing w:after="0"/>
              <w:rPr>
                <w:sz w:val="18"/>
                <w:szCs w:val="18"/>
                <w:color w:val="auto"/>
              </w:rPr>
            </w:pP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18"/>
                <w:szCs w:val="18"/>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Federal orphan drug credits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rate change</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tcPr>
          <w:p>
            <w:pPr>
              <w:spacing w:after="0"/>
              <w:rPr>
                <w:sz w:val="18"/>
                <w:szCs w:val="18"/>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40" w:type="dxa"/>
            <w:vAlign w:val="bottom"/>
            <w:gridSpan w:val="3"/>
          </w:tcPr>
          <w:p>
            <w:pPr>
              <w:jc w:val="right"/>
              <w:ind w:right="2590"/>
              <w:spacing w:after="0"/>
              <w:rPr>
                <w:sz w:val="20"/>
                <w:szCs w:val="20"/>
                <w:color w:val="auto"/>
              </w:rPr>
            </w:pPr>
            <w:r>
              <w:rPr>
                <w:rFonts w:ascii="Times New Roman" w:cs="Times New Roman" w:eastAsia="Times New Roman" w:hAnsi="Times New Roman"/>
                <w:sz w:val="18"/>
                <w:szCs w:val="18"/>
                <w:color w:val="auto"/>
              </w:rPr>
              <w:t>F-41</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7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2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243,670</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140,769</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23,679</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Orphan drug credit carryforwards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Royalty Pharma milestones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R&amp;D capitalization</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arrangements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Jublient license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652,411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503,364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Debt issuance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UNICAP</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(625,095)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(328,442)</w:t>
            </w:r>
          </w:p>
        </w:tc>
        <w:tc>
          <w:tcPr>
            <w:tcW w:w="100" w:type="dxa"/>
            <w:vAlign w:val="bottom"/>
            <w:tcBorders>
              <w:bottom w:val="single" w:sz="8" w:color="CCEEFF"/>
            </w:tcBorders>
          </w:tcPr>
          <w:p>
            <w:pPr>
              <w:spacing w:after="0"/>
              <w:rPr>
                <w:sz w:val="18"/>
                <w:szCs w:val="18"/>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80" w:firstLine="648"/>
        <w:spacing w:after="0" w:line="252"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$625.1 million, $476.2 million and $328.4 million has been established at December 31, 2022, 2021 and 2020, respectively. The change in the valuation allowance was $148.9 million, $147.7 million and ($42.0) million for the years ended December 31, 2022, 2021 and 2020, respectively. The increase of deferred tax asset between December 31, 2022 and 2021 is primarily driven by the capital gains generated from the purchase and sale agreements with Royalty Pharma and Sixth Street Partners as well as the Tax Cuts and Jobs Act effective January 1, 2022 requiring capitalization and amortization of all Sec. 174 costs associated with research and development costs.</w:t>
      </w:r>
    </w:p>
    <w:p>
      <w:pPr>
        <w:spacing w:after="0" w:line="190" w:lineRule="exact"/>
        <w:rPr>
          <w:sz w:val="20"/>
          <w:szCs w:val="20"/>
          <w:color w:val="auto"/>
        </w:rPr>
      </w:pPr>
    </w:p>
    <w:p>
      <w:pPr>
        <w:ind w:left="60" w:right="80" w:firstLine="648"/>
        <w:spacing w:after="0" w:line="252" w:lineRule="auto"/>
        <w:rPr>
          <w:sz w:val="20"/>
          <w:szCs w:val="20"/>
          <w:color w:val="auto"/>
        </w:rPr>
      </w:pPr>
      <w:r>
        <w:rPr>
          <w:rFonts w:ascii="Times New Roman" w:cs="Times New Roman" w:eastAsia="Times New Roman" w:hAnsi="Times New Roman"/>
          <w:sz w:val="18"/>
          <w:szCs w:val="18"/>
          <w:color w:val="auto"/>
        </w:rPr>
        <w:t>The Company has incurred net operating losses (NOL) since inception with the exception of years 2020 and 2022. As of December 31, 2022, the Company had federal and state NOL carryforwards of $648.1 million and $894.0 million, respectively, which begin to expire in 2030, and of which $632.3 million of the Company’s federal NOL is post 2017 NOL that will be carried forward indefinitely. As of December 31, 2022, the Company had federal and state research and development tax credit carryforwards of $17.9 million and $20.4 million, respectively, which begin to expire in 2035. As of December 31, 2022, the Company had federal orphan drug credits of $148.6 million, which begin to expire in 2035 and state investment tax credits of $0.4 million, which have begun to expire in 2022. As of December 31, 2022, the Company has foreign tax credits of $2.5 million which will expire in 2031.</w:t>
      </w:r>
    </w:p>
    <w:p>
      <w:pPr>
        <w:spacing w:after="0" w:line="192" w:lineRule="exact"/>
        <w:rPr>
          <w:sz w:val="20"/>
          <w:szCs w:val="20"/>
          <w:color w:val="auto"/>
        </w:rPr>
      </w:pPr>
    </w:p>
    <w:p>
      <w:pPr>
        <w:ind w:left="60" w:right="160" w:firstLine="648"/>
        <w:spacing w:after="0" w:line="253" w:lineRule="auto"/>
        <w:rPr>
          <w:sz w:val="20"/>
          <w:szCs w:val="20"/>
          <w:color w:val="auto"/>
        </w:rPr>
      </w:pPr>
      <w:r>
        <w:rPr>
          <w:rFonts w:ascii="Times New Roman" w:cs="Times New Roman" w:eastAsia="Times New Roman" w:hAnsi="Times New Roman"/>
          <w:sz w:val="18"/>
          <w:szCs w:val="18"/>
          <w:color w:val="auto"/>
        </w:rPr>
        <w:t>The Company has analyzed and validated its research and development tax credits as well as its orphan drug credits for 2011-2021. The Company generated research credits in 2022 but has not conducted a formal study to document its qualified activities. This study may result in an adjustment to the Company’s research and development credit carryforwards. No amounts are being presented as an uncertain tax position as of December 31, 2022 until such study is completed and the adjustment is known. A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87" w:lineRule="exact"/>
        <w:rPr>
          <w:sz w:val="20"/>
          <w:szCs w:val="20"/>
          <w:color w:val="auto"/>
        </w:rPr>
      </w:pPr>
    </w:p>
    <w:p>
      <w:pPr>
        <w:jc w:val="both"/>
        <w:ind w:left="60" w:right="240" w:firstLine="648"/>
        <w:spacing w:after="0" w:line="266" w:lineRule="auto"/>
        <w:rPr>
          <w:sz w:val="20"/>
          <w:szCs w:val="20"/>
          <w:color w:val="auto"/>
        </w:rPr>
      </w:pPr>
      <w:r>
        <w:rPr>
          <w:rFonts w:ascii="Times New Roman" w:cs="Times New Roman" w:eastAsia="Times New Roman" w:hAnsi="Times New Roman"/>
          <w:sz w:val="18"/>
          <w:szCs w:val="18"/>
          <w:color w:val="auto"/>
        </w:rPr>
        <w:t>The Internal Revenue Code of 1986, as amended (the Code), provides for a limitation of the annual use of NOL and other tax attributes (such as research and development tax credit carryforwards) following certain ownership changes (as defined by the Code) that could limit the Company’s ability to utilize these carryforwards. The Company</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may have experienced such ownership changes in the past, and may experience ownership changes in the future as a result of shifts in its stock ownership, some of which are outside the Company’s control. Approximately $2.0 million of the Company’s NOL carryforwards may not be available for utilization within their applicable carryforward periods based on the Section 382 study in 2021. In addition, U.S. tax laws limit the time during which these carryforwards may be applied against future taxes. Therefore, the Company may not be able to take full advantage of these carryforwards for federal or state income tax purposes. The Company analyzed the ownership changes as of December 31, 2022 and it is more likely than not that an ownership change did not occur. The Company will finalize the analysis as part of the 2022 income tax return filing.</w:t>
      </w:r>
    </w:p>
    <w:p>
      <w:pPr>
        <w:spacing w:after="0" w:line="19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With respect to the net operating losses and research and development tax credit carryforwards acquired from the acquisition of Lengo on December 30, 2021, the Company has completed a study to assess whether an ownership change under Section 382 of the Code has occurred, or whether there have been multiple ownership changes since Lengo’s formation. Based on the study, all of the NOL and research and development credits acquired will be available for utilization within their applicable carryforward periods. An analysis of Lengo Therapeutics, Inc. was not required as it was merged into the Company effective June 24, 2022.</w:t>
      </w:r>
    </w:p>
    <w:p>
      <w:pPr>
        <w:spacing w:after="0" w:line="17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statements of operations and comprehensive income (loss). As of December 31, 2022 and 2021, the Company had no unrecognized tax benefits or accrued interest related to unrecognized tax benefits. As of December 31, 2022, the Company was open to examination in the U.S. federal and certain state jurisdictions for all of the Company’s tax years since the net operating losses may potentially be utilized in future years to reduce taxable income. Since the Company is in a loss carryforward position, it is generally subject to examination by the U.S. federal, state, and local income tax authorities for all tax years in which a loss carryforward is available.</w:t>
      </w:r>
    </w:p>
    <w:p>
      <w:pPr>
        <w:spacing w:after="0" w:line="189"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Effective January 1, 2022, a provision of the Tax Cuts and Jobs Act (TCJA) has taken effect creating a significant change to the treatment of research and experimental (R&amp;E)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has included the tax impact of capitalizing and amortizing these costs over the required periods and is expected to be in a taxable income position after the estimated addback for calendar year ended December 31, 2022.</w:t>
      </w:r>
    </w:p>
    <w:p>
      <w:pPr>
        <w:spacing w:after="0" w:line="19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June 30, 2022, the Company entered into a royalty purchase agreement with Royalty Pharma and a purchase and sale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Therefore, the $425.0 million was included in the taxable income for the year ended December 31, 2022.</w:t>
      </w:r>
    </w:p>
    <w:p>
      <w:pPr>
        <w:spacing w:after="0" w:line="17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August 1, 2022, the Company entered into the IDRx License Agreement and IDRx Stock Purchase Agreement. Pursuant to these agreements, the Company licensed its internally discovered KIT exon 13 inhibitor to IDRx in exchange for a 4,509,105 shares of IDRx’s Series A preferred stock and the eligibility to receive future milestones and tiered royalty payments. For book and tax purposes, the value of the equity totaling $27.5 million was included in the taxable income for the year ended December 31, 2022.</w:t>
      </w:r>
    </w:p>
    <w:p>
      <w:pPr>
        <w:spacing w:after="0" w:line="18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(IRA) of 2022 (H.R. 5376) into law. It includes income tax incentives designed to encourage investment in renewable and alternative energy sources, adoption of electric vehicles, and improvement in the energy efficiency of buildings and communities. To finance these incentives, the law imposes a 15% corporate alternative minimum tax (CAMT) on adjusted financial statement income of corporations with profits over $1 billion. It also introduces a new excise tax on corporate stock buybacks of public US companies. The CAMT is effective for tax years beginning after December 31, 2022 while the excise tax on corporate stock buybacks is effective for repurchases of stock after December 31, 2022. The Company does not anticipate the IRA having a significant impact on the effective tax rate or income tax payable and deferred income tax positions.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38 Sidney Street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February 2015, the Company entered into a lease for approximately 39,000 rentable square feet of office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laboratory space at 38 Sidney Street in Cambridge, Massachusetts, which was extended in December 2021. The extended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 term will expire on November 30, 2029. The Company agreed to pay an initial annual base rent of approximately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$4.5 million, which rises annually until it reaches approximately $5.5 million. The lease extension provided the Company</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an allowance for leasehold improvements of $0.8 million improvements to be made to the premises. A security</w:t>
      </w:r>
    </w:p>
    <w:p>
      <w:pPr>
        <w:ind w:left="60"/>
        <w:spacing w:after="0"/>
        <w:rPr>
          <w:sz w:val="20"/>
          <w:szCs w:val="20"/>
          <w:color w:val="auto"/>
        </w:rPr>
      </w:pPr>
      <w:r>
        <w:rPr>
          <w:rFonts w:ascii="Times New Roman" w:cs="Times New Roman" w:eastAsia="Times New Roman" w:hAnsi="Times New Roman"/>
          <w:sz w:val="18"/>
          <w:szCs w:val="18"/>
          <w:color w:val="auto"/>
        </w:rPr>
        <w:t>deposit of $0.9 million was recorded as restricted cash on the Company’s consolidated balance sheet as of</w:t>
      </w:r>
    </w:p>
    <w:p>
      <w:pPr>
        <w:spacing w:after="0" w:line="7"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December 31, 2022. The Company’s sublease agreements for the 38 Sidney Street property expired during the year ended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45 Sidney Street</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April 2017, the Company entered into a lease agreement for approximately 99,833 rentable square feet of office and laboratory space located at 45 Sidney Street in Cambridge, Massachusetts. In September 2018, the Company entered into an amendment to the lease agreement to expand the rentable square footage to approximately 139,216 square feet. The initial term of the lease agreement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has agreed to pay for the 99,833 rentable square feet an initial annual base rent of approximately $7.7 million, which increases annually until it reaches approximately $10.6 million in the last year of the initial term. The Company has also agreed to pay an initial annual base rent of approximately $3.2 million for the expansion premises, which increases annually until it reaches approximately $4.2 million in the last year of the initial term for the expansion premises. The amended lease provided the Company with a total tenant improvement allowance of approximately $17.4 million for improvements to be made to the premises. A security deposit of $3.8 million was recorded as restricted cash on the Company’s consolidated balance sheet as of December 31, 2022.</w:t>
      </w:r>
    </w:p>
    <w:p>
      <w:pPr>
        <w:spacing w:after="0" w:line="187"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The lease agreements do not contain residual value guarantees and the components of lease cost for the years ended December 31, 2022, 2021 and 2020 were as follows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4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(2,132)</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lease cost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entered into any material short-term leases or financing leases as of December 31, 2022.</w:t>
      </w:r>
    </w:p>
    <w:p>
      <w:pPr>
        <w:spacing w:after="0" w:line="225"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2022, 2021 and 2020 was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14"/>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2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shd w:val="clear" w:color="auto" w:fill="CCEEFF"/>
          </w:tcPr>
          <w:p>
            <w:pPr>
              <w:spacing w:after="0"/>
              <w:rPr>
                <w:sz w:val="18"/>
                <w:szCs w:val="18"/>
                <w:color w:val="auto"/>
              </w:rPr>
            </w:pPr>
          </w:p>
        </w:tc>
      </w:tr>
      <w:tr>
        <w:trPr>
          <w:trHeight w:val="837"/>
        </w:trPr>
        <w:tc>
          <w:tcPr>
            <w:tcW w:w="40" w:type="dxa"/>
            <w:vAlign w:val="bottom"/>
          </w:tcPr>
          <w:p>
            <w:pPr>
              <w:spacing w:after="0"/>
              <w:rPr>
                <w:sz w:val="24"/>
                <w:szCs w:val="24"/>
                <w:color w:val="auto"/>
              </w:rPr>
            </w:pPr>
          </w:p>
        </w:tc>
        <w:tc>
          <w:tcPr>
            <w:tcW w:w="54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F-44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Operating leases</w:t>
            </w: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17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2022 were as follows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19,089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39,264</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(29,050)</w:t>
            </w:r>
          </w:p>
        </w:tc>
      </w:tr>
      <w:tr>
        <w:trPr>
          <w:trHeight w:val="209"/>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103,368</w:t>
            </w:r>
          </w:p>
        </w:tc>
      </w:tr>
      <w:tr>
        <w:trPr>
          <w:trHeight w:val="20"/>
        </w:trPr>
        <w:tc>
          <w:tcPr>
            <w:tcW w:w="5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Employee Benefit Plans</w:t>
      </w:r>
    </w:p>
    <w:p>
      <w:pPr>
        <w:spacing w:after="0" w:line="21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various retirement and pension plans. The estimates of liabilities and expenses for these plans incorporate a number of assumptions, including expected rates of return on plan assets and interest rates used to discount future benefits.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 maintains a 401(k) plan for employees (the 401(k) Plan). The 401(k) Plan is intended to qualify under Section 401(k) of the Code, so that contributions to the 401(k) Plan by employees or by the Company, and the investment earnings on contributions,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The expense related to the 401(k) Plan primarily consists of the Company’s matching contributions. The expenses related to the 401(k) Plan for the years ended December 31, 2022, 2021 and 2020 were $3.7 million, $3.0 million and $1.9 million, respectively.</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Switzerland Defined Benefit Plan</w:t>
      </w:r>
    </w:p>
    <w:p>
      <w:pPr>
        <w:spacing w:after="0" w:line="18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its Swiss subsidiary, Blueprint Medicines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with multiple employers. The Company has no investment authority over the assets of the Swiss Plan,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plan balances as of December 31, 2022 and 2021: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(8,763)</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status recorded as other long-term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6,575</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6,482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Company’s net periodic benefit cost for the years ended December 31, 2022 and 2021 was $1.2 million and $2.0 million, respectively. The net periodic benefit cost for the year ended December 31, 2020 was not material. The contributions to the Swiss Plan for the years ended December 31, 2022, 2021 and 2020 were not material.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Associated with Commercial Supply Agreements</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commercialization of AYVAKIT/AYVAKYT and GAVRETO, the Company has negotiated manufacturing agreements with certain vendors that require the Company to meet minimum purchase obligations on an annual basis. The aggregate amount of future minimum purchase obligations under these manufacturing agreements over the period of next five years is approximately $13.3 million as of December 31, 2022.</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8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consolidated financial statements as of December 31, 2022 or 2021.</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19. Subsequent Events</w:t>
      </w:r>
    </w:p>
    <w:p>
      <w:pPr>
        <w:spacing w:after="0" w:line="270" w:lineRule="exact"/>
        <w:rPr>
          <w:sz w:val="20"/>
          <w:szCs w:val="20"/>
          <w:color w:val="auto"/>
        </w:rPr>
      </w:pPr>
    </w:p>
    <w:p>
      <w:pPr>
        <w:ind w:left="60" w:right="419" w:firstLine="648"/>
        <w:spacing w:after="0" w:line="255" w:lineRule="auto"/>
        <w:rPr>
          <w:sz w:val="20"/>
          <w:szCs w:val="20"/>
          <w:color w:val="auto"/>
        </w:rPr>
      </w:pPr>
      <w:r>
        <w:rPr>
          <w:rFonts w:ascii="Times New Roman" w:cs="Times New Roman" w:eastAsia="Times New Roman" w:hAnsi="Times New Roman"/>
          <w:sz w:val="18"/>
          <w:szCs w:val="18"/>
          <w:color w:val="212529"/>
        </w:rPr>
        <w:t>In February 2023, the option period for one the two collaboration programs under the Roche immunotherapy agreement ended and the Company and Roche are currently conducting activities only for BLU-852 under the collaboration. The Company is in the process of evaluating the revenue impact of this event on its subsequent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4" w:name="page195"/>
    <w:bookmarkEnd w:id="194"/>
    <w:p>
      <w:pPr>
        <w:ind w:left="892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4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2"/>
          <w:szCs w:val="22"/>
          <w:color w:val="auto"/>
        </w:rPr>
        <w:t>February 16,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u w:val="single" w:color="auto"/>
          <w:color w:val="auto"/>
        </w:rPr>
        <w:t>Securities Registered under Registration Statement on Form S-3ASR</w:t>
      </w:r>
    </w:p>
    <w:p>
      <w:pPr>
        <w:spacing w:after="0" w:line="206"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We have acted as counsel to you in connection with your filing of a Registration Statement on Form S-3ASR (as amended or supplemented, the “Registration Statement”) filed on February 16, 2023 with the Securities and Exchange Commission (the “Commission”) pursuant to the Securities Act of 1933, as amended (the “Securities Act”), relating to the registration of the offering by Blueprint Medicines Corporation, a Delaware corporation (the “Company”) of any combination of securities of the types specified therein. The Registration Statement became automatically effective upon filing with the Commission on February 16, 2023. Reference is made to our opinion letter dated February 16, 2023 and included as Exhibit 5.1 to the Registration Statement. We are delivering this supplemental opinion letter in connection with the prospectus supplement (the “Prospectus Supplement”) filed on February 16, 2023 by the Company with the Commission pursuant to Rule 424 under the Securities Act. The Prospectus Supplement relates to the offering by the Company of up to $300,000,000 in shares (the “Shares”) of the Company’s common stock, par value $0.001 per share (“Common Stock”) covered by the Registration Statement. The Shares are being offered and sold by the sales agent named in, and pursuant to, the sales agreement among the Company and such sales agent.</w:t>
      </w:r>
    </w:p>
    <w:p>
      <w:pPr>
        <w:spacing w:after="0" w:line="182"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0"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For purposes of the opinion set forth below, we refer to the following as “Future Approval and Issuance”:</w:t>
      </w:r>
    </w:p>
    <w:p>
      <w:pPr>
        <w:spacing w:after="0" w:line="26" w:lineRule="exact"/>
        <w:rPr>
          <w:sz w:val="20"/>
          <w:szCs w:val="20"/>
          <w:color w:val="auto"/>
        </w:rPr>
      </w:pPr>
    </w:p>
    <w:p>
      <w:pPr>
        <w:ind w:right="60" w:firstLine="8"/>
        <w:spacing w:after="0" w:line="234" w:lineRule="auto"/>
        <w:tabs>
          <w:tab w:leader="none" w:pos="29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opinion set forth below is limited to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16, 2023</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Based on the foregoing, we are of the opinion that the Shares have been duly authorized and, upon Future Approval and Issuance, will be validly issued, fully paid and nonassessable.</w:t>
      </w:r>
    </w:p>
    <w:p>
      <w:pPr>
        <w:spacing w:after="0" w:line="15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This opinion is being furnished to you for submission to the Commission as an exhibit to the Company’s Annual Report on Form 10-K relating to the Shares (the “Annual Report”), which is incorporated by reference in the Registration Statement. We hereby consent to the filing of this opinion letter as an exhibit to the Annual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Goodwin Procter LLP</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52" w:right="1019" w:bottom="1440" w:gutter="0" w:footer="0" w:header="0"/>
        </w:sectPr>
      </w:pPr>
    </w:p>
    <w:bookmarkStart w:id="196" w:name="page197"/>
    <w:bookmarkEnd w:id="196"/>
    <w:p>
      <w:pPr>
        <w:ind w:left="8700"/>
        <w:spacing w:after="0"/>
        <w:rPr>
          <w:sz w:val="20"/>
          <w:szCs w:val="20"/>
          <w:color w:val="auto"/>
        </w:rPr>
      </w:pPr>
      <w:r>
        <w:rPr>
          <w:rFonts w:ascii="Times New Roman" w:cs="Times New Roman" w:eastAsia="Times New Roman" w:hAnsi="Times New Roman"/>
          <w:sz w:val="21"/>
          <w:szCs w:val="21"/>
          <w:b w:val="1"/>
          <w:bCs w:val="1"/>
          <w:color w:val="auto"/>
        </w:rPr>
        <w:t>Exhibit 10.27</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 EMPLOYMENT AGREEMENT</w:t>
      </w:r>
    </w:p>
    <w:p>
      <w:pPr>
        <w:spacing w:after="0" w:line="21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21"/>
          <w:szCs w:val="21"/>
          <w:color w:val="auto"/>
        </w:rPr>
        <w:t>This Third Amendment to Employment Agreement (this “Third Amendment”) between Blueprint Medicines Corporation, a Delaware corporation (the “Company”), and Chris Murray (the “Executive”), is effective as of January 1, 2023 (the “Third Amendment Effective Date”). Capitalized terms used and not defined herein shall have the meanings ascribed to such terms in the Employment Agreement (as defined below).</w:t>
      </w:r>
    </w:p>
    <w:p>
      <w:pPr>
        <w:spacing w:after="0" w:line="162"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WHEREAS, the Company and the Executive are parties to the Employment Agreement dated as of October 10, 2017, as amended by the First Amendment to Employment Agreement dated as of December 22, 2021, and the Second Amendment to Employment Agreement dated as of September 23, 2022 (collectively, the “Employment Agreement”);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Executive desire to amend the Employment Agreement as set forth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21"/>
          <w:szCs w:val="21"/>
          <w:color w:val="auto"/>
        </w:rPr>
        <w:t>NOW, THEREFORE, for good and valuable consideration, the receipt of which is hereby confirmed, the Company and the Executive agree that the Employment Agreement is amended as follows:</w:t>
      </w:r>
    </w:p>
    <w:p>
      <w:pPr>
        <w:spacing w:after="0" w:line="135"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1(b) of the Employment Agreement shall be amended and restated as follows:</w:t>
      </w:r>
    </w:p>
    <w:p>
      <w:pPr>
        <w:spacing w:after="0" w:line="206"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the Chief Technical Operations and Quality Officer of the Company and shall have such duties as are consistent with such position. The Executive shall report to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78"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2(a) of the Employment Agreement shall be amended and restated as follows:</w:t>
      </w:r>
    </w:p>
    <w:p>
      <w:pPr>
        <w:spacing w:after="0" w:line="206" w:lineRule="exact"/>
        <w:rPr>
          <w:sz w:val="20"/>
          <w:szCs w:val="20"/>
          <w:color w:val="auto"/>
        </w:rPr>
      </w:pPr>
    </w:p>
    <w:p>
      <w:pPr>
        <w:ind w:right="200"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Executive’s annual base salary shall be $483,839.00. The Executive’s base salary shall be re-determined annually by the Board or the Compensation Committee of the Board and shall be subject to increase but not decrease while Executive is serving in the Chief Technical Operations and Quality Officer role. The annual base salary in effect at any given time is referred to herein as “Base Salary.” The Base Salary shall be payable in a manner that is consistent with the Company’s usual payroll practices for senior executives.”</w:t>
      </w:r>
    </w:p>
    <w:p>
      <w:pPr>
        <w:spacing w:after="0" w:line="181"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2(c) of the Employment Agreement shall be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97" w:name="page198"/>
    <w:bookmarkEnd w:id="197"/>
    <w:p>
      <w:pPr>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During the Term, the Executive shall be eligible to earn cash incentive compensation as determined by the Board or the Compensation Committee from time to time. Effective January 1, 2023, Executive’s target annual incentive compensation shall be 50% of the Base Salary, subject to upward but not downward adjustment (except in connection with a proportional reduction in compensation to all or substantially all of the Company’s employees). The Board or Compensation Committee shall weigh its bonus determination as follows: 75% on Company performance and 25%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3" w:lineRule="exact"/>
        <w:rPr>
          <w:sz w:val="20"/>
          <w:szCs w:val="20"/>
          <w:color w:val="auto"/>
        </w:rPr>
      </w:pPr>
    </w:p>
    <w:p>
      <w:pPr>
        <w:ind w:firstLine="656"/>
        <w:spacing w:after="0" w:line="238"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gives express written consent in this Third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Third Amendment.</w:t>
      </w:r>
    </w:p>
    <w:p>
      <w:pPr>
        <w:spacing w:after="0" w:line="176" w:lineRule="exact"/>
        <w:rPr>
          <w:rFonts w:ascii="Times New Roman" w:cs="Times New Roman" w:eastAsia="Times New Roman" w:hAnsi="Times New Roman"/>
          <w:sz w:val="22"/>
          <w:szCs w:val="22"/>
          <w:color w:val="auto"/>
        </w:rPr>
      </w:pPr>
    </w:p>
    <w:p>
      <w:pPr>
        <w:ind w:right="200" w:firstLine="656"/>
        <w:spacing w:after="0" w:line="244"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there is any inconsistency between the terms and conditions of this Third Amendment and the terms and conditions of the Employment Agreement, the terms and conditions of this Third Amendment shall prevail.</w:t>
      </w:r>
    </w:p>
    <w:p>
      <w:pPr>
        <w:spacing w:after="0" w:line="173" w:lineRule="exact"/>
        <w:rPr>
          <w:rFonts w:ascii="Times New Roman" w:cs="Times New Roman" w:eastAsia="Times New Roman" w:hAnsi="Times New Roman"/>
          <w:sz w:val="22"/>
          <w:szCs w:val="22"/>
          <w:color w:val="auto"/>
        </w:rPr>
      </w:pPr>
    </w:p>
    <w:p>
      <w:pPr>
        <w:ind w:right="40" w:firstLine="656"/>
        <w:spacing w:after="0" w:line="236"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ind w:right="140" w:firstLine="656"/>
        <w:spacing w:after="0" w:line="236" w:lineRule="auto"/>
        <w:tabs>
          <w:tab w:leader="none" w:pos="12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Third Amendment Effective Date, all references in the Employment Agreement to “this Agreement” (including “hereof,” “herein” and similar words or phrases) shall mean the Employment Agreement, as amended by this Third Amendment.</w:t>
      </w:r>
    </w:p>
    <w:p>
      <w:pPr>
        <w:spacing w:after="0" w:line="181" w:lineRule="exact"/>
        <w:rPr>
          <w:sz w:val="20"/>
          <w:szCs w:val="20"/>
          <w:color w:val="auto"/>
        </w:rPr>
      </w:pPr>
    </w:p>
    <w:p>
      <w:pPr>
        <w:jc w:val="both"/>
        <w:ind w:right="400" w:firstLine="648"/>
        <w:spacing w:after="0" w:line="282" w:lineRule="auto"/>
        <w:rPr>
          <w:sz w:val="20"/>
          <w:szCs w:val="20"/>
          <w:color w:val="auto"/>
        </w:rPr>
      </w:pPr>
      <w:r>
        <w:rPr>
          <w:rFonts w:ascii="Times New Roman" w:cs="Times New Roman" w:eastAsia="Times New Roman" w:hAnsi="Times New Roman"/>
          <w:sz w:val="21"/>
          <w:szCs w:val="21"/>
          <w:color w:val="auto"/>
        </w:rPr>
        <w:t>IN WITNESS WHEREOF, this Third Amendment has been entered into as of the date that both of the undersigned have executed this Third Amendment, to be effective as of the Third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198" w:name="page199"/>
    <w:bookmarkEnd w:id="198"/>
    <w:p>
      <w:pPr>
        <w:ind w:left="452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28" w:lineRule="exact"/>
        <w:rPr>
          <w:sz w:val="20"/>
          <w:szCs w:val="20"/>
          <w:color w:val="auto"/>
        </w:rPr>
      </w:pPr>
    </w:p>
    <w:tbl>
      <w:tblPr>
        <w:tblLayout w:type="fixed"/>
        <w:tblInd w:w="45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/s/ Kathryn Haviland</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vMerge w:val="continue"/>
          </w:tcPr>
          <w:p>
            <w:pPr>
              <w:spacing w:after="0"/>
              <w:rPr>
                <w:sz w:val="18"/>
                <w:szCs w:val="18"/>
                <w:color w:val="auto"/>
              </w:rPr>
            </w:pPr>
          </w:p>
        </w:tc>
        <w:tc>
          <w:tcPr>
            <w:tcW w:w="42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Kathryn Haviland</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 Chris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10795</wp:posOffset>
            </wp:positionV>
            <wp:extent cx="31375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Chris Murray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2"/>
          <w:szCs w:val="22"/>
          <w:b w:val="1"/>
          <w:bCs w:val="1"/>
          <w:color w:val="auto"/>
        </w:rPr>
        <w:t>Exhibit 10.39</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THIRD AMENDMENT TO EMPLOYMENT AGREEMENT</w:t>
      </w:r>
    </w:p>
    <w:p>
      <w:pPr>
        <w:spacing w:after="0" w:line="210" w:lineRule="exact"/>
        <w:rPr>
          <w:sz w:val="20"/>
          <w:szCs w:val="20"/>
          <w:color w:val="auto"/>
        </w:rPr>
      </w:pPr>
    </w:p>
    <w:p>
      <w:pPr>
        <w:ind w:right="80" w:firstLine="647"/>
        <w:spacing w:after="0" w:line="255" w:lineRule="auto"/>
        <w:rPr>
          <w:sz w:val="20"/>
          <w:szCs w:val="20"/>
          <w:color w:val="auto"/>
        </w:rPr>
      </w:pPr>
      <w:r>
        <w:rPr>
          <w:rFonts w:ascii="Times New Roman" w:cs="Times New Roman" w:eastAsia="Times New Roman" w:hAnsi="Times New Roman"/>
          <w:sz w:val="21"/>
          <w:szCs w:val="21"/>
          <w:color w:val="auto"/>
        </w:rPr>
        <w:t>This Third Amendment to Employment Agreement (this “Third Amendment”) between Blueprint Medicines Corporation, a Delaware corporation (the “Company”), and Ariel Hurley (the “Executive”), is effective as of January 1, 2023 (the “Third Amendment Effective Date”). Capitalized terms used and not defined herein shall have the meanings ascribed to such terms in the Employment Agreement (as defined below).</w:t>
      </w:r>
    </w:p>
    <w:p>
      <w:pPr>
        <w:spacing w:after="0" w:line="162" w:lineRule="exact"/>
        <w:rPr>
          <w:sz w:val="20"/>
          <w:szCs w:val="20"/>
          <w:color w:val="auto"/>
        </w:rPr>
      </w:pPr>
    </w:p>
    <w:p>
      <w:pPr>
        <w:ind w:right="120" w:firstLine="647"/>
        <w:spacing w:after="0" w:line="239" w:lineRule="auto"/>
        <w:rPr>
          <w:sz w:val="20"/>
          <w:szCs w:val="20"/>
          <w:color w:val="auto"/>
        </w:rPr>
      </w:pPr>
      <w:r>
        <w:rPr>
          <w:rFonts w:ascii="Times New Roman" w:cs="Times New Roman" w:eastAsia="Times New Roman" w:hAnsi="Times New Roman"/>
          <w:sz w:val="22"/>
          <w:szCs w:val="22"/>
          <w:color w:val="auto"/>
        </w:rPr>
        <w:t>WHEREAS, the Company and the Executive are parties to the Employment Agreement dated as of March 6, 2019, as amended by the First Amendment to Employment Agreement dated as of December 22, 2021 and the Second Amendment to Employment Agreement dated as of September 23, 2022 (collectively, the “Employment Agreement”); and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WHEREAS, the Company and the Executive desire to amend the Employment Agreement as set forth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for good and valuable consideration, the receipt of which is hereby confirmed,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the Executive agree that the Employment Agreement is amended as follows:</w:t>
      </w:r>
    </w:p>
    <w:p>
      <w:pPr>
        <w:spacing w:after="0" w:line="182" w:lineRule="exact"/>
        <w:rPr>
          <w:sz w:val="20"/>
          <w:szCs w:val="20"/>
          <w:color w:val="auto"/>
        </w:rPr>
      </w:pPr>
    </w:p>
    <w:p>
      <w:pPr>
        <w:ind w:left="1300" w:hanging="655"/>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1(b) of the Employment Agreement shall be amended and restated as follows:</w:t>
      </w:r>
    </w:p>
    <w:p>
      <w:pPr>
        <w:spacing w:after="0" w:line="206" w:lineRule="exact"/>
        <w:rPr>
          <w:sz w:val="20"/>
          <w:szCs w:val="20"/>
          <w:color w:val="auto"/>
        </w:rPr>
      </w:pPr>
    </w:p>
    <w:p>
      <w:pPr>
        <w:ind w:right="100" w:firstLine="1296"/>
        <w:spacing w:after="0" w:line="235" w:lineRule="auto"/>
        <w:rPr>
          <w:sz w:val="20"/>
          <w:szCs w:val="20"/>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the Senior Vice President, Finance, and Principal Accounting Officer of the Company, and shall have such duties as are consistent with such position. The Executive shall report to the Chief Financial Officer of the Company (the “CFO”). The Executive shall devote her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78" w:lineRule="exact"/>
        <w:rPr>
          <w:sz w:val="20"/>
          <w:szCs w:val="20"/>
          <w:color w:val="auto"/>
        </w:rPr>
      </w:pPr>
    </w:p>
    <w:p>
      <w:pPr>
        <w:ind w:left="1300" w:hanging="655"/>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2(a) of the Employment Agreement shall be amended and restated as follows: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Executive’s annual base salary shall</w:t>
      </w:r>
    </w:p>
    <w:p>
      <w:pPr>
        <w:spacing w:after="0" w:line="20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be $367,475.00. The Executive’s base salary shall be re-determined annually by the Board or the Compensation Committee of the Board (the “Compensation Committee”) and shall be subject to increase but not decrease while the Executive is serving in the Senior Vice President, Finance, and Principal Accounting Officer role. The annual base salary in effect at any given time is referred to herein as “Base Salary.” The Base Salary shall be payable in a manner that is consistent with the Company’s usual payroll practices for senior executives.”</w:t>
      </w:r>
    </w:p>
    <w:p>
      <w:pPr>
        <w:spacing w:after="0" w:line="168" w:lineRule="exact"/>
        <w:rPr>
          <w:sz w:val="20"/>
          <w:szCs w:val="20"/>
          <w:color w:val="auto"/>
        </w:rPr>
      </w:pPr>
    </w:p>
    <w:p>
      <w:pPr>
        <w:ind w:left="1300" w:hanging="655"/>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2(b) of the Employment Agreement shall be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645160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08" w:right="999" w:bottom="1440" w:gutter="0" w:footer="0" w:header="0"/>
        </w:sectPr>
      </w:pPr>
    </w:p>
    <w:bookmarkStart w:id="200" w:name="page201"/>
    <w:bookmarkEnd w:id="200"/>
    <w:p>
      <w:pPr>
        <w:ind w:firstLine="1295"/>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During the Term, the Executive shall be eligible to earn cash incentive compensation as determined by the Board or the Compensation Committee from time to time. As of January 1, 2023, Executive’s target annual incentive compensation shall be 35% of the Base Salary, subject to upward but not downward adjustment (except in connection with a proportional reduction in compensation to all or substantially all of the Company’s employees). The Board or Compensation Committee shall weigh its bonus determination as follows: 50% on Company performance and 50% on Executive’s individual performance, subject to adjustment as determined by the Board or the Compensation Committee from time to time. The Executive’s target annual incentive compensation in effect at any given time is referred to herein as “Target Incentive Compensation”; provided, that, for purposes of Section 5 hereof “Target Incentive Compensation” shall mean the Executive’s target annual incentive compensation then in effect or, if higher, in effect immediately prior to the Sale Event, and shall be applied to the Base Salary described in such section. To earn incentive compensation, the Executive must remain employed by the Company in good standing through the date such incentive compensation is paid.”</w:t>
      </w:r>
    </w:p>
    <w:p>
      <w:pPr>
        <w:spacing w:after="0" w:line="183" w:lineRule="exact"/>
        <w:rPr>
          <w:sz w:val="20"/>
          <w:szCs w:val="20"/>
          <w:color w:val="auto"/>
        </w:rPr>
      </w:pPr>
    </w:p>
    <w:p>
      <w:pPr>
        <w:ind w:right="260" w:firstLine="645"/>
        <w:spacing w:after="0" w:line="238"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gives express written consent in this Third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this Third Amendment.</w:t>
      </w:r>
    </w:p>
    <w:p>
      <w:pPr>
        <w:spacing w:after="0" w:line="176" w:lineRule="exact"/>
        <w:rPr>
          <w:rFonts w:ascii="Times New Roman" w:cs="Times New Roman" w:eastAsia="Times New Roman" w:hAnsi="Times New Roman"/>
          <w:sz w:val="22"/>
          <w:szCs w:val="22"/>
          <w:color w:val="auto"/>
        </w:rPr>
      </w:pPr>
    </w:p>
    <w:p>
      <w:pPr>
        <w:ind w:right="120" w:firstLine="645"/>
        <w:spacing w:after="0" w:line="244"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there is any inconsistency between the terms and conditions of this Third Amendment and the terms and conditions of the Employment Agreement, the terms and conditions of this Third Amendment shall prevail.</w:t>
      </w:r>
    </w:p>
    <w:p>
      <w:pPr>
        <w:spacing w:after="0" w:line="173" w:lineRule="exact"/>
        <w:rPr>
          <w:rFonts w:ascii="Times New Roman" w:cs="Times New Roman" w:eastAsia="Times New Roman" w:hAnsi="Times New Roman"/>
          <w:sz w:val="22"/>
          <w:szCs w:val="22"/>
          <w:color w:val="auto"/>
        </w:rPr>
      </w:pPr>
    </w:p>
    <w:p>
      <w:pPr>
        <w:ind w:firstLine="645"/>
        <w:spacing w:after="0" w:line="236"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ind w:right="80" w:firstLine="645"/>
        <w:spacing w:after="0" w:line="236"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Third Amendment Effective Date, all references in the Employment Agreement to “this Agreement” (including “hereof,” “herein” and similar words or phrases) shall mean the Employment Agreement, as amended by this Third Amendment.</w:t>
      </w:r>
    </w:p>
    <w:p>
      <w:pPr>
        <w:spacing w:after="0" w:line="181" w:lineRule="exact"/>
        <w:rPr>
          <w:sz w:val="20"/>
          <w:szCs w:val="20"/>
          <w:color w:val="auto"/>
        </w:rPr>
      </w:pPr>
    </w:p>
    <w:p>
      <w:pPr>
        <w:jc w:val="both"/>
        <w:ind w:right="320" w:firstLine="647"/>
        <w:spacing w:after="0" w:line="282" w:lineRule="auto"/>
        <w:rPr>
          <w:sz w:val="20"/>
          <w:szCs w:val="20"/>
          <w:color w:val="auto"/>
        </w:rPr>
      </w:pPr>
      <w:r>
        <w:rPr>
          <w:rFonts w:ascii="Times New Roman" w:cs="Times New Roman" w:eastAsia="Times New Roman" w:hAnsi="Times New Roman"/>
          <w:sz w:val="21"/>
          <w:szCs w:val="21"/>
          <w:color w:val="auto"/>
        </w:rPr>
        <w:t>IN WITNESS WHEREOF, this Third Amendment has been entered into as of the date that both of the undersigned have executed this Third Amendment, to be effective as of the Third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361315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2" w:right="999" w:bottom="1440" w:gutter="0" w:footer="0" w:header="0"/>
        </w:sectPr>
      </w:pPr>
    </w:p>
    <w:bookmarkStart w:id="201" w:name="page202"/>
    <w:bookmarkEnd w:id="201"/>
    <w:p>
      <w:pPr>
        <w:ind w:left="4520"/>
        <w:spacing w:after="0"/>
        <w:rPr>
          <w:sz w:val="20"/>
          <w:szCs w:val="20"/>
          <w:color w:val="auto"/>
        </w:rPr>
      </w:pPr>
      <w:r>
        <w:rPr>
          <w:rFonts w:ascii="Times New Roman" w:cs="Times New Roman" w:eastAsia="Times New Roman" w:hAnsi="Times New Roman"/>
          <w:sz w:val="21"/>
          <w:szCs w:val="21"/>
          <w:b w:val="1"/>
          <w:bCs w:val="1"/>
          <w:color w:val="auto"/>
        </w:rPr>
        <w:t>BLUEPRINT MEDICINES CORPORATION</w:t>
      </w:r>
    </w:p>
    <w:p>
      <w:pPr>
        <w:spacing w:after="0" w:line="249" w:lineRule="exact"/>
        <w:rPr>
          <w:sz w:val="20"/>
          <w:szCs w:val="20"/>
          <w:color w:val="auto"/>
        </w:rPr>
      </w:pPr>
    </w:p>
    <w:p>
      <w:pPr>
        <w:ind w:left="4520"/>
        <w:spacing w:after="0"/>
        <w:tabs>
          <w:tab w:leader="none" w:pos="5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0"/>
          <w:szCs w:val="20"/>
          <w:color w:val="auto"/>
        </w:rPr>
        <w:t>/s/ Kathryn Haviland</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-158115</wp:posOffset>
            </wp:positionV>
            <wp:extent cx="26828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ind w:left="4520"/>
        <w:spacing w:after="0"/>
        <w:tabs>
          <w:tab w:leader="none" w:pos="5220" w:val="left"/>
        </w:tabs>
        <w:rPr>
          <w:sz w:val="20"/>
          <w:szCs w:val="20"/>
          <w:color w:val="auto"/>
        </w:rPr>
      </w:pPr>
      <w:r>
        <w:rPr>
          <w:rFonts w:ascii="Times New Roman" w:cs="Times New Roman" w:eastAsia="Times New Roman" w:hAnsi="Times New Roman"/>
          <w:sz w:val="22"/>
          <w:szCs w:val="22"/>
          <w:color w:val="auto"/>
        </w:rPr>
        <w:t>Title:</w:t>
        <w:tab/>
        <w:t>President and Chief Executive Officer</w:t>
      </w:r>
    </w:p>
    <w:p>
      <w:pPr>
        <w:spacing w:after="0" w:line="200" w:lineRule="exact"/>
        <w:rPr>
          <w:sz w:val="20"/>
          <w:szCs w:val="20"/>
          <w:color w:val="auto"/>
        </w:rPr>
      </w:pPr>
    </w:p>
    <w:p>
      <w:pPr>
        <w:spacing w:after="0" w:line="2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8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10795</wp:posOffset>
            </wp:positionV>
            <wp:extent cx="31375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Ariel Hurley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1"/>
          <w:szCs w:val="21"/>
          <w:b w:val="1"/>
          <w:bCs w:val="1"/>
          <w:color w:val="auto"/>
        </w:rPr>
        <w:t>Exhibit 10.76</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Optionee: %%FIRST_NAME%-% %%LAST_NAME%-%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Option Shares: %%TOTAL_SHARES_GRANTED,'999,999,999'%-%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 Exercise Price per Share: %%OPTION_PRICE%-%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Start Date: %%VEST_BASE_DATE%-%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 %%OPTION_DATE%-%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Expiration Date: %%EXPIRE_DATE_PERIOD1%-%</w:t>
      </w:r>
    </w:p>
    <w:p>
      <w:pPr>
        <w:spacing w:after="0" w:line="233"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including the Privacy Notice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General Terms and Conditions for Non-U.S. Optionees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any Country-Specific Terms and Conditions for the Optionee's country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(collectively, the “Agreement”) and in the Plan. This Stock Option is not intended to be an “incentive stock option” under Section 422 of the Internal Revenue Code of 1986, as amended.</w:t>
      </w:r>
    </w:p>
    <w:p>
      <w:pPr>
        <w:spacing w:after="0" w:line="179" w:lineRule="exact"/>
        <w:rPr>
          <w:sz w:val="20"/>
          <w:szCs w:val="20"/>
          <w:color w:val="auto"/>
        </w:rPr>
      </w:pPr>
    </w:p>
    <w:p>
      <w:pPr>
        <w:ind w:right="80" w:firstLine="656"/>
        <w:spacing w:after="0" w:line="244"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 exercisable as follows:</w:t>
      </w:r>
    </w:p>
    <w:p>
      <w:pPr>
        <w:spacing w:after="0" w:line="173"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For so long as Optionee remains in a continuous Service Relationship with the Company or any Service Recipient (as such terms are defined in Section 3 below) through the relevant date, the Option Shares shall vest in forty-eight (48) equal monthly installments beginning on the one-month anniversary of the Vesting Start Date; provided that one hundred percent (100%) of the Option Shares shall become fully vested immediately upon the termination of the Optionee's Service Relationship due to the Optionee’s death or disability.</w:t>
      </w:r>
    </w:p>
    <w:p>
      <w:pPr>
        <w:spacing w:after="0" w:line="17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158"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40" w:firstLine="1304"/>
        <w:spacing w:after="0" w:line="258" w:lineRule="auto"/>
        <w:tabs>
          <w:tab w:leader="none" w:pos="202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3" w:name="page204"/>
    <w:bookmarkEnd w:id="203"/>
    <w:p>
      <w:pPr>
        <w:ind w:right="60"/>
        <w:spacing w:after="0" w:line="259" w:lineRule="auto"/>
        <w:rPr>
          <w:sz w:val="20"/>
          <w:szCs w:val="20"/>
          <w:color w:val="auto"/>
        </w:rPr>
      </w:pPr>
      <w:r>
        <w:rPr>
          <w:rFonts w:ascii="Times New Roman" w:cs="Times New Roman" w:eastAsia="Times New Roman" w:hAnsi="Times New Roman"/>
          <w:sz w:val="22"/>
          <w:szCs w:val="22"/>
          <w:color w:val="auto"/>
        </w:rPr>
        <w:t>notice to the Administrator of the Optionee’s election to purchase some or all of the Option Shares purchasable at the time of such notice. This notice shall specify the number of Option Shares to be purchased.</w:t>
      </w:r>
    </w:p>
    <w:p>
      <w:pPr>
        <w:spacing w:after="0" w:line="15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w:t>
      </w:r>
    </w:p>
    <w:p>
      <w:pPr>
        <w:spacing w:after="0" w:line="9" w:lineRule="exact"/>
        <w:rPr>
          <w:sz w:val="20"/>
          <w:szCs w:val="20"/>
          <w:color w:val="auto"/>
        </w:rPr>
      </w:pPr>
    </w:p>
    <w:p>
      <w:pPr>
        <w:jc w:val="both"/>
        <w:ind w:right="240" w:firstLine="8"/>
        <w:spacing w:after="0" w:line="234" w:lineRule="auto"/>
        <w:tabs>
          <w:tab w:leader="none" w:pos="36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7"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3" w:lineRule="exact"/>
        <w:rPr>
          <w:sz w:val="20"/>
          <w:szCs w:val="20"/>
          <w:color w:val="auto"/>
        </w:rPr>
      </w:pPr>
    </w:p>
    <w:p>
      <w:pPr>
        <w:ind w:right="40" w:firstLine="1304"/>
        <w:spacing w:after="0" w:line="234" w:lineRule="auto"/>
        <w:tabs>
          <w:tab w:leader="none" w:pos="203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79"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40" w:firstLine="1304"/>
        <w:spacing w:after="0" w:line="258" w:lineRule="auto"/>
        <w:tabs>
          <w:tab w:leader="none" w:pos="203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2" w:right="1039" w:bottom="1440" w:gutter="0" w:footer="0" w:header="0"/>
        </w:sectPr>
      </w:pPr>
    </w:p>
    <w:bookmarkStart w:id="204" w:name="page205"/>
    <w:bookmarkEnd w:id="204"/>
    <w:p>
      <w:pPr>
        <w:ind w:right="100" w:firstLine="656"/>
        <w:spacing w:after="0" w:line="238"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employment or continued service relationship as a consultant or director, as applicable (the “Service Relationship”) with the Company or, if different, the Subsidiary with which the Optionee has a Service Relationship (the “Service Recipient”) is terminated, the period within which to exercise the Stock Option may be subject to earlier termination as set forth below.</w:t>
      </w:r>
    </w:p>
    <w:p>
      <w:pPr>
        <w:spacing w:after="0" w:line="177" w:lineRule="exact"/>
        <w:rPr>
          <w:rFonts w:ascii="Times New Roman" w:cs="Times New Roman" w:eastAsia="Times New Roman" w:hAnsi="Times New Roman"/>
          <w:sz w:val="22"/>
          <w:szCs w:val="22"/>
          <w:color w:val="auto"/>
        </w:rPr>
      </w:pPr>
    </w:p>
    <w:p>
      <w:pPr>
        <w:ind w:right="40" w:firstLine="1304"/>
        <w:spacing w:after="0" w:line="238" w:lineRule="auto"/>
        <w:tabs>
          <w:tab w:leader="none" w:pos="202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Relationship terminates by reason of the Optionee’s death, any portion of this Stock Option outstanding on the date of termination by reason of death, whether already vested on the date of Optionee's death or vested as a result of the Optionee's death in accordance with Section 1 of this Agreement, may thereafter be exercised by the Optionee’s legal representative or legatee for a period of 12 months from the date of death or until the Expiration Date, if earlier.</w:t>
      </w:r>
    </w:p>
    <w:p>
      <w:pPr>
        <w:spacing w:after="0" w:line="176" w:lineRule="exact"/>
        <w:rPr>
          <w:rFonts w:ascii="Times New Roman" w:cs="Times New Roman" w:eastAsia="Times New Roman" w:hAnsi="Times New Roman"/>
          <w:sz w:val="22"/>
          <w:szCs w:val="22"/>
          <w:color w:val="auto"/>
        </w:rPr>
      </w:pPr>
    </w:p>
    <w:p>
      <w:pPr>
        <w:ind w:right="380" w:firstLine="1304"/>
        <w:spacing w:after="0" w:line="238" w:lineRule="auto"/>
        <w:tabs>
          <w:tab w:leader="none" w:pos="203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terminates by reason of the Optionee’s disability, any portion of this Stock Option outstanding on the date of termination by reason of disability, whether already vested on the date of such termination or vested as a result of such termination in accordance with Section 1 of this Agreement, may thereafter be exercised by the Optionee for a period of 12 months from the date of disability or until the Expiration Date, if earlier.</w:t>
      </w:r>
    </w:p>
    <w:p>
      <w:pPr>
        <w:spacing w:after="0" w:line="176" w:lineRule="exact"/>
        <w:rPr>
          <w:rFonts w:ascii="Times New Roman" w:cs="Times New Roman" w:eastAsia="Times New Roman" w:hAnsi="Times New Roman"/>
          <w:sz w:val="22"/>
          <w:szCs w:val="22"/>
          <w:color w:val="auto"/>
        </w:rPr>
      </w:pPr>
    </w:p>
    <w:p>
      <w:pPr>
        <w:ind w:right="20" w:firstLine="1304"/>
        <w:spacing w:after="0" w:line="233" w:lineRule="auto"/>
        <w:tabs>
          <w:tab w:leader="none" w:pos="202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between the Company or a Service Recipient and the Optionee, a determination by the Company that the Optionee’s Service Relationship terminates as a result of (i) the Optionee’s dishonest statements or acts with respect to the Company or any Subsidiaries, or any of its or their current or prospective customers, suppliers vendors or other third parties with which such entity does business; (ii) the Optionee’s commission of (A) a felony or (B) any misdemeanor involving moral turpitude, deceit, dishonesty or fraud; (iii) the Optionee’s failure to perform assigned duties and responsibilities to the reasonable satisfaction of the applicable Service Recipient which failure continues, in the reasonable judgment of the applicable Service Recipient, after written notice given to the Optionee by the applicable Service Recipient; (iv) the Optionee’s breach of fiduciary duty, gross negligence, willful misconduct or insubordination with respect to the Company or any Subsidiary; or (v) the Optionee’s material violation of any provision of any agreement(s) between the Optionee and the Company or any Subsidiary relating to noncompetition, nondisclosure and/or assignment of inventions.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203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Company’s determination of the reason for termination of the Optionee’s Service Relationship shall be conclusive and binding on the Optionee and the Optionee’s representatives or legatees.</w:t>
      </w:r>
    </w:p>
    <w:p>
      <w:pPr>
        <w:spacing w:after="0" w:line="158" w:lineRule="exact"/>
        <w:rPr>
          <w:sz w:val="20"/>
          <w:szCs w:val="20"/>
          <w:color w:val="auto"/>
        </w:rPr>
      </w:pPr>
    </w:p>
    <w:p>
      <w:pPr>
        <w:ind w:right="120" w:firstLine="656"/>
        <w:spacing w:after="0" w:line="258" w:lineRule="auto"/>
        <w:tabs>
          <w:tab w:leader="none" w:pos="12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05" w:name="page206"/>
    <w:bookmarkEnd w:id="205"/>
    <w:p>
      <w:pPr>
        <w:ind w:right="220"/>
        <w:spacing w:after="0" w:line="244" w:lineRule="auto"/>
        <w:rPr>
          <w:sz w:val="20"/>
          <w:szCs w:val="20"/>
          <w:color w:val="auto"/>
        </w:rPr>
      </w:pPr>
      <w:r>
        <w:rPr>
          <w:rFonts w:ascii="Times New Roman" w:cs="Times New Roman" w:eastAsia="Times New Roman" w:hAnsi="Times New Roman"/>
          <w:sz w:val="22"/>
          <w:szCs w:val="22"/>
          <w:color w:val="auto"/>
        </w:rPr>
        <w:t>incorporated herein by reference, including the powers of the Administrator set forth in Section 2(b) of the Plan. Capitalized terms in this Agreement shall have the meaning specified in the Plan, unless a different meaning is specified herein.</w:t>
      </w:r>
    </w:p>
    <w:p>
      <w:pPr>
        <w:spacing w:after="0" w:line="174" w:lineRule="exact"/>
        <w:rPr>
          <w:sz w:val="20"/>
          <w:szCs w:val="20"/>
          <w:color w:val="auto"/>
        </w:rPr>
      </w:pPr>
    </w:p>
    <w:p>
      <w:pPr>
        <w:ind w:right="740" w:firstLine="656"/>
        <w:spacing w:after="0" w:line="239"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0" w:lineRule="exact"/>
        <w:rPr>
          <w:rFonts w:ascii="Times New Roman" w:cs="Times New Roman" w:eastAsia="Times New Roman" w:hAnsi="Times New Roman"/>
          <w:sz w:val="22"/>
          <w:szCs w:val="22"/>
          <w:color w:val="auto"/>
        </w:rPr>
      </w:pPr>
    </w:p>
    <w:p>
      <w:pPr>
        <w:ind w:right="100" w:firstLine="656"/>
        <w:spacing w:after="0" w:line="235"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83" w:lineRule="exact"/>
        <w:rPr>
          <w:rFonts w:ascii="Times New Roman" w:cs="Times New Roman" w:eastAsia="Times New Roman" w:hAnsi="Times New Roman"/>
          <w:sz w:val="22"/>
          <w:szCs w:val="22"/>
          <w:color w:val="auto"/>
        </w:rPr>
      </w:pPr>
    </w:p>
    <w:p>
      <w:pPr>
        <w:ind w:right="140" w:firstLine="656"/>
        <w:spacing w:after="0" w:line="255" w:lineRule="auto"/>
        <w:tabs>
          <w:tab w:leader="none" w:pos="129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the Service Recipient, as applicable, is obligated by or as a result of the Plan or this Agreement to continue the Optionee’s Service Relationship and neither the Plan nor this Agreement shall interfere in any way with the right of the Company or the Service Recipient, as applicable, to terminate the Service Relationship of the Optionee at any time.</w:t>
      </w:r>
    </w:p>
    <w:p>
      <w:pPr>
        <w:spacing w:after="0" w:line="161" w:lineRule="exact"/>
        <w:rPr>
          <w:rFonts w:ascii="Times New Roman" w:cs="Times New Roman" w:eastAsia="Times New Roman" w:hAnsi="Times New Roman"/>
          <w:sz w:val="21"/>
          <w:szCs w:val="21"/>
          <w:color w:val="auto"/>
        </w:rPr>
      </w:pPr>
    </w:p>
    <w:p>
      <w:pPr>
        <w:ind w:firstLine="656"/>
        <w:spacing w:after="0" w:line="244"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firstLine="656"/>
        <w:spacing w:after="0" w:line="247" w:lineRule="auto"/>
        <w:tabs>
          <w:tab w:leader="none" w:pos="129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xml:space="preserve">. In order to administer the Plan and this Agreement and to implement or structure future equity grants, the Company may collect and process the Optionee’s personal data, including sharing it with its Subsidiaries and certain agents thereof (together, the “Relevant Companies”) in connection with administering the Plan and performing its obligations under this Agreement (the “Relevant Information”). The Company may also transfer the Optionee’s personal data to countries with privacy laws that may be less protective than those of the Optionee’s country. The attached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 Privacy Notice, incorporated by reference into this Agreement as if fully set forth herein, further describes how the Optionee’s personal data will be processed and the Optionee’s rights with respect to personal data processed for the purposes of administering the Plan and this Agreement.</w:t>
      </w:r>
    </w:p>
    <w:p>
      <w:pPr>
        <w:spacing w:after="0" w:line="171" w:lineRule="exact"/>
        <w:rPr>
          <w:rFonts w:ascii="Times New Roman" w:cs="Times New Roman" w:eastAsia="Times New Roman" w:hAnsi="Times New Roman"/>
          <w:sz w:val="21"/>
          <w:szCs w:val="21"/>
          <w:color w:val="auto"/>
        </w:rPr>
      </w:pPr>
    </w:p>
    <w:p>
      <w:pPr>
        <w:ind w:right="300" w:firstLine="656"/>
        <w:spacing w:after="0" w:line="244"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right="140" w:firstLine="656"/>
        <w:spacing w:after="0" w:line="238"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color w:val="auto"/>
        </w:rPr>
      </w:pPr>
    </w:p>
    <w:p>
      <w:pPr>
        <w:ind w:right="480" w:firstLine="656"/>
        <w:spacing w:after="0" w:line="258"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Stock Option grant and the provisions of this Agreement are governed by, and subject to, the laws of the State of Delaware, applied without regard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06" w:name="page207"/>
    <w:bookmarkEnd w:id="206"/>
    <w:p>
      <w:pPr>
        <w:ind w:right="40"/>
        <w:spacing w:after="0" w:line="238" w:lineRule="auto"/>
        <w:rPr>
          <w:sz w:val="20"/>
          <w:szCs w:val="20"/>
          <w:color w:val="auto"/>
        </w:rPr>
      </w:pPr>
      <w:r>
        <w:rPr>
          <w:rFonts w:ascii="Times New Roman" w:cs="Times New Roman" w:eastAsia="Times New Roman" w:hAnsi="Times New Roman"/>
          <w:sz w:val="22"/>
          <w:szCs w:val="22"/>
          <w:color w:val="auto"/>
        </w:rPr>
        <w:t>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177" w:lineRule="exact"/>
        <w:rPr>
          <w:sz w:val="20"/>
          <w:szCs w:val="20"/>
          <w:color w:val="auto"/>
        </w:rPr>
      </w:pPr>
    </w:p>
    <w:p>
      <w:pPr>
        <w:ind w:right="20" w:firstLine="656"/>
        <w:spacing w:after="0" w:line="244"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3" w:lineRule="exact"/>
        <w:rPr>
          <w:rFonts w:ascii="Times New Roman" w:cs="Times New Roman" w:eastAsia="Times New Roman" w:hAnsi="Times New Roman"/>
          <w:sz w:val="22"/>
          <w:szCs w:val="22"/>
          <w:color w:val="auto"/>
        </w:rPr>
      </w:pPr>
    </w:p>
    <w:p>
      <w:pPr>
        <w:ind w:firstLine="656"/>
        <w:spacing w:after="0" w:line="244"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Optionee acknowledges that a waiver by the Company of breach of any provision this Agreement shall not operate or be construed as a waiver of any other provision of this Agreement, or of any subsequent breach by the Optionee or any other optionee.</w:t>
      </w:r>
    </w:p>
    <w:p>
      <w:pPr>
        <w:spacing w:after="0" w:line="16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80" w:lineRule="exact"/>
        <w:rPr>
          <w:sz w:val="20"/>
          <w:szCs w:val="20"/>
          <w:color w:val="auto"/>
        </w:rPr>
      </w:pPr>
    </w:p>
    <w:p>
      <w:pPr>
        <w:ind w:left="4680"/>
        <w:spacing w:after="0"/>
        <w:tabs>
          <w:tab w:leader="none" w:pos="5240" w:val="left"/>
        </w:tabs>
        <w:rPr>
          <w:sz w:val="20"/>
          <w:szCs w:val="20"/>
          <w:color w:val="auto"/>
        </w:rPr>
      </w:pPr>
      <w:r>
        <w:rPr>
          <w:rFonts w:ascii="Times New Roman" w:cs="Times New Roman" w:eastAsia="Times New Roman" w:hAnsi="Times New Roman"/>
          <w:sz w:val="22"/>
          <w:szCs w:val="22"/>
          <w:color w:val="auto"/>
        </w:rPr>
        <w:t>By:</w:t>
        <w:tab/>
        <w:t>/s/ Kathryn D. Haviland</w:t>
      </w:r>
    </w:p>
    <w:p>
      <w:pPr>
        <w:spacing w:after="0" w:line="1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Name:Kathryn D.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-158115</wp:posOffset>
            </wp:positionV>
            <wp:extent cx="29571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68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25"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10795</wp:posOffset>
            </wp:positionV>
            <wp:extent cx="31375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u w:val="single" w:color="auto"/>
          <w:color w:val="auto"/>
        </w:rPr>
        <w:t>%%FIRST_NAME%-%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-3810</wp:posOffset>
            </wp:positionV>
            <wp:extent cx="31375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u w:val="single" w:color="auto"/>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-3810</wp:posOffset>
            </wp:positionV>
            <wp:extent cx="31375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u w:val="single" w:color="auto"/>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-3810</wp:posOffset>
            </wp:positionV>
            <wp:extent cx="31375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u w:val="single" w:color="auto"/>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-3810</wp:posOffset>
            </wp:positionV>
            <wp:extent cx="31375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u w:val="single" w:color="auto"/>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-3810</wp:posOffset>
            </wp:positionV>
            <wp:extent cx="31375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u w:val="single" w:color="auto"/>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-3810</wp:posOffset>
            </wp:positionV>
            <wp:extent cx="31375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you, the individual named as the Optionee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questions about this Privacy Notice, to exercise applicable rights related to your personal data, or for more information about the Company’s privacy and data protection practices, please contact us at the appropriate locations: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Privacy@blueprintmedicines.com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Optionees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Exhibit B, which is part of the Non-Qualified Stock Option Agreement for Employees, contains additional terms and conditions that will apply to the Optionee if residing outside the United States.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Agreement for Employees.</w:t>
      </w:r>
    </w:p>
    <w:p>
      <w:pPr>
        <w:spacing w:after="0" w:line="200" w:lineRule="exact"/>
        <w:rPr>
          <w:sz w:val="20"/>
          <w:szCs w:val="20"/>
          <w:color w:val="auto"/>
        </w:rPr>
      </w:pPr>
    </w:p>
    <w:p>
      <w:pPr>
        <w:ind w:left="660" w:right="20" w:hanging="652"/>
        <w:spacing w:after="0" w:line="258" w:lineRule="auto"/>
        <w:tabs>
          <w:tab w:leader="none" w:pos="6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6 of the Non-Qualified Stock Option Agreement for Employees.</w:t>
      </w:r>
    </w:p>
    <w:p>
      <w:pPr>
        <w:spacing w:after="0" w:line="158" w:lineRule="exact"/>
        <w:rPr>
          <w:rFonts w:ascii="Times New Roman" w:cs="Times New Roman" w:eastAsia="Times New Roman" w:hAnsi="Times New Roman"/>
          <w:sz w:val="22"/>
          <w:szCs w:val="22"/>
          <w:color w:val="auto"/>
        </w:rPr>
      </w:pPr>
    </w:p>
    <w:p>
      <w:pPr>
        <w:jc w:val="both"/>
        <w:ind w:left="6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acknowledges that, regardless of any action taken by the Company, the ultimate liability for all income tax, social insurance, payroll tax, fringe benefit tax, payment on account or other tax-related items related to the Optionee's participation in the Plan and legally applicable to the Optionee (“Tax-Related Items”) is and remains the Optionee’s responsibility and may exceed the amount actually withheld by the Company. The Optionee further acknowledges that the Company (a) makes no representations or undertakings regarding the treatment of any Tax-Related Items in connection with any aspect of the Stock Option, including, but not limited to, the grant or vesting of the Stock Option and the subsequent sale of shares of Stock acquired pursuant to such vesting and the receipt of any dividends and/or dividend equivalents; and (b) does not commit to and is under no obligation to structure the terms of the grant or any aspect of the Stock Option to reduce or eliminate the Optionee’s liability for Tax-Related Items or achieve any particular tax result. Further, if the Optionee is subject to Tax-Related Items in more than one jurisdiction, the Optionee acknowledges that the Company may be required to withhold or account for Tax-Related Items in more than one jurisdiction and may seek evidence from the Optionee of residency for purposes of operating such withholding or payment on account.</w:t>
      </w:r>
    </w:p>
    <w:p>
      <w:pPr>
        <w:spacing w:after="0" w:line="112" w:lineRule="exact"/>
        <w:rPr>
          <w:rFonts w:ascii="Times New Roman" w:cs="Times New Roman" w:eastAsia="Times New Roman" w:hAnsi="Times New Roman"/>
          <w:sz w:val="22"/>
          <w:szCs w:val="22"/>
          <w:color w:val="auto"/>
        </w:rPr>
      </w:pPr>
    </w:p>
    <w:p>
      <w:pPr>
        <w:jc w:val="both"/>
        <w:ind w:left="6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shall not be responsible for withholding any Tax-Related Items, unless required by applicable law. The Company may take such action as it deems appropriate to ensure that all Tax-Related Items are withheld or collected from the Optionee, if and to the extent required by applicable law. In this regard, the Company will have the power and the right to require the Optionee to remit to the Company, the amount necessary to satisfy the Tax-Related Items. Notwithstanding the foregoing, unless otherwise determined by the Administrator, any obligations to pay Tax-Related Items will be met by having the Company withhold a number of shares of Stock from the total number of shares of Stock otherwise issuable to the Optionee upon the relevant taxable or tax withholding event, as applicable. In the event that withholding in shares of Stock is problematic under applicable tax or securities law or has materially adverse accounting consequences, the Optionee authorizes the Company, or its respective agents, at the Company’s discretion, to satisfy the obligations with regard to all Tax-Related Items by one or a combination of the following: (i) requiring the Optionee to make a payment in a form acceptable to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10" w:name="page211"/>
    <w:bookmarkEnd w:id="210"/>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Company; (ii) withholding from the Optionee’s Director fees or other cash compensation paid to the Optionee by the Company; (iii) withholding from proceeds of the sale of shares of Stock acquired upon vesting/settlement of the Stock Option either through a voluntary sale or through a mandatory sale arranged by the Company (on the Optionee’s behalf pursuant to this authorization); or (iv) any other method of withholding determined by the Company and to the extent required by applicable law or the Plan, approved by the Administrator. Depending on the withholding method, the Company may withhold or account for Tax-Related Items by considering maximum applicable rates, in which case the Optionee will receive a refund of any over-withheld amount in cash and will have no entitlement to the Common Stock equivalent.</w:t>
      </w:r>
    </w:p>
    <w:p>
      <w:pPr>
        <w:spacing w:after="0" w:line="211" w:lineRule="exact"/>
        <w:rPr>
          <w:sz w:val="20"/>
          <w:szCs w:val="20"/>
          <w:color w:val="auto"/>
        </w:rPr>
      </w:pPr>
    </w:p>
    <w:p>
      <w:pPr>
        <w:jc w:val="both"/>
        <w:ind w:left="660" w:right="20"/>
        <w:spacing w:after="0" w:line="244" w:lineRule="auto"/>
        <w:rPr>
          <w:sz w:val="20"/>
          <w:szCs w:val="20"/>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Optionee fails to comply with the Optionee’s obligations in connection with the Tax-Related Items.</w:t>
      </w:r>
    </w:p>
    <w:p>
      <w:pPr>
        <w:spacing w:after="0" w:line="106"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the Stock Option, the Optionee acknowledges, understands and agrees that:</w:t>
      </w:r>
    </w:p>
    <w:p>
      <w:pPr>
        <w:spacing w:after="0" w:line="217" w:lineRule="exact"/>
        <w:rPr>
          <w:rFonts w:ascii="Times New Roman" w:cs="Times New Roman" w:eastAsia="Times New Roman" w:hAnsi="Times New Roman"/>
          <w:sz w:val="21"/>
          <w:szCs w:val="21"/>
          <w:color w:val="auto"/>
        </w:rPr>
      </w:pPr>
    </w:p>
    <w:p>
      <w:pPr>
        <w:jc w:val="both"/>
        <w:ind w:left="1300" w:hanging="644"/>
        <w:spacing w:after="0" w:line="244"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Stock Option is voluntary and occasional and does not create any contractual or other right to receive future grants of Stock Option, or benefits in lieu of Stock Option, even if Stock Option have been granted in the past;</w:t>
      </w:r>
    </w:p>
    <w:p>
      <w:pPr>
        <w:spacing w:after="0" w:line="173"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Stock Option or other grants, if any, will be at the sole discretion of the Company;</w:t>
      </w:r>
    </w:p>
    <w:p>
      <w:pPr>
        <w:spacing w:after="0" w:line="158" w:lineRule="exact"/>
        <w:rPr>
          <w:rFonts w:ascii="Times New Roman" w:cs="Times New Roman" w:eastAsia="Times New Roman" w:hAnsi="Times New Roman"/>
          <w:sz w:val="22"/>
          <w:szCs w:val="22"/>
          <w:color w:val="auto"/>
        </w:rPr>
      </w:pPr>
    </w:p>
    <w:p>
      <w:pPr>
        <w:ind w:left="1300" w:hanging="644"/>
        <w:spacing w:after="0" w:line="257"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shall not be interpreted as forming an employment or services contract with the Company or any Subsidiary;</w:t>
      </w:r>
    </w:p>
    <w:p>
      <w:pPr>
        <w:spacing w:after="0" w:line="15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is voluntarily participating in the Plan;</w:t>
      </w:r>
    </w:p>
    <w:p>
      <w:pPr>
        <w:spacing w:after="0" w:line="206"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shares of Stock subject to the Stock Option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shares of Stock subject to the Stock Option, and the income and value of same, are not part of normal or expected compensation for any purpose, and do not confer on Optionee any right to receive Director fees or other compensation in any specific amount;</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Stock Option and the shares of Stock subject to the Stock Option, and the income and value of same, are not granted as consideration for, or in connection with, the service the Optionee may provide as a director of a Subsidiary;</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of Stock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1" w:name="page212"/>
    <w:bookmarkEnd w:id="211"/>
    <w:p>
      <w:pPr>
        <w:jc w:val="both"/>
        <w:ind w:left="1292" w:hanging="644"/>
        <w:spacing w:after="0" w:line="244" w:lineRule="auto"/>
        <w:tabs>
          <w:tab w:leader="none" w:pos="129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Stock Option resulting from the termination of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service as a member of the Board (for any reason whatsoever);</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local currency and the United States Dollar that may affect the value of the Stock Option or of any amounts due to the Optionee pursuant to the settlement of the Stock Option or the subsequent sale of any shares of Stock acquired upon settlement.</w:t>
      </w:r>
    </w:p>
    <w:p>
      <w:pPr>
        <w:spacing w:after="0" w:line="179" w:lineRule="exact"/>
        <w:rPr>
          <w:rFonts w:ascii="Times New Roman" w:cs="Times New Roman" w:eastAsia="Times New Roman" w:hAnsi="Times New Roman"/>
          <w:sz w:val="22"/>
          <w:szCs w:val="22"/>
          <w:color w:val="auto"/>
        </w:rPr>
      </w:pPr>
    </w:p>
    <w:p>
      <w:pPr>
        <w:jc w:val="both"/>
        <w:ind w:left="652" w:hanging="652"/>
        <w:spacing w:after="0" w:line="237" w:lineRule="auto"/>
        <w:tabs>
          <w:tab w:leader="none" w:pos="65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or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acquisition or sale of the underlying shares of Stock. The Optionee is hereby advised to consult with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own personal tax, legal and financial advisors regarding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before taking any action related to the Plan.</w:t>
      </w:r>
    </w:p>
    <w:p>
      <w:pPr>
        <w:spacing w:after="0" w:line="179" w:lineRule="exact"/>
        <w:rPr>
          <w:rFonts w:ascii="Times New Roman" w:cs="Times New Roman" w:eastAsia="Times New Roman" w:hAnsi="Times New Roman"/>
          <w:sz w:val="22"/>
          <w:szCs w:val="22"/>
          <w:color w:val="auto"/>
        </w:rPr>
      </w:pPr>
    </w:p>
    <w:p>
      <w:pPr>
        <w:jc w:val="both"/>
        <w:ind w:left="652" w:hanging="652"/>
        <w:spacing w:after="0" w:line="244" w:lineRule="auto"/>
        <w:tabs>
          <w:tab w:leader="none" w:pos="65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Optionee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7" w:lineRule="auto"/>
        <w:tabs>
          <w:tab w:leader="none" w:pos="65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on the Stock Option and on any shares of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4" w:lineRule="auto"/>
        <w:tabs>
          <w:tab w:leader="none" w:pos="65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Restrictions/Market Abuse Laws</w:t>
      </w:r>
      <w:r>
        <w:rPr>
          <w:rFonts w:ascii="Times New Roman" w:cs="Times New Roman" w:eastAsia="Times New Roman" w:hAnsi="Times New Roman"/>
          <w:sz w:val="22"/>
          <w:szCs w:val="22"/>
          <w:color w:val="auto"/>
        </w:rPr>
        <w:t>. The Optionee acknowledges that, depending on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Optionee may be subject to insider trading restrictions and/or market abuse laws, which may affect the ability to acquire or sell shares of Stock or rights to shares of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Stock Option) under the Plan during such times as the Optionee is considered to have </w:t>
      </w:r>
      <w:r>
        <w:rPr>
          <w:rFonts w:ascii="Arial" w:cs="Arial" w:eastAsia="Arial" w:hAnsi="Arial"/>
          <w:sz w:val="22"/>
          <w:szCs w:val="22"/>
          <w:color w:val="auto"/>
        </w:rPr>
        <w:t>“</w:t>
      </w:r>
      <w:r>
        <w:rPr>
          <w:rFonts w:ascii="Times New Roman" w:cs="Times New Roman" w:eastAsia="Times New Roman" w:hAnsi="Times New Roman"/>
          <w:sz w:val="22"/>
          <w:szCs w:val="22"/>
          <w:color w:val="auto"/>
        </w:rPr>
        <w:t>inside information</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regarding the Company (as defined by the laws in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Any restrictions under these laws or regulations are separate from and in addition to any restrictions that may be imposed under any applicable Company insider trading policy. The Optionee is responsible for ensuring compliance with any applicable restrictions and is advised to consult a personal legal advisor on this matter.</w:t>
      </w:r>
    </w:p>
    <w:p>
      <w:pPr>
        <w:spacing w:after="0" w:line="183" w:lineRule="exact"/>
        <w:rPr>
          <w:rFonts w:ascii="Times New Roman" w:cs="Times New Roman" w:eastAsia="Times New Roman" w:hAnsi="Times New Roman"/>
          <w:sz w:val="22"/>
          <w:szCs w:val="22"/>
          <w:color w:val="auto"/>
        </w:rPr>
      </w:pPr>
    </w:p>
    <w:p>
      <w:pPr>
        <w:jc w:val="both"/>
        <w:ind w:left="652" w:hanging="652"/>
        <w:spacing w:after="0" w:line="233" w:lineRule="auto"/>
        <w:tabs>
          <w:tab w:leader="none" w:pos="65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 Exchange Controls</w:t>
      </w:r>
      <w:r>
        <w:rPr>
          <w:rFonts w:ascii="Times New Roman" w:cs="Times New Roman" w:eastAsia="Times New Roman" w:hAnsi="Times New Roman"/>
          <w:sz w:val="22"/>
          <w:szCs w:val="22"/>
          <w:color w:val="auto"/>
        </w:rPr>
        <w:t>.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may have certain foreign asset and/or account reporting requirements and/or exchange controls which may affect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ability to acquire or hold shares of Stock under the Plan or cash received from participating in the Plan (including from any dividends received or sale proceeds arising from the sale of shares of Stock) in a brokerage or bank account outside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Optionee may be required to report such accounts, assets or transactions to the tax or other authorities in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Optionee also may be required to repatriate sale proceeds or other funds received as a result of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to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through a designated bank or broker and/or within a certain time after receipt. The Optionee acknowledges that it is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responsibility to be compliant with such regulations, and the Optionee is advised to consult a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Agreement for Employees and the General Terms and Conditions for Non-U.S. Optionees attached thereto as Exhibit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C includes additional terms and conditions that govern the Stock Option granted to the Optionee if the Optionee resides and/or works in a country listed below. If the Optionee moves to another country after receiving the grant of the Stock Option, the Company will, in its discretion, determine the extent to which the terms and conditions herein will be applicable to the Optionee.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C also includes information regarding exchange controls and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Optionee not rely on the information in this Exhibit C as the only source of information relating to the consequences of the Optionee’s participation in the Plan because the information may be out of date at the time that the Stock Option vest or the Optionee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the Optionee’s country may apply to the Optionee’s situation.</w:t>
      </w:r>
    </w:p>
    <w:p>
      <w:pPr>
        <w:spacing w:after="0" w:line="180"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Finally, if the Optionee is a citizen or resident of a country other than the one in which the Optionee is currently residing and/or working (or if the Optionee is considered as such for local law purposes), the information contained herein may not be applicable to the Optionee in the same manner.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Stock Option Not French-Qualified</w:t>
      </w:r>
      <w:r>
        <w:rPr>
          <w:rFonts w:ascii="Times New Roman" w:cs="Times New Roman" w:eastAsia="Times New Roman" w:hAnsi="Times New Roman"/>
          <w:sz w:val="22"/>
          <w:szCs w:val="22"/>
          <w:color w:val="auto"/>
        </w:rPr>
        <w:t>. The Stock Option granted under this Agreement is not intended to qualify for the specific tax and social security treatment pursuant to Sections L. 225-197-1 to L. 225-197-5 and L. 22-10-59 to L. 22-10-60 of the French Commercial Code,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13" w:name="page214"/>
    <w:bookmarkEnd w:id="213"/>
    <w:p>
      <w:pPr>
        <w:jc w:val="both"/>
        <w:spacing w:after="0"/>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Stock Option, the Optionee confirms having read and understood the Plan and the Agreement, including Exhibits A, B, and this Exhibit C, and all terms and conditions included therein, which were provided in the English language. The Optionee accepts the terms of those documents accordingly.</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Stock Option, le Titulaire de les Stock Option confirme avoir lu et compris le Plan et le Contrat y relatifs, incluant tous leurs termes et conditions, qui ont été transmis en langue anglaise. Le Titulaire de les Stock Option accepte les dispositions de ces documents en connaissance de cause.</w:t>
      </w:r>
    </w:p>
    <w:p>
      <w:pPr>
        <w:spacing w:after="0" w:line="1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Optionee imports or exports cash (e.g., proceeds from the sale of shares of Stock acquired under the Plan) with a value equal to or exceeding a certain threshold (currently €10,000), and does not use a financial institution to do so, he or she must submit a report to the customs and excise authorities.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Optionee must report any shares of Stock and bank or brokerage accounts he or she holds outside France (including any accounts that were opened, used and/or closed during the tax year) on an annual basis, on form No. 3916, together with their income tax return. It is the Optionee’s responsibility to comply with French foreign asset and account reporting requirements, and neither the Company nor the Service Recipient will be liable for any resulting fines or penalties.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available via Bundesbank’s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Additional reporting to the Bundesbank via email or telephone may be required.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Optionee will need to report the acquisition when the Optionee files his or her tax return for the relevant year. A qualified participation is attained if (i) the value of the shares of Stock acquired exceeds €150,000 or (ii) in the unlikely event the Optionee holds shares of Stock exceeding 10% of the Company’s total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By accepting the Stock Option, the Optionee acknowledges that the Optionee has received a copy of the Plan and the Agreement, including Exhibits A, B, and this Exhibit C,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“Tax Withholding,” Section 7: “No Obligation to Continue Service Relationship,” Section 9: “Personal Data,” and Section 12: “Governing Law and Venue” in the Agreement, as well as Section 2: “Nature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color w:val="auto"/>
        </w:rPr>
        <w:t>and Section 4: “Language” in Exhibit B.</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he or she is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Stock Option,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Optionee sells shares of Stock or closes a bank account that was previously reported.</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More frequent reporting is required if such transaction value or account balances exceed €1,000,000.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2: “Nature of Grant” in Exhibit C:</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Stock Option, the Optionee acknowledges, understands and agrees that the Optionee is voluntarily participating in the Plan and has received a copy of the Plan. The Optionee acknowledges having read and accepts Section 3: “Termination of Service Relationship” of this Agreement, and Section 2: “Nature of Grant” of Exhibit B.</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Optionee understands that the Company, in its sole discretion, has unilaterally, gratuitously and in its sole discretion decided to grant Stock Option under the Plan to individuals who may be officers, employees, Non-Employee Directors and other key persons (including Consultants)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5" w:name="page216"/>
    <w:bookmarkEnd w:id="215"/>
    <w:p>
      <w:pPr>
        <w:jc w:val="both"/>
        <w:spacing w:after="0" w:line="233" w:lineRule="auto"/>
        <w:rPr>
          <w:sz w:val="20"/>
          <w:szCs w:val="20"/>
          <w:color w:val="auto"/>
        </w:rPr>
      </w:pPr>
      <w:r>
        <w:rPr>
          <w:rFonts w:ascii="Times New Roman" w:cs="Times New Roman" w:eastAsia="Times New Roman" w:hAnsi="Times New Roman"/>
          <w:sz w:val="22"/>
          <w:szCs w:val="22"/>
          <w:color w:val="auto"/>
        </w:rPr>
        <w:t>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Optionee understands that the Stock Option are granted on the assumption and condition that neither the Stock Option nor the shares of Stock acquired at vesting of the Stock Option shall become a part of any employment or other service contract (either with the Company or any of its Subsidiaries or affiliates) nor shall they be considered a mandatory benefit, salary for any purposes (including severance compensation) or any other right whatsoever. Further, the Optionee understands and freely accepts that the future value of the Stock Option and shares of Stock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the Stock Option grant shall be null and void.</w:t>
      </w:r>
    </w:p>
    <w:p>
      <w:pPr>
        <w:spacing w:after="0" w:line="14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Optionee also understands and agrees that subject to any exceptions set forth in Section 3: “Termination of Service Relationship” of this Agreement, in the event of the termination of the Optionee’s Service Relationship for any reason (including the reasons listed below), the Stock Option will cease vesting and any entitlement to exercise vested Stock Option will start to run immediately effective on the date the Optionee is no longer providing services to the Service Recipient or the Company or any of its Subsidiaries. In particular, the Optionee understands and agrees that any unvested Stock Option will be forfeited without entitlement to the underlying shares of Stock or to any amount as indemnification in the event of a termination of the Optionee’s Service Relationship as described in the Agreement prior to vesting of the Stock Option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in connection with the grant of the Stock Option. The Plan and the Agreement have not been nor will they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 not constitute a public offering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 approved or supervised by any Swiss reviewing body according to article 51 FinSA or any Swiss regulatory authority, including the Swiss Financial Market Supervisory Authority.</w:t>
      </w:r>
    </w:p>
    <w:p>
      <w:pPr>
        <w:spacing w:after="0" w:line="14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6" w:name="page217"/>
    <w:bookmarkEnd w:id="216"/>
    <w:p>
      <w:pPr>
        <w:ind w:right="220"/>
        <w:spacing w:after="0"/>
        <w:rPr>
          <w:sz w:val="20"/>
          <w:szCs w:val="20"/>
          <w:color w:val="auto"/>
        </w:rPr>
      </w:pPr>
      <w:r>
        <w:rPr>
          <w:rFonts w:ascii="Times New Roman" w:cs="Times New Roman" w:eastAsia="Times New Roman" w:hAnsi="Times New Roman"/>
          <w:sz w:val="22"/>
          <w:szCs w:val="22"/>
          <w:color w:val="auto"/>
        </w:rPr>
        <w:t>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Optionee is required to file with the Optionee’s tax return.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6: “Tax Withholding” in the Agreement:</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6 of the Agreement, the Optionee hereby agrees that he or she is liable for all Tax-Related Items and hereby covenants to pay all such Tax-Related Items, as and when requested by the Company or the Service Recipient, as applicable, or by His Majesty’s Revenue &amp; Customs (“HMRC”) (or any other tax authority or any other relevant authority). The Optionee also hereby agrees to indemnify and keep indemnified the Company and the Service Recipient, as applicable, against any Tax-Related Items that they are required to pay or withhold or have paid or will pay to HMRC (or any other tax authority or any other relevant authority) on the Optionee’s behalf.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Service Recipient (as appropriate) the amount of any NICs due on this additional benefit, which may also be recovered from the Optionee by any of the means referred to in Section 6 of the Agreement.</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431 Election</w:t>
      </w:r>
      <w:r>
        <w:rPr>
          <w:rFonts w:ascii="Times New Roman" w:cs="Times New Roman" w:eastAsia="Times New Roman" w:hAnsi="Times New Roman"/>
          <w:sz w:val="22"/>
          <w:szCs w:val="22"/>
          <w:color w:val="auto"/>
        </w:rPr>
        <w:t>. If the Optionee is or becomes a director or executive officer of the Company (within the meaning of Section 13(k) of the Exchange Act) prior to vesting of the Stock Option, the Company may require, as a condition of participation in the Plan and the settlement of the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Stock Option as if such shares were not restricted securities (for U.K. tax purposes only) despite the Company's clawback policy under the U.S. Dodd-Frank Act of 2010. If the Optionee does not enter into the 431 Election if and when requested by the Company, the Optionee will not be entitled to vest in the Stock Option and no shares of Stock will be issued to the Optionee, without any liability to the Company, the Service Recipient or any Subsidiary or affiliate.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b w:val="1"/>
          <w:bCs w:val="1"/>
          <w:color w:val="auto"/>
        </w:rPr>
        <w:t>Exhibit 10.77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Name of Optionee: %%FIRST_NAME%-% %%LAST_NAME%-%</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No. of Option Shares: %%TOTAL_SHARES_GRANTED,'999,999,999'%-%</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Option Exercise Price per Share: %%OPTION_PRICE%-%</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Vesting Start Date: %%VEST_BASE_DATE%-%</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Grant Date: %%OPTION_DATE%-%</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Expiration Date: %%EXPIRE_DATE_PERIOD1%-%</w:t>
      </w:r>
    </w:p>
    <w:p>
      <w:pPr>
        <w:spacing w:after="0" w:line="233"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in this Non-Qualified Stock Option Agreement including the Privacy Notice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General Terms and Conditions for Non-U.S. Grantees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any Country-Specific Terms and Conditions for the Grantee’s country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(collectively, “Agreement”) and in the Plan. This Stock Option is not intended to be an “incentive stock option” under Section 422 of the Internal Revenue Code of 1986, as amended.</w:t>
      </w:r>
    </w:p>
    <w:p>
      <w:pPr>
        <w:spacing w:after="0" w:line="179" w:lineRule="exact"/>
        <w:rPr>
          <w:sz w:val="20"/>
          <w:szCs w:val="20"/>
          <w:color w:val="auto"/>
        </w:rPr>
      </w:pPr>
    </w:p>
    <w:p>
      <w:pPr>
        <w:ind w:right="80" w:firstLine="656"/>
        <w:spacing w:after="0" w:line="244" w:lineRule="auto"/>
        <w:tabs>
          <w:tab w:leader="none" w:pos="129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 exercisable as follows:</w:t>
      </w:r>
    </w:p>
    <w:p>
      <w:pPr>
        <w:spacing w:after="0" w:line="173"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For so long as Optionee remains in a continuous Service Relationship with the Company or any Service Recipient (as such terms are defined in Section 3 below) through the relevant date, twenty-five percent (25%) of the Option Shares shall vest on the one-year anniversary of the Vesting Start Date, and the remaining seventy-five percent (75%) of the Option Shares shall vest in thirty-six (36) equal monthly installments following the one-year anniversary of the Vesting Start Date; provided that one hundred percent (100%) of the Option Shares shall become fully vested immediately upon the termination of the Optionee's Service Relationship (as defined in Section 3 below) due to the Optionee’s death or disability.</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18" w:name="page219"/>
    <w:bookmarkEnd w:id="218"/>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00" w:firstLine="1304"/>
        <w:spacing w:after="0" w:line="239" w:lineRule="auto"/>
        <w:tabs>
          <w:tab w:leader="none" w:pos="202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w:t>
      </w:r>
    </w:p>
    <w:p>
      <w:pPr>
        <w:spacing w:after="0" w:line="9" w:lineRule="exact"/>
        <w:rPr>
          <w:sz w:val="20"/>
          <w:szCs w:val="20"/>
          <w:color w:val="auto"/>
        </w:rPr>
      </w:pPr>
    </w:p>
    <w:p>
      <w:pPr>
        <w:jc w:val="both"/>
        <w:ind w:right="240" w:firstLine="8"/>
        <w:spacing w:after="0" w:line="234" w:lineRule="auto"/>
        <w:tabs>
          <w:tab w:leader="none" w:pos="36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7"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3" w:lineRule="exact"/>
        <w:rPr>
          <w:sz w:val="20"/>
          <w:szCs w:val="20"/>
          <w:color w:val="auto"/>
        </w:rPr>
      </w:pPr>
    </w:p>
    <w:p>
      <w:pPr>
        <w:ind w:right="40" w:firstLine="1304"/>
        <w:spacing w:after="0" w:line="234" w:lineRule="auto"/>
        <w:tabs>
          <w:tab w:leader="none" w:pos="203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79" w:lineRule="exact"/>
        <w:rPr>
          <w:rFonts w:ascii="Times New Roman" w:cs="Times New Roman" w:eastAsia="Times New Roman" w:hAnsi="Times New Roman"/>
          <w:sz w:val="22"/>
          <w:szCs w:val="22"/>
          <w:color w:val="auto"/>
        </w:rPr>
      </w:pPr>
    </w:p>
    <w:p>
      <w:pPr>
        <w:ind w:left="2040" w:hanging="736"/>
        <w:spacing w:after="0"/>
        <w:tabs>
          <w:tab w:leader="none" w:pos="20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2040" w:hanging="736"/>
        <w:spacing w:after="0"/>
        <w:tabs>
          <w:tab w:leader="none" w:pos="20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2" w:right="10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Stock Option shall be exercisable after the Expiration Date hereof.</w:t>
      </w:r>
    </w:p>
    <w:p>
      <w:pPr>
        <w:spacing w:after="0" w:line="207" w:lineRule="exact"/>
        <w:rPr>
          <w:sz w:val="20"/>
          <w:szCs w:val="20"/>
          <w:color w:val="auto"/>
        </w:rPr>
      </w:pPr>
    </w:p>
    <w:p>
      <w:pPr>
        <w:ind w:right="80" w:firstLine="656"/>
        <w:spacing w:after="0" w:line="239"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employment or service relationship as a consultant or director, as applicable (the “Service Relationship”) with the Company or, if different, the Subsidiary with which the Optionee has a Service Relationship (the “Service Recipient”) is terminated, the period within which to exercise the Stock Option may be subject to earlier termination as set forth below.</w:t>
      </w:r>
    </w:p>
    <w:p>
      <w:pPr>
        <w:spacing w:after="0" w:line="180" w:lineRule="exact"/>
        <w:rPr>
          <w:rFonts w:ascii="Times New Roman" w:cs="Times New Roman" w:eastAsia="Times New Roman" w:hAnsi="Times New Roman"/>
          <w:sz w:val="22"/>
          <w:szCs w:val="22"/>
          <w:color w:val="auto"/>
        </w:rPr>
      </w:pPr>
    </w:p>
    <w:p>
      <w:pPr>
        <w:ind w:right="40" w:firstLine="1304"/>
        <w:spacing w:after="0" w:line="238" w:lineRule="auto"/>
        <w:tabs>
          <w:tab w:leader="none" w:pos="202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Relationship terminates by reason of the Optionee’s death, any portion of this Stock Option outstanding on the date of termination by reason of death, whether already vested on the date of Optionee's death or vested as a result of the Optionee's death in accordance with Section 1 of this Agreement, may thereafter be exercised by the Optionee’s legal representative or legatee for a period of 12 months from the date of death or until the Expiration Date, if earlier.</w:t>
      </w:r>
    </w:p>
    <w:p>
      <w:pPr>
        <w:spacing w:after="0" w:line="176" w:lineRule="exact"/>
        <w:rPr>
          <w:rFonts w:ascii="Times New Roman" w:cs="Times New Roman" w:eastAsia="Times New Roman" w:hAnsi="Times New Roman"/>
          <w:sz w:val="22"/>
          <w:szCs w:val="22"/>
          <w:color w:val="auto"/>
        </w:rPr>
      </w:pPr>
    </w:p>
    <w:p>
      <w:pPr>
        <w:ind w:right="380" w:firstLine="1304"/>
        <w:spacing w:after="0" w:line="238" w:lineRule="auto"/>
        <w:tabs>
          <w:tab w:leader="none" w:pos="203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terminates by reason of the Optionee’s disability, any portion of this Stock Option outstanding on the date of termination by reason of disability, whether already vested on the date of such termination or vested as a result of such termination in accordance with Section 1 of this Agreement, may thereafter be exercised by the Optionee for a period of 12 months from the date of such termination or until the Expiration Date, if earlier.</w:t>
      </w:r>
    </w:p>
    <w:p>
      <w:pPr>
        <w:spacing w:after="0" w:line="176" w:lineRule="exact"/>
        <w:rPr>
          <w:rFonts w:ascii="Times New Roman" w:cs="Times New Roman" w:eastAsia="Times New Roman" w:hAnsi="Times New Roman"/>
          <w:sz w:val="22"/>
          <w:szCs w:val="22"/>
          <w:color w:val="auto"/>
        </w:rPr>
      </w:pPr>
    </w:p>
    <w:p>
      <w:pPr>
        <w:ind w:right="20" w:firstLine="1304"/>
        <w:spacing w:after="0" w:line="233" w:lineRule="auto"/>
        <w:tabs>
          <w:tab w:leader="none" w:pos="202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between the Company or a Service Recipient and the Optionee, a determination by the Company that the Optionee’s Service Relationship terminates as a result of (i) the Optionee’s dishonest statements or acts with respect to the Company or Subsidiaries, or any of its or their current or prospective customers, suppliers vendors or other third parties with which such entity does business; (ii) the Optionee’s commission of (A) a felony or (B) any misdemeanor involving moral turpitude, deceit, dishonesty or fraud; (iii) the Optionee’s failure to perform assigned duties and responsibilities to the reasonable satisfaction of the applicable Service Recipient which failure continues, in the reasonable judgment of the Service Recipient, after written notice given to the Optionee by the Service Recipient; (iv) the Optionee’s breach of fiduciary duty, gross negligence, willful misconduct or insubordination with respect to the Company or any affiliate of the Company; or (v) the Optionee’s material violation of any provision of any agreement(s) between the Optionee and the Company or any Subsidiary relating to noncompetition, nondisclosure and/or assignment of inventions.</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203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Company’s determination of the reason for termination of the Optionee’s Service Relationship shall be conclusive and binding on the Optionee and the Optionee’s representatives or legatees.</w:t>
      </w:r>
    </w:p>
    <w:p>
      <w:pPr>
        <w:spacing w:after="0" w:line="158"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0" w:name="page221"/>
    <w:bookmarkEnd w:id="220"/>
    <w:p>
      <w:pPr>
        <w:jc w:val="both"/>
        <w:ind w:right="100"/>
        <w:spacing w:after="0" w:line="262" w:lineRule="auto"/>
        <w:rPr>
          <w:sz w:val="20"/>
          <w:szCs w:val="20"/>
          <w:color w:val="auto"/>
        </w:rPr>
      </w:pPr>
      <w:r>
        <w:rPr>
          <w:rFonts w:ascii="Times New Roman" w:cs="Times New Roman" w:eastAsia="Times New Roman" w:hAnsi="Times New Roman"/>
          <w:sz w:val="21"/>
          <w:szCs w:val="21"/>
          <w:color w:val="auto"/>
        </w:rPr>
        <w:t>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155" w:lineRule="exact"/>
        <w:rPr>
          <w:sz w:val="20"/>
          <w:szCs w:val="20"/>
          <w:color w:val="auto"/>
        </w:rPr>
      </w:pPr>
    </w:p>
    <w:p>
      <w:pPr>
        <w:ind w:right="740" w:firstLine="656"/>
        <w:spacing w:after="0" w:line="239"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0" w:lineRule="exact"/>
        <w:rPr>
          <w:rFonts w:ascii="Times New Roman" w:cs="Times New Roman" w:eastAsia="Times New Roman" w:hAnsi="Times New Roman"/>
          <w:sz w:val="22"/>
          <w:szCs w:val="22"/>
          <w:color w:val="auto"/>
        </w:rPr>
      </w:pPr>
    </w:p>
    <w:p>
      <w:pPr>
        <w:ind w:right="100" w:firstLine="656"/>
        <w:spacing w:after="0" w:line="235"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83" w:lineRule="exact"/>
        <w:rPr>
          <w:rFonts w:ascii="Times New Roman" w:cs="Times New Roman" w:eastAsia="Times New Roman" w:hAnsi="Times New Roman"/>
          <w:sz w:val="22"/>
          <w:szCs w:val="22"/>
          <w:color w:val="auto"/>
        </w:rPr>
      </w:pPr>
    </w:p>
    <w:p>
      <w:pPr>
        <w:ind w:right="140" w:firstLine="656"/>
        <w:spacing w:after="0" w:line="255" w:lineRule="auto"/>
        <w:tabs>
          <w:tab w:leader="none" w:pos="129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the Service Recipient, as applicable, is obligated by or as a result of the Plan or this Agreement to continue the Optionee’s Service Relationship and neither the Plan nor this Agreement shall interfere in any way with the right of the Company or the Service Recipient, as applicable, to terminate the Service Relationship of the Optionee at any time.</w:t>
      </w:r>
    </w:p>
    <w:p>
      <w:pPr>
        <w:spacing w:after="0" w:line="161" w:lineRule="exact"/>
        <w:rPr>
          <w:rFonts w:ascii="Times New Roman" w:cs="Times New Roman" w:eastAsia="Times New Roman" w:hAnsi="Times New Roman"/>
          <w:sz w:val="21"/>
          <w:szCs w:val="21"/>
          <w:color w:val="auto"/>
        </w:rPr>
      </w:pPr>
    </w:p>
    <w:p>
      <w:pPr>
        <w:ind w:firstLine="656"/>
        <w:spacing w:after="0" w:line="244"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firstLine="656"/>
        <w:spacing w:after="0" w:line="247" w:lineRule="auto"/>
        <w:tabs>
          <w:tab w:leader="none" w:pos="129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In order to administer the Plan and this Agreement and to implement or structure future equity grants, the Company may collect and process the Optionee’s personal data, including sharing it with its Subsidiaries and certain agents thereof (together, the “Relevant Companies”) in connection with administering the Plan and performing its obligations under this Agreement (the “Relevant Information”). The Company may also transfer the Optionee’s personal data to countries with privacy laws that may be less protective than those of the Optionee’s country. The attached Exhibit A -- Privacy Notice, incorporated by reference into this Agreement as if fully set forth herein, further describes how the Optionee’s personal data will be processed and the Optionee’s rights with respect to personal data processed for the purposes of administering the Plan and this Agreement.</w:t>
      </w:r>
    </w:p>
    <w:p>
      <w:pPr>
        <w:spacing w:after="0" w:line="171" w:lineRule="exact"/>
        <w:rPr>
          <w:rFonts w:ascii="Times New Roman" w:cs="Times New Roman" w:eastAsia="Times New Roman" w:hAnsi="Times New Roman"/>
          <w:sz w:val="21"/>
          <w:szCs w:val="21"/>
          <w:color w:val="auto"/>
        </w:rPr>
      </w:pPr>
    </w:p>
    <w:p>
      <w:pPr>
        <w:ind w:right="300" w:firstLine="656"/>
        <w:spacing w:after="0" w:line="244"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right="140" w:firstLine="656"/>
        <w:spacing w:after="0" w:line="238"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Stock Option grant and the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1" w:name="page222"/>
    <w:bookmarkEnd w:id="221"/>
    <w:p>
      <w:pPr>
        <w:ind w:right="100"/>
        <w:spacing w:after="0" w:line="236" w:lineRule="auto"/>
        <w:rPr>
          <w:sz w:val="20"/>
          <w:szCs w:val="20"/>
          <w:color w:val="auto"/>
        </w:rPr>
      </w:pPr>
      <w:r>
        <w:rPr>
          <w:rFonts w:ascii="Times New Roman" w:cs="Times New Roman" w:eastAsia="Times New Roman" w:hAnsi="Times New Roman"/>
          <w:sz w:val="22"/>
          <w:szCs w:val="22"/>
          <w:color w:val="auto"/>
        </w:rPr>
        <w:t>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182" w:lineRule="exact"/>
        <w:rPr>
          <w:sz w:val="20"/>
          <w:szCs w:val="20"/>
          <w:color w:val="auto"/>
        </w:rPr>
      </w:pPr>
    </w:p>
    <w:p>
      <w:pPr>
        <w:ind w:right="20" w:firstLine="656"/>
        <w:spacing w:after="0" w:line="244"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3" w:lineRule="exact"/>
        <w:rPr>
          <w:rFonts w:ascii="Times New Roman" w:cs="Times New Roman" w:eastAsia="Times New Roman" w:hAnsi="Times New Roman"/>
          <w:sz w:val="22"/>
          <w:szCs w:val="22"/>
          <w:color w:val="auto"/>
        </w:rPr>
      </w:pPr>
    </w:p>
    <w:p>
      <w:pPr>
        <w:ind w:firstLine="656"/>
        <w:spacing w:after="0" w:line="244"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Optionee acknowledges that a waiver by the Company of breach of any provision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3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80" w:lineRule="exact"/>
        <w:rPr>
          <w:sz w:val="20"/>
          <w:szCs w:val="20"/>
          <w:color w:val="auto"/>
        </w:rPr>
      </w:pPr>
    </w:p>
    <w:p>
      <w:pPr>
        <w:ind w:left="5140"/>
        <w:spacing w:after="0"/>
        <w:tabs>
          <w:tab w:leader="none" w:pos="5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21"/>
          <w:szCs w:val="21"/>
          <w:color w:val="auto"/>
        </w:rPr>
        <w:t>Kathryn D.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10795</wp:posOffset>
            </wp:positionV>
            <wp:extent cx="26231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22"/>
          <w:szCs w:val="22"/>
          <w:color w:val="auto"/>
        </w:rPr>
        <w:t>Name: Kathryn D. Haviland</w:t>
      </w:r>
    </w:p>
    <w:p>
      <w:pPr>
        <w:ind w:left="5140"/>
        <w:spacing w:after="0"/>
        <w:tabs>
          <w:tab w:leader="none" w:pos="5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398"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10795</wp:posOffset>
            </wp:positionV>
            <wp:extent cx="58718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4">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%%FIRST_NAME%-% %%LAST_NAME%-%</w:t>
      </w:r>
    </w:p>
    <w:p>
      <w:pPr>
        <w:ind w:left="5200"/>
        <w:spacing w:after="0"/>
        <w:rPr>
          <w:sz w:val="20"/>
          <w:szCs w:val="20"/>
          <w:color w:val="auto"/>
        </w:rPr>
      </w:pPr>
      <w:r>
        <w:rPr>
          <w:rFonts w:ascii="Times New Roman" w:cs="Times New Roman" w:eastAsia="Times New Roman" w:hAnsi="Times New Roman"/>
          <w:sz w:val="22"/>
          <w:szCs w:val="22"/>
          <w:u w:val="single" w:color="auto"/>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-3810</wp:posOffset>
            </wp:positionV>
            <wp:extent cx="29914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u w:val="single" w:color="auto"/>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-3810</wp:posOffset>
            </wp:positionV>
            <wp:extent cx="29914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u w:val="single" w:color="auto"/>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-3810</wp:posOffset>
            </wp:positionV>
            <wp:extent cx="29914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u w:val="single" w:color="auto"/>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-3810</wp:posOffset>
            </wp:positionV>
            <wp:extent cx="29914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u w:val="single" w:color="auto"/>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638810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-3810</wp:posOffset>
            </wp:positionV>
            <wp:extent cx="29914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you, the individual named as the Optionee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647065</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questions about this Privacy Notice, to exercise applicable rights related to your personal data, or for more information about the Company’s privacy and data protection practices, please contact us at the appropriate locations: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508000</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Optionees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Exhibit B, which is part of the Non-Qualified Stock Option Agreement for Employees, contains additional terms and conditions that will apply to the Optionee if residing outside the United States.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Agreement for Employees.</w:t>
      </w:r>
    </w:p>
    <w:p>
      <w:pPr>
        <w:spacing w:after="0" w:line="200" w:lineRule="exact"/>
        <w:rPr>
          <w:sz w:val="20"/>
          <w:szCs w:val="20"/>
          <w:color w:val="auto"/>
        </w:rPr>
      </w:pPr>
    </w:p>
    <w:p>
      <w:pPr>
        <w:ind w:left="660" w:right="20" w:hanging="652"/>
        <w:spacing w:after="0" w:line="258" w:lineRule="auto"/>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6 of the Non-Qualified Stock Option Agreement for Employees.</w:t>
      </w:r>
    </w:p>
    <w:p>
      <w:pPr>
        <w:spacing w:after="0" w:line="158" w:lineRule="exact"/>
        <w:rPr>
          <w:rFonts w:ascii="Times New Roman" w:cs="Times New Roman" w:eastAsia="Times New Roman" w:hAnsi="Times New Roman"/>
          <w:sz w:val="22"/>
          <w:szCs w:val="22"/>
          <w:color w:val="auto"/>
        </w:rPr>
      </w:pPr>
    </w:p>
    <w:p>
      <w:pPr>
        <w:jc w:val="both"/>
        <w:ind w:left="6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acknowledges that, regardless of any action taken by the Company, the ultimate liability for all income tax, social insurance, payroll tax, fringe benefit tax, payment on account or other tax-related items related to the Optionee's participation in the Plan and legally applicable to the Optionee (“Tax-Related Items”) is and remains the Optionee’s responsibility and may exceed the amount actually withheld by the Company. The Optionee further acknowledges that the Company (a) makes no representations or undertakings regarding the treatment of any Tax-Related Items in connection with any aspect of the Stock Option, including, but not limited to, the grant or vesting of the Stock Option and the subsequent sale of shares of Stock acquired pursuant to such vesting and the receipt of any dividends and/or dividend equivalents; and (b) does not commit to and is under no obligation to structure the terms of the grant or any aspect of the Stock Option to reduce or eliminate the Optionee’s liability for Tax-Related Items or achieve any particular tax result. Further, if the Optionee is subject to Tax-Related Items in more than one jurisdiction, the Optionee acknowledges that the Company may be required to withhold or account for Tax-Related Items in more than one jurisdiction and may seek evidence from the Optionee of residency for purposes of operating such withholding or payment on account.</w:t>
      </w:r>
    </w:p>
    <w:p>
      <w:pPr>
        <w:spacing w:after="0" w:line="112" w:lineRule="exact"/>
        <w:rPr>
          <w:rFonts w:ascii="Times New Roman" w:cs="Times New Roman" w:eastAsia="Times New Roman" w:hAnsi="Times New Roman"/>
          <w:sz w:val="22"/>
          <w:szCs w:val="22"/>
          <w:color w:val="auto"/>
        </w:rPr>
      </w:pPr>
    </w:p>
    <w:p>
      <w:pPr>
        <w:jc w:val="both"/>
        <w:ind w:left="6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shall not be responsible for withholding any Tax-Related Items, unless required by applicable law. The Company may take such action as it deems appropriate to ensure that all Tax-Related Items are withheld or collected from the Optionee, if and to the extent required by applicable law. In this regard, the Company will have the power and the right to require the Optionee to remit to the Company, the amount necessary to satisfy the Tax-Related Items. Notwithstanding the foregoing, unless otherwise determined by the Administrator, any obligations to pay Tax-Related Items will be met by having the Company withhold a number of shares of Stock from the total number of shares of Stock otherwise issuable to the Optionee upon the relevant taxable or tax withholding event, as applicable. In the event that withholding in shares of Stock is problematic under applicable tax or securities law or has materially adverse accounting consequences, the Optionee authorizes the Company, or its respective agents, at the Company’s discretion, to satisfy the obligations with regard to all Tax-Related Items by one or a combination of the following: (i) requiring the Optionee to make a payment in a form acceptable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487680</wp:posOffset>
            </wp:positionV>
            <wp:extent cx="629221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25" w:name="page226"/>
    <w:bookmarkEnd w:id="225"/>
    <w:p>
      <w:pPr>
        <w:jc w:val="both"/>
        <w:ind w:left="652"/>
        <w:spacing w:after="0" w:line="234" w:lineRule="auto"/>
        <w:rPr>
          <w:sz w:val="20"/>
          <w:szCs w:val="20"/>
          <w:color w:val="auto"/>
        </w:rPr>
      </w:pPr>
      <w:r>
        <w:rPr>
          <w:rFonts w:ascii="Times New Roman" w:cs="Times New Roman" w:eastAsia="Times New Roman" w:hAnsi="Times New Roman"/>
          <w:sz w:val="22"/>
          <w:szCs w:val="22"/>
          <w:color w:val="auto"/>
        </w:rPr>
        <w:t>Company; (ii) withholding from the Optionee’s Director fees or other cash compensation paid to the Optionee by the Company; (iii) withholding from proceeds of the sale of shares of Stock acquired upon vesting/settlement of the Stock Option either through a voluntary sale or through a mandatory sale arranged by the Company (on the Optionee’s behalf pursuant to this authorization); or (iv) any other method of withholding determined by the Company and to the extent required by applicable law or the Plan, approved by the Administrator. Depending on the withholding method, the Company may withhold or account for Tax-Related Items by considering maximum applicable rates, in which case the Optionee will receive a refund of any over-withheld amount in cash and will have no entitlement to the Common Stock equivalent.</w:t>
      </w:r>
    </w:p>
    <w:p>
      <w:pPr>
        <w:spacing w:after="0" w:line="211" w:lineRule="exact"/>
        <w:rPr>
          <w:sz w:val="20"/>
          <w:szCs w:val="20"/>
          <w:color w:val="auto"/>
        </w:rPr>
      </w:pPr>
    </w:p>
    <w:p>
      <w:pPr>
        <w:jc w:val="both"/>
        <w:ind w:left="652" w:right="20"/>
        <w:spacing w:after="0" w:line="244" w:lineRule="auto"/>
        <w:rPr>
          <w:sz w:val="20"/>
          <w:szCs w:val="20"/>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Optionee fails to comply with the Optionee’s obligations in connection with the Tax-Related Items.</w:t>
      </w:r>
    </w:p>
    <w:p>
      <w:pPr>
        <w:spacing w:after="0" w:line="106" w:lineRule="exact"/>
        <w:rPr>
          <w:sz w:val="20"/>
          <w:szCs w:val="20"/>
          <w:color w:val="auto"/>
        </w:rPr>
      </w:pPr>
    </w:p>
    <w:p>
      <w:pPr>
        <w:ind w:left="652" w:hanging="652"/>
        <w:spacing w:after="0"/>
        <w:tabs>
          <w:tab w:leader="none" w:pos="65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the Stock Option, the Optionee acknowledges, understands and agrees that:</w:t>
      </w:r>
    </w:p>
    <w:p>
      <w:pPr>
        <w:spacing w:after="0" w:line="217" w:lineRule="exact"/>
        <w:rPr>
          <w:rFonts w:ascii="Times New Roman" w:cs="Times New Roman" w:eastAsia="Times New Roman" w:hAnsi="Times New Roman"/>
          <w:sz w:val="21"/>
          <w:szCs w:val="21"/>
          <w:color w:val="auto"/>
        </w:rPr>
      </w:pPr>
    </w:p>
    <w:p>
      <w:pPr>
        <w:jc w:val="both"/>
        <w:ind w:left="1292" w:hanging="644"/>
        <w:spacing w:after="0" w:line="244"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Stock Option is voluntary and occasional and does not create any contractual or other right to receive future grants of Stock Option, or benefits in lieu of Stock Option, even if Stock Option have been granted in the past;</w:t>
      </w:r>
    </w:p>
    <w:p>
      <w:pPr>
        <w:spacing w:after="0" w:line="173"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Stock Option or other grants, if any, will be at the sole discretion of the Company;</w:t>
      </w:r>
    </w:p>
    <w:p>
      <w:pPr>
        <w:spacing w:after="0" w:line="158" w:lineRule="exact"/>
        <w:rPr>
          <w:rFonts w:ascii="Times New Roman" w:cs="Times New Roman" w:eastAsia="Times New Roman" w:hAnsi="Times New Roman"/>
          <w:sz w:val="22"/>
          <w:szCs w:val="22"/>
          <w:color w:val="auto"/>
        </w:rPr>
      </w:pPr>
    </w:p>
    <w:p>
      <w:pPr>
        <w:ind w:left="1292" w:hanging="644"/>
        <w:spacing w:after="0" w:line="257"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shall not be interpreted as forming an employment or services contract with the Company or any Subsidiary;</w:t>
      </w:r>
    </w:p>
    <w:p>
      <w:pPr>
        <w:spacing w:after="0" w:line="15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is voluntarily participating in the Plan;</w:t>
      </w:r>
    </w:p>
    <w:p>
      <w:pPr>
        <w:spacing w:after="0" w:line="206"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shares of Stock subject to the Stock Option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shares of Stock subject to the Stock Option, and the income and value of same, are not part of normal or expected compensation for any purpose, and do not confer on Optionee any right to receive Director fees or other compensation in any specific amount;</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Stock Option and the shares of Stock subject to the Stock Option, and the income and value of same, are not granted as consideration for, or in connection with, the service the Optionee may provide as a director of a Subsidiary;</w:t>
      </w:r>
    </w:p>
    <w:p>
      <w:pPr>
        <w:spacing w:after="0" w:line="173"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of Stock is unknown, indeterminable and cannot be predicted with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615315</wp:posOffset>
            </wp:positionV>
            <wp:extent cx="62922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26" w:name="page227"/>
    <w:bookmarkEnd w:id="226"/>
    <w:p>
      <w:pPr>
        <w:jc w:val="both"/>
        <w:ind w:left="1292" w:hanging="644"/>
        <w:spacing w:after="0" w:line="244" w:lineRule="auto"/>
        <w:tabs>
          <w:tab w:leader="none" w:pos="129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Stock Option resulting from the termination of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service as a member of the Board (for any reason whatsoever);</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local currency and the United States Dollar that may affect the value of the Stock Option or of any amounts due to the Optionee pursuant to the settlement of the Stock Option or the subsequent sale of any shares of Stock acquired upon settlement.</w:t>
      </w:r>
    </w:p>
    <w:p>
      <w:pPr>
        <w:spacing w:after="0" w:line="179" w:lineRule="exact"/>
        <w:rPr>
          <w:rFonts w:ascii="Times New Roman" w:cs="Times New Roman" w:eastAsia="Times New Roman" w:hAnsi="Times New Roman"/>
          <w:sz w:val="22"/>
          <w:szCs w:val="22"/>
          <w:color w:val="auto"/>
        </w:rPr>
      </w:pPr>
    </w:p>
    <w:p>
      <w:pPr>
        <w:jc w:val="both"/>
        <w:ind w:left="652" w:hanging="652"/>
        <w:spacing w:after="0" w:line="237" w:lineRule="auto"/>
        <w:tabs>
          <w:tab w:leader="none" w:pos="6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or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acquisition or sale of the underlying shares of Stock. The Optionee is hereby advised to consult with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own personal tax, legal and financial advisors regarding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before taking any action related to the Plan.</w:t>
      </w:r>
    </w:p>
    <w:p>
      <w:pPr>
        <w:spacing w:after="0" w:line="179" w:lineRule="exact"/>
        <w:rPr>
          <w:rFonts w:ascii="Times New Roman" w:cs="Times New Roman" w:eastAsia="Times New Roman" w:hAnsi="Times New Roman"/>
          <w:sz w:val="22"/>
          <w:szCs w:val="22"/>
          <w:color w:val="auto"/>
        </w:rPr>
      </w:pPr>
    </w:p>
    <w:p>
      <w:pPr>
        <w:jc w:val="both"/>
        <w:ind w:left="652" w:hanging="652"/>
        <w:spacing w:after="0" w:line="244" w:lineRule="auto"/>
        <w:tabs>
          <w:tab w:leader="none" w:pos="6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Optionee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7" w:lineRule="auto"/>
        <w:tabs>
          <w:tab w:leader="none" w:pos="6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on the Stock Option and on any shares of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4" w:lineRule="auto"/>
        <w:tabs>
          <w:tab w:leader="none" w:pos="6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Restrictions/Market Abuse Laws</w:t>
      </w:r>
      <w:r>
        <w:rPr>
          <w:rFonts w:ascii="Times New Roman" w:cs="Times New Roman" w:eastAsia="Times New Roman" w:hAnsi="Times New Roman"/>
          <w:sz w:val="22"/>
          <w:szCs w:val="22"/>
          <w:color w:val="auto"/>
        </w:rPr>
        <w:t>. The Optionee acknowledges that, depending on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Optionee may be subject to insider trading restrictions and/or market abuse laws, which may affect the ability to acquire or sell shares of Stock or rights to shares of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Stock Option) under the Plan during such times as the Optionee is considered to have </w:t>
      </w:r>
      <w:r>
        <w:rPr>
          <w:rFonts w:ascii="Arial" w:cs="Arial" w:eastAsia="Arial" w:hAnsi="Arial"/>
          <w:sz w:val="22"/>
          <w:szCs w:val="22"/>
          <w:color w:val="auto"/>
        </w:rPr>
        <w:t>“</w:t>
      </w:r>
      <w:r>
        <w:rPr>
          <w:rFonts w:ascii="Times New Roman" w:cs="Times New Roman" w:eastAsia="Times New Roman" w:hAnsi="Times New Roman"/>
          <w:sz w:val="22"/>
          <w:szCs w:val="22"/>
          <w:color w:val="auto"/>
        </w:rPr>
        <w:t>inside information</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 regarding the Company (as defined by the laws in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Any restrictions under these laws or regulations are separate from and in addition to any restrictions that may be imposed under any applicable Company insider trading policy. The Optionee is responsible for ensuring compliance with any applicable restrictions and is advised to consult a personal legal advisor on this matter.</w:t>
      </w:r>
    </w:p>
    <w:p>
      <w:pPr>
        <w:spacing w:after="0" w:line="183" w:lineRule="exact"/>
        <w:rPr>
          <w:rFonts w:ascii="Times New Roman" w:cs="Times New Roman" w:eastAsia="Times New Roman" w:hAnsi="Times New Roman"/>
          <w:sz w:val="22"/>
          <w:szCs w:val="22"/>
          <w:color w:val="auto"/>
        </w:rPr>
      </w:pPr>
    </w:p>
    <w:p>
      <w:pPr>
        <w:jc w:val="both"/>
        <w:ind w:left="652" w:hanging="652"/>
        <w:spacing w:after="0" w:line="233" w:lineRule="auto"/>
        <w:tabs>
          <w:tab w:leader="none" w:pos="65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 Exchange Controls</w:t>
      </w:r>
      <w:r>
        <w:rPr>
          <w:rFonts w:ascii="Times New Roman" w:cs="Times New Roman" w:eastAsia="Times New Roman" w:hAnsi="Times New Roman"/>
          <w:sz w:val="22"/>
          <w:szCs w:val="22"/>
          <w:color w:val="auto"/>
        </w:rPr>
        <w:t>.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may have certain foreign asset and/or account reporting requirements and/or exchange controls which may affect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ability to acquire or hold shares of Stock under the Plan or cash received from participating in the Plan (including from any dividends received or sale proceeds arising from the sale of shares of Stock) in a brokerage or bank account outside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Optionee may be required to report such accounts, assets or transactions to the tax or other authorities in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Optionee also may be required to repatriate sale proceeds or other funds received as a result of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to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through a designated bank or broker and/or within a certain time after receipt. The Optionee acknowledges that it is the Optionee</w:t>
      </w:r>
      <w:r>
        <w:rPr>
          <w:rFonts w:ascii="Arial" w:cs="Arial" w:eastAsia="Arial" w:hAnsi="Arial"/>
          <w:sz w:val="22"/>
          <w:szCs w:val="22"/>
          <w:color w:val="auto"/>
        </w:rPr>
        <w:t>’</w:t>
      </w:r>
      <w:r>
        <w:rPr>
          <w:rFonts w:ascii="Times New Roman" w:cs="Times New Roman" w:eastAsia="Times New Roman" w:hAnsi="Times New Roman"/>
          <w:sz w:val="22"/>
          <w:szCs w:val="22"/>
          <w:color w:val="auto"/>
        </w:rPr>
        <w:t>s responsibility to be compliant with such regulations, and the Optionee is advised to consult a personal legal advisor for any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629285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Agreement for Employees and the General Terms and Conditions for Non-U.S. Optionees attached thereto as Exhibit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C includes additional terms and conditions that govern the Stock Option granted to the Optionee if the Optionee resides and/or works in a country listed below. If the Optionee moves to another country after receiving the grant of the Stock Option, the Company will, in its discretion, determine the extent to which the terms and conditions herein will be applicable to the Optionee.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C also includes information regarding exchange controls and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Optionee not rely on the information in this Exhibit C as the only source of information relating to the consequences of the Optionee’s participation in the Plan because the information may be out of date at the time that the Stock Option vest or the Optionee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the Optionee’s country may apply to the Optionee’s situation.</w:t>
      </w:r>
    </w:p>
    <w:p>
      <w:pPr>
        <w:spacing w:after="0" w:line="180"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Finally, if the Optionee is a citizen or resident of a country other than the one in which the Optionee is currently residing and/or working (or if the Optionee is considered as such for local law purposes), the information contained herein may not be applicable to the Optionee in the same manner.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Stock Option Not French-Qualified</w:t>
      </w:r>
      <w:r>
        <w:rPr>
          <w:rFonts w:ascii="Times New Roman" w:cs="Times New Roman" w:eastAsia="Times New Roman" w:hAnsi="Times New Roman"/>
          <w:sz w:val="22"/>
          <w:szCs w:val="22"/>
          <w:color w:val="auto"/>
        </w:rPr>
        <w:t>. The Stock Option granted under this Agreement is not intended to qualify for the specific tax and social security treatment pursuant to Sections L. 225-197-1 to L. 225-197-5 and L. 22-10-59 to L. 22-10-60 of the French Commercial Code, as amended.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Stock Option, the Optionee confirms having read and understood the Plan and the Agreement, including Exhibits A, B, and this Exhibit C,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28" w:name="page229"/>
    <w:bookmarkEnd w:id="228"/>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terms and conditions included therein, which were provided in the English language. The Optionee accepts the terms of those documents accordingly.</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Stock Option, le Titulaire de les Stock Option confirme avoir lu et compris le Plan et le Contrat y relatifs, incluant tous leurs termes et conditions, qui ont été transmis en langue anglaise. Le Titulaire de les Stock Option accepte les dispositions de ces documents en connaissance de cause.</w:t>
      </w:r>
    </w:p>
    <w:p>
      <w:pPr>
        <w:spacing w:after="0" w:line="1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Optionee imports or exports cash (e.g., proceeds from the sale of shares of Stock acquired under the Plan) with a value equal to or exceeding a certain threshold (currently €10,000), and does not use a financial institution to do so, he or she must submit a report to the customs and excise authorities.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Optionee must report any shares of Stock and bank or brokerage accounts he or she holds outside France (including any accounts that were opened, used and/or closed during the tax year) on an annual basis, on form No. 3916, together with their income tax return. It is the Optionee’s responsibility to comply with French foreign asset and account reporting requirements, and neither the Company nor the Service Recipient will be liable for any resulting fines or penalties.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available via Bundesbank’s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Additional reporting to the Bundesbank via email or telephone may be required.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Optionee will need to report the acquisition when the Optionee files his or her tax return for the relevant year. A qualified participation is attained if (i) the value of the shares of Stock acquired exceeds €150,000 or (ii) in the unlikely event the Optionee holds shares of Stock exceeding 10% of the Company’s total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Plan Document Acknowledgment</w:t>
      </w:r>
      <w:r>
        <w:rPr>
          <w:rFonts w:ascii="Times New Roman" w:cs="Times New Roman" w:eastAsia="Times New Roman" w:hAnsi="Times New Roman"/>
          <w:sz w:val="21"/>
          <w:szCs w:val="21"/>
          <w:color w:val="auto"/>
        </w:rPr>
        <w:t>. By accepting the Stock Option, the Optionee acknowledges that the Optionee has received a copy of the Plan and the Agreement, including Exhibits A, B, and this Exhibit C,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“Tax Withholding,” Section 7: “No Obligation to Continue Service Relationship,” Section 9: “Personal Data,” and Section 12: “Governing Law and Venue” in the Agreement, as well as Section 2: “Nature of Grant,” and Section 4: “Language”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he or she is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Stock Option,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Optionee sells shares of Stock or closes a bank account that was previously reported.</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More frequent reporting is required if such transaction value or account balances exceed €1,000,000.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2: “Nature of Grant” in Exhibit C:</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Stock Option, the Optionee acknowledges, understands and agrees that the Optionee is voluntarily participating in the Plan and has received a copy of the Plan. The Optionee acknowledges having read and accepts Section 3: “Termination of Service Relationship” of this Agreement, and Section 2: “Nature of Grant” of Exhibit C.</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Optionee understands that the Company, in its sole discretion, has unilaterally, gratuitously and in its sole discretion decided to grant Stock Option under the Plan to individuals who may be officers, employees, Non-Employee Directors and other key persons (including Consultants) of the Company and 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603885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30" w:name="page231"/>
    <w:bookmarkEnd w:id="230"/>
    <w:p>
      <w:pPr>
        <w:jc w:val="both"/>
        <w:spacing w:after="0" w:line="234" w:lineRule="auto"/>
        <w:rPr>
          <w:sz w:val="20"/>
          <w:szCs w:val="20"/>
          <w:color w:val="auto"/>
        </w:rPr>
      </w:pPr>
      <w:r>
        <w:rPr>
          <w:rFonts w:ascii="Times New Roman" w:cs="Times New Roman" w:eastAsia="Times New Roman" w:hAnsi="Times New Roman"/>
          <w:sz w:val="22"/>
          <w:szCs w:val="22"/>
          <w:color w:val="auto"/>
        </w:rPr>
        <w:t>understands that the Stock Option are granted on the assumption and condition that neither the Stock Option nor the shares of Stock acquired at vesting of the Stock Option shall become a part of any employment or other service contract (either with the Company or any of its Subsidiaries or affiliates) nor shall they be considered a mandatory benefit, salary for any purposes (including severance compensation) or any other right whatsoever. Further, the Optionee understands and freely accepts that the future value of the Stock Option and shares of Stock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the Stock Option grant shall be null and void.</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Optionee also understands and agrees that subject to any exceptions set forth in Section 3: “Termination of Service Relationship” of this Agreement, in the event of the termination of the Optionee’s Service Relationship for any reason (including the reasons listed below), the Stock Option will cease vesting and any entitlement to exercise vested Stock Option will start to run immediately effective on the date the Optionee is no longer providing services to the Service Recipient or the Company or any of its Subsidiaries. In particular, the Optionee understands and agrees that any unvested Stock Option will be forfeited without entitlement to the underlying shares of Stock or to any amount as indemnification in the event of a termination of the Optionee’s Service Relationship as described in the Agreement prior to vesting of the Stock Option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in connection with the grant of the Stock Option. The Plan and the Agreement have not been nor will they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 not constitute a public offering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 approved or supervised by any Swiss reviewing body according to article 51 FinSA or any Swiss regulatory authority, including the Swiss Financial Market Supervisory Authority.</w:t>
      </w:r>
    </w:p>
    <w:p>
      <w:pPr>
        <w:spacing w:after="0" w:line="143"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Optionee is required to file with the Optionee’s 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492760</wp:posOffset>
            </wp:positionV>
            <wp:extent cx="629221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6: “Tax Withholding” in the Agreement:</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6 of the Agreement, the Optionee hereby agrees that he or she is liable for all Tax-Related Items and hereby covenants to pay all such Tax-Related Items, as and when requested by the Company or the Service Recipient, as applicable, or by His Majesty’s Revenue &amp; Customs (“HMRC”) (or any other tax authority or any other relevant authority). The Optionee also hereby agrees to indemnify and keep indemnified the Company and the Service Recipient, as applicable, against any Tax-Related Items that they are required to pay or withhold or have paid or will pay to HMRC (or any other tax authority or any other relevant authority) on the Optionee’s behalf.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Service Recipient (as appropriate) the amount of any NICs due on this additional benefit, which may also be recovered from the Optionee by any of the means referred to in Section 6 of the Agreement.</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431 Election</w:t>
      </w:r>
      <w:r>
        <w:rPr>
          <w:rFonts w:ascii="Times New Roman" w:cs="Times New Roman" w:eastAsia="Times New Roman" w:hAnsi="Times New Roman"/>
          <w:sz w:val="22"/>
          <w:szCs w:val="22"/>
          <w:color w:val="auto"/>
        </w:rPr>
        <w:t>. If the Optionee is or becomes a director or executive officer of the Company (within the meaning of Section 13(k) of the Exchange Act) prior to vesting of the Stock Option, the Company may require, as a condition of participation in the Plan and the settlement of the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Stock Option as if such shares were not restricted securities (for U.K. tax purposes only) despite the Company's clawback policy under the U.S. Dodd-Frank Act of 2010. If the Optionee does not enter into the 431 Election if and when requested by the Company, the Optionee will not be entitled to vest in the Stock Option and no shares of Stock will be issued to the Optionee, without any liability to the Company, the Service Recipient or any Subsidiary 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342265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10.78</w:t>
      </w:r>
    </w:p>
    <w:p>
      <w:pPr>
        <w:spacing w:after="0" w:line="218" w:lineRule="exact"/>
        <w:rPr>
          <w:sz w:val="20"/>
          <w:szCs w:val="20"/>
          <w:color w:val="auto"/>
        </w:rPr>
      </w:pPr>
    </w:p>
    <w:p>
      <w:pPr>
        <w:jc w:val="center"/>
        <w:ind w:left="1720" w:right="1700"/>
        <w:spacing w:after="0" w:line="261" w:lineRule="auto"/>
        <w:rPr>
          <w:sz w:val="20"/>
          <w:szCs w:val="20"/>
          <w:color w:val="auto"/>
        </w:rPr>
      </w:pPr>
      <w:r>
        <w:rPr>
          <w:rFonts w:ascii="Times New Roman" w:cs="Times New Roman" w:eastAsia="Times New Roman" w:hAnsi="Times New Roman"/>
          <w:sz w:val="25"/>
          <w:szCs w:val="25"/>
          <w:b w:val="1"/>
          <w:bCs w:val="1"/>
          <w:color w:val="auto"/>
        </w:rPr>
        <w:t>NON-QUALIFIED STOCK OPTION AGREEMENT FOR NON-EMPLOYEE DIRECTORS UNDER THE BLUEPRINT MEDICINES CORPORATION 2015 STOCK OPTION AND INCENTIVE PLAN</w:t>
      </w:r>
    </w:p>
    <w:p>
      <w:pPr>
        <w:sectPr>
          <w:pgSz w:w="11900" w:h="16838" w:orient="portrait"/>
          <w:cols w:equalWidth="0" w:num="1">
            <w:col w:w="9920"/>
          </w:cols>
          <w:pgMar w:left="980" w:top="117" w:right="999" w:bottom="1440" w:gutter="0" w:footer="0" w:header="0"/>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Exercise Price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%%FIRST_NAME%-% %%LAST_NAME%-%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%%TOTAL_SHARES_GRANTED,'999,999,999'%-%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%%OPTION_PRICE%-%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%%OPTION_DATE%-%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%%EXPIRE_DATE_PERIOD1%-%</w:t>
      </w:r>
    </w:p>
    <w:p>
      <w:pPr>
        <w:spacing w:after="0" w:line="200" w:lineRule="exact"/>
        <w:rPr>
          <w:sz w:val="20"/>
          <w:szCs w:val="20"/>
          <w:color w:val="auto"/>
        </w:rPr>
      </w:pPr>
    </w:p>
    <w:p>
      <w:pPr>
        <w:sectPr>
          <w:pgSz w:w="11900" w:h="16838" w:orient="portrait"/>
          <w:cols w:equalWidth="0" w:num="2">
            <w:col w:w="2360" w:space="120"/>
            <w:col w:w="7440"/>
          </w:cols>
          <w:pgMar w:left="980" w:top="117" w:right="999" w:bottom="1440" w:gutter="0" w:footer="0" w:header="0"/>
          <w:type w:val="continuous"/>
        </w:sectPr>
      </w:pPr>
    </w:p>
    <w:p>
      <w:pPr>
        <w:spacing w:after="0" w:line="16"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1"/>
          <w:szCs w:val="21"/>
          <w:color w:val="auto"/>
        </w:rPr>
        <w:t xml:space="preserve">Pursuant to the Blueprint Medicines Corporation 2015 Stock Option and Incentive Plan as amended through the date hereof (the “Plan”), Blueprint Medicines Corporation (the “Company”) hereby grants to the Optionee named above, who is a Non-Employee Director of the Company,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for Non-Employee Directors, including the Privacy Notice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General Terms and Conditions for Non-U.S. Optionees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any Country-Specific Terms and Conditions for the Optionee's country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(collectively, the “Agreement”). This Stock Option is not intended to be an “incentive stock option” under Section 422 of the Internal Revenue Code of 1986, as amended.</w:t>
      </w:r>
    </w:p>
    <w:p>
      <w:pPr>
        <w:spacing w:after="0" w:line="171" w:lineRule="exact"/>
        <w:rPr>
          <w:sz w:val="20"/>
          <w:szCs w:val="20"/>
          <w:color w:val="auto"/>
        </w:rPr>
      </w:pPr>
    </w:p>
    <w:p>
      <w:pPr>
        <w:ind w:right="40" w:firstLine="656"/>
        <w:spacing w:after="0" w:line="234" w:lineRule="auto"/>
        <w:tabs>
          <w:tab w:leader="none" w:pos="129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become exercisable with respect to 100% of the shares underlying the Stock Option on the earlier of the one-year anniversary of the Grant Date and the Company’s next annual meeting of stockholders following the Grant Date so long as the Optionee remains in a continuous Service Relationship with the Company or any Service Recipient (as such terms are defined in Section 3 below) through such date; provided that this Stock Option shall accelerate and become fully vested and exercisable immediately upon (x) termination of the Service Relationship due to the Grantee’s death or disability, or (y) consummation of a Sale Event subject to the Grantee’s continued Service Relationship through the date of such Sale Event.</w:t>
      </w:r>
    </w:p>
    <w:p>
      <w:pPr>
        <w:spacing w:after="0" w:line="17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233" w:name="page234"/>
    <w:bookmarkEnd w:id="233"/>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20" w:firstLine="1304"/>
        <w:spacing w:after="0" w:line="239" w:lineRule="auto"/>
        <w:tabs>
          <w:tab w:leader="none" w:pos="194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w:t>
      </w:r>
    </w:p>
    <w:p>
      <w:pPr>
        <w:spacing w:after="0" w:line="18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Payment of the purchase price for the Option Shares may be made by one or more of the following methods: (i) in cash, by certified or bank check or other instrument acceptable to the Administrator; (ii) in each instance, at the sole discretion of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1"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and satisfaction of any applicable tax amount that is required to be withheld by the Company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Subject to approval by the Administrator, in its sole discretion,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7" w:lineRule="exact"/>
        <w:rPr>
          <w:sz w:val="20"/>
          <w:szCs w:val="20"/>
          <w:color w:val="auto"/>
        </w:rPr>
      </w:pPr>
    </w:p>
    <w:p>
      <w:pPr>
        <w:ind w:right="40" w:firstLine="1304"/>
        <w:spacing w:after="0" w:line="235" w:lineRule="auto"/>
        <w:tabs>
          <w:tab w:leader="none" w:pos="19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34" w:name="page235"/>
    <w:bookmarkEnd w:id="234"/>
    <w:p>
      <w:pPr>
        <w:spacing w:after="0" w:line="244" w:lineRule="auto"/>
        <w:rPr>
          <w:sz w:val="20"/>
          <w:szCs w:val="20"/>
          <w:color w:val="auto"/>
        </w:rPr>
      </w:pPr>
      <w:r>
        <w:rPr>
          <w:rFonts w:ascii="Times New Roman" w:cs="Times New Roman" w:eastAsia="Times New Roman" w:hAnsi="Times New Roman"/>
          <w:sz w:val="22"/>
          <w:szCs w:val="22"/>
          <w:color w:val="auto"/>
        </w:rPr>
        <w:t>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73" w:lineRule="exact"/>
        <w:rPr>
          <w:sz w:val="20"/>
          <w:szCs w:val="20"/>
          <w:color w:val="auto"/>
        </w:rPr>
      </w:pPr>
    </w:p>
    <w:p>
      <w:pPr>
        <w:ind w:left="1960" w:hanging="656"/>
        <w:spacing w:after="0"/>
        <w:tabs>
          <w:tab w:leader="none" w:pos="196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120" w:firstLine="1304"/>
        <w:spacing w:after="0" w:line="258"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8" w:lineRule="exact"/>
        <w:rPr>
          <w:rFonts w:ascii="Times New Roman" w:cs="Times New Roman" w:eastAsia="Times New Roman" w:hAnsi="Times New Roman"/>
          <w:sz w:val="22"/>
          <w:szCs w:val="22"/>
          <w:color w:val="auto"/>
        </w:rPr>
      </w:pPr>
    </w:p>
    <w:p>
      <w:pPr>
        <w:ind w:right="40" w:firstLine="656"/>
        <w:spacing w:after="0" w:line="255" w:lineRule="auto"/>
        <w:tabs>
          <w:tab w:leader="none" w:pos="129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Relationship</w:t>
      </w:r>
      <w:r>
        <w:rPr>
          <w:rFonts w:ascii="Times New Roman" w:cs="Times New Roman" w:eastAsia="Times New Roman" w:hAnsi="Times New Roman"/>
          <w:sz w:val="21"/>
          <w:szCs w:val="21"/>
          <w:color w:val="auto"/>
        </w:rPr>
        <w:t>. If the Optionee’s service as a Non-Employee Director of the Company or continued service as a consultant, director or employee (the “Service Relationship”) of the Company or any Subsidiary with which the Grantee has a Service Relationship (any, a “Service Recipient”) ceases, the period within which to exercise the Stock Option may be subject to earlier termination as set forth below.</w:t>
      </w:r>
    </w:p>
    <w:p>
      <w:pPr>
        <w:spacing w:after="0" w:line="161" w:lineRule="exact"/>
        <w:rPr>
          <w:rFonts w:ascii="Times New Roman" w:cs="Times New Roman" w:eastAsia="Times New Roman" w:hAnsi="Times New Roman"/>
          <w:sz w:val="21"/>
          <w:szCs w:val="21"/>
          <w:color w:val="auto"/>
        </w:rPr>
      </w:pPr>
    </w:p>
    <w:p>
      <w:pPr>
        <w:ind w:right="60" w:firstLine="1304"/>
        <w:spacing w:after="0" w:line="238" w:lineRule="auto"/>
        <w:tabs>
          <w:tab w:leader="none" w:pos="194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Relationship terminates by reason of the Optionee’s death, any portion of this Stock Option outstanding on such date, whether already vested on the date of such termination or vested as a result of such termination in accordance with Section 1 of this Agreement, may thereafter be exercised by the Optionee or Optionee’s legal representative or legatee, for a period of 12 months from the date of such termination or until the Expiration Date, if earlier.</w:t>
      </w:r>
    </w:p>
    <w:p>
      <w:pPr>
        <w:spacing w:after="0" w:line="176" w:lineRule="exact"/>
        <w:rPr>
          <w:rFonts w:ascii="Times New Roman" w:cs="Times New Roman" w:eastAsia="Times New Roman" w:hAnsi="Times New Roman"/>
          <w:sz w:val="22"/>
          <w:szCs w:val="22"/>
          <w:color w:val="auto"/>
        </w:rPr>
      </w:pPr>
    </w:p>
    <w:p>
      <w:pPr>
        <w:ind w:right="40" w:firstLine="1304"/>
        <w:spacing w:after="0" w:line="238" w:lineRule="auto"/>
        <w:tabs>
          <w:tab w:leader="none" w:pos="194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terminates by reason of the Optionee’s disability, any portion of this Stock Option outstanding on such date, whether already vested on the date of such termination or vested as a result of such termination in accordance with Section 1 of this Agreement, may thereafter be exercised by the Optionee for a period of 12 months from the date of death or until the Expiration Date, if earlier.</w:t>
      </w:r>
    </w:p>
    <w:p>
      <w:pPr>
        <w:spacing w:after="0" w:line="176" w:lineRule="exact"/>
        <w:rPr>
          <w:rFonts w:ascii="Times New Roman" w:cs="Times New Roman" w:eastAsia="Times New Roman" w:hAnsi="Times New Roman"/>
          <w:sz w:val="22"/>
          <w:szCs w:val="22"/>
          <w:color w:val="auto"/>
        </w:rPr>
      </w:pPr>
    </w:p>
    <w:p>
      <w:pPr>
        <w:ind w:right="40" w:firstLine="1304"/>
        <w:spacing w:after="0" w:line="251" w:lineRule="auto"/>
        <w:tabs>
          <w:tab w:leader="none" w:pos="1944"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the Optionee’s Service Relationship ceases for any reason other than the Optionee’s death or disability, any portion of this Stock Option outstanding on such date may be exercised, to the extent exercisable on the date the Optionee’s Service Relationship terminates, for a period of twelve months from such termination date or until the Expiration Date, if earlier. Any portion of this Stock Option that is not exercisable on such termination date shall terminate immediately and be of no further force or effect.</w:t>
      </w:r>
    </w:p>
    <w:p>
      <w:pPr>
        <w:spacing w:after="0" w:line="168" w:lineRule="exact"/>
        <w:rPr>
          <w:rFonts w:ascii="Times New Roman" w:cs="Times New Roman" w:eastAsia="Times New Roman" w:hAnsi="Times New Roman"/>
          <w:sz w:val="21"/>
          <w:szCs w:val="21"/>
          <w:color w:val="auto"/>
        </w:rPr>
      </w:pPr>
    </w:p>
    <w:p>
      <w:pPr>
        <w:ind w:right="80" w:firstLine="656"/>
        <w:spacing w:after="0" w:line="239" w:lineRule="auto"/>
        <w:tabs>
          <w:tab w:leader="none" w:pos="129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right="700" w:firstLine="656"/>
        <w:spacing w:after="0" w:line="239" w:lineRule="auto"/>
        <w:tabs>
          <w:tab w:leader="none" w:pos="129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355" w:right="1039" w:bottom="1440" w:gutter="0" w:footer="0" w:header="0"/>
        </w:sectPr>
      </w:pPr>
    </w:p>
    <w:bookmarkStart w:id="235" w:name="page236"/>
    <w:bookmarkEnd w:id="235"/>
    <w:p>
      <w:pPr>
        <w:ind w:left="-20" w:right="120" w:firstLine="656"/>
        <w:spacing w:after="0" w:line="239" w:lineRule="auto"/>
        <w:tabs>
          <w:tab w:leader="none" w:pos="127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Plan nor this Stock Option confers upon the Optionee any rights with respect to continuance as a Non-Employee Director or in any other Service Relationship, and neither the Plan nor this Agreement shall interfere in any way with the right of the Company or any Service Recipient, as applicable, to terminate the Service Relationship of the Optionee at any time.</w:t>
      </w:r>
    </w:p>
    <w:p>
      <w:pPr>
        <w:spacing w:after="0" w:line="180" w:lineRule="exact"/>
        <w:rPr>
          <w:rFonts w:ascii="Times New Roman" w:cs="Times New Roman" w:eastAsia="Times New Roman" w:hAnsi="Times New Roman"/>
          <w:sz w:val="22"/>
          <w:szCs w:val="22"/>
          <w:color w:val="auto"/>
        </w:rPr>
      </w:pPr>
    </w:p>
    <w:p>
      <w:pPr>
        <w:ind w:left="-20" w:firstLine="656"/>
        <w:spacing w:after="0" w:line="244" w:lineRule="auto"/>
        <w:tabs>
          <w:tab w:leader="none" w:pos="127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20" w:right="100" w:firstLine="656"/>
        <w:spacing w:after="0" w:line="247" w:lineRule="auto"/>
        <w:tabs>
          <w:tab w:leader="none" w:pos="1276"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xml:space="preserve">. In order to administer the Plan and this Agreement, and to implement or structure future equity grants, the Company may collect and process the Optionee’s personal data, including sharing it with its Subsidiaries and affiliates and certain agents thereof (together, the “Relevant Companies”) in connection with administering the Plan and performing its obligations under this Agreement. The Company may also transfer the Optionee’s personal data to countries with privacy laws that may be less protective than those of the Optionee’s country. The attached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 Privacy Notice, incorporated by reference into this Agreement as if fully set forth herein, further describes how the Optionee’s personal data will be processed and the Optionee’s rights with respect to personal data processed for the purposes of administering the Plan and this Agreement.</w:t>
      </w:r>
    </w:p>
    <w:p>
      <w:pPr>
        <w:spacing w:after="0" w:line="171" w:lineRule="exact"/>
        <w:rPr>
          <w:rFonts w:ascii="Times New Roman" w:cs="Times New Roman" w:eastAsia="Times New Roman" w:hAnsi="Times New Roman"/>
          <w:sz w:val="21"/>
          <w:szCs w:val="21"/>
          <w:color w:val="auto"/>
        </w:rPr>
      </w:pPr>
    </w:p>
    <w:p>
      <w:pPr>
        <w:ind w:left="-20" w:right="300" w:firstLine="656"/>
        <w:spacing w:after="0" w:line="244" w:lineRule="auto"/>
        <w:tabs>
          <w:tab w:leader="none" w:pos="127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left="-20" w:right="140" w:firstLine="656"/>
        <w:spacing w:after="0" w:line="238" w:lineRule="auto"/>
        <w:tabs>
          <w:tab w:leader="none" w:pos="127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color w:val="auto"/>
        </w:rPr>
      </w:pPr>
    </w:p>
    <w:p>
      <w:pPr>
        <w:ind w:left="-20" w:right="220" w:firstLine="656"/>
        <w:spacing w:after="0" w:line="249" w:lineRule="auto"/>
        <w:tabs>
          <w:tab w:leader="none" w:pos="1276"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This Stock Option grant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170" w:lineRule="exact"/>
        <w:rPr>
          <w:rFonts w:ascii="Times New Roman" w:cs="Times New Roman" w:eastAsia="Times New Roman" w:hAnsi="Times New Roman"/>
          <w:sz w:val="21"/>
          <w:szCs w:val="21"/>
          <w:color w:val="auto"/>
        </w:rPr>
      </w:pPr>
    </w:p>
    <w:p>
      <w:pPr>
        <w:ind w:left="-20" w:right="40" w:firstLine="656"/>
        <w:spacing w:after="0" w:line="244" w:lineRule="auto"/>
        <w:tabs>
          <w:tab w:leader="none" w:pos="127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55" w:right="999" w:bottom="1440" w:gutter="0" w:footer="0" w:header="0"/>
        </w:sectPr>
      </w:pPr>
    </w:p>
    <w:bookmarkStart w:id="236" w:name="page237"/>
    <w:bookmarkEnd w:id="236"/>
    <w:p>
      <w:pPr>
        <w:jc w:val="both"/>
        <w:ind w:firstLine="656"/>
        <w:spacing w:after="0" w:line="244"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1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7" w:lineRule="exact"/>
        <w:rPr>
          <w:sz w:val="20"/>
          <w:szCs w:val="20"/>
          <w:color w:val="auto"/>
        </w:rPr>
      </w:pPr>
    </w:p>
    <w:p>
      <w:pPr>
        <w:ind w:left="3640"/>
        <w:spacing w:after="0"/>
        <w:tabs>
          <w:tab w:leader="none" w:pos="4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Kathryn D. Haviland</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 Kathryn D.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-158115</wp:posOffset>
            </wp:positionV>
            <wp:extent cx="35744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3640"/>
        <w:spacing w:after="0"/>
        <w:tabs>
          <w:tab w:leader="none" w:pos="42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10795</wp:posOffset>
            </wp:positionV>
            <wp:extent cx="58718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%%FIRST_NAME%-% %%LAST_NAME%-%</w:t>
      </w:r>
    </w:p>
    <w:p>
      <w:pPr>
        <w:ind w:left="4220"/>
        <w:spacing w:after="0" w:line="230" w:lineRule="auto"/>
        <w:rPr>
          <w:sz w:val="20"/>
          <w:szCs w:val="20"/>
          <w:color w:val="auto"/>
        </w:rPr>
      </w:pPr>
      <w:r>
        <w:rPr>
          <w:rFonts w:ascii="Times New Roman" w:cs="Times New Roman" w:eastAsia="Times New Roman" w:hAnsi="Times New Roman"/>
          <w:sz w:val="22"/>
          <w:szCs w:val="22"/>
          <w:color w:val="auto"/>
        </w:rPr>
        <w:t>%%ADDRESS_LINE_1%-%</w:t>
      </w:r>
    </w:p>
    <w:p>
      <w:pPr>
        <w:ind w:left="4220"/>
        <w:spacing w:after="0" w:line="231" w:lineRule="auto"/>
        <w:rPr>
          <w:sz w:val="20"/>
          <w:szCs w:val="20"/>
          <w:color w:val="auto"/>
        </w:rPr>
      </w:pPr>
      <w:r>
        <w:rPr>
          <w:rFonts w:ascii="Times New Roman" w:cs="Times New Roman" w:eastAsia="Times New Roman" w:hAnsi="Times New Roman"/>
          <w:sz w:val="22"/>
          <w:szCs w:val="22"/>
          <w:color w:val="auto"/>
        </w:rPr>
        <w:t>%%ADDRESS_LINE_2%-%</w:t>
      </w:r>
    </w:p>
    <w:p>
      <w:pPr>
        <w:ind w:left="4220"/>
        <w:spacing w:after="0" w:line="230" w:lineRule="auto"/>
        <w:rPr>
          <w:sz w:val="20"/>
          <w:szCs w:val="20"/>
          <w:color w:val="auto"/>
        </w:rPr>
      </w:pPr>
      <w:r>
        <w:rPr>
          <w:rFonts w:ascii="Times New Roman" w:cs="Times New Roman" w:eastAsia="Times New Roman" w:hAnsi="Times New Roman"/>
          <w:sz w:val="22"/>
          <w:szCs w:val="22"/>
          <w:color w:val="auto"/>
        </w:rPr>
        <w:t>%%CITY%-%, %%STATE%-%</w:t>
      </w:r>
    </w:p>
    <w:p>
      <w:pPr>
        <w:ind w:left="4220"/>
        <w:spacing w:after="0" w:line="231" w:lineRule="auto"/>
        <w:rPr>
          <w:sz w:val="20"/>
          <w:szCs w:val="20"/>
          <w:color w:val="auto"/>
        </w:rPr>
      </w:pPr>
      <w:r>
        <w:rPr>
          <w:rFonts w:ascii="Times New Roman" w:cs="Times New Roman" w:eastAsia="Times New Roman" w:hAnsi="Times New Roman"/>
          <w:sz w:val="22"/>
          <w:szCs w:val="22"/>
          <w:color w:val="auto"/>
        </w:rPr>
        <w:t>%%COUNTRY%-%</w:t>
      </w:r>
    </w:p>
    <w:p>
      <w:pPr>
        <w:jc w:val="center"/>
        <w:ind w:right="-379"/>
        <w:spacing w:after="0"/>
        <w:rPr>
          <w:sz w:val="20"/>
          <w:szCs w:val="20"/>
          <w:color w:val="auto"/>
        </w:rPr>
      </w:pPr>
      <w:r>
        <w:rPr>
          <w:rFonts w:ascii="Times New Roman" w:cs="Times New Roman" w:eastAsia="Times New Roman" w:hAnsi="Times New Roman"/>
          <w:sz w:val="22"/>
          <w:szCs w:val="22"/>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355" w:right="1159"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If you, as the Optionee,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106"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11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ind w:right="380"/>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9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11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238" w:name="page239"/>
    <w:bookmarkEnd w:id="238"/>
    <w:p>
      <w:pPr>
        <w:ind w:right="540"/>
        <w:spacing w:after="0" w:line="244" w:lineRule="auto"/>
        <w:rPr>
          <w:sz w:val="20"/>
          <w:szCs w:val="20"/>
          <w:color w:val="auto"/>
        </w:rPr>
      </w:pPr>
      <w:r>
        <w:rPr>
          <w:rFonts w:ascii="Times New Roman" w:cs="Times New Roman" w:eastAsia="Times New Roman" w:hAnsi="Times New Roman"/>
          <w:sz w:val="22"/>
          <w:szCs w:val="22"/>
          <w:color w:val="auto"/>
        </w:rPr>
        <w:t>European Commission, the Company has implemented adequate measures to protect your personal data (for example, putting in place contractual arrangements approved by the European Commission, or Standard Contractual Clauses).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11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9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ind w:right="620"/>
        <w:spacing w:after="0" w:line="235" w:lineRule="auto"/>
        <w:rPr>
          <w:sz w:val="20"/>
          <w:szCs w:val="20"/>
          <w:color w:val="auto"/>
        </w:rPr>
      </w:pPr>
      <w:r>
        <w:rPr>
          <w:rFonts w:ascii="Times New Roman" w:cs="Times New Roman" w:eastAsia="Times New Roman" w:hAnsi="Times New Roman"/>
          <w:sz w:val="22"/>
          <w:szCs w:val="22"/>
          <w:color w:val="auto"/>
        </w:rPr>
        <w:t>Questions about this Privacy Notice, to exercise applicable rights related to your personal data, or for more information about the Company’s privacy and data protection practices, please contact us at the appropriate locations: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Privacy@blueprintmedicines.com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55" w:right="101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Optionees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Exhibit B, which is part of the Non-Qualified Stock Option Agreement for Non-Employee Directors, contains additional terms and conditions that will apply to the Optionee if residing outside the United States.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Agreement for Non-Employee Directors.</w:t>
      </w:r>
    </w:p>
    <w:p>
      <w:pPr>
        <w:spacing w:after="0" w:line="173" w:lineRule="exact"/>
        <w:rPr>
          <w:sz w:val="20"/>
          <w:szCs w:val="20"/>
          <w:color w:val="auto"/>
        </w:rPr>
      </w:pPr>
    </w:p>
    <w:p>
      <w:pPr>
        <w:ind w:left="660" w:hanging="652"/>
        <w:spacing w:after="0" w:line="258" w:lineRule="auto"/>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2(a) of the Non-Qualified Stock Option Agreement for Non-Employee Directors.</w:t>
      </w:r>
    </w:p>
    <w:p>
      <w:pPr>
        <w:spacing w:after="0" w:line="185" w:lineRule="exact"/>
        <w:rPr>
          <w:rFonts w:ascii="Times New Roman" w:cs="Times New Roman" w:eastAsia="Times New Roman" w:hAnsi="Times New Roman"/>
          <w:sz w:val="22"/>
          <w:szCs w:val="22"/>
          <w:color w:val="auto"/>
        </w:rPr>
      </w:pPr>
    </w:p>
    <w:p>
      <w:pPr>
        <w:jc w:val="both"/>
        <w:ind w:left="6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acknowledges that, regardless of any action taken by the Company, the ultimate liability for all income tax, social insurance, payroll tax, fringe benefit tax, payment on account or other tax-related items related to the Optionee's participation in the Plan and legally applicable to the Optionee (“Tax-Related Items”) is and remains the Optionee’s responsibility and may exceed the amount actually withheld by the Company. The Optionee further acknowledges that the Company (1) makes no representations or undertakings regarding the treatment of any Tax-Related Items in connection with any aspect of this Stock Option, including, but not limited to, the grant, vesting, or exercise of the Stock Option and the subsequent sale of shares of Stock acquired pursuant to such exercise and the receipt of any dividends; and (2) does not commit to and is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may be required to withhold or account for Tax-Related Items in more than one jurisdiction and may seek evidence of residency from the Optionee for purposes of operating such withholding or payment on account.</w:t>
      </w:r>
    </w:p>
    <w:p>
      <w:pPr>
        <w:spacing w:after="0" w:line="206" w:lineRule="exact"/>
        <w:rPr>
          <w:rFonts w:ascii="Times New Roman" w:cs="Times New Roman" w:eastAsia="Times New Roman" w:hAnsi="Times New Roman"/>
          <w:sz w:val="22"/>
          <w:szCs w:val="22"/>
          <w:color w:val="auto"/>
        </w:rPr>
      </w:pPr>
    </w:p>
    <w:p>
      <w:pPr>
        <w:jc w:val="both"/>
        <w:ind w:left="6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responsible for withholding any Tax-Related Items, unless required by applicable law. The Company may take such action as it deems appropriate to ensure that all Tax-Related Items are withheld or collected from the Optionee, if and to the extent required by applicable law. In this regard, the Company will have the power and the right to require the Optionee to remit to the Company, the amount necessary to satisfy the Tax-Related Items; provided that any obligations for Tax-Related Items may be satisfied in the manner in which the Option Exercise Price is permitted to be paid under Section 2(b) or any other method permitted by the Plan, with the exception that unless otherwise determined by the Administrator, shares of Stock may only be deducted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240" w:name="page241"/>
    <w:bookmarkEnd w:id="240"/>
    <w:p>
      <w:pPr>
        <w:jc w:val="both"/>
        <w:ind w:left="652"/>
        <w:spacing w:after="0" w:line="255" w:lineRule="auto"/>
        <w:rPr>
          <w:sz w:val="20"/>
          <w:szCs w:val="20"/>
          <w:color w:val="auto"/>
        </w:rPr>
      </w:pPr>
      <w:r>
        <w:rPr>
          <w:rFonts w:ascii="Times New Roman" w:cs="Times New Roman" w:eastAsia="Times New Roman" w:hAnsi="Times New Roman"/>
          <w:sz w:val="21"/>
          <w:szCs w:val="21"/>
          <w:color w:val="auto"/>
        </w:rPr>
        <w:t>withheld from any shares of Stock deliverable under this Agreement only pursuant to the election of the Optionee. Depending on the withholding method, the Company may withhold or account for Tax-Related Items by considering maximum applicable rates, in which case the Optionee will receive a refund of any over-withheld amount in cash and will have no entitlement to the Common Stock equivalent.</w:t>
      </w:r>
    </w:p>
    <w:p>
      <w:pPr>
        <w:spacing w:after="0" w:line="189" w:lineRule="exact"/>
        <w:rPr>
          <w:sz w:val="20"/>
          <w:szCs w:val="20"/>
          <w:color w:val="auto"/>
        </w:rPr>
      </w:pPr>
    </w:p>
    <w:p>
      <w:pPr>
        <w:jc w:val="both"/>
        <w:ind w:left="652" w:right="20"/>
        <w:spacing w:after="0" w:line="244" w:lineRule="auto"/>
        <w:rPr>
          <w:sz w:val="20"/>
          <w:szCs w:val="20"/>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Optionee fails to comply with the Optionee’s obligations in connection with the Tax-Related Items.</w:t>
      </w:r>
    </w:p>
    <w:p>
      <w:pPr>
        <w:spacing w:after="0" w:line="200" w:lineRule="exact"/>
        <w:rPr>
          <w:sz w:val="20"/>
          <w:szCs w:val="20"/>
          <w:color w:val="auto"/>
        </w:rPr>
      </w:pPr>
    </w:p>
    <w:p>
      <w:pPr>
        <w:ind w:left="652" w:hanging="652"/>
        <w:spacing w:after="0"/>
        <w:tabs>
          <w:tab w:leader="none" w:pos="65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the Stock Option, the Optionee acknowledges, understands and agrees that:</w:t>
      </w:r>
    </w:p>
    <w:p>
      <w:pPr>
        <w:spacing w:after="0" w:line="217" w:lineRule="exact"/>
        <w:rPr>
          <w:rFonts w:ascii="Times New Roman" w:cs="Times New Roman" w:eastAsia="Times New Roman" w:hAnsi="Times New Roman"/>
          <w:sz w:val="21"/>
          <w:szCs w:val="21"/>
          <w:color w:val="auto"/>
        </w:rPr>
      </w:pPr>
    </w:p>
    <w:p>
      <w:pPr>
        <w:jc w:val="both"/>
        <w:ind w:left="1292" w:hanging="644"/>
        <w:spacing w:after="0" w:line="244"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Stock Option is voluntary and occasional and does not create any contractual or other right to receive future grants of stock options, or benefits in lieu of stock options, even if stock options have been granted in the past;</w:t>
      </w:r>
    </w:p>
    <w:p>
      <w:pPr>
        <w:spacing w:after="0" w:line="173"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stock options or other grants, if any, will be at the sole discretion of the Company;</w:t>
      </w:r>
    </w:p>
    <w:p>
      <w:pPr>
        <w:spacing w:after="0" w:line="158"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grant and the Optionee’s participation in the Plan shall not be interpreted as forming an employment or service contract with the Company or any Subsidiary;</w:t>
      </w:r>
    </w:p>
    <w:p>
      <w:pPr>
        <w:spacing w:after="0" w:line="15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is voluntarily participating in the Plan;</w:t>
      </w:r>
    </w:p>
    <w:p>
      <w:pPr>
        <w:spacing w:after="0" w:line="206"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Option Shares, and the income and value of same,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Option Shares, and the income and value of same, are not part of normal or expected compensation for any purpose, and do not confer on Optionee any right to receive Director fees or other compensation in any specific amount;</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Stock Option and the Option Shares, and the income and value of same, are not granted as consideration for, or in connection with, the service the Optionee may provide as a director of a Subsidiary;</w:t>
      </w:r>
    </w:p>
    <w:p>
      <w:pPr>
        <w:spacing w:after="0" w:line="173"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Option Shares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5" w:right="999" w:bottom="1440" w:gutter="0" w:footer="0" w:header="0"/>
        </w:sectPr>
      </w:pPr>
    </w:p>
    <w:bookmarkStart w:id="241" w:name="page242"/>
    <w:bookmarkEnd w:id="241"/>
    <w:p>
      <w:pPr>
        <w:ind w:left="1292" w:hanging="644"/>
        <w:spacing w:after="0"/>
        <w:tabs>
          <w:tab w:leader="none" w:pos="12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Option Shares do not increase in value, the Stock Option will have no value;</w:t>
      </w:r>
    </w:p>
    <w:p>
      <w:pPr>
        <w:spacing w:after="0" w:line="206"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 exercises the Stock Option and acquires shares of Stock, the value of such shares may increase or decrease in value, even below the Option Exercise Price;</w:t>
      </w:r>
    </w:p>
    <w:p>
      <w:pPr>
        <w:spacing w:after="0" w:line="158" w:lineRule="exact"/>
        <w:rPr>
          <w:rFonts w:ascii="Times New Roman" w:cs="Times New Roman" w:eastAsia="Times New Roman" w:hAnsi="Times New Roman"/>
          <w:sz w:val="22"/>
          <w:szCs w:val="22"/>
          <w:color w:val="auto"/>
        </w:rPr>
      </w:pPr>
    </w:p>
    <w:p>
      <w:pPr>
        <w:jc w:val="both"/>
        <w:ind w:left="1292" w:right="20" w:hanging="644"/>
        <w:spacing w:after="0" w:line="244" w:lineRule="auto"/>
        <w:tabs>
          <w:tab w:leader="none" w:pos="12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Stock Option resulting from a termination of the Optionee’s service as a member of the Board (for any reason whatsoever); and</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Optionee’s local currency and the United States Dollar that may affect the value of the Stock Option or of any amounts due to the Optionee pursuant to the exercise of the Stock Option or the subsequent sale of any shares of Stock acquired upon exercise.</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Optionee’s participation in the Plan, or the Optionee’s acquisition or sale of the underlying Option Shares. The Optionee is hereby advised to consult with the Optionee’s own personal tax, legal and financial advisors regarding the Optionee’s participation in the Plan before taking any action related to the Plan.</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44" w:lineRule="auto"/>
        <w:tabs>
          <w:tab w:leader="none" w:pos="6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Optionee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Optionee’s participation in the Plan, on the Stock Option and on any shares of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left="652" w:hanging="652"/>
        <w:spacing w:after="0" w:line="235" w:lineRule="auto"/>
        <w:tabs>
          <w:tab w:leader="none" w:pos="65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Restrictions/Market Abuse Laws</w:t>
      </w:r>
      <w:r>
        <w:rPr>
          <w:rFonts w:ascii="Times New Roman" w:cs="Times New Roman" w:eastAsia="Times New Roman" w:hAnsi="Times New Roman"/>
          <w:sz w:val="22"/>
          <w:szCs w:val="22"/>
          <w:color w:val="auto"/>
        </w:rPr>
        <w:t>. The Optionee acknowledges that, depending on the Optionee’s country, the Optionee may be subject to insider trading restrictions and/or market abuse laws, which may affect the Optionee’s ability to acquire or sell shares of Stock or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Stock Options) under the Plan during such times as the Optionee is considered to have “inside information” regarding the Company (as defined by the laws in the Optionee’s country). Any restrictions under these laws or regulations are separate from and in addition to any restrictions that may be imposed under any applicable Company insider trading policy. The Optionee is responsible for ensuring compliance with any applicable restrictions and is advised to consult a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5" w:right="999" w:bottom="1440" w:gutter="0" w:footer="0" w:header="0"/>
        </w:sectPr>
      </w:pPr>
    </w:p>
    <w:bookmarkStart w:id="242" w:name="page243"/>
    <w:bookmarkEnd w:id="242"/>
    <w:p>
      <w:pPr>
        <w:jc w:val="both"/>
        <w:ind w:left="652" w:hanging="652"/>
        <w:spacing w:after="0" w:line="234" w:lineRule="auto"/>
        <w:tabs>
          <w:tab w:leader="none" w:pos="65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 Exchange Controls</w:t>
      </w:r>
      <w:r>
        <w:rPr>
          <w:rFonts w:ascii="Times New Roman" w:cs="Times New Roman" w:eastAsia="Times New Roman" w:hAnsi="Times New Roman"/>
          <w:sz w:val="22"/>
          <w:szCs w:val="22"/>
          <w:color w:val="auto"/>
        </w:rPr>
        <w:t>. The Optionee’s country may have certain foreign asset and/or account reporting requirements and/or exchange controls which may affect the Optionee’s ability to acquire or hold shares of Stock under the Plan or cash received from participating in the Plan (including from any dividends received or sale proceeds arising from the sale of shares of Stock) in a brokerage or bank account outside the Optionee’s country. The Optionee may be required to report such accounts, assets or transactions to the tax or other authorities in the Optionee’s country. The Optionee also may be required to repatriate sale proceeds or other funds received as a result of the Optionee’s participation in the Plan to the Optionee’s country through a designated bank or broker and/or within a certain time after receipt. The Optionee acknowledges that it is his or her responsibility to be compliant with such regulations, and the Optionee is advised to consult a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55" w:right="99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Award Agreement for Non-Employee Directors and the General Terms and Conditions for Non-U.S. Optionees attached thereto as Exhibit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C includes additional terms and conditions that govern the Stock Option granted to the Optionee if the Optionee resides and/or works in a country listed below. If the Optionee moves to another country after receiving the grant of the Stock Option, the Company will, in its discretion, determine the extent to which the terms and conditions herein will be applicable to the Optionee.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C also includes information regarding exchange controls and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Optionee not rely on the information in this Exhibit C as the only source of information relating to the consequences of the Optionee’s participation in the Plan because the information may be out of date at the time that the Optionee exercises the Option or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the Optionee’s country may apply to the Optionee’s situation.</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Finally, if the Optionee is a citizen or resident of a country other than the one in which the Optionee is currently residing and/or working (or if the Optionee is considered as such for local law purposes), the information contained herein may not be applicable to the Optionee in the same manner.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Stock Option Not French-Qualified</w:t>
      </w:r>
      <w:r>
        <w:rPr>
          <w:rFonts w:ascii="Times New Roman" w:cs="Times New Roman" w:eastAsia="Times New Roman" w:hAnsi="Times New Roman"/>
          <w:sz w:val="22"/>
          <w:szCs w:val="22"/>
          <w:color w:val="auto"/>
        </w:rPr>
        <w:t>. The Stock Option granted under this Agreement is not intended to qualify for the specific tax and social security treatment pursuant to Sections L. 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2"/>
          <w:szCs w:val="22"/>
          <w:color w:val="auto"/>
        </w:rPr>
        <w:t>197-1 to L. 225-197-5 and L. 22-10-59 to L. 22-10-60 of the French Commercial Code, as amended.</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Stock Option, the Optionee confirms having read and understood the Plan and the Agreement, including Exhibits A, B, and this Exhibit C, and all terms and conditions included therein, which were provided in the English language. The Optionee accepts the terms of those documents accordingly.</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Stock Option, le Titulaire de les Stock Option confirme avoir lu et compris le Plan et le Contrat y relatifs, incluant tous leurs termes et conditions, qui ont été transmis en langue anglaise. Le Titulaire de les Stock Option accepte les dispositions de ces documents en connaissance de cause.</w:t>
      </w:r>
    </w:p>
    <w:p>
      <w:pPr>
        <w:spacing w:after="0" w:line="13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Optionee imports or exports cash (e.g., proceeds from the sale of shares of Stock acquired under the Plan) with a value equal to or exceeding a certain threshold (currently €10,000), and does not use a financial institution to do so, the Optionee must submit a report to the customs and excise authorities.</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Optionee must report any shares of Stock and bank or brokerage accounts the Optionee holds outside France (including any accounts that were opened, used and/or closed during the tax year) on an annual basis, on form No. 3916, together with their income tax return. It is the Optionee’s responsibility to comply with French foreign asset and account reporting requirements, and neither the Company nor the Service Recipient will be liable for any resulting fines or penalties.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available via Bundesbank’s website: www.bundesbank.de. Additional reporting to the Bundesbank via email or telephone may be required.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Optionee will need to report the acquisition when the Optionee files the Optionee’s tax return for the relevant year. A qualified participation is attained if (i) the value of the shares of Stock acquired exceeds €150,000 or (ii) in the unlikely event the Optionee holds shares of Stock exceeding 10% of the Company’s total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Plan Document Acknowledgment</w:t>
      </w:r>
      <w:r>
        <w:rPr>
          <w:rFonts w:ascii="Times New Roman" w:cs="Times New Roman" w:eastAsia="Times New Roman" w:hAnsi="Times New Roman"/>
          <w:sz w:val="21"/>
          <w:szCs w:val="21"/>
          <w:color w:val="auto"/>
        </w:rPr>
        <w:t>. By accepting the Stock Option, the Optionee acknowledges that the Optionee has received a copy of the Plan and the Agreement, including Exhibits A, B, and this Exhibit C,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“No Obligation to Continue Service Relationship,” Section 8: “Personal Data,” and Section 11: “Governing Law and Venue” in the Agreement, as well as Section 1: “Responsibility for Taxes,” Section 2: “Nature of Grant,” and Section 4: “Language” in Exhibit B.</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the Optionee is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Stock Option,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246" w:name="page247"/>
    <w:bookmarkEnd w:id="246"/>
    <w:p>
      <w:pPr>
        <w:jc w:val="both"/>
        <w:spacing w:after="0" w:line="258" w:lineRule="auto"/>
        <w:rPr>
          <w:sz w:val="20"/>
          <w:szCs w:val="20"/>
          <w:color w:val="auto"/>
        </w:rPr>
      </w:pPr>
      <w:r>
        <w:rPr>
          <w:rFonts w:ascii="Times New Roman" w:cs="Times New Roman" w:eastAsia="Times New Roman" w:hAnsi="Times New Roman"/>
          <w:sz w:val="22"/>
          <w:szCs w:val="22"/>
          <w:color w:val="auto"/>
        </w:rPr>
        <w:t>€20,000 (for each type of asset category) as of each subsequent December 31, or if the Optionee sells shares of Stock or closes a bank account that was previously reported.</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More frequent reporting is required if such transaction value or account balances exceed €1,000,000.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2: “Nature of Grant” in Exhibit B:</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Stock Option, the Optionee acknowledges, understands and agrees that the Optionee is voluntarily participating in the Plan and has received a copy of the Plan. The Optionee acknowledges having read and accepts Section 3: “Termination of Service Relationship” of the Agreement, and Section 2: “Nature of Grant” of Exhibit B.</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Optionee understands that the Company, in its sole discretion, has unilaterally, gratuitously and in its sole discretion decided to grant Stock Option under the Plan to individuals who may be officers, employees, Non-Employee Directors and other key persons (including Consultants) of the Company and 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Optionee understands that the Stock Option are granted on the assumption and condition that neither the Stock Option nor the shares of Stock acquired at vesting of the Stock Option shall become a part of any employment or other service contract (either with the Company or any of its Subsidiaries or affiliates) nor shall they be considered a mandatory benefit, salary for any purposes (including severance compensation) or any other right whatsoever. Further, the Optionee understands and freely accepts that the future value of the Stock Option and shares of Stock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the Stock Option grant shall be null and void.</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Optionee also understands and agrees that subject to any exceptions set forth in Section 3: “Termination of Service Relationship” of this Agreement, in the event of the termination of the Optionee’s Service Relationship for any reason (including the reasons listed below), the Stock Option will cease vesting and any entitlement to exercise vested Stock Option will start to run immediately effective on the date the Optionee is no longer providing services to the Service Recipient or the Company or any of its Subsidiaries. In particular, the Optionee understands and agrees that any unvested Stock Option will be forfeited without entitlement to the underlying shares of Stock or to any amount as indemnification in the event of a termination of the Optionee’s Service Relationship as described in the Agreement prior to vesting of the Stock Option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subject to a “despido improcedente”), individual or collective dismissal on objective grounds,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47" w:name="page248"/>
    <w:bookmarkEnd w:id="247"/>
    <w:p>
      <w:pPr>
        <w:jc w:val="both"/>
        <w:spacing w:after="0" w:line="261" w:lineRule="auto"/>
        <w:rPr>
          <w:sz w:val="20"/>
          <w:szCs w:val="20"/>
          <w:color w:val="auto"/>
        </w:rPr>
      </w:pPr>
      <w:r>
        <w:rPr>
          <w:rFonts w:ascii="Times New Roman" w:cs="Times New Roman" w:eastAsia="Times New Roman" w:hAnsi="Times New Roman"/>
          <w:sz w:val="21"/>
          <w:szCs w:val="21"/>
          <w:color w:val="auto"/>
        </w:rPr>
        <w:t>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in connection with the grant of the Stock Option. The Plan and the Agreement have not been nor will they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 not constitute a public offering prospectus.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 approved or supervised by any Swiss reviewing body according to article 51 FinSA or any Swiss regulatory authority, including the Swiss Financial Market Supervisory Authority.</w:t>
      </w:r>
    </w:p>
    <w:p>
      <w:pPr>
        <w:spacing w:after="0" w:line="156"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Optionee is required to file with the Optionee’s tax return.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1: “Responsibility for Taxes,” in Exhibit B:</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1 in Exhibit B, the Optionee hereby agrees that the Optionee is liable for all Tax-Related Items and hereby covenants to pay all such Tax-Related Items, as and when requested by the Company or the Service Recipient, as applicable, or by His Majesty’s Revenue &amp; Customs (“HMRC”) (or any other tax authority or any other relevant authority). The Optionee also hereby agrees to indemnify and keep indemnified the Company and the Service Recipient, as applicable, against any Tax-Related Items that they are required to pay or withhold or have paid or will pay to HMRC (or any other tax authority or any other relevant authority) on the Optionee’s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48" w:name="page249"/>
    <w:bookmarkEnd w:id="248"/>
    <w:p>
      <w:pPr>
        <w:jc w:val="both"/>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Optionee is a director or executive officer of the Company (within the meaning of Section 13(k) of the Exchange Act), the Optionee understands that the Optionee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the Optionee will be responsible for reporting and paying any income tax due on this additional benefit directly to HMRC under the self-assessment regime and for paying to the Company and/or the Service Recipient (as appropriate) the amount of any NICs due on this additional benefit, which may also be recovered from the Optionee by any of the means referred to in Section 1 of Exhibit B.</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431 Election</w:t>
      </w:r>
      <w:r>
        <w:rPr>
          <w:rFonts w:ascii="Times New Roman" w:cs="Times New Roman" w:eastAsia="Times New Roman" w:hAnsi="Times New Roman"/>
          <w:sz w:val="22"/>
          <w:szCs w:val="22"/>
          <w:color w:val="auto"/>
        </w:rPr>
        <w:t>. If the Optionee is or becomes a director or executive officer of the Company (within the meaning of Section 13(k) of the Exchange Act) prior to vesting of the Stock Option, the Company may require, as a condition of participation in the Plan and the settlement of the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Stock Option as if such shares were not restricted securities (for U.K. tax purposes only) despite the Company's clawback policy under the U.S. Dodd-Frank Act of 2010. If the Optionee does not enter into the 431 Election if and when requested by the Company, the Optionee will not be entitled to vest in the Stock Option and no shares of Stock will be issued to the Optionee, without any liability to the Company, the Service Recipient or any Subsidiary or affiliate.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22"/>
          <w:szCs w:val="22"/>
          <w:b w:val="1"/>
          <w:bCs w:val="1"/>
          <w:color w:val="auto"/>
        </w:rPr>
        <w:t>Exhibit 10.79</w:t>
      </w:r>
    </w:p>
    <w:p>
      <w:pPr>
        <w:spacing w:after="0" w:line="207" w:lineRule="exact"/>
        <w:rPr>
          <w:sz w:val="20"/>
          <w:szCs w:val="20"/>
          <w:color w:val="auto"/>
        </w:rPr>
      </w:pPr>
    </w:p>
    <w:p>
      <w:pPr>
        <w:jc w:val="center"/>
        <w:ind w:left="2180" w:right="2160"/>
        <w:spacing w:after="0" w:line="241" w:lineRule="auto"/>
        <w:rPr>
          <w:sz w:val="20"/>
          <w:szCs w:val="20"/>
          <w:color w:val="auto"/>
        </w:rPr>
      </w:pPr>
      <w:r>
        <w:rPr>
          <w:rFonts w:ascii="Times New Roman" w:cs="Times New Roman" w:eastAsia="Times New Roman" w:hAnsi="Times New Roman"/>
          <w:sz w:val="22"/>
          <w:szCs w:val="22"/>
          <w:b w:val="1"/>
          <w:bCs w:val="1"/>
          <w:color w:val="auto"/>
        </w:rPr>
        <w:t>NON-QUALIFIED STOCK OPTION AGREEMENT FOR NON-EMPLOYEE DIRECTORS UNDER THE BLUEPRINT MEDICINES CORPORATION 2015 STOCK OPTION AND INCENTIVE PLAN</w:t>
      </w:r>
    </w:p>
    <w:p>
      <w:pPr>
        <w:sectPr>
          <w:pgSz w:w="11900" w:h="16838" w:orient="portrait"/>
          <w:cols w:equalWidth="0" w:num="1">
            <w:col w:w="9920"/>
          </w:cols>
          <w:pgMar w:left="980" w:top="108" w:right="99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Optionee: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%%FIRST_NAME%-% %%LAST_NAME%-%</w:t>
      </w:r>
    </w:p>
    <w:p>
      <w:pPr>
        <w:spacing w:after="0" w:line="200" w:lineRule="exact"/>
        <w:rPr>
          <w:sz w:val="20"/>
          <w:szCs w:val="20"/>
          <w:color w:val="auto"/>
        </w:rPr>
      </w:pPr>
    </w:p>
    <w:p>
      <w:pPr>
        <w:sectPr>
          <w:pgSz w:w="11900" w:h="16838" w:orient="portrait"/>
          <w:cols w:equalWidth="0" w:num="2">
            <w:col w:w="3080" w:space="720"/>
            <w:col w:w="61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of Option Shares: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%%TOTAL_SHARES_GRANTED,'999,999,999'%-%</w:t>
      </w:r>
    </w:p>
    <w:p>
      <w:pPr>
        <w:spacing w:after="0" w:line="200" w:lineRule="exact"/>
        <w:rPr>
          <w:sz w:val="20"/>
          <w:szCs w:val="20"/>
          <w:color w:val="auto"/>
        </w:rPr>
      </w:pPr>
    </w:p>
    <w:p>
      <w:pPr>
        <w:sectPr>
          <w:pgSz w:w="11900" w:h="16838" w:orient="portrait"/>
          <w:cols w:equalWidth="0" w:num="2">
            <w:col w:w="3080" w:space="720"/>
            <w:col w:w="61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 Exercise Price per Share: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%%OPTION_PRICE%-%</w:t>
      </w:r>
    </w:p>
    <w:p>
      <w:pPr>
        <w:spacing w:after="0" w:line="200" w:lineRule="exact"/>
        <w:rPr>
          <w:sz w:val="20"/>
          <w:szCs w:val="20"/>
          <w:color w:val="auto"/>
        </w:rPr>
      </w:pPr>
    </w:p>
    <w:p>
      <w:pPr>
        <w:sectPr>
          <w:pgSz w:w="11900" w:h="16838" w:orient="portrait"/>
          <w:cols w:equalWidth="0" w:num="2">
            <w:col w:w="3080" w:space="720"/>
            <w:col w:w="61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%%OPTION_DATE%-%</w:t>
      </w:r>
    </w:p>
    <w:p>
      <w:pPr>
        <w:spacing w:after="0" w:line="200" w:lineRule="exact"/>
        <w:rPr>
          <w:sz w:val="20"/>
          <w:szCs w:val="20"/>
          <w:color w:val="auto"/>
        </w:rPr>
      </w:pPr>
    </w:p>
    <w:p>
      <w:pPr>
        <w:sectPr>
          <w:pgSz w:w="11900" w:h="16838" w:orient="portrait"/>
          <w:cols w:equalWidth="0" w:num="2">
            <w:col w:w="3080" w:space="720"/>
            <w:col w:w="61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%%EXPIRE_DATE_PERIOD1%-%</w:t>
      </w:r>
    </w:p>
    <w:p>
      <w:pPr>
        <w:spacing w:after="0" w:line="200" w:lineRule="exact"/>
        <w:rPr>
          <w:sz w:val="20"/>
          <w:szCs w:val="20"/>
          <w:color w:val="auto"/>
        </w:rPr>
      </w:pPr>
    </w:p>
    <w:p>
      <w:pPr>
        <w:sectPr>
          <w:pgSz w:w="11900" w:h="16838" w:orient="portrait"/>
          <w:cols w:equalWidth="0" w:num="2">
            <w:col w:w="3080" w:space="720"/>
            <w:col w:w="6120"/>
          </w:cols>
          <w:pgMar w:left="980" w:top="108" w:right="999" w:bottom="1440" w:gutter="0" w:footer="0" w:header="0"/>
          <w:type w:val="continuous"/>
        </w:sectPr>
      </w:pPr>
    </w:p>
    <w:p>
      <w:pPr>
        <w:spacing w:after="0" w:line="45"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1"/>
          <w:szCs w:val="21"/>
          <w:color w:val="auto"/>
        </w:rPr>
        <w:t xml:space="preserve">Pursuant to the Blueprint Medicines Corporation 2015 Stock Option and Incentive Plan as amended through the date hereof (the “Plan”), Blueprint Medicines Corporation (the “Company”) hereby grants to the Optionee named above, who is a Non-Employee Director of the Company,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for Non-Employee Directors, including the Privacy Notice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General Terms and Conditions for Non-U.S. Optionees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any Country-Specific Terms and Conditions for the Optionee’s country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(collectively, the “Agreement”). This Stock Option is not intended to be an “incentive stock option” under Section 422 of the Internal Revenue Code of 1986, as amended.</w:t>
      </w:r>
    </w:p>
    <w:p>
      <w:pPr>
        <w:spacing w:after="0" w:line="171" w:lineRule="exact"/>
        <w:rPr>
          <w:sz w:val="20"/>
          <w:szCs w:val="20"/>
          <w:color w:val="auto"/>
        </w:rPr>
      </w:pPr>
    </w:p>
    <w:p>
      <w:pPr>
        <w:ind w:right="20" w:firstLine="656"/>
        <w:spacing w:after="0" w:line="234" w:lineRule="auto"/>
        <w:tabs>
          <w:tab w:leader="none" w:pos="129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become exercisable in thirty-six (36) equal monthly installments beginning on the one-month anniversary of the Grant Date, in each case, so long as the Optionee remains in a continuous Service Relationship with the Company or any Service Recipient (as such terms are defined in Section 3 below) through such date; provided that this Stock Option shall accelerate and become fully vested and exercisable immediately upon (x) termination of the Service Relationship due to the Grantee’s death or disability, or (y) the consummation of a Sale Event subject to the Grantee’s continued Service Relationship through the date of such Sale Event.</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type w:val="continuous"/>
        </w:sectPr>
      </w:pPr>
    </w:p>
    <w:bookmarkStart w:id="250" w:name="page251"/>
    <w:bookmarkEnd w:id="250"/>
    <w:p>
      <w:pPr>
        <w:ind w:left="1300" w:hanging="644"/>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20" w:firstLine="1304"/>
        <w:spacing w:after="0" w:line="239" w:lineRule="auto"/>
        <w:tabs>
          <w:tab w:leader="none" w:pos="1944"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w:t>
      </w:r>
    </w:p>
    <w:p>
      <w:pPr>
        <w:spacing w:after="0" w:line="18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Payment of the purchase price for the Option Shares may be made by one or more of the following methods: (i) in cash, by certified or bank check or other instrument acceptable to the Administrator; (ii) in each instance, at the sole discretion of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1"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and satisfaction of any applicable tax amount that is required to be withheld by the Company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Subject to approval by the Administrator, in its sole discretion,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7" w:lineRule="exact"/>
        <w:rPr>
          <w:sz w:val="20"/>
          <w:szCs w:val="20"/>
          <w:color w:val="auto"/>
        </w:rPr>
      </w:pPr>
    </w:p>
    <w:p>
      <w:pPr>
        <w:ind w:right="40" w:firstLine="1304"/>
        <w:spacing w:after="0" w:line="235" w:lineRule="auto"/>
        <w:tabs>
          <w:tab w:leader="none" w:pos="19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51" w:name="page252"/>
    <w:bookmarkEnd w:id="251"/>
    <w:p>
      <w:pPr>
        <w:spacing w:after="0" w:line="244" w:lineRule="auto"/>
        <w:rPr>
          <w:sz w:val="20"/>
          <w:szCs w:val="20"/>
          <w:color w:val="auto"/>
        </w:rPr>
      </w:pPr>
      <w:r>
        <w:rPr>
          <w:rFonts w:ascii="Times New Roman" w:cs="Times New Roman" w:eastAsia="Times New Roman" w:hAnsi="Times New Roman"/>
          <w:sz w:val="22"/>
          <w:szCs w:val="22"/>
          <w:color w:val="auto"/>
        </w:rPr>
        <w:t>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74" w:lineRule="exact"/>
        <w:rPr>
          <w:sz w:val="20"/>
          <w:szCs w:val="20"/>
          <w:color w:val="auto"/>
        </w:rPr>
      </w:pPr>
    </w:p>
    <w:p>
      <w:pPr>
        <w:ind w:left="1960" w:hanging="656"/>
        <w:spacing w:after="0"/>
        <w:tabs>
          <w:tab w:leader="none" w:pos="196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120" w:firstLine="1304"/>
        <w:spacing w:after="0" w:line="258" w:lineRule="auto"/>
        <w:tabs>
          <w:tab w:leader="none" w:pos="194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8" w:lineRule="exact"/>
        <w:rPr>
          <w:rFonts w:ascii="Times New Roman" w:cs="Times New Roman" w:eastAsia="Times New Roman" w:hAnsi="Times New Roman"/>
          <w:sz w:val="22"/>
          <w:szCs w:val="22"/>
          <w:color w:val="auto"/>
        </w:rPr>
      </w:pPr>
    </w:p>
    <w:p>
      <w:pPr>
        <w:ind w:right="40" w:firstLine="656"/>
        <w:spacing w:after="0" w:line="255" w:lineRule="auto"/>
        <w:tabs>
          <w:tab w:leader="none" w:pos="129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 Relationship</w:t>
      </w:r>
      <w:r>
        <w:rPr>
          <w:rFonts w:ascii="Times New Roman" w:cs="Times New Roman" w:eastAsia="Times New Roman" w:hAnsi="Times New Roman"/>
          <w:sz w:val="21"/>
          <w:szCs w:val="21"/>
          <w:color w:val="auto"/>
        </w:rPr>
        <w:t>. If the Optionee’s service as a Non-Employee Director of the Company or continued service as a consultant, director or employee (the “Service Relationship”) of the Company or any Subsidiary with which the Grantee has a Service Relationship (any, a “Service Recipient”) ceases, the period within which to exercise the Stock Option may be subject to earlier termination as set forth below.</w:t>
      </w:r>
    </w:p>
    <w:p>
      <w:pPr>
        <w:spacing w:after="0" w:line="161" w:lineRule="exact"/>
        <w:rPr>
          <w:rFonts w:ascii="Times New Roman" w:cs="Times New Roman" w:eastAsia="Times New Roman" w:hAnsi="Times New Roman"/>
          <w:sz w:val="21"/>
          <w:szCs w:val="21"/>
          <w:color w:val="auto"/>
        </w:rPr>
      </w:pPr>
    </w:p>
    <w:p>
      <w:pPr>
        <w:ind w:right="60" w:firstLine="1304"/>
        <w:spacing w:after="0" w:line="238" w:lineRule="auto"/>
        <w:tabs>
          <w:tab w:leader="none" w:pos="19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Relationship terminates by reason of the Optionee’s death, any portion of this Stock Option outstanding on such date, whether already vested on the date of such termination or vested as a result of such termination in accordance with Section 1 of this Agreement, may thereafter be exercised by the Optionee’s legal representative or legatee for a period of 12 months from the date of death or until the Expiration Date, if earlier.</w:t>
      </w:r>
    </w:p>
    <w:p>
      <w:pPr>
        <w:spacing w:after="0" w:line="176" w:lineRule="exact"/>
        <w:rPr>
          <w:rFonts w:ascii="Times New Roman" w:cs="Times New Roman" w:eastAsia="Times New Roman" w:hAnsi="Times New Roman"/>
          <w:sz w:val="22"/>
          <w:szCs w:val="22"/>
          <w:color w:val="auto"/>
        </w:rPr>
      </w:pPr>
    </w:p>
    <w:p>
      <w:pPr>
        <w:ind w:right="40" w:firstLine="1304"/>
        <w:spacing w:after="0" w:line="238" w:lineRule="auto"/>
        <w:tabs>
          <w:tab w:leader="none" w:pos="19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terminates by reason of the Optionee’s disability, any portion of this Stock Option outstanding on such date, whether already vested on the date of such termination or vested as a result of such termination in accordance with Section 1 of this Agreement, may thereafter be exercised by the Optionee for a period of 12 months from the date of death or until the Expiration Date, if earlier.</w:t>
      </w:r>
    </w:p>
    <w:p>
      <w:pPr>
        <w:spacing w:after="0" w:line="176" w:lineRule="exact"/>
        <w:rPr>
          <w:rFonts w:ascii="Times New Roman" w:cs="Times New Roman" w:eastAsia="Times New Roman" w:hAnsi="Times New Roman"/>
          <w:sz w:val="22"/>
          <w:szCs w:val="22"/>
          <w:color w:val="auto"/>
        </w:rPr>
      </w:pPr>
    </w:p>
    <w:p>
      <w:pPr>
        <w:ind w:right="40" w:firstLine="1304"/>
        <w:spacing w:after="0" w:line="238" w:lineRule="auto"/>
        <w:tabs>
          <w:tab w:leader="none" w:pos="194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Service Relationship ceases for any reason other than the Optionee’s death or disability, any portion of this Stock Option outstanding on such date may be exercised, to the extent exercisable on the date the Optionee’s Service Relationship terminates, for a period of twelve months from such date or until the Expiration Date, if earlier. Any portion of this Stock Option that is not exercisable on such termination date shall terminate immediately and be of no further force or effect.</w:t>
      </w:r>
    </w:p>
    <w:p>
      <w:pPr>
        <w:spacing w:after="0" w:line="176" w:lineRule="exact"/>
        <w:rPr>
          <w:rFonts w:ascii="Times New Roman" w:cs="Times New Roman" w:eastAsia="Times New Roman" w:hAnsi="Times New Roman"/>
          <w:sz w:val="22"/>
          <w:szCs w:val="22"/>
          <w:color w:val="auto"/>
        </w:rPr>
      </w:pPr>
    </w:p>
    <w:p>
      <w:pPr>
        <w:ind w:right="80" w:firstLine="656"/>
        <w:spacing w:after="0" w:line="239"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right="700" w:firstLine="656"/>
        <w:spacing w:after="0" w:line="239"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2" w:right="1039" w:bottom="1440" w:gutter="0" w:footer="0" w:header="0"/>
        </w:sectPr>
      </w:pPr>
    </w:p>
    <w:bookmarkStart w:id="252" w:name="page253"/>
    <w:bookmarkEnd w:id="252"/>
    <w:p>
      <w:pPr>
        <w:ind w:left="-20" w:right="120" w:firstLine="656"/>
        <w:spacing w:after="0"/>
        <w:tabs>
          <w:tab w:leader="none" w:pos="127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Plan nor this Stock Option confers upon the Optionee any rights with respect to continuance as a Non-Employee Director or in any other Service Relationship, and neither the Plan nor this Agreement shall interfere in any way with the right of the Company or any Service Recipient, as applicable, to terminate the Service Relationship of the Optionee at any time.</w:t>
      </w:r>
    </w:p>
    <w:p>
      <w:pPr>
        <w:spacing w:after="0" w:line="176" w:lineRule="exact"/>
        <w:rPr>
          <w:rFonts w:ascii="Times New Roman" w:cs="Times New Roman" w:eastAsia="Times New Roman" w:hAnsi="Times New Roman"/>
          <w:sz w:val="22"/>
          <w:szCs w:val="22"/>
          <w:color w:val="auto"/>
        </w:rPr>
      </w:pPr>
    </w:p>
    <w:p>
      <w:pPr>
        <w:ind w:left="-20" w:firstLine="656"/>
        <w:spacing w:after="0" w:line="244" w:lineRule="auto"/>
        <w:tabs>
          <w:tab w:leader="none" w:pos="127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20" w:right="100" w:firstLine="656"/>
        <w:spacing w:after="0" w:line="247" w:lineRule="auto"/>
        <w:tabs>
          <w:tab w:leader="none" w:pos="127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xml:space="preserve">. In order to administer the Plan and this Agreement, and to implement or structure future equity grants, the Company may collect and process the Optionee’s personal data, including sharing it with its Subsidiaries and affiliates and certain agents thereof (together, the “Relevant Companies”) in connection with administering the Plan and performing its obligations under this Agreement. The Company may also transfer the Optionee’s personal data to countries with privacy laws that may be less protective than those of the Optionee’s country. The attached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 Privacy Notice, incorporated by reference into this Agreement as if fully set forth herein, further describes how the Optionee’s personal data will be processed and the Optionee’s rights with respect to personal data processed for the purposes of administering the Plan and this Agreement.</w:t>
      </w:r>
    </w:p>
    <w:p>
      <w:pPr>
        <w:spacing w:after="0" w:line="171" w:lineRule="exact"/>
        <w:rPr>
          <w:rFonts w:ascii="Times New Roman" w:cs="Times New Roman" w:eastAsia="Times New Roman" w:hAnsi="Times New Roman"/>
          <w:sz w:val="21"/>
          <w:szCs w:val="21"/>
          <w:color w:val="auto"/>
        </w:rPr>
      </w:pPr>
    </w:p>
    <w:p>
      <w:pPr>
        <w:ind w:left="-20" w:right="300" w:firstLine="656"/>
        <w:spacing w:after="0" w:line="244" w:lineRule="auto"/>
        <w:tabs>
          <w:tab w:leader="none" w:pos="127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left="-20" w:right="140" w:firstLine="656"/>
        <w:spacing w:after="0" w:line="238" w:lineRule="auto"/>
        <w:tabs>
          <w:tab w:leader="none" w:pos="127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color w:val="auto"/>
        </w:rPr>
      </w:pPr>
    </w:p>
    <w:p>
      <w:pPr>
        <w:ind w:left="-20" w:right="220" w:firstLine="656"/>
        <w:spacing w:after="0" w:line="249" w:lineRule="auto"/>
        <w:tabs>
          <w:tab w:leader="none" w:pos="127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This Stock Option grant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170" w:lineRule="exact"/>
        <w:rPr>
          <w:rFonts w:ascii="Times New Roman" w:cs="Times New Roman" w:eastAsia="Times New Roman" w:hAnsi="Times New Roman"/>
          <w:sz w:val="21"/>
          <w:szCs w:val="21"/>
          <w:color w:val="auto"/>
        </w:rPr>
      </w:pPr>
    </w:p>
    <w:p>
      <w:pPr>
        <w:ind w:left="-20" w:right="40" w:firstLine="656"/>
        <w:spacing w:after="0" w:line="244" w:lineRule="auto"/>
        <w:tabs>
          <w:tab w:leader="none" w:pos="127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12" w:right="999" w:bottom="1440" w:gutter="0" w:footer="0" w:header="0"/>
        </w:sectPr>
      </w:pPr>
    </w:p>
    <w:bookmarkStart w:id="253" w:name="page254"/>
    <w:bookmarkEnd w:id="253"/>
    <w:p>
      <w:pPr>
        <w:jc w:val="both"/>
        <w:ind w:firstLine="656"/>
        <w:spacing w:after="0" w:line="244" w:lineRule="auto"/>
        <w:tabs>
          <w:tab w:leader="none" w:pos="129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Optionee acknowledges that a waiver by the Company or breach of any provision of this Agreement shall not operate or be construed as a waiver of any other provision of this Agreement, or of any subsequent breach by the Optionee or any other grantee.</w:t>
      </w:r>
    </w:p>
    <w:p>
      <w:pPr>
        <w:spacing w:after="0" w:line="200" w:lineRule="exact"/>
        <w:rPr>
          <w:sz w:val="20"/>
          <w:szCs w:val="20"/>
          <w:color w:val="auto"/>
        </w:rPr>
      </w:pPr>
    </w:p>
    <w:p>
      <w:pPr>
        <w:spacing w:after="0" w:line="2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22"/>
          <w:szCs w:val="22"/>
          <w:color w:val="auto"/>
        </w:rPr>
        <w:t>By:</w:t>
        <w:tab/>
        <w:t>/s/ Kathryn D.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10795</wp:posOffset>
            </wp:positionV>
            <wp:extent cx="27432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22"/>
          <w:szCs w:val="22"/>
          <w:color w:val="auto"/>
        </w:rPr>
        <w:t>Name:Kathryn D. Haviland</w:t>
      </w:r>
    </w:p>
    <w:p>
      <w:pPr>
        <w:ind w:left="504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0" w:lineRule="exact"/>
        <w:rPr>
          <w:sz w:val="20"/>
          <w:szCs w:val="20"/>
          <w:color w:val="auto"/>
        </w:rPr>
      </w:pPr>
    </w:p>
    <w:p>
      <w:pPr>
        <w:spacing w:after="0" w:line="22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10795</wp:posOffset>
            </wp:positionV>
            <wp:extent cx="59232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5">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3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%%FIRST_NAME%-% %%LAST_NAME%-%</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%%ADDRESS_LINE_1%-%</w:t>
      </w:r>
    </w:p>
    <w:p>
      <w:pPr>
        <w:ind w:left="5060"/>
        <w:spacing w:after="0" w:line="230" w:lineRule="auto"/>
        <w:rPr>
          <w:sz w:val="20"/>
          <w:szCs w:val="20"/>
          <w:color w:val="auto"/>
        </w:rPr>
      </w:pPr>
      <w:r>
        <w:rPr>
          <w:rFonts w:ascii="Times New Roman" w:cs="Times New Roman" w:eastAsia="Times New Roman" w:hAnsi="Times New Roman"/>
          <w:sz w:val="22"/>
          <w:szCs w:val="22"/>
          <w:color w:val="auto"/>
        </w:rPr>
        <w:t>%%ADDRESS_LINE_2%-%</w:t>
      </w:r>
    </w:p>
    <w:p>
      <w:pPr>
        <w:ind w:left="5060"/>
        <w:spacing w:after="0" w:line="231" w:lineRule="auto"/>
        <w:rPr>
          <w:sz w:val="20"/>
          <w:szCs w:val="20"/>
          <w:color w:val="auto"/>
        </w:rPr>
      </w:pPr>
      <w:r>
        <w:rPr>
          <w:rFonts w:ascii="Times New Roman" w:cs="Times New Roman" w:eastAsia="Times New Roman" w:hAnsi="Times New Roman"/>
          <w:sz w:val="22"/>
          <w:szCs w:val="22"/>
          <w:color w:val="auto"/>
        </w:rPr>
        <w:t>%%CITY%-%, %%STATE%-%</w:t>
      </w:r>
    </w:p>
    <w:p>
      <w:pPr>
        <w:ind w:left="5060"/>
        <w:spacing w:after="0" w:line="230" w:lineRule="auto"/>
        <w:rPr>
          <w:sz w:val="20"/>
          <w:szCs w:val="20"/>
          <w:color w:val="auto"/>
        </w:rPr>
      </w:pPr>
      <w:r>
        <w:rPr>
          <w:rFonts w:ascii="Times New Roman" w:cs="Times New Roman" w:eastAsia="Times New Roman" w:hAnsi="Times New Roman"/>
          <w:sz w:val="22"/>
          <w:szCs w:val="22"/>
          <w:color w:val="auto"/>
        </w:rPr>
        <w:t>%%COUNTRY%-%</w:t>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112" w:right="1159" w:bottom="1440" w:gutter="0" w:footer="0" w:header="0"/>
        </w:sectPr>
      </w:pPr>
    </w:p>
    <w:bookmarkStart w:id="254" w:name="page255"/>
    <w:bookmarkEnd w:id="25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If you, as the Optionee,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17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17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ind w:right="380"/>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17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17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55" w:name="page256"/>
    <w:bookmarkEnd w:id="255"/>
    <w:p>
      <w:pPr>
        <w:ind w:right="540"/>
        <w:spacing w:after="0" w:line="244" w:lineRule="auto"/>
        <w:rPr>
          <w:sz w:val="20"/>
          <w:szCs w:val="20"/>
          <w:color w:val="auto"/>
        </w:rPr>
      </w:pPr>
      <w:r>
        <w:rPr>
          <w:rFonts w:ascii="Times New Roman" w:cs="Times New Roman" w:eastAsia="Times New Roman" w:hAnsi="Times New Roman"/>
          <w:sz w:val="22"/>
          <w:szCs w:val="22"/>
          <w:color w:val="auto"/>
        </w:rPr>
        <w:t>European Commission, the Company has implemented adequate measures to protect your personal data (for example, putting in place contractual arrangements approved by the European Commission, or Standard Contractual Clauses).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17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ind w:right="620"/>
        <w:spacing w:after="0" w:line="235" w:lineRule="auto"/>
        <w:rPr>
          <w:sz w:val="20"/>
          <w:szCs w:val="20"/>
          <w:color w:val="auto"/>
        </w:rPr>
      </w:pPr>
      <w:r>
        <w:rPr>
          <w:rFonts w:ascii="Times New Roman" w:cs="Times New Roman" w:eastAsia="Times New Roman" w:hAnsi="Times New Roman"/>
          <w:sz w:val="22"/>
          <w:szCs w:val="22"/>
          <w:color w:val="auto"/>
        </w:rPr>
        <w:t>Questions about this Privacy Notice, to exercise applicable rights related to your personal data, or for more information about the Company’s privacy and data protection practices, please contact us at the appropriate locations: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Optionees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Exhibit B, which is part of the Non-Qualified Stock Option Agreement for Non-Employee Directors, contains additional terms and conditions that will apply to the Optionee if residing outside the United States.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Agreement for Non-Employee Directors.</w:t>
      </w:r>
    </w:p>
    <w:p>
      <w:pPr>
        <w:spacing w:after="0" w:line="173" w:lineRule="exact"/>
        <w:rPr>
          <w:sz w:val="20"/>
          <w:szCs w:val="20"/>
          <w:color w:val="auto"/>
        </w:rPr>
      </w:pPr>
    </w:p>
    <w:p>
      <w:pPr>
        <w:ind w:left="660" w:hanging="652"/>
        <w:spacing w:after="0" w:line="258" w:lineRule="auto"/>
        <w:tabs>
          <w:tab w:leader="none" w:pos="6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2(a) of the Non-Qualified Stock Option Agreement for Non-Employee Directors.</w:t>
      </w:r>
    </w:p>
    <w:p>
      <w:pPr>
        <w:spacing w:after="0" w:line="185" w:lineRule="exact"/>
        <w:rPr>
          <w:rFonts w:ascii="Times New Roman" w:cs="Times New Roman" w:eastAsia="Times New Roman" w:hAnsi="Times New Roman"/>
          <w:sz w:val="22"/>
          <w:szCs w:val="22"/>
          <w:color w:val="auto"/>
        </w:rPr>
      </w:pPr>
    </w:p>
    <w:p>
      <w:pPr>
        <w:jc w:val="both"/>
        <w:ind w:left="6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acknowledges that, regardless of any action taken by the Company, the ultimate liability for all income tax, social insurance, payroll tax, fringe benefit tax, payment on account or other tax-related items related to the Optionee’s participation in the Plan and legally applicable to the Optionee (“Tax-Related Items”) is and remains the Optionee’s responsibility and may exceed the amount actually withheld by the Company. The Optionee further acknowledges that the Company (1) makes no representations or undertakings regarding the treatment of any Tax-Related Items in connection with any aspect of this Stock Option, including, but not limited to, the grant, vesting, or exercise of the Stock Option and the subsequent sale of shares of Stock acquired pursuant to such exercise and the receipt of any dividends; and (2) does not commit to and is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may be required to withhold or account for Tax-Related Items in more than one jurisdiction and may seek evidence of residency from the Optionee for purposes of operating such withholding or payment on account.</w:t>
      </w:r>
    </w:p>
    <w:p>
      <w:pPr>
        <w:spacing w:after="0" w:line="206" w:lineRule="exact"/>
        <w:rPr>
          <w:rFonts w:ascii="Times New Roman" w:cs="Times New Roman" w:eastAsia="Times New Roman" w:hAnsi="Times New Roman"/>
          <w:sz w:val="22"/>
          <w:szCs w:val="22"/>
          <w:color w:val="auto"/>
        </w:rPr>
      </w:pPr>
    </w:p>
    <w:p>
      <w:pPr>
        <w:jc w:val="both"/>
        <w:ind w:left="6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responsible for withholding any Tax-Related Items, unless required by applicable law. The Company may take such action as it deems appropriate to ensure that all Tax-Related Items are withheld or collected from the Optionee, if and to the extent required by applicable law. In this regard, the Company will have the power and the right to require the Optionee to remit to the Company, the amount necessary to satisfy the Tax-Related Items; provided that any obligations for Tax-Related Items may be satisfied in the manner in which the Option Exercise Price is permitted to be paid under Section 2(b) or any other method permitted by the Plan, with the exception that unless otherwise determined by the Administrator, shares of Stock may only be deducted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57" w:name="page258"/>
    <w:bookmarkEnd w:id="257"/>
    <w:p>
      <w:pPr>
        <w:jc w:val="both"/>
        <w:ind w:left="652"/>
        <w:spacing w:after="0" w:line="255" w:lineRule="auto"/>
        <w:rPr>
          <w:sz w:val="20"/>
          <w:szCs w:val="20"/>
          <w:color w:val="auto"/>
        </w:rPr>
      </w:pPr>
      <w:r>
        <w:rPr>
          <w:rFonts w:ascii="Times New Roman" w:cs="Times New Roman" w:eastAsia="Times New Roman" w:hAnsi="Times New Roman"/>
          <w:sz w:val="21"/>
          <w:szCs w:val="21"/>
          <w:color w:val="auto"/>
        </w:rPr>
        <w:t>withheld from any shares of Stock deliverable under this Agreement only pursuant to the election of the Optionee. Depending on the withholding method, the Company may withhold or account for Tax-Related Items by considering maximum applicable rates, in which case the Optionee will receive a refund of any over-withheld amount in cash and will have no entitlement to the Common Stock equivalent.</w:t>
      </w:r>
    </w:p>
    <w:p>
      <w:pPr>
        <w:spacing w:after="0" w:line="189" w:lineRule="exact"/>
        <w:rPr>
          <w:sz w:val="20"/>
          <w:szCs w:val="20"/>
          <w:color w:val="auto"/>
        </w:rPr>
      </w:pPr>
    </w:p>
    <w:p>
      <w:pPr>
        <w:jc w:val="both"/>
        <w:ind w:left="652" w:right="20"/>
        <w:spacing w:after="0" w:line="244" w:lineRule="auto"/>
        <w:rPr>
          <w:sz w:val="20"/>
          <w:szCs w:val="20"/>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Optionee fails to comply with the Optionee’s obligations in connection with the Tax-Related Items.</w:t>
      </w:r>
    </w:p>
    <w:p>
      <w:pPr>
        <w:spacing w:after="0" w:line="200" w:lineRule="exact"/>
        <w:rPr>
          <w:sz w:val="20"/>
          <w:szCs w:val="20"/>
          <w:color w:val="auto"/>
        </w:rPr>
      </w:pPr>
    </w:p>
    <w:p>
      <w:pPr>
        <w:ind w:left="652" w:hanging="652"/>
        <w:spacing w:after="0"/>
        <w:tabs>
          <w:tab w:leader="none" w:pos="65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In accepting the Stock Option, the Optionee acknowledges, understands and agrees that:</w:t>
      </w:r>
    </w:p>
    <w:p>
      <w:pPr>
        <w:spacing w:after="0" w:line="217" w:lineRule="exact"/>
        <w:rPr>
          <w:rFonts w:ascii="Times New Roman" w:cs="Times New Roman" w:eastAsia="Times New Roman" w:hAnsi="Times New Roman"/>
          <w:sz w:val="21"/>
          <w:szCs w:val="21"/>
          <w:color w:val="auto"/>
        </w:rPr>
      </w:pPr>
    </w:p>
    <w:p>
      <w:pPr>
        <w:jc w:val="both"/>
        <w:ind w:left="1292" w:hanging="644"/>
        <w:spacing w:after="0" w:line="244"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Stock Option is voluntary and occasional and does not create any contractual or other right to receive future grants of stock options, or benefits in lieu of stock options, even if stock options have been granted in the past;</w:t>
      </w:r>
    </w:p>
    <w:p>
      <w:pPr>
        <w:spacing w:after="0" w:line="173"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stock options or other grants, if any, will be at the sole discretion of the Company;</w:t>
      </w:r>
    </w:p>
    <w:p>
      <w:pPr>
        <w:spacing w:after="0" w:line="158"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grant and the Optionee’s participation in the Plan shall not be interpreted as forming an employment or service contract with the Company or any Subsidiary;</w:t>
      </w:r>
    </w:p>
    <w:p>
      <w:pPr>
        <w:spacing w:after="0" w:line="15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is voluntarily participating in the Plan;</w:t>
      </w:r>
    </w:p>
    <w:p>
      <w:pPr>
        <w:spacing w:after="0" w:line="206"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Option Shares, and the income and value of same,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 Option and the Option Shares, and the income and value of same, are not part of normal or expected compensation for any purpose, and do not confer on Optionee any right to receive Director fees or other compensation in any specific amount;</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Stock Option and the Option Shares, and the income and value of same, are not granted as consideration for, or in connection with, the service the Optionee may provide as a director of a Subsidiary;</w:t>
      </w:r>
    </w:p>
    <w:p>
      <w:pPr>
        <w:spacing w:after="0" w:line="173"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Option Shares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58" w:name="page259"/>
    <w:bookmarkEnd w:id="258"/>
    <w:p>
      <w:pPr>
        <w:ind w:left="1292" w:hanging="644"/>
        <w:spacing w:after="0"/>
        <w:tabs>
          <w:tab w:leader="none" w:pos="129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underlying Option Shares do not increase in value, the Stock Option will have no value;</w:t>
      </w:r>
    </w:p>
    <w:p>
      <w:pPr>
        <w:spacing w:after="0" w:line="206"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 exercises the Stock Option and acquires shares of Stock, the value of such shares may increase or decrease in value, even below the Option Exercise Price;</w:t>
      </w:r>
    </w:p>
    <w:p>
      <w:pPr>
        <w:spacing w:after="0" w:line="158" w:lineRule="exact"/>
        <w:rPr>
          <w:rFonts w:ascii="Times New Roman" w:cs="Times New Roman" w:eastAsia="Times New Roman" w:hAnsi="Times New Roman"/>
          <w:sz w:val="22"/>
          <w:szCs w:val="22"/>
          <w:color w:val="auto"/>
        </w:rPr>
      </w:pPr>
    </w:p>
    <w:p>
      <w:pPr>
        <w:jc w:val="both"/>
        <w:ind w:left="1292" w:right="20" w:hanging="644"/>
        <w:spacing w:after="0" w:line="244" w:lineRule="auto"/>
        <w:tabs>
          <w:tab w:leader="none" w:pos="129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Stock Option resulting from a termination of the Optionee’s service as a member of the Board (for any reason whatsoever); and</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Optionee’s local currency and the United States Dollar that may affect the value of the Stock Option or of any amounts due to the Optionee pursuant to the exercise of the Stock Option or the subsequent sale of any shares of Stock acquired upon exercise.</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Optionee’s participation in the Plan, or the Optionee’s acquisition or sale of the underlying Option Shares. The Optionee is hereby advised to consult with the Optionee’s own personal tax, legal and financial advisors regarding the Optionee’s participation in the Plan before taking any action related to the Plan.</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44" w:lineRule="auto"/>
        <w:tabs>
          <w:tab w:leader="none" w:pos="65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Optionee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Optionee’s participation in the Plan, on the Stock Option and on any shares of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35" w:lineRule="auto"/>
        <w:tabs>
          <w:tab w:leader="none" w:pos="65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Restrictions/Market Abuse Laws</w:t>
      </w:r>
      <w:r>
        <w:rPr>
          <w:rFonts w:ascii="Times New Roman" w:cs="Times New Roman" w:eastAsia="Times New Roman" w:hAnsi="Times New Roman"/>
          <w:sz w:val="22"/>
          <w:szCs w:val="22"/>
          <w:color w:val="auto"/>
        </w:rPr>
        <w:t>. The Optionee acknowledges that, depending on the Optionee’s country, the Optionee may be subject to insider trading restrictions and/or market abuse laws, which may affect the Optionee’s ability to acquire or sell shares of Stock or rights to shares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Stock Options) under the Plan during such times as the Optionee is considered to have “inside information” regarding the Company (as defined by the laws in the Optionee’s country). Any restrictions under these laws or regulations are separate from and in addition to any restrictions that may be imposed under any applicable Company insider trading policy. The Optionee is responsible for ensuring compliance with any applicable restrictions and is advised to consult a personal legal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59" w:name="page260"/>
    <w:bookmarkEnd w:id="259"/>
    <w:p>
      <w:pPr>
        <w:jc w:val="both"/>
        <w:ind w:left="652" w:hanging="652"/>
        <w:spacing w:after="0" w:line="234" w:lineRule="auto"/>
        <w:tabs>
          <w:tab w:leader="none" w:pos="65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 Exchange Controls</w:t>
      </w:r>
      <w:r>
        <w:rPr>
          <w:rFonts w:ascii="Times New Roman" w:cs="Times New Roman" w:eastAsia="Times New Roman" w:hAnsi="Times New Roman"/>
          <w:sz w:val="22"/>
          <w:szCs w:val="22"/>
          <w:color w:val="auto"/>
        </w:rPr>
        <w:t>. The Optionee’s country may have certain foreign asset and/or account reporting requirements and/or exchange controls which may affect the Optionee’s ability to acquire or hold shares of Stock under the Plan or cash received from participating in the Plan (including from any dividends received or sale proceeds arising from the sale of shares of Stock) in a brokerage or bank account outside the Optionee’s country. The Optionee may be required to report such accounts, assets or transactions to the tax or other authorities in the Optionee’s country. The Optionee also may be required to repatriate sale proceeds or other funds received as a result of the Optionee’s participation in the Plan to the Optionee’s country through a designated bank or broker and/or within a certain time after receipt. The Optionee acknowledges that it is his or her responsibility to be compliant with such regulations, and the Optionee is advised to consult a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Non-Qualified Stock Option Award Agreement for Non-Employee Directors and the General Terms and Conditions for Non-U.S. Optionees attached thereto as Exhibit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C includes additional terms and conditions that govern the Stock Option granted to the Optionee if the Optionee resides and/or works in a country listed below. If the Optionee moves to another country after receiving the grant of the Stock Option, the Company will, in its discretion, determine the extent to which the terms and conditions herein will be applicable to the Optionee.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C also includes information regarding exchange controls and certain other issues of which the Optionee should be aware with respect to the Optionee’s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Optionee not rely on the information in this Exhibit C as the only source of information relating to the consequences of the Optionee’s participation in the Plan because the information may be out of date at the time that the Optionee exercises the Option or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the Optionee’s country may apply to the Optionee’s situation.</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Finally, if the Optionee is a citizen or resident of a country other than the one in which the Optionee is currently residing and/or working (or if the Optionee is considered as such for local law purposes), the information contained herein may not be applicable to the Optionee in the same manner.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Stock Option Not French-Qualified</w:t>
      </w:r>
      <w:r>
        <w:rPr>
          <w:rFonts w:ascii="Times New Roman" w:cs="Times New Roman" w:eastAsia="Times New Roman" w:hAnsi="Times New Roman"/>
          <w:sz w:val="22"/>
          <w:szCs w:val="22"/>
          <w:color w:val="auto"/>
        </w:rPr>
        <w:t>. The Stock Option granted under this Agreement is not intended to qualify for the specific tax and social security treatment pursuant to Sections L. 225-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197-1 to L. 225-197-5 and L. 22-10-59 to L. 22-10-60 of the French Commercial Code, as amended.</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Stock Option, the Optionee confirms having read and understood the Plan and the Agreement, including Exhibits A, B, and this Exhibit C, and all terms and conditions included therein, which were provided in the English language. The Optionee accepts the terms of those documents accordingly.</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Stock Option, le Titulaire de les Stock Option confirme avoir lu et compris le Plan et le Contrat y relatifs, incluant tous leurs termes et conditions, qui ont été transmis en langue anglaise. Le Titulaire de les Stock Option accepte les dispositions de ces documents en connaissance de cause.</w:t>
      </w:r>
    </w:p>
    <w:p>
      <w:pPr>
        <w:spacing w:after="0" w:line="17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Optionee imports or exports cash (e.g., proceeds from the sale of shares of Stock acquired under the Plan) with a value equal to or exceeding a certain threshold (currently €10,000), and does not use a financial institution to do so, the Optionee must submit a report to the customs and excise authorities.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Optionee must report any shares of Stock and bank or brokerage accounts the Optionee holds outside France (including any accounts that were opened, used and/or closed during the tax year) on an annual basis, on form No. 3916, together with their income tax return. It is the Optionee’s responsibility to comply with French foreign asset and account reporting requirements, and neither the Company nor the Service Recipient will be liable for any resulting fines or penalties.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available via Bundesbank’s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Additional reporting to the Bundesbank via email or telephone may be required.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Optionee will need to report the acquisition when the Optionee files the Optionee’s tax return for the relevant year. A qualified participation is attained if (i) the value of the shares of Stock acquired exceeds €150,000 or (ii) in the unlikely event the Optionee holds shares of Stock exceeding 10% of the Company’s total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Plan Document Acknowledgment</w:t>
      </w:r>
      <w:r>
        <w:rPr>
          <w:rFonts w:ascii="Times New Roman" w:cs="Times New Roman" w:eastAsia="Times New Roman" w:hAnsi="Times New Roman"/>
          <w:sz w:val="21"/>
          <w:szCs w:val="21"/>
          <w:color w:val="auto"/>
        </w:rPr>
        <w:t>. By accepting the Stock Option, the Optionee acknowledges that the Optionee has received a copy of the Plan and the Agreement, including Exhibits A, B, and this Exhibit C, has reviewed these documents in their entirety and fully understands and accepts all provisions contained therein. The Optionee further acknowledges that the Optionee has read and specifically and expressly approves the provisions regarding Section 3: “Termination of Service Relationship,” Section 6: “No Obligation to Continue Service Relationship,” Section 8: “Personal Data,” and Section 11: “Governing Law and Venue” in the Agreement, as well as Section 1: “Responsibility for Taxes,” Section 2: “Nature of Grant,” and Section 4: “Language” in Exhibit B.</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the Optionee is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Stock Option,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Optionee holds shares of Stock or has a bank account outside of Spain with a value in excess of €50,000 (for each type of asset category) as of December 31 each year, the Optionee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63" w:name="page264"/>
    <w:bookmarkEnd w:id="263"/>
    <w:p>
      <w:pPr>
        <w:jc w:val="both"/>
        <w:spacing w:after="0" w:line="259" w:lineRule="auto"/>
        <w:rPr>
          <w:sz w:val="20"/>
          <w:szCs w:val="20"/>
          <w:color w:val="auto"/>
        </w:rPr>
      </w:pPr>
      <w:r>
        <w:rPr>
          <w:rFonts w:ascii="Times New Roman" w:cs="Times New Roman" w:eastAsia="Times New Roman" w:hAnsi="Times New Roman"/>
          <w:sz w:val="22"/>
          <w:szCs w:val="22"/>
          <w:color w:val="auto"/>
        </w:rPr>
        <w:t>€20,000 (for each type of asset category) as of each subsequent December 31, or if the Optionee sells shares of Stock or closes a bank account that was previously reported.</w:t>
      </w:r>
    </w:p>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Further, the Optionee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More frequent reporting is required if such transaction value or account balances exceed €1,000,000.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2: “Nature of Grant” in Exhibit B:</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Stock Option, the Optionee acknowledges, understands and agrees that the Optionee is voluntarily participating in the Plan and has received a copy of the Plan. The Optionee acknowledges having read and accepts Section 3: “Termination of Service Relationship” of the Agreement, and Section 2: “Nature of Grant” in Exhibit B.</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Optionee understands that the Company, in its sole discretion, has unilaterally, gratuitously and in its sole discretion decided to grant Stock Option under the Plan to individuals who may be officers, employees, Non-Employee Directors and other key persons (including Consultants) of the Company and 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Optionee understands that the Stock Option are granted on the assumption and condition that neither the Stock Option nor the shares of Stock acquired at vesting of the Stock Option shall become a part of any employment or other service contract (either with the Company or any of its Subsidiaries or affiliates) nor shall they be considered a mandatory benefit, salary for any purposes (including severance compensation) or any other right whatsoever. Further, the Optionee understands and freely accepts that the future value of the Stock Option and shares of Stock is unknown and unpredictable. In addition, the Optionee understands that the grant would not be made to the Optionee but for the assumptions and conditions referred to above; thus, the Optionee acknowledges and freely accepts that should any or all of the assumptions be mistaken or should any of the conditions not be met for any reason, then the Stock Option grant shall be null and void.</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Optionee also understands and agrees that subject to any exceptions set forth in Section 3: “Termination of Service Relationship” of this Agreement, in the event of the termination of the Optionee’s Service Relationship for any reason (including the reasons listed below), the Stock Option will cease vesting and any entitlement to exercise vested Stock Option will start to run immediately effective on the date the Optionee is no longer providing services to the Service Recipient or the Company or any of its Subsidiaries. In particular, the Optionee understands and agrees that any unvested Stock Option will be forfeited without entitlement to the underlying shares of Stock or to any amount as indemnification in the event of a termination of the Optionee’s Service Relationship as described in the Agreement prior to vesting of the Stock Option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subject to a “despido improcedente”), individual or collective dismissal on objective grounds,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4" w:name="page265"/>
    <w:bookmarkEnd w:id="264"/>
    <w:p>
      <w:pPr>
        <w:jc w:val="both"/>
        <w:spacing w:after="0" w:line="262" w:lineRule="auto"/>
        <w:rPr>
          <w:sz w:val="20"/>
          <w:szCs w:val="20"/>
          <w:color w:val="auto"/>
        </w:rPr>
      </w:pPr>
      <w:r>
        <w:rPr>
          <w:rFonts w:ascii="Times New Roman" w:cs="Times New Roman" w:eastAsia="Times New Roman" w:hAnsi="Times New Roman"/>
          <w:sz w:val="21"/>
          <w:szCs w:val="21"/>
          <w:color w:val="auto"/>
        </w:rPr>
        <w:t>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in connection with the grant of the Stock Option. The Plan and the Agreement have not been nor will they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 not constitute a public offering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 approved or supervised by any Swiss reviewing body according to article 51 FinSA or any Swiss regulatory authority, including the Swiss Financial Market Supervisory Authority.</w:t>
      </w:r>
    </w:p>
    <w:p>
      <w:pPr>
        <w:spacing w:after="0" w:line="183"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the Stock Option granted to the Optionee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Optionee is required to file with the Optionee’s tax return.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1: “Responsibility for Taxes,” in Exhibit B:</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1 in Exhibit B, the Optionee hereby agrees that the Optionee is liable for all Tax-Related Items and hereby covenants to pay all such Tax-Related Items, as and when requested by the Company or the Service Recipient, as applicable, or by His Majesty’s Revenue &amp; Customs (“HMRC”) (or any other tax authority or any other relevant authority). The Optionee also hereby agrees to indemnify and keep indemnified the Company and the Service Recipient, as applicable, against any Tax-Related Items that they are required to pay or withhold or have paid or will pay to HMRC (or any other tax authority or any other relevant authority) on the Optionee’s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5" w:name="page266"/>
    <w:bookmarkEnd w:id="265"/>
    <w:p>
      <w:pPr>
        <w:jc w:val="both"/>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Optionee is a director or executive officer of the Company (within the meaning of Section 13(k) of the Exchange Act), the Optionee understands that the Optionee may not be able to indemnify the Company for the amount of any Tax-Related Items not collected from or paid by the Optionee, if the indemnification could be considered to be a loan. In this case, the Tax-Related Items not collected or paid may constitute a benefit to the Optionee on which additional income tax and National Insurance Contributions (“NICs”) may be payable. The Optionee understands that the Optionee will be responsible for reporting and paying any income tax due on this additional benefit directly to HMRC under the self-assessment regime and for paying to the Company and/or the Service Recipient (as appropriate) the amount of any NICs due on this additional benefit, which may also be recovered from the Optionee by any of the means referred to in Section 1 of Exhibit B.</w:t>
      </w:r>
    </w:p>
    <w:p>
      <w:pPr>
        <w:spacing w:after="0" w:line="2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431 Election</w:t>
      </w:r>
      <w:r>
        <w:rPr>
          <w:rFonts w:ascii="Times New Roman" w:cs="Times New Roman" w:eastAsia="Times New Roman" w:hAnsi="Times New Roman"/>
          <w:sz w:val="22"/>
          <w:szCs w:val="22"/>
          <w:color w:val="auto"/>
        </w:rPr>
        <w:t>. If the Optionee is or becomes a director or executive officer of the Company (within the meaning of Section 13(k) of the Exchange Act) prior to vesting of the Stock Option, the Company may require, as a condition of participation in the Plan and the settlement of the Stock Option, that the Optionee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Stock Option as if such shares were not restricted securities (for U.K. tax purposes only) despite the Company’s clawback policy under the U.S. Dodd-Frank Act of 2010. If the Optionee does not enter into the 431 Election if and when requested by the Company, the Optionee will not be entitled to vest in the Stock Option and no shares of Stock will be issued to the Optionee, without any liability to the Company, the Service Recipient or any Subsidiary or affiliate.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2"/>
          <w:szCs w:val="22"/>
          <w:b w:val="1"/>
          <w:bCs w:val="1"/>
          <w:color w:val="auto"/>
        </w:rPr>
        <w:t>Exhibit 10.80</w:t>
      </w:r>
    </w:p>
    <w:p>
      <w:pPr>
        <w:spacing w:after="0" w:line="207" w:lineRule="exact"/>
        <w:rPr>
          <w:sz w:val="20"/>
          <w:szCs w:val="20"/>
          <w:color w:val="auto"/>
        </w:rPr>
      </w:pPr>
    </w:p>
    <w:p>
      <w:pPr>
        <w:jc w:val="center"/>
        <w:ind w:left="2180" w:right="2160"/>
        <w:spacing w:after="0" w:line="246" w:lineRule="auto"/>
        <w:rPr>
          <w:sz w:val="20"/>
          <w:szCs w:val="20"/>
          <w:color w:val="auto"/>
        </w:rPr>
      </w:pPr>
      <w:r>
        <w:rPr>
          <w:rFonts w:ascii="Times New Roman" w:cs="Times New Roman" w:eastAsia="Times New Roman" w:hAnsi="Times New Roman"/>
          <w:sz w:val="22"/>
          <w:szCs w:val="22"/>
          <w:b w:val="1"/>
          <w:bCs w:val="1"/>
          <w:color w:val="auto"/>
        </w:rPr>
        <w:t>NON-QUALIFIED STOCK OPTION AGREEMENT UNDER THE BLUEPRINT MEDICINES CORPORATION 2020 INDUCEMENT PLAN</w:t>
      </w:r>
    </w:p>
    <w:p>
      <w:pPr>
        <w:sectPr>
          <w:pgSz w:w="11900" w:h="16838" w:orient="portrait"/>
          <w:cols w:equalWidth="0" w:num="1">
            <w:col w:w="9920"/>
          </w:cols>
          <w:pgMar w:left="980" w:top="108" w:right="99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Optionee: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21"/>
          <w:szCs w:val="21"/>
          <w:color w:val="auto"/>
        </w:rPr>
        <w:t>%%FIRST_NAME%-% %%LAST_NAME%-%</w:t>
      </w:r>
    </w:p>
    <w:p>
      <w:pPr>
        <w:spacing w:after="0" w:line="200" w:lineRule="exact"/>
        <w:rPr>
          <w:sz w:val="20"/>
          <w:szCs w:val="20"/>
          <w:color w:val="auto"/>
        </w:rPr>
      </w:pPr>
    </w:p>
    <w:p>
      <w:pPr>
        <w:sectPr>
          <w:pgSz w:w="11900" w:h="16838" w:orient="portrait"/>
          <w:cols w:equalWidth="0" w:num="2">
            <w:col w:w="2980" w:space="720"/>
            <w:col w:w="62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of Option Shares: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%%TOTAL_SHARES_GRANTED,'999,999,999'%-%</w:t>
      </w:r>
    </w:p>
    <w:p>
      <w:pPr>
        <w:spacing w:after="0" w:line="200" w:lineRule="exact"/>
        <w:rPr>
          <w:sz w:val="20"/>
          <w:szCs w:val="20"/>
          <w:color w:val="auto"/>
        </w:rPr>
      </w:pPr>
    </w:p>
    <w:p>
      <w:pPr>
        <w:sectPr>
          <w:pgSz w:w="11900" w:h="16838" w:orient="portrait"/>
          <w:cols w:equalWidth="0" w:num="2">
            <w:col w:w="2980" w:space="720"/>
            <w:col w:w="62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 Exercise Price per Share: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%%OPTION_PRICE%-%</w:t>
      </w:r>
    </w:p>
    <w:p>
      <w:pPr>
        <w:spacing w:after="0" w:line="200" w:lineRule="exact"/>
        <w:rPr>
          <w:sz w:val="20"/>
          <w:szCs w:val="20"/>
          <w:color w:val="auto"/>
        </w:rPr>
      </w:pPr>
    </w:p>
    <w:p>
      <w:pPr>
        <w:sectPr>
          <w:pgSz w:w="11900" w:h="16838" w:orient="portrait"/>
          <w:cols w:equalWidth="0" w:num="2">
            <w:col w:w="2980" w:space="720"/>
            <w:col w:w="62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Start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%%VEST_BASE_DATE%-%</w:t>
      </w:r>
    </w:p>
    <w:p>
      <w:pPr>
        <w:spacing w:after="0" w:line="200" w:lineRule="exact"/>
        <w:rPr>
          <w:sz w:val="20"/>
          <w:szCs w:val="20"/>
          <w:color w:val="auto"/>
        </w:rPr>
      </w:pPr>
    </w:p>
    <w:p>
      <w:pPr>
        <w:sectPr>
          <w:pgSz w:w="11900" w:h="16838" w:orient="portrait"/>
          <w:cols w:equalWidth="0" w:num="2">
            <w:col w:w="2980" w:space="720"/>
            <w:col w:w="62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%%OPTION_DATE%-%</w:t>
      </w:r>
    </w:p>
    <w:p>
      <w:pPr>
        <w:spacing w:after="0" w:line="200" w:lineRule="exact"/>
        <w:rPr>
          <w:sz w:val="20"/>
          <w:szCs w:val="20"/>
          <w:color w:val="auto"/>
        </w:rPr>
      </w:pPr>
    </w:p>
    <w:p>
      <w:pPr>
        <w:sectPr>
          <w:pgSz w:w="11900" w:h="16838" w:orient="portrait"/>
          <w:cols w:equalWidth="0" w:num="2">
            <w:col w:w="2980" w:space="720"/>
            <w:col w:w="6220"/>
          </w:cols>
          <w:pgMar w:left="980" w:top="108" w:right="9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%%EXPIRE_DATE_PERIOD1%-%</w:t>
      </w:r>
    </w:p>
    <w:p>
      <w:pPr>
        <w:spacing w:after="0" w:line="200" w:lineRule="exact"/>
        <w:rPr>
          <w:sz w:val="20"/>
          <w:szCs w:val="20"/>
          <w:color w:val="auto"/>
        </w:rPr>
      </w:pPr>
    </w:p>
    <w:p>
      <w:pPr>
        <w:sectPr>
          <w:pgSz w:w="11900" w:h="16838" w:orient="portrait"/>
          <w:cols w:equalWidth="0" w:num="2">
            <w:col w:w="2980" w:space="720"/>
            <w:col w:w="6220"/>
          </w:cols>
          <w:pgMar w:left="980" w:top="108" w:right="999" w:bottom="1440" w:gutter="0" w:footer="0" w:header="0"/>
          <w:type w:val="continuous"/>
        </w:sectPr>
      </w:pPr>
    </w:p>
    <w:p>
      <w:pPr>
        <w:spacing w:after="0" w:line="45"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2020 Inducement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of the Company (the “Stock”) specified above at the Option Exercise Price per Share specified above, subject to the terms and conditions set forth in this Non-Qualified Stock Option Agreement, including the Privacy Notice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“Agreement”) and in the Plan. For the avoidance of doubt, this Stock Option is not issued under the Company’s 2015 Stock Option and Incentive Plan, as amended from time to time, and does not reduce the share reserve under such equity plan. This Stock Option has been granted as an inducement pursuant to Rule 5635(c)(4) of the Marketplace Rules of The Nasdaq Stock Market LLC. This Stock Option is not intended to be an “incentive stock option” under Section 422 of the Internal Revenue Code of 1986, as amended.</w:t>
      </w:r>
    </w:p>
    <w:p>
      <w:pPr>
        <w:spacing w:after="0" w:line="214" w:lineRule="exact"/>
        <w:rPr>
          <w:sz w:val="20"/>
          <w:szCs w:val="20"/>
          <w:color w:val="auto"/>
        </w:rPr>
      </w:pPr>
    </w:p>
    <w:p>
      <w:pPr>
        <w:ind w:right="120" w:firstLine="656"/>
        <w:spacing w:after="0" w:line="244" w:lineRule="auto"/>
        <w:tabs>
          <w:tab w:leader="none" w:pos="12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Schedule</w:t>
      </w:r>
      <w:r>
        <w:rPr>
          <w:rFonts w:ascii="Times New Roman" w:cs="Times New Roman" w:eastAsia="Times New Roman" w:hAnsi="Times New Roman"/>
          <w:sz w:val="22"/>
          <w:szCs w:val="22"/>
          <w:color w:val="auto"/>
        </w:rPr>
        <w:t>. No portion of this Stock Option may be exercised until such portion shall have become exercisable. Except as set forth below, and subject to the discretion of the Administrator to accelerate the exercisability schedule hereunder, this Stock Option shall be exercisable as follows:</w:t>
      </w:r>
    </w:p>
    <w:p>
      <w:pPr>
        <w:spacing w:after="0" w:line="200"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For so long as Optionee remains in a continuous Service Relationship with the Company or any Service Recipient (as such terms are defined in Section 3 below) through the relevant date, twenty-five percent (25%) of the Option Shares shall vest on the one-year anniversary of the Vesting Start Date, and the remaining seventy-five percent (75%) of the Option Shares shall vest in thirty-six (36) equal monthly installments following the one-year anniversary of the Vesting Start Date; provided that one hundred percent (100%) of the Option Shares shall become fully vested immediately upon the termination of the Optionee's Service Relationship due to the Optionee’s death or disability.</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Once exercisable, this Stock Option shall continue to be exercisable at any time or times prior to the close of business on the Expiration Date, subject to the provisions hereof and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type w:val="continuous"/>
        </w:sectPr>
      </w:pPr>
    </w:p>
    <w:bookmarkStart w:id="267" w:name="page268"/>
    <w:bookmarkEnd w:id="267"/>
    <w:p>
      <w:pPr>
        <w:ind w:left="1300" w:hanging="644"/>
        <w:spacing w:after="0"/>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80" w:firstLine="1304"/>
        <w:spacing w:after="0" w:line="239"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0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w:t>
      </w:r>
    </w:p>
    <w:p>
      <w:pPr>
        <w:spacing w:after="0" w:line="9" w:lineRule="exact"/>
        <w:rPr>
          <w:sz w:val="20"/>
          <w:szCs w:val="20"/>
          <w:color w:val="auto"/>
        </w:rPr>
      </w:pPr>
    </w:p>
    <w:p>
      <w:pPr>
        <w:jc w:val="both"/>
        <w:ind w:right="240" w:firstLine="8"/>
        <w:spacing w:after="0" w:line="234" w:lineRule="auto"/>
        <w:tabs>
          <w:tab w:leader="none" w:pos="36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204"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210" w:lineRule="exact"/>
        <w:rPr>
          <w:sz w:val="20"/>
          <w:szCs w:val="20"/>
          <w:color w:val="auto"/>
        </w:rPr>
      </w:pPr>
    </w:p>
    <w:p>
      <w:pPr>
        <w:ind w:firstLine="1304"/>
        <w:spacing w:after="0" w:line="235"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2" w:right="1039" w:bottom="1440" w:gutter="0" w:footer="0" w:header="0"/>
        </w:sectPr>
      </w:pPr>
    </w:p>
    <w:bookmarkStart w:id="268" w:name="page269"/>
    <w:bookmarkEnd w:id="268"/>
    <w:p>
      <w:pPr>
        <w:ind w:right="20"/>
        <w:spacing w:after="0" w:line="259" w:lineRule="auto"/>
        <w:rPr>
          <w:sz w:val="20"/>
          <w:szCs w:val="20"/>
          <w:color w:val="auto"/>
        </w:rPr>
      </w:pPr>
      <w:r>
        <w:rPr>
          <w:rFonts w:ascii="Times New Roman" w:cs="Times New Roman" w:eastAsia="Times New Roman" w:hAnsi="Times New Roman"/>
          <w:sz w:val="22"/>
          <w:szCs w:val="22"/>
          <w:color w:val="auto"/>
        </w:rPr>
        <w:t>entered as the stockholder of record on the books of the Company. Thereupon, the Optionee shall have full voting, dividend and other ownership rights with respect to such shares of Stock.</w:t>
      </w:r>
    </w:p>
    <w:p>
      <w:pPr>
        <w:spacing w:after="0" w:line="184" w:lineRule="exact"/>
        <w:rPr>
          <w:sz w:val="20"/>
          <w:szCs w:val="20"/>
          <w:color w:val="auto"/>
        </w:rPr>
      </w:pPr>
    </w:p>
    <w:p>
      <w:pPr>
        <w:ind w:left="1960" w:hanging="656"/>
        <w:spacing w:after="0"/>
        <w:tabs>
          <w:tab w:leader="none" w:pos="196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right="140" w:firstLine="1304"/>
        <w:spacing w:after="0" w:line="258" w:lineRule="auto"/>
        <w:tabs>
          <w:tab w:leader="none" w:pos="194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85" w:lineRule="exact"/>
        <w:rPr>
          <w:rFonts w:ascii="Times New Roman" w:cs="Times New Roman" w:eastAsia="Times New Roman" w:hAnsi="Times New Roman"/>
          <w:sz w:val="22"/>
          <w:szCs w:val="22"/>
          <w:color w:val="auto"/>
        </w:rPr>
      </w:pPr>
    </w:p>
    <w:p>
      <w:pPr>
        <w:ind w:right="60" w:firstLine="656"/>
        <w:spacing w:after="0" w:line="239"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Optionee’s employment or service relationship as a consultant or director, as applicable (the “Service Relationship”) with the Company or, if different, the Subsidiary with which the Optionee has a Service Relationship (the “Service Recipient”) is terminated, the period within which to exercise the Stock Option may be subject to earlier termination as set forth below.</w:t>
      </w:r>
    </w:p>
    <w:p>
      <w:pPr>
        <w:spacing w:after="0" w:line="207" w:lineRule="exact"/>
        <w:rPr>
          <w:rFonts w:ascii="Times New Roman" w:cs="Times New Roman" w:eastAsia="Times New Roman" w:hAnsi="Times New Roman"/>
          <w:sz w:val="22"/>
          <w:szCs w:val="22"/>
          <w:color w:val="auto"/>
        </w:rPr>
      </w:pPr>
    </w:p>
    <w:p>
      <w:pPr>
        <w:ind w:right="20" w:firstLine="1304"/>
        <w:spacing w:after="0" w:line="238" w:lineRule="auto"/>
        <w:tabs>
          <w:tab w:leader="none" w:pos="19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Relationship terminates by reason of the Optionee’s death, any portion of this Stock Option outstanding on the date of termination by reason of death, whether already vested on the date of Optionee's death or vested as a result of the Optionee's death in accordance with Section 1 of this Agreement, may thereafter be exercised by the Optionee’s legal representative or legatee for a period of 12 months from the date of death or until the Expiration Date, if earlier.</w:t>
      </w:r>
    </w:p>
    <w:p>
      <w:pPr>
        <w:spacing w:after="0" w:line="203" w:lineRule="exact"/>
        <w:rPr>
          <w:rFonts w:ascii="Times New Roman" w:cs="Times New Roman" w:eastAsia="Times New Roman" w:hAnsi="Times New Roman"/>
          <w:sz w:val="22"/>
          <w:szCs w:val="22"/>
          <w:color w:val="auto"/>
        </w:rPr>
      </w:pPr>
    </w:p>
    <w:p>
      <w:pPr>
        <w:ind w:right="100" w:firstLine="1304"/>
        <w:spacing w:after="0" w:line="238" w:lineRule="auto"/>
        <w:tabs>
          <w:tab w:leader="none" w:pos="19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Service Relationship terminates by reason of the Optionee’s disability, any portion of this Stock Option outstanding on the date of termination by reason of disability, whether already vested on the date of such termination or vested as a result of such termination in accordance with Section 1 of this Agreement, may thereafter be exercised by the Optionee for a period of 12 months from the date of such termination or until the Expiration Date, if earlier.</w:t>
      </w:r>
    </w:p>
    <w:p>
      <w:pPr>
        <w:spacing w:after="0" w:line="203" w:lineRule="exact"/>
        <w:rPr>
          <w:rFonts w:ascii="Times New Roman" w:cs="Times New Roman" w:eastAsia="Times New Roman" w:hAnsi="Times New Roman"/>
          <w:sz w:val="22"/>
          <w:szCs w:val="22"/>
          <w:color w:val="auto"/>
        </w:rPr>
      </w:pPr>
    </w:p>
    <w:p>
      <w:pPr>
        <w:ind w:firstLine="1304"/>
        <w:spacing w:after="0" w:line="233" w:lineRule="auto"/>
        <w:tabs>
          <w:tab w:leader="none" w:pos="19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between the Company or a Subsidiary and the Optionee, a determination by the Company that the Optionee’s Service Relationship terminates as a result of (i) the Optionee’s dishonest statements or acts with respect to the Company or any Subsidiaries, or any of its or their current or prospective customers, suppliers vendors or other third parties with which such entity does business; (ii) the Optionee’s commission of (A) a felony or (B) any misdemeanor involving moral turpitude, deceit, dishonesty or fraud; (iii) the Optionee’s failure to perform assigned duties and responsibilities to the reasonable satisfaction of the applicable Service Recipient which failure continues, in the reasonable judgment of the applicable Service Recipient, after written notice given to the Optionee by the applicable Service Recipient; (iv) the Optionee’s breach of fiduciary duty, gross negligence, willful misconduct or insubordination with respect to the Company or any Subsidiary; or (v) the Optionee’s material violation of any provision of any agreement(s) between the Optionee and the Company or any Subsidiary relating to noncompetition, nondisclosure and/or assignment of inventions.</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Service Relationship terminates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508000</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269" w:name="page270"/>
    <w:bookmarkEnd w:id="269"/>
    <w:p>
      <w:pPr>
        <w:ind w:right="60"/>
        <w:spacing w:after="0" w:line="238" w:lineRule="auto"/>
        <w:rPr>
          <w:sz w:val="20"/>
          <w:szCs w:val="20"/>
          <w:color w:val="auto"/>
        </w:rPr>
      </w:pPr>
      <w:r>
        <w:rPr>
          <w:rFonts w:ascii="Times New Roman" w:cs="Times New Roman" w:eastAsia="Times New Roman" w:hAnsi="Times New Roman"/>
          <w:sz w:val="22"/>
          <w:szCs w:val="22"/>
          <w:color w:val="auto"/>
        </w:rPr>
        <w:t>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2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Company’s determination of the reason for termination of the Optionee’s Service Relationship shall be conclusive and binding on the Optionee and the Optionee’s representatives or legatees.</w:t>
      </w:r>
    </w:p>
    <w:p>
      <w:pPr>
        <w:spacing w:after="0" w:line="185" w:lineRule="exact"/>
        <w:rPr>
          <w:sz w:val="20"/>
          <w:szCs w:val="20"/>
          <w:color w:val="auto"/>
        </w:rPr>
      </w:pPr>
    </w:p>
    <w:p>
      <w:pPr>
        <w:ind w:right="180" w:firstLine="656"/>
        <w:spacing w:after="0" w:line="239"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207" w:lineRule="exact"/>
        <w:rPr>
          <w:rFonts w:ascii="Times New Roman" w:cs="Times New Roman" w:eastAsia="Times New Roman" w:hAnsi="Times New Roman"/>
          <w:sz w:val="22"/>
          <w:szCs w:val="22"/>
          <w:color w:val="auto"/>
        </w:rPr>
      </w:pPr>
    </w:p>
    <w:p>
      <w:pPr>
        <w:ind w:right="20" w:firstLine="656"/>
        <w:spacing w:after="0" w:line="239"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207" w:lineRule="exact"/>
        <w:rPr>
          <w:rFonts w:ascii="Times New Roman" w:cs="Times New Roman" w:eastAsia="Times New Roman" w:hAnsi="Times New Roman"/>
          <w:sz w:val="22"/>
          <w:szCs w:val="22"/>
          <w:color w:val="auto"/>
        </w:rPr>
      </w:pPr>
    </w:p>
    <w:p>
      <w:pPr>
        <w:ind w:right="100" w:firstLine="656"/>
        <w:spacing w:after="0" w:line="235"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210" w:lineRule="exact"/>
        <w:rPr>
          <w:rFonts w:ascii="Times New Roman" w:cs="Times New Roman" w:eastAsia="Times New Roman" w:hAnsi="Times New Roman"/>
          <w:sz w:val="22"/>
          <w:szCs w:val="22"/>
          <w:color w:val="auto"/>
        </w:rPr>
      </w:pPr>
    </w:p>
    <w:p>
      <w:pPr>
        <w:ind w:right="180" w:firstLine="656"/>
        <w:spacing w:after="0" w:line="255" w:lineRule="auto"/>
        <w:tabs>
          <w:tab w:leader="none" w:pos="1296"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the Service Recipient, as applicable, is obligated by or as a result of the Plan or this Agreement to continue the Optionee’s Service Relationship and neither the Plan nor this Agreement shall interfere in any way with the right of the Company or the Service Recipient, as applicable, to terminate the Service Relationship of the Optionee at any time.</w:t>
      </w:r>
    </w:p>
    <w:p>
      <w:pPr>
        <w:spacing w:after="0" w:line="188" w:lineRule="exact"/>
        <w:rPr>
          <w:rFonts w:ascii="Times New Roman" w:cs="Times New Roman" w:eastAsia="Times New Roman" w:hAnsi="Times New Roman"/>
          <w:sz w:val="21"/>
          <w:szCs w:val="21"/>
          <w:color w:val="auto"/>
        </w:rPr>
      </w:pPr>
    </w:p>
    <w:p>
      <w:pPr>
        <w:ind w:firstLine="656"/>
        <w:spacing w:after="0" w:line="244"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200" w:lineRule="exact"/>
        <w:rPr>
          <w:rFonts w:ascii="Times New Roman" w:cs="Times New Roman" w:eastAsia="Times New Roman" w:hAnsi="Times New Roman"/>
          <w:sz w:val="22"/>
          <w:szCs w:val="22"/>
          <w:color w:val="auto"/>
        </w:rPr>
      </w:pPr>
    </w:p>
    <w:p>
      <w:pPr>
        <w:ind w:right="100" w:firstLine="656"/>
        <w:spacing w:after="0" w:line="238"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In order to administer the Plan and this Agreement and to implement or structure future equity grants, the Company may collect and process the Optionee’s personal data, including sharing it with its Subsidiaries and certain agents thereof (together, the “Relevant Companies”) in connection with administering the Plan and performing its obligations under this Agreement (the “Relevant Information”). The Company may also transfer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489585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70" w:name="page271"/>
    <w:bookmarkEnd w:id="270"/>
    <w:p>
      <w:pPr>
        <w:jc w:val="both"/>
        <w:ind w:right="180"/>
        <w:spacing w:after="0" w:line="255" w:lineRule="auto"/>
        <w:rPr>
          <w:sz w:val="20"/>
          <w:szCs w:val="20"/>
          <w:color w:val="auto"/>
        </w:rPr>
      </w:pPr>
      <w:r>
        <w:rPr>
          <w:rFonts w:ascii="Times New Roman" w:cs="Times New Roman" w:eastAsia="Times New Roman" w:hAnsi="Times New Roman"/>
          <w:sz w:val="21"/>
          <w:szCs w:val="21"/>
          <w:color w:val="auto"/>
        </w:rPr>
        <w:t xml:space="preserve">Optionee’s personal data to countries with privacy laws that may be less protective than those of the Optionee’s country. The attached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 Privacy Notice, incorporated by reference into this Agreement as if fully set forth herein, further describes how the Optionee’s personal data will be processed and the Optionee’s rights with respect to personal data processed for the purposes of administering the Plan and this Agreement.</w:t>
      </w:r>
    </w:p>
    <w:p>
      <w:pPr>
        <w:spacing w:after="0" w:line="189" w:lineRule="exact"/>
        <w:rPr>
          <w:sz w:val="20"/>
          <w:szCs w:val="20"/>
          <w:color w:val="auto"/>
        </w:rPr>
      </w:pPr>
    </w:p>
    <w:p>
      <w:pPr>
        <w:ind w:right="320" w:firstLine="656"/>
        <w:spacing w:after="0" w:line="244" w:lineRule="auto"/>
        <w:tabs>
          <w:tab w:leader="none" w:pos="129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00" w:lineRule="exact"/>
        <w:rPr>
          <w:rFonts w:ascii="Times New Roman" w:cs="Times New Roman" w:eastAsia="Times New Roman" w:hAnsi="Times New Roman"/>
          <w:sz w:val="22"/>
          <w:szCs w:val="22"/>
          <w:color w:val="auto"/>
        </w:rPr>
      </w:pPr>
    </w:p>
    <w:p>
      <w:pPr>
        <w:ind w:right="120" w:firstLine="656"/>
        <w:spacing w:after="0" w:line="238" w:lineRule="auto"/>
        <w:tabs>
          <w:tab w:leader="none" w:pos="129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Stock Option or future awards that may be granted under the Plan by electronic means. The Optionee hereby consents to receive such documents by electronic delivery and agrees to participate in the Plan through an on-line or electronic system established and maintained by the Company or another third party designated by the Company.</w:t>
      </w:r>
    </w:p>
    <w:p>
      <w:pPr>
        <w:spacing w:after="0" w:line="203" w:lineRule="exact"/>
        <w:rPr>
          <w:rFonts w:ascii="Times New Roman" w:cs="Times New Roman" w:eastAsia="Times New Roman" w:hAnsi="Times New Roman"/>
          <w:sz w:val="22"/>
          <w:szCs w:val="22"/>
          <w:color w:val="auto"/>
        </w:rPr>
      </w:pPr>
    </w:p>
    <w:p>
      <w:pPr>
        <w:ind w:right="200" w:firstLine="656"/>
        <w:spacing w:after="0" w:line="249" w:lineRule="auto"/>
        <w:tabs>
          <w:tab w:leader="none" w:pos="1296"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This Stock Option grant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197" w:lineRule="exact"/>
        <w:rPr>
          <w:rFonts w:ascii="Times New Roman" w:cs="Times New Roman" w:eastAsia="Times New Roman" w:hAnsi="Times New Roman"/>
          <w:sz w:val="21"/>
          <w:szCs w:val="21"/>
          <w:color w:val="auto"/>
        </w:rPr>
      </w:pPr>
    </w:p>
    <w:p>
      <w:pPr>
        <w:ind w:right="20" w:firstLine="656"/>
        <w:spacing w:after="0" w:line="244" w:lineRule="auto"/>
        <w:tabs>
          <w:tab w:leader="none" w:pos="129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rFonts w:ascii="Times New Roman" w:cs="Times New Roman" w:eastAsia="Times New Roman" w:hAnsi="Times New Roman"/>
          <w:sz w:val="22"/>
          <w:szCs w:val="22"/>
          <w:color w:val="auto"/>
        </w:rPr>
      </w:pPr>
    </w:p>
    <w:p>
      <w:pPr>
        <w:ind w:firstLine="656"/>
        <w:spacing w:after="0" w:line="244" w:lineRule="auto"/>
        <w:tabs>
          <w:tab w:leader="none" w:pos="129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Optionee acknowledges that a waiver by the Company of breach of any provision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744855</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271" w:name="page272"/>
    <w:bookmarkEnd w:id="271"/>
    <w:p>
      <w:pPr>
        <w:jc w:val="right"/>
        <w:ind w:right="54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71" w:lineRule="exact"/>
        <w:rPr>
          <w:sz w:val="20"/>
          <w:szCs w:val="20"/>
          <w:color w:val="auto"/>
        </w:rPr>
      </w:pPr>
    </w:p>
    <w:tbl>
      <w:tblPr>
        <w:tblLayout w:type="fixed"/>
        <w:tblInd w:w="51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/s/ Kathryn D. Haviland</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0" w:type="dxa"/>
            <w:vAlign w:val="bottom"/>
            <w:vMerge w:val="continue"/>
          </w:tcPr>
          <w:p>
            <w:pPr>
              <w:spacing w:after="0"/>
              <w:rPr>
                <w:sz w:val="18"/>
                <w:szCs w:val="18"/>
                <w:color w:val="auto"/>
              </w:rPr>
            </w:pPr>
          </w:p>
        </w:tc>
        <w:tc>
          <w:tcPr>
            <w:tcW w:w="404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Kathryn D. Haviland</w:t>
            </w:r>
          </w:p>
        </w:tc>
        <w:tc>
          <w:tcPr>
            <w:tcW w:w="0" w:type="dxa"/>
            <w:vAlign w:val="bottom"/>
          </w:tcPr>
          <w:p>
            <w:pPr>
              <w:spacing w:after="0"/>
              <w:rPr>
                <w:sz w:val="1"/>
                <w:szCs w:val="1"/>
                <w:color w:val="auto"/>
              </w:rPr>
            </w:pPr>
          </w:p>
        </w:tc>
      </w:tr>
      <w:tr>
        <w:trPr>
          <w:trHeight w:val="282"/>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Chief Executive Officer</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10795</wp:posOffset>
            </wp:positionV>
            <wp:extent cx="58718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1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%%FIRST_NAME%-%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-3810</wp:posOffset>
            </wp:positionV>
            <wp:extent cx="30429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2"/>
          <w:szCs w:val="22"/>
          <w:u w:val="single" w:color="auto"/>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-3810</wp:posOffset>
            </wp:positionV>
            <wp:extent cx="30429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2"/>
          <w:szCs w:val="22"/>
          <w:u w:val="single" w:color="auto"/>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-3810</wp:posOffset>
            </wp:positionV>
            <wp:extent cx="30429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2"/>
          <w:szCs w:val="22"/>
          <w:u w:val="single" w:color="auto"/>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-3810</wp:posOffset>
            </wp:positionV>
            <wp:extent cx="30429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2"/>
          <w:szCs w:val="22"/>
          <w:u w:val="single" w:color="auto"/>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-3810</wp:posOffset>
            </wp:positionV>
            <wp:extent cx="30429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2"/>
          <w:szCs w:val="22"/>
          <w:u w:val="single" w:color="auto"/>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638810</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-3810</wp:posOffset>
            </wp:positionV>
            <wp:extent cx="30429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1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you, the individual named as the Optionee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2"/>
          <w:szCs w:val="22"/>
          <w:color w:val="auto"/>
        </w:rPr>
        <w:t>agencies or security authorities in those other countries may be entitled to access your personal data.</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questions about this Privacy Notice, to exercise applicable rights related to your personal data, or for more information about the Company’s privacy and data protection practices, please contact us at the appropriate locations: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2"/>
          <w:szCs w:val="22"/>
          <w:b w:val="1"/>
          <w:bCs w:val="1"/>
          <w:color w:val="auto"/>
        </w:rPr>
        <w:t>Exhibit 10.81</w:t>
      </w:r>
    </w:p>
    <w:p>
      <w:pPr>
        <w:spacing w:after="0" w:line="207" w:lineRule="exact"/>
        <w:rPr>
          <w:sz w:val="20"/>
          <w:szCs w:val="20"/>
          <w:color w:val="auto"/>
        </w:rPr>
      </w:pPr>
    </w:p>
    <w:p>
      <w:pPr>
        <w:jc w:val="center"/>
        <w:ind w:left="1000" w:right="2160"/>
        <w:spacing w:after="0" w:line="241" w:lineRule="auto"/>
        <w:rPr>
          <w:sz w:val="20"/>
          <w:szCs w:val="20"/>
          <w:color w:val="auto"/>
        </w:rPr>
      </w:pPr>
      <w:r>
        <w:rPr>
          <w:rFonts w:ascii="Times New Roman" w:cs="Times New Roman" w:eastAsia="Times New Roman" w:hAnsi="Times New Roman"/>
          <w:sz w:val="22"/>
          <w:szCs w:val="22"/>
          <w:b w:val="1"/>
          <w:bCs w:val="1"/>
          <w:color w:val="auto"/>
        </w:rPr>
        <w:t>PERFORMANCE-BASED RESTRICTED STOCK UNIT AWARD AGREEMENT FOR EMPLOYEES UNDER THE BLUEPRINT MEDICINES CORPORATION 2015 STOCK OPTION AND INCENTIVE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Name of Grantee:</w:t>
            </w:r>
          </w:p>
        </w:tc>
        <w:tc>
          <w:tcPr>
            <w:tcW w:w="26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spacing w:after="0"/>
              <w:rPr>
                <w:sz w:val="23"/>
                <w:szCs w:val="23"/>
                <w:color w:val="auto"/>
              </w:rPr>
            </w:pPr>
          </w:p>
        </w:tc>
      </w:tr>
      <w:tr>
        <w:trPr>
          <w:trHeight w:val="45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Target No. of Performance-Based</w:t>
            </w:r>
          </w:p>
        </w:tc>
        <w:tc>
          <w:tcPr>
            <w:tcW w:w="26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 Units (“PSUs”):</w:t>
            </w:r>
          </w:p>
        </w:tc>
        <w:tc>
          <w:tcPr>
            <w:tcW w:w="26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“Target Award”)</w:t>
            </w:r>
          </w:p>
        </w:tc>
      </w:tr>
      <w:tr>
        <w:trPr>
          <w:trHeight w:val="480"/>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Maximum No. of PSUs:</w:t>
            </w:r>
            <w:r>
              <w:rPr>
                <w:rFonts w:ascii="Times New Roman" w:cs="Times New Roman" w:eastAsia="Times New Roman" w:hAnsi="Times New Roman"/>
                <w:sz w:val="16"/>
                <w:szCs w:val="16"/>
                <w:color w:val="auto"/>
              </w:rPr>
              <w:t>1</w:t>
            </w:r>
          </w:p>
        </w:tc>
        <w:tc>
          <w:tcPr>
            <w:tcW w:w="264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479"/>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264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479"/>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Performance Cycle Start Date:</w:t>
            </w:r>
          </w:p>
        </w:tc>
        <w:tc>
          <w:tcPr>
            <w:tcW w:w="264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480"/>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Performance Cycle End Date:</w:t>
            </w:r>
          </w:p>
        </w:tc>
        <w:tc>
          <w:tcPr>
            <w:tcW w:w="264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bl>
    <w:p>
      <w:pPr>
        <w:spacing w:after="0" w:line="216"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2015 Stock Option and Incentive Plan as amended through the date hereof (the “Plan”), Blueprint Medicines Corporation (the “Company”) hereby grants an award of the target number of PSUs listed above (an “Award”) to the Grantee named above subject to the terms and conditions in this Performance-Based Restricted Stock Unit Award Agreement, including the Performance Multiplier for Performance Cycle attached hereto as </w:t>
      </w:r>
      <w:r>
        <w:rPr>
          <w:rFonts w:ascii="Times New Roman" w:cs="Times New Roman" w:eastAsia="Times New Roman" w:hAnsi="Times New Roman"/>
          <w:sz w:val="22"/>
          <w:szCs w:val="22"/>
          <w:u w:val="single" w:color="auto"/>
          <w:color w:val="auto"/>
        </w:rPr>
        <w:t>Exhibit A, the</w:t>
      </w:r>
      <w:r>
        <w:rPr>
          <w:rFonts w:ascii="Times New Roman" w:cs="Times New Roman" w:eastAsia="Times New Roman" w:hAnsi="Times New Roman"/>
          <w:sz w:val="22"/>
          <w:szCs w:val="22"/>
          <w:color w:val="auto"/>
        </w:rPr>
        <w:t xml:space="preserve"> Privacy Notice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General Terms and Conditions for Non-U.S. Grantees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and any Country-Specific Terms and Conditions for the Grantee’s country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(collectively, the “Agreement”), and in the Plan. Each PSU shall relate to one share of Common Stock, par value $0.001 per share, of the Company (the “Stock”).</w:t>
      </w:r>
    </w:p>
    <w:p>
      <w:pPr>
        <w:spacing w:after="0" w:line="183" w:lineRule="exact"/>
        <w:rPr>
          <w:sz w:val="20"/>
          <w:szCs w:val="20"/>
          <w:color w:val="auto"/>
        </w:rPr>
      </w:pPr>
    </w:p>
    <w:p>
      <w:pPr>
        <w:ind w:right="160" w:firstLine="656"/>
        <w:spacing w:after="0" w:line="238"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(a) the PSUs have vested as provided in Paragraphs 2, 3 or 4 of this Agreement and (b) shares of Stock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ind w:right="140" w:firstLine="656"/>
        <w:spacing w:after="0" w:line="258"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PSUs</w:t>
      </w:r>
      <w:r>
        <w:rPr>
          <w:rFonts w:ascii="Times New Roman" w:cs="Times New Roman" w:eastAsia="Times New Roman" w:hAnsi="Times New Roman"/>
          <w:sz w:val="22"/>
          <w:szCs w:val="22"/>
          <w:color w:val="auto"/>
        </w:rPr>
        <w:t>. Subject to Paragraphs 3 and 4 of this Agreement, the restrictions and conditions of Paragraph 1 of this Agreement shall lapse as follows:</w:t>
      </w:r>
    </w:p>
    <w:p>
      <w:pPr>
        <w:spacing w:after="0" w:line="158" w:lineRule="exact"/>
        <w:rPr>
          <w:rFonts w:ascii="Times New Roman" w:cs="Times New Roman" w:eastAsia="Times New Roman" w:hAnsi="Times New Roman"/>
          <w:sz w:val="22"/>
          <w:szCs w:val="22"/>
          <w:color w:val="auto"/>
        </w:rPr>
      </w:pPr>
    </w:p>
    <w:p>
      <w:pPr>
        <w:ind w:right="120" w:firstLine="1304"/>
        <w:spacing w:after="0" w:line="239" w:lineRule="auto"/>
        <w:tabs>
          <w:tab w:leader="none" w:pos="1944"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Awardable PSUs</w:t>
      </w:r>
      <w:r>
        <w:rPr>
          <w:rFonts w:ascii="Times New Roman" w:cs="Times New Roman" w:eastAsia="Times New Roman" w:hAnsi="Times New Roman"/>
          <w:sz w:val="22"/>
          <w:szCs w:val="22"/>
          <w:color w:val="auto"/>
        </w:rPr>
        <w:t>. The number of PSUs, if any, that shall be awardable for a Performance Cycle shall equal the Grantee’s Target Award multiplied by the Performance Multiplier for such Performance Cycle, subject to the terms hereof. The number of PSUs awardable for a Performance Cycle (if any) shall be rounded to the nearest whole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15684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50"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Should be 200% of target and not more than 1,460,084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22"/>
          <w:szCs w:val="22"/>
          <w:color w:val="auto"/>
        </w:rPr>
        <w:t xml:space="preserve">Stock. The Performance Multiplier shall be determined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attached hereto.</w:t>
      </w:r>
    </w:p>
    <w:p>
      <w:pPr>
        <w:spacing w:after="0" w:line="207" w:lineRule="exact"/>
        <w:rPr>
          <w:sz w:val="20"/>
          <w:szCs w:val="20"/>
          <w:color w:val="auto"/>
        </w:rPr>
      </w:pPr>
    </w:p>
    <w:p>
      <w:pPr>
        <w:ind w:right="160" w:firstLine="1304"/>
        <w:spacing w:after="0" w:line="239" w:lineRule="auto"/>
        <w:tabs>
          <w:tab w:leader="none" w:pos="194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Determination</w:t>
      </w:r>
      <w:r>
        <w:rPr>
          <w:rFonts w:ascii="Times New Roman" w:cs="Times New Roman" w:eastAsia="Times New Roman" w:hAnsi="Times New Roman"/>
          <w:sz w:val="22"/>
          <w:szCs w:val="22"/>
          <w:color w:val="auto"/>
        </w:rPr>
        <w:t>. Following the conclusion of the Performance Cycle, the Administrator shall determine and certify in writing the actual number, if any, of PSUs that shall be awardable as of the final day of such Performance Cycle, using the calculation set forth in Paragraph 2(a) of this Agreement, subject to adjustment as set forth in Section 12 of the Plan (the “Administrator Determination”).</w:t>
      </w:r>
    </w:p>
    <w:p>
      <w:pPr>
        <w:spacing w:after="0" w:line="180" w:lineRule="exact"/>
        <w:rPr>
          <w:rFonts w:ascii="Times New Roman" w:cs="Times New Roman" w:eastAsia="Times New Roman" w:hAnsi="Times New Roman"/>
          <w:sz w:val="22"/>
          <w:szCs w:val="22"/>
          <w:color w:val="auto"/>
        </w:rPr>
      </w:pPr>
    </w:p>
    <w:p>
      <w:pPr>
        <w:ind w:right="280" w:firstLine="1304"/>
        <w:spacing w:after="0" w:line="238" w:lineRule="auto"/>
        <w:tabs>
          <w:tab w:leader="none" w:pos="194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Provided the Grantee remains in a continuous Service Relationship through the date of the Administrator Determination and the third anniversary of the Grant Date, the total number, if any, of awardable PSUs calculated pursuant to the Administrator Determination shall become earned and vested on the third anniversary of the Grant Date (the “Vesting Date”). The Administrator may at any time accelerate the vesting schedule specified in this Paragraph 2, subject to this Agreement and the Plan.</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180" w:firstLine="1304"/>
        <w:spacing w:after="0" w:line="238" w:lineRule="auto"/>
        <w:tabs>
          <w:tab w:leader="none" w:pos="194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If the Grantee’s Service Relationship terminates prior to the Vesting Date for any reason other than due to the Grantee’s death or disability, any PSUs that have not vested as of such date shall automatically and without notice terminate and be forfeited, and neither the Grantee nor any of the Grantee’s successors, heirs, assigns, or personal representatives, will thereafter have any further rights or interests in such unvested PSUs.</w:t>
      </w:r>
    </w:p>
    <w:p>
      <w:pPr>
        <w:spacing w:after="0" w:line="176" w:lineRule="exact"/>
        <w:rPr>
          <w:rFonts w:ascii="Times New Roman" w:cs="Times New Roman" w:eastAsia="Times New Roman" w:hAnsi="Times New Roman"/>
          <w:sz w:val="22"/>
          <w:szCs w:val="22"/>
          <w:color w:val="auto"/>
        </w:rPr>
      </w:pPr>
    </w:p>
    <w:p>
      <w:pPr>
        <w:ind w:right="100" w:firstLine="1304"/>
        <w:spacing w:after="0" w:line="235" w:lineRule="auto"/>
        <w:tabs>
          <w:tab w:leader="none" w:pos="194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Death/Disability</w:t>
      </w:r>
      <w:r>
        <w:rPr>
          <w:rFonts w:ascii="Times New Roman" w:cs="Times New Roman" w:eastAsia="Times New Roman" w:hAnsi="Times New Roman"/>
          <w:sz w:val="22"/>
          <w:szCs w:val="22"/>
          <w:color w:val="auto"/>
        </w:rPr>
        <w:t>. Notwithstanding anything stated to the contrary in this Agreement, if the Grantee’s Service Relationship terminates due to the Grantee’s death or disability (x) prior to the Administrator Determination (or Sale Event Administrator Determination, if applicable), then the Target Award shall immediately vest and become payable as of the date of such termination, or (y) on or following the Administrator Determination (or Sale Event Administrator Determination, as applicable) but prior to the Vesting Date or Sale Event Vesting Date, as applicable, then the total number, if any, of awardable PSUs calculated pursuant to the Administrator Determination (or Sale Event Administrator Determination, if applicable) shall immediately become earned and vested on the date of such termination.</w:t>
      </w:r>
    </w:p>
    <w:p>
      <w:pPr>
        <w:spacing w:after="0" w:line="178" w:lineRule="exact"/>
        <w:rPr>
          <w:sz w:val="20"/>
          <w:szCs w:val="20"/>
          <w:color w:val="auto"/>
        </w:rPr>
      </w:pPr>
    </w:p>
    <w:p>
      <w:pPr>
        <w:ind w:right="40" w:firstLine="972"/>
        <w:spacing w:after="0" w:line="258" w:lineRule="auto"/>
        <w:rPr>
          <w:sz w:val="20"/>
          <w:szCs w:val="20"/>
          <w:color w:val="auto"/>
        </w:rPr>
      </w:pPr>
      <w:r>
        <w:rPr>
          <w:rFonts w:ascii="Times New Roman" w:cs="Times New Roman" w:eastAsia="Times New Roman" w:hAnsi="Times New Roman"/>
          <w:sz w:val="22"/>
          <w:szCs w:val="22"/>
          <w:color w:val="auto"/>
        </w:rPr>
        <w:t>The Company’s determination of the reason for termination of the Grantee’s Service Relationship shall be conclusive and binding on the Grantee and the Grantee’s representatives or legatees.</w:t>
      </w:r>
    </w:p>
    <w:p>
      <w:pPr>
        <w:spacing w:after="0" w:line="158" w:lineRule="exact"/>
        <w:rPr>
          <w:sz w:val="20"/>
          <w:szCs w:val="20"/>
          <w:color w:val="auto"/>
        </w:rPr>
      </w:pPr>
    </w:p>
    <w:p>
      <w:pPr>
        <w:ind w:firstLine="656"/>
        <w:spacing w:after="0" w:line="258"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Event</w:t>
      </w:r>
      <w:r>
        <w:rPr>
          <w:rFonts w:ascii="Times New Roman" w:cs="Times New Roman" w:eastAsia="Times New Roman" w:hAnsi="Times New Roman"/>
          <w:sz w:val="22"/>
          <w:szCs w:val="22"/>
          <w:color w:val="auto"/>
        </w:rPr>
        <w:t>. Notwithstanding anything stated to the contrary above in this Agreement, upon a Sale Event prior to the Administrator Determination, the following shall occur:</w:t>
      </w:r>
    </w:p>
    <w:p>
      <w:pPr>
        <w:spacing w:after="0" w:line="158" w:lineRule="exact"/>
        <w:rPr>
          <w:rFonts w:ascii="Times New Roman" w:cs="Times New Roman" w:eastAsia="Times New Roman" w:hAnsi="Times New Roman"/>
          <w:sz w:val="22"/>
          <w:szCs w:val="22"/>
          <w:color w:val="auto"/>
        </w:rPr>
      </w:pPr>
    </w:p>
    <w:p>
      <w:pPr>
        <w:ind w:right="80" w:firstLine="1304"/>
        <w:spacing w:after="0" w:line="235" w:lineRule="auto"/>
        <w:tabs>
          <w:tab w:leader="none" w:pos="194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determine the number of PSUs awardable equal to the higher of (i) the Target Award and (ii) the Target Award multiplied by the Performance Multiplier determined for the Sale Event Performance Cycle based on Total Shareholder Return percentile rank for the Sale Event Performance Cycle relative to the Performance Measurement Index for such Sale Event Performance Cycle (the “</w:t>
      </w:r>
      <w:r>
        <w:rPr>
          <w:rFonts w:ascii="Times New Roman" w:cs="Times New Roman" w:eastAsia="Times New Roman" w:hAnsi="Times New Roman"/>
          <w:sz w:val="22"/>
          <w:szCs w:val="22"/>
          <w:u w:val="single" w:color="auto"/>
          <w:color w:val="auto"/>
        </w:rPr>
        <w:t>Sale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Administrator Determination</w:t>
      </w:r>
      <w:r>
        <w:rPr>
          <w:rFonts w:ascii="Times New Roman" w:cs="Times New Roman" w:eastAsia="Times New Roman" w:hAnsi="Times New Roman"/>
          <w:sz w:val="22"/>
          <w:szCs w:val="22"/>
          <w:color w:val="auto"/>
        </w:rPr>
        <w:t>”). The awardable PSUs pursuant to the Sale Event Administrator Determination shall become vested on the third anniversary of the Grant Date, subject to the Grantee’s continuous Service Relationship through such date (the “</w:t>
      </w:r>
      <w:r>
        <w:rPr>
          <w:rFonts w:ascii="Times New Roman" w:cs="Times New Roman" w:eastAsia="Times New Roman" w:hAnsi="Times New Roman"/>
          <w:sz w:val="22"/>
          <w:szCs w:val="22"/>
          <w:u w:val="single" w:color="auto"/>
          <w:color w:val="auto"/>
        </w:rPr>
        <w:t>Sale Event Vesting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77" w:name="page278"/>
    <w:bookmarkEnd w:id="277"/>
    <w:p>
      <w:pPr>
        <w:ind w:firstLine="1304"/>
        <w:spacing w:after="0" w:line="238" w:lineRule="auto"/>
        <w:tabs>
          <w:tab w:leader="none" w:pos="1944" w:val="left"/>
        </w:tabs>
        <w:numPr>
          <w:ilvl w:val="2"/>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subsequent to a Sale Event and before the Sale Event Vesting Date, the Grantee’s Service Relationship terminates for any reason other than a Sale Event Termination or the Grantee’s death or disability, the Grantee shall automatically and immediately forfeit the right to receive any portion of the Award including any portion of the Award that may have been awardable pursuant to the Sale Event Administrator Determination.</w:t>
      </w:r>
    </w:p>
    <w:p>
      <w:pPr>
        <w:spacing w:after="0" w:line="177" w:lineRule="exact"/>
        <w:rPr>
          <w:rFonts w:ascii="Times New Roman" w:cs="Times New Roman" w:eastAsia="Times New Roman" w:hAnsi="Times New Roman"/>
          <w:sz w:val="22"/>
          <w:szCs w:val="22"/>
          <w:color w:val="auto"/>
        </w:rPr>
      </w:pPr>
    </w:p>
    <w:p>
      <w:pPr>
        <w:ind w:right="160" w:firstLine="1304"/>
        <w:spacing w:after="0" w:line="253" w:lineRule="auto"/>
        <w:tabs>
          <w:tab w:leader="none" w:pos="1944"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Sale Event Termination occurs with respect to the Grantee prior to the Sale Event Vesting Date, subject to the Grantee’s execution and non-revocation of a severance agreement within sixty</w:t>
      </w:r>
    </w:p>
    <w:p>
      <w:pPr>
        <w:ind w:right="80" w:firstLine="8"/>
        <w:spacing w:after="0" w:line="249" w:lineRule="auto"/>
        <w:tabs>
          <w:tab w:leader="none" w:pos="41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date of such termination, including a general release of claims acceptable to the Company or its successor or acquirer, the outstanding awardable PSUs pursuant to the Sale Event Administrator Determination shall immediately vest and become payable as of the date of such Sale Event Termination.</w:t>
      </w:r>
    </w:p>
    <w:p>
      <w:pPr>
        <w:spacing w:after="0" w:line="169" w:lineRule="exact"/>
        <w:rPr>
          <w:rFonts w:ascii="Times New Roman" w:cs="Times New Roman" w:eastAsia="Times New Roman" w:hAnsi="Times New Roman"/>
          <w:sz w:val="21"/>
          <w:szCs w:val="21"/>
          <w:color w:val="auto"/>
        </w:rPr>
      </w:pPr>
    </w:p>
    <w:p>
      <w:pPr>
        <w:ind w:right="40" w:firstLine="1304"/>
        <w:spacing w:after="0" w:line="236" w:lineRule="auto"/>
        <w:tabs>
          <w:tab w:leader="none" w:pos="1944"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 Sale Event, no Stock remains outstanding and the surviving corporation (or its ultimate parent) does not agree to assume, continue or convert the portion of any Award that was awardable prior to or as a result of such Sale Event into a number of restricted stock units of equivalent value of the surviving corporation (or its ultimate parent), then the awardable PSUs pursuant to the Sale Event Administrator Determination shall be deemed vested and payable as of the Sale Event Date, provided the Grantee remains in a continuous Service Relationship through such date.</w:t>
      </w:r>
    </w:p>
    <w:p>
      <w:pPr>
        <w:spacing w:after="0" w:line="181"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the Vesting Date, Sale Event Vesting Date, or accelerated vesting date pursuant to Paragraphs 3(b), 4(c) or 4(d) of this Agreement, as applicable (but in no event later than two and one-half months after the end of the year in which such applicable date occurs), the Company shall issue to the Grantee the number of shares of Stock equal to the aggregate number of PSUs that have vested pursuant to Paragraphs 2, 3 or 4 of this Agreement and the Grantee shall thereafter have all the rights of a stockholder of the Company with respect to such shares.</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The following terms shall have the following respective meanings:</w:t>
      </w:r>
    </w:p>
    <w:p>
      <w:pPr>
        <w:spacing w:after="0" w:line="206" w:lineRule="exact"/>
        <w:rPr>
          <w:rFonts w:ascii="Times New Roman" w:cs="Times New Roman" w:eastAsia="Times New Roman" w:hAnsi="Times New Roman"/>
          <w:sz w:val="22"/>
          <w:szCs w:val="22"/>
          <w:color w:val="auto"/>
        </w:rPr>
      </w:pPr>
    </w:p>
    <w:p>
      <w:pPr>
        <w:ind w:right="20" w:firstLine="1304"/>
        <w:spacing w:after="0" w:line="233" w:lineRule="auto"/>
        <w:tabs>
          <w:tab w:leader="none" w:pos="1944"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same meaning as that set forth in the Employment Agreement, or if the Grantee has no Employment Agreement with such a term, “Cause” shall mean a determination by the Company that the Grantee’s Service Relationship terminates as a result of (i) the Grantee’s dishonest statements or acts with respect to the Company or any Subsidiaries, or any of its or their current or prospective customers, suppliers vendors or other third parties with which such entity does business; (ii) the Grantee’s commission of (A) a felony or (B) any misdemeanor involving moral turpitude, deceit, dishonesty or fraud; (iii) the Grantee’s failure to perform services to the reasonable satisfaction of the applicable Service Recipient which failure continues, in the reasonable judgment of the applicable Service Recipient, after written notice given to the grantee by the applicable Service Recipient; (iv) the Grantee’s gross negligence, willful misconduct, or breach of fiduciary duty with respect to the Company or any Subsidiary; or (v) the Grantee’s material violation of any provision of any written agreement(s) between the Grantee and the Company or any Subsidiary relating to noncompetition, nondisclosure and/or assignment of inventions.</w:t>
      </w:r>
    </w:p>
    <w:p>
      <w:pPr>
        <w:spacing w:after="0" w:line="184"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Stock Price</w:t>
      </w:r>
      <w:r>
        <w:rPr>
          <w:rFonts w:ascii="Times New Roman" w:cs="Times New Roman" w:eastAsia="Times New Roman" w:hAnsi="Times New Roman"/>
          <w:sz w:val="22"/>
          <w:szCs w:val="22"/>
          <w:color w:val="auto"/>
        </w:rPr>
        <w:t>” means the Stock Price as of the last day of the Performance Cycle (or Sale Event Performance Cycle, as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78" w:name="page279"/>
    <w:bookmarkEnd w:id="278"/>
    <w:p>
      <w:pPr>
        <w:ind w:left="-60" w:right="20" w:firstLine="1304"/>
        <w:spacing w:after="0" w:line="244"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means the employment agreement entered into between the Grantee and the Company or Service Recipient, as applicable, including any and all amendments thereto, in effect as of the termination of Grantee’s employment.</w:t>
      </w:r>
    </w:p>
    <w:p>
      <w:pPr>
        <w:spacing w:after="0" w:line="65" w:lineRule="exact"/>
        <w:rPr>
          <w:rFonts w:ascii="Times New Roman" w:cs="Times New Roman" w:eastAsia="Times New Roman" w:hAnsi="Times New Roman"/>
          <w:sz w:val="22"/>
          <w:szCs w:val="22"/>
          <w:color w:val="auto"/>
        </w:rPr>
      </w:pPr>
    </w:p>
    <w:p>
      <w:pPr>
        <w:ind w:left="-60" w:right="240" w:firstLine="1304"/>
        <w:spacing w:after="0" w:line="239"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have the meaning set forth in the Employment Agreement, or if the Grantee has no Employment Agreement with such a term, the meaning set forth in the Change in Control Severance Plan of the Company or Subsidiary, as applicable to the Grantee, in effect as of the termination of Grantee’s employment.</w:t>
      </w:r>
    </w:p>
    <w:p>
      <w:pPr>
        <w:spacing w:after="0" w:line="72" w:lineRule="exact"/>
        <w:rPr>
          <w:rFonts w:ascii="Times New Roman" w:cs="Times New Roman" w:eastAsia="Times New Roman" w:hAnsi="Times New Roman"/>
          <w:sz w:val="22"/>
          <w:szCs w:val="22"/>
          <w:color w:val="auto"/>
        </w:rPr>
      </w:pPr>
    </w:p>
    <w:p>
      <w:pPr>
        <w:ind w:left="-60" w:right="20" w:firstLine="1304"/>
        <w:spacing w:after="0" w:line="258"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Stock Price</w:t>
      </w:r>
      <w:r>
        <w:rPr>
          <w:rFonts w:ascii="Times New Roman" w:cs="Times New Roman" w:eastAsia="Times New Roman" w:hAnsi="Times New Roman"/>
          <w:sz w:val="22"/>
          <w:szCs w:val="22"/>
          <w:color w:val="auto"/>
        </w:rPr>
        <w:t>” means the Stock Price as of the twenty-first consecutive trading day of the Performance Cycle.</w:t>
      </w:r>
    </w:p>
    <w:p>
      <w:pPr>
        <w:spacing w:after="0" w:line="50" w:lineRule="exact"/>
        <w:rPr>
          <w:rFonts w:ascii="Times New Roman" w:cs="Times New Roman" w:eastAsia="Times New Roman" w:hAnsi="Times New Roman"/>
          <w:sz w:val="22"/>
          <w:szCs w:val="22"/>
          <w:color w:val="auto"/>
        </w:rPr>
      </w:pPr>
    </w:p>
    <w:p>
      <w:pPr>
        <w:ind w:left="-60" w:right="60" w:firstLine="1304"/>
        <w:spacing w:after="0" w:line="255" w:lineRule="auto"/>
        <w:tabs>
          <w:tab w:leader="none" w:pos="188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Measurement Index</w:t>
      </w:r>
      <w:r>
        <w:rPr>
          <w:rFonts w:ascii="Times New Roman" w:cs="Times New Roman" w:eastAsia="Times New Roman" w:hAnsi="Times New Roman"/>
          <w:sz w:val="21"/>
          <w:szCs w:val="21"/>
          <w:color w:val="auto"/>
        </w:rPr>
        <w:t>” means those companies within the S&amp;P Biotechnology Select Industry Index (or, in the event such index is discontinued or its methodology significantly changed, a comparable index selected by the Administrator in good faith) on the first day of the Performance Cycle and that are publicly traded during the entire Performance Cycle (or Sale Event Performance Cycle, as applicable).</w:t>
      </w:r>
    </w:p>
    <w:p>
      <w:pPr>
        <w:spacing w:after="0" w:line="53" w:lineRule="exact"/>
        <w:rPr>
          <w:rFonts w:ascii="Times New Roman" w:cs="Times New Roman" w:eastAsia="Times New Roman" w:hAnsi="Times New Roman"/>
          <w:sz w:val="21"/>
          <w:szCs w:val="21"/>
          <w:color w:val="auto"/>
        </w:rPr>
      </w:pPr>
    </w:p>
    <w:p>
      <w:pPr>
        <w:ind w:left="-60" w:right="140" w:firstLine="1304"/>
        <w:spacing w:after="0" w:line="258"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Cycle</w:t>
      </w:r>
      <w:r>
        <w:rPr>
          <w:rFonts w:ascii="Times New Roman" w:cs="Times New Roman" w:eastAsia="Times New Roman" w:hAnsi="Times New Roman"/>
          <w:sz w:val="22"/>
          <w:szCs w:val="22"/>
          <w:color w:val="auto"/>
        </w:rPr>
        <w:t>” means the three-year period commencing on the Performance Cycle Start Date and ending on Performance Cycle End Date.</w:t>
      </w:r>
    </w:p>
    <w:p>
      <w:pPr>
        <w:spacing w:after="0" w:line="50" w:lineRule="exact"/>
        <w:rPr>
          <w:rFonts w:ascii="Times New Roman" w:cs="Times New Roman" w:eastAsia="Times New Roman" w:hAnsi="Times New Roman"/>
          <w:sz w:val="22"/>
          <w:szCs w:val="22"/>
          <w:color w:val="auto"/>
        </w:rPr>
      </w:pPr>
    </w:p>
    <w:p>
      <w:pPr>
        <w:ind w:left="1900" w:hanging="656"/>
        <w:spacing w:after="0"/>
        <w:tabs>
          <w:tab w:leader="none" w:pos="19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Event</w:t>
      </w:r>
      <w:r>
        <w:rPr>
          <w:rFonts w:ascii="Times New Roman" w:cs="Times New Roman" w:eastAsia="Times New Roman" w:hAnsi="Times New Roman"/>
          <w:sz w:val="22"/>
          <w:szCs w:val="22"/>
          <w:color w:val="auto"/>
        </w:rPr>
        <w:t>” shall have the same meaning as that set forth in the Plan.</w:t>
      </w:r>
    </w:p>
    <w:p>
      <w:pPr>
        <w:spacing w:after="0" w:line="98" w:lineRule="exact"/>
        <w:rPr>
          <w:rFonts w:ascii="Times New Roman" w:cs="Times New Roman" w:eastAsia="Times New Roman" w:hAnsi="Times New Roman"/>
          <w:sz w:val="22"/>
          <w:szCs w:val="22"/>
          <w:color w:val="auto"/>
        </w:rPr>
      </w:pPr>
    </w:p>
    <w:p>
      <w:pPr>
        <w:ind w:left="-60" w:right="780" w:firstLine="1304"/>
        <w:spacing w:after="0" w:line="258"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Event Date</w:t>
      </w:r>
      <w:r>
        <w:rPr>
          <w:rFonts w:ascii="Times New Roman" w:cs="Times New Roman" w:eastAsia="Times New Roman" w:hAnsi="Times New Roman"/>
          <w:sz w:val="22"/>
          <w:szCs w:val="22"/>
          <w:color w:val="auto"/>
        </w:rPr>
        <w:t>” means with respect to a Sale Event Performance Cycle, the date immediately prior to the consummation of the Sale Event.</w:t>
      </w:r>
    </w:p>
    <w:p>
      <w:pPr>
        <w:spacing w:after="0" w:line="50" w:lineRule="exact"/>
        <w:rPr>
          <w:rFonts w:ascii="Times New Roman" w:cs="Times New Roman" w:eastAsia="Times New Roman" w:hAnsi="Times New Roman"/>
          <w:sz w:val="22"/>
          <w:szCs w:val="22"/>
          <w:color w:val="auto"/>
        </w:rPr>
      </w:pPr>
    </w:p>
    <w:p>
      <w:pPr>
        <w:ind w:left="-60" w:right="400" w:firstLine="1304"/>
        <w:spacing w:after="0" w:line="258"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Event Performance Cycle</w:t>
      </w:r>
      <w:r>
        <w:rPr>
          <w:rFonts w:ascii="Times New Roman" w:cs="Times New Roman" w:eastAsia="Times New Roman" w:hAnsi="Times New Roman"/>
          <w:sz w:val="22"/>
          <w:szCs w:val="22"/>
          <w:color w:val="auto"/>
        </w:rPr>
        <w:t>” means the Performance Cycle that is shortened by the Administrator such that the period shall be deemed to have concluded as of the Sale Event Date.</w:t>
      </w:r>
    </w:p>
    <w:p>
      <w:pPr>
        <w:spacing w:after="0" w:line="50" w:lineRule="exact"/>
        <w:rPr>
          <w:rFonts w:ascii="Times New Roman" w:cs="Times New Roman" w:eastAsia="Times New Roman" w:hAnsi="Times New Roman"/>
          <w:sz w:val="22"/>
          <w:szCs w:val="22"/>
          <w:color w:val="auto"/>
        </w:rPr>
      </w:pPr>
    </w:p>
    <w:p>
      <w:pPr>
        <w:jc w:val="both"/>
        <w:ind w:left="-60" w:right="80" w:firstLine="1304"/>
        <w:spacing w:after="0" w:line="239"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Event Termination</w:t>
      </w:r>
      <w:r>
        <w:rPr>
          <w:rFonts w:ascii="Times New Roman" w:cs="Times New Roman" w:eastAsia="Times New Roman" w:hAnsi="Times New Roman"/>
          <w:sz w:val="22"/>
          <w:szCs w:val="22"/>
          <w:color w:val="auto"/>
        </w:rPr>
        <w:t>” means (i) the termination by the Company (or its successor) or a Service Recipient, as applicable, of the Grantee’s Service Relationship for any reason other than for Cause, death or disability; or (ii) the termination by the Grantee of the Grantee’s employment for Good Reason, in either case within twelve (12) months following a Sale Event.</w:t>
      </w:r>
    </w:p>
    <w:p>
      <w:pPr>
        <w:spacing w:after="0" w:line="72" w:lineRule="exact"/>
        <w:rPr>
          <w:rFonts w:ascii="Times New Roman" w:cs="Times New Roman" w:eastAsia="Times New Roman" w:hAnsi="Times New Roman"/>
          <w:sz w:val="22"/>
          <w:szCs w:val="22"/>
          <w:color w:val="auto"/>
        </w:rPr>
      </w:pPr>
    </w:p>
    <w:p>
      <w:pPr>
        <w:ind w:left="-60" w:firstLine="1304"/>
        <w:spacing w:after="0" w:line="258"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Recipient</w:t>
      </w:r>
      <w:r>
        <w:rPr>
          <w:rFonts w:ascii="Times New Roman" w:cs="Times New Roman" w:eastAsia="Times New Roman" w:hAnsi="Times New Roman"/>
          <w:sz w:val="22"/>
          <w:szCs w:val="22"/>
          <w:color w:val="auto"/>
        </w:rPr>
        <w:t>” means the Company (or its successor) or the Subsidiary with which the Grantee has a Service Relationship.</w:t>
      </w:r>
    </w:p>
    <w:p>
      <w:pPr>
        <w:spacing w:after="0" w:line="50" w:lineRule="exact"/>
        <w:rPr>
          <w:rFonts w:ascii="Times New Roman" w:cs="Times New Roman" w:eastAsia="Times New Roman" w:hAnsi="Times New Roman"/>
          <w:sz w:val="22"/>
          <w:szCs w:val="22"/>
          <w:color w:val="auto"/>
        </w:rPr>
      </w:pPr>
    </w:p>
    <w:p>
      <w:pPr>
        <w:ind w:left="-60" w:right="280" w:firstLine="1304"/>
        <w:spacing w:after="0" w:line="258" w:lineRule="auto"/>
        <w:tabs>
          <w:tab w:leader="none" w:pos="18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Relationship</w:t>
      </w:r>
      <w:r>
        <w:rPr>
          <w:rFonts w:ascii="Times New Roman" w:cs="Times New Roman" w:eastAsia="Times New Roman" w:hAnsi="Times New Roman"/>
          <w:sz w:val="22"/>
          <w:szCs w:val="22"/>
          <w:color w:val="auto"/>
        </w:rPr>
        <w:t>” means the Grantee’s service to the Company (or its successor) or any of its Subsidiaries as an employee, consultant or director.</w:t>
      </w:r>
    </w:p>
    <w:p>
      <w:pPr>
        <w:spacing w:after="0" w:line="50" w:lineRule="exact"/>
        <w:rPr>
          <w:rFonts w:ascii="Times New Roman" w:cs="Times New Roman" w:eastAsia="Times New Roman" w:hAnsi="Times New Roman"/>
          <w:sz w:val="22"/>
          <w:szCs w:val="22"/>
          <w:color w:val="auto"/>
        </w:rPr>
      </w:pPr>
    </w:p>
    <w:p>
      <w:pPr>
        <w:ind w:left="-60" w:right="20" w:firstLine="1304"/>
        <w:spacing w:after="0" w:line="251" w:lineRule="auto"/>
        <w:tabs>
          <w:tab w:leader="none" w:pos="188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Price</w:t>
      </w:r>
      <w:r>
        <w:rPr>
          <w:rFonts w:ascii="Times New Roman" w:cs="Times New Roman" w:eastAsia="Times New Roman" w:hAnsi="Times New Roman"/>
          <w:sz w:val="21"/>
          <w:szCs w:val="21"/>
          <w:color w:val="auto"/>
        </w:rPr>
        <w:t>” means, as of a particular date, the average closing price of one share of Stock for the twenty (20) consecutive trading days ending on the trading day immediately prior to such date (or, ending on such date, for the Closing Stock Price); provided however, that in the event of a Sale Event of the Company, the Stock Price as of the Sale Event Date shall equal the fair market value, as determined by the Administrator in its discretion, of the total consideration paid in the transaction resulting in the Sale Event for one share of Stock.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353695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40" w:top="112" w:right="1039" w:bottom="1440" w:gutter="0" w:footer="0" w:header="0"/>
        </w:sectPr>
      </w:pPr>
    </w:p>
    <w:bookmarkStart w:id="279" w:name="page280"/>
    <w:bookmarkEnd w:id="279"/>
    <w:p>
      <w:pPr>
        <w:ind w:left="1960" w:hanging="656"/>
        <w:spacing w:after="0"/>
        <w:tabs>
          <w:tab w:leader="none" w:pos="19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means the target number of PSUs as set forth above in this Agreement.</w:t>
      </w:r>
    </w:p>
    <w:p>
      <w:pPr>
        <w:spacing w:after="0" w:line="233" w:lineRule="exact"/>
        <w:rPr>
          <w:rFonts w:ascii="Times New Roman" w:cs="Times New Roman" w:eastAsia="Times New Roman" w:hAnsi="Times New Roman"/>
          <w:sz w:val="22"/>
          <w:szCs w:val="22"/>
          <w:color w:val="auto"/>
        </w:rPr>
      </w:pPr>
    </w:p>
    <w:p>
      <w:pPr>
        <w:ind w:right="20" w:firstLine="1304"/>
        <w:spacing w:after="0" w:line="235" w:lineRule="auto"/>
        <w:tabs>
          <w:tab w:leader="none" w:pos="1944"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Shareholder Return</w:t>
      </w:r>
      <w:r>
        <w:rPr>
          <w:rFonts w:ascii="Times New Roman" w:cs="Times New Roman" w:eastAsia="Times New Roman" w:hAnsi="Times New Roman"/>
          <w:sz w:val="22"/>
          <w:szCs w:val="22"/>
          <w:color w:val="auto"/>
        </w:rPr>
        <w:t>” means, with respect to the Performance Cycle (or Sale Event Performance Cycle, as applicable), the total percentage return per share, achieved by the Stock assuming contemporaneous reinvestment in the Stock of all dividends and other distributions (excluding dividends and distributions paid in the form of additional shares of Stock) at the closing price of one share of Stock on the date such dividend or other distribution was paid, based on the Initial Stock Price, and the Closing Stock Price for the last day of the Performance Cycle or, in the case of a Sale Event Performance Cycle, the Stock Price as of the Sale Event Date.</w:t>
      </w:r>
    </w:p>
    <w:p>
      <w:pPr>
        <w:spacing w:after="0" w:line="183"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0" w:firstLine="1304"/>
        <w:spacing w:after="0" w:line="233" w:lineRule="auto"/>
        <w:tabs>
          <w:tab w:leader="none" w:pos="194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that, regardless of any action taken by the Company or the Service Recipient,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actually withheld by the Company or the Service Recipient. The Grantee further acknowledges that the Company and/or the Service Recipient (1) make no representations or undertakings regarding the treatment of any Tax-Related Items in connection with any aspect of the PSUs, including, but not limited to, the grant or vesting of the PSUs, the subsequent sale of shares of Stock acquired pursuant to such vesting and the receipt of any dividends; and (2) do not commit to and are under no obligation to structure the terms of the grant or any aspect of the PSUs to reduce or eliminate the Grantee’s liability for Tax-Related Items or achieve any particular tax result. Further, if the Grantee is subject to Tax-Related Items in more than one jurisdiction, he or she acknowledges that the Company and/or the Service Recipient (or former Service Recipient, as applicable) may be required to withhold or account for Tax-Related Items in more than one jurisdiction.</w:t>
      </w:r>
    </w:p>
    <w:p>
      <w:pPr>
        <w:spacing w:after="0" w:line="182" w:lineRule="exact"/>
        <w:rPr>
          <w:rFonts w:ascii="Times New Roman" w:cs="Times New Roman" w:eastAsia="Times New Roman" w:hAnsi="Times New Roman"/>
          <w:sz w:val="22"/>
          <w:szCs w:val="22"/>
          <w:color w:val="auto"/>
        </w:rPr>
      </w:pPr>
    </w:p>
    <w:p>
      <w:pPr>
        <w:ind w:right="120" w:firstLine="1304"/>
        <w:spacing w:after="0" w:line="235" w:lineRule="auto"/>
        <w:tabs>
          <w:tab w:leader="none" w:pos="194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relevant taxable or tax withholding event, as applicable, the Grantee agrees to make adequate arrangements satisfactory to the Administrator to satisfy all Tax-Related Items. In this regard, the Grantee authorizes and directs the Company to cause its transfer agent and any manager of the Company’s stock plan benefits to sell on the Grantee’s behalf a whole number of shares of Stock from those shares of Stock issued to the Grantee necessary to satisfy the Tax-Related Items withholding obligations. The Grantee acknowledges that the Grantee shall have no control over the timing of such mandatory sale, and the Company shall use the proceeds from such sale to satisfy the Grantee’s liability for Tax-Related Items.</w:t>
      </w:r>
    </w:p>
    <w:p>
      <w:pPr>
        <w:spacing w:after="0" w:line="210" w:lineRule="exact"/>
        <w:rPr>
          <w:rFonts w:ascii="Times New Roman" w:cs="Times New Roman" w:eastAsia="Times New Roman" w:hAnsi="Times New Roman"/>
          <w:sz w:val="22"/>
          <w:szCs w:val="22"/>
          <w:color w:val="auto"/>
        </w:rPr>
      </w:pPr>
    </w:p>
    <w:p>
      <w:pPr>
        <w:jc w:val="both"/>
        <w:ind w:right="120" w:firstLine="1304"/>
        <w:spacing w:after="0" w:line="244" w:lineRule="auto"/>
        <w:tabs>
          <w:tab w:leader="none" w:pos="194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such mandatory sale is prevented by a legal, contractual, regulatory or accounting restriction or if the obligation for Tax-Related Items arises other than in connection with the vesting (and associated settlement) of the PSUs,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80" w:name="page281"/>
    <w:bookmarkEnd w:id="280"/>
    <w:p>
      <w:pPr>
        <w:ind w:right="20"/>
        <w:spacing w:after="0" w:line="247" w:lineRule="auto"/>
        <w:rPr>
          <w:sz w:val="20"/>
          <w:szCs w:val="20"/>
          <w:color w:val="auto"/>
        </w:rPr>
      </w:pPr>
      <w:r>
        <w:rPr>
          <w:rFonts w:ascii="Times New Roman" w:cs="Times New Roman" w:eastAsia="Times New Roman" w:hAnsi="Times New Roman"/>
          <w:sz w:val="21"/>
          <w:szCs w:val="21"/>
          <w:color w:val="auto"/>
        </w:rPr>
        <w:t>Grantee authorizes the Company and/or the Service Recipient, or their respective agents, to satisfy any applicable withholding obligations with regard to all Tax-Related Items by one or a combination of the following: (i) requiring the Grantee to make a payment in a form acceptable to the Company; (ii) withholding from wages or other cash compensation paid to the Grantee by the Company, including director fees, and/or the Service Recipient; (iii) withholding in shares of Stock to be issued upon vesting of the PSUs (provided, in the case of Section 16 officer of the Company subject to Section 16 of the Exchange Act of 1934 (the “Exchange Act”), that this method is authorized by the Administrator as constituted in accordance with Rule 16b-3 under the Exchange Act); or (iv) any other method of withholding determined by the Administrator and permitted by applicable law.</w:t>
      </w:r>
    </w:p>
    <w:p>
      <w:pPr>
        <w:spacing w:after="0" w:line="199" w:lineRule="exact"/>
        <w:rPr>
          <w:sz w:val="20"/>
          <w:szCs w:val="20"/>
          <w:color w:val="auto"/>
        </w:rPr>
      </w:pPr>
    </w:p>
    <w:p>
      <w:pPr>
        <w:ind w:firstLine="1304"/>
        <w:spacing w:after="0" w:line="234" w:lineRule="auto"/>
        <w:tabs>
          <w:tab w:leader="none" w:pos="194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Depending on the withholding method, the Company may withhold or account for Tax-Related Items by considering applicable minimum statutory withholding rates or other applicable withholding rates, including maximum applicable rates in the Grantee’s jurisdiction(s). In the event of over-withholding, the Grantee may receive a refund of any over-withheld amount in cash and will have no entitlement to the equivalent in shares of Stock, or if not refunded, the Grantee may seek a refund from local tax authorities. In the event of under-withholding, the Grantee may be required to pay additional Tax-Related Items directly to the applicable tax authority or to the Company and/or the Service Recipient. If the obligation for Tax-Related Items is satisfied by withholding in shares of Stock, for tax purposes, the Grantee is deemed to have been issued the full number of shares of Stock subject to the vested PSUs, notwithstanding that a number of shares of Stock are held back solely for the purpose of paying the Tax-Related Items.</w:t>
      </w:r>
    </w:p>
    <w:p>
      <w:pPr>
        <w:spacing w:after="0" w:line="206" w:lineRule="exact"/>
        <w:rPr>
          <w:rFonts w:ascii="Times New Roman" w:cs="Times New Roman" w:eastAsia="Times New Roman" w:hAnsi="Times New Roman"/>
          <w:sz w:val="22"/>
          <w:szCs w:val="22"/>
          <w:color w:val="auto"/>
        </w:rPr>
      </w:pPr>
    </w:p>
    <w:p>
      <w:pPr>
        <w:ind w:right="40" w:firstLine="1304"/>
        <w:spacing w:after="0" w:line="244" w:lineRule="auto"/>
        <w:tabs>
          <w:tab w:leader="none" w:pos="194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Grantee fails to comply with the Grantee’s obligations in connection with the Tax-Related Items.</w:t>
      </w:r>
    </w:p>
    <w:p>
      <w:pPr>
        <w:spacing w:after="0" w:line="200" w:lineRule="exact"/>
        <w:rPr>
          <w:rFonts w:ascii="Times New Roman" w:cs="Times New Roman" w:eastAsia="Times New Roman" w:hAnsi="Times New Roman"/>
          <w:sz w:val="22"/>
          <w:szCs w:val="22"/>
          <w:color w:val="auto"/>
        </w:rPr>
      </w:pPr>
    </w:p>
    <w:p>
      <w:pPr>
        <w:ind w:right="40" w:firstLine="656"/>
        <w:spacing w:after="0" w:line="244"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73" w:lineRule="exact"/>
        <w:rPr>
          <w:rFonts w:ascii="Times New Roman" w:cs="Times New Roman" w:eastAsia="Times New Roman" w:hAnsi="Times New Roman"/>
          <w:sz w:val="22"/>
          <w:szCs w:val="22"/>
          <w:color w:val="auto"/>
        </w:rPr>
      </w:pPr>
    </w:p>
    <w:p>
      <w:pPr>
        <w:ind w:right="60" w:firstLine="656"/>
        <w:spacing w:after="0" w:line="239"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Company nor any Service Recipient is obligated by or as a result of the Plan or this Agreement to continue the Grantee in a Service Relationship and neither the Plan nor this Agreement shall interfere in any way with the right of the Company or any Service Recipient to terminate the service of the Grantee at any time.</w:t>
      </w:r>
    </w:p>
    <w:p>
      <w:pPr>
        <w:spacing w:after="0" w:line="180" w:lineRule="exact"/>
        <w:rPr>
          <w:rFonts w:ascii="Times New Roman" w:cs="Times New Roman" w:eastAsia="Times New Roman" w:hAnsi="Times New Roman"/>
          <w:sz w:val="22"/>
          <w:szCs w:val="22"/>
          <w:color w:val="auto"/>
        </w:rPr>
      </w:pPr>
    </w:p>
    <w:p>
      <w:pPr>
        <w:ind w:right="180" w:firstLine="656"/>
        <w:spacing w:after="0" w:line="244"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73" w:lineRule="exact"/>
        <w:rPr>
          <w:rFonts w:ascii="Times New Roman" w:cs="Times New Roman" w:eastAsia="Times New Roman" w:hAnsi="Times New Roman"/>
          <w:sz w:val="22"/>
          <w:szCs w:val="22"/>
          <w:color w:val="auto"/>
        </w:rPr>
      </w:pPr>
    </w:p>
    <w:p>
      <w:pPr>
        <w:ind w:right="60" w:firstLine="656"/>
        <w:spacing w:after="0" w:line="236"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 Policy</w:t>
      </w:r>
      <w:r>
        <w:rPr>
          <w:rFonts w:ascii="Times New Roman" w:cs="Times New Roman" w:eastAsia="Times New Roman" w:hAnsi="Times New Roman"/>
          <w:sz w:val="22"/>
          <w:szCs w:val="22"/>
          <w:color w:val="auto"/>
        </w:rPr>
        <w:t>. This Award and Agreement shall be subject to the Company’s Policy for Recoupment of Incentive Compensation as may be amended from time to time (“Recoupment Policy") to the extent such policy is applicable to the Grantee. To the extent the Grantee’s Employment Agreement or any other agreement between the Grantee and any Service Recipient, or the Change in Control Severance Plan or any other policy or plan (but excluding the Recoupment Policy) that may apply to the Grantee, contains provisions regarding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81" w:name="page282"/>
    <w:bookmarkEnd w:id="281"/>
    <w:p>
      <w:pPr>
        <w:ind w:right="300"/>
        <w:spacing w:after="0" w:line="244" w:lineRule="auto"/>
        <w:rPr>
          <w:sz w:val="20"/>
          <w:szCs w:val="20"/>
          <w:color w:val="auto"/>
        </w:rPr>
      </w:pPr>
      <w:r>
        <w:rPr>
          <w:rFonts w:ascii="Times New Roman" w:cs="Times New Roman" w:eastAsia="Times New Roman" w:hAnsi="Times New Roman"/>
          <w:sz w:val="22"/>
          <w:szCs w:val="22"/>
          <w:color w:val="auto"/>
        </w:rPr>
        <w:t>based equity that are less favorable to the Grantee than those provided by this Agreement, this Agreement shall govern with respect to this Award. In no event will the Grantee be eligible for duplicative benefits under this Agreement and any other plan, policy or agreement.</w:t>
      </w:r>
    </w:p>
    <w:p>
      <w:pPr>
        <w:spacing w:after="0" w:line="174" w:lineRule="exact"/>
        <w:rPr>
          <w:sz w:val="20"/>
          <w:szCs w:val="20"/>
          <w:color w:val="auto"/>
        </w:rPr>
      </w:pPr>
    </w:p>
    <w:p>
      <w:pPr>
        <w:ind w:firstLine="656"/>
        <w:spacing w:after="0" w:line="235"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In order to administer the Plan, perform its obligations under this Agreement, and to implement or structure future equity grants, the Company may collect and process the Grantee’s personal data, including sharing it with its subsidiaries and affiliates and certain agents thereof (together, the “Relevant Companies”) in connection with administering the Plan and performing its obligations under the Agreement. The Company may also transfer Grantee’s personal data to countries with privacy laws that may be less protective than those of the Grantee’s country.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incorporated by reference into this Agreement, further describes how Grantee’s personal data will be processed and Grantee’s rights with respect to personal data processed for the purposes of administering the Plan and this Agreement.</w:t>
      </w:r>
    </w:p>
    <w:p>
      <w:pPr>
        <w:spacing w:after="0" w:line="178"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181" w:lineRule="exact"/>
        <w:rPr>
          <w:rFonts w:ascii="Times New Roman" w:cs="Times New Roman" w:eastAsia="Times New Roman" w:hAnsi="Times New Roman"/>
          <w:sz w:val="22"/>
          <w:szCs w:val="22"/>
          <w:color w:val="auto"/>
        </w:rPr>
      </w:pPr>
    </w:p>
    <w:p>
      <w:pPr>
        <w:ind w:right="60" w:firstLine="656"/>
        <w:spacing w:after="0" w:line="244"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right="320" w:firstLine="656"/>
        <w:spacing w:after="0" w:line="238"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Award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spacing w:after="0" w:line="176" w:lineRule="exact"/>
        <w:rPr>
          <w:rFonts w:ascii="Times New Roman" w:cs="Times New Roman" w:eastAsia="Times New Roman" w:hAnsi="Times New Roman"/>
          <w:sz w:val="22"/>
          <w:szCs w:val="22"/>
          <w:color w:val="auto"/>
        </w:rPr>
      </w:pPr>
    </w:p>
    <w:p>
      <w:pPr>
        <w:ind w:right="40" w:firstLine="656"/>
        <w:spacing w:after="0" w:line="244"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3" w:lineRule="exact"/>
        <w:rPr>
          <w:rFonts w:ascii="Times New Roman" w:cs="Times New Roman" w:eastAsia="Times New Roman" w:hAnsi="Times New Roman"/>
          <w:sz w:val="22"/>
          <w:szCs w:val="22"/>
          <w:color w:val="auto"/>
        </w:rPr>
      </w:pPr>
    </w:p>
    <w:p>
      <w:pPr>
        <w:jc w:val="both"/>
        <w:ind w:right="220" w:firstLine="656"/>
        <w:spacing w:after="0" w:line="244"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82" w:name="page283"/>
    <w:bookmarkEnd w:id="282"/>
    <w:p>
      <w:pPr>
        <w:ind w:left="428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27" w:lineRule="exact"/>
        <w:rPr>
          <w:sz w:val="20"/>
          <w:szCs w:val="20"/>
          <w:color w:val="auto"/>
        </w:rPr>
      </w:pPr>
    </w:p>
    <w:tbl>
      <w:tblPr>
        <w:tblLayout w:type="fixed"/>
        <w:tblInd w:w="428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/s/ Kathryn D. Haviland</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0" w:type="dxa"/>
            <w:vAlign w:val="bottom"/>
            <w:vMerge w:val="continue"/>
          </w:tcPr>
          <w:p>
            <w:pPr>
              <w:spacing w:after="0"/>
              <w:rPr>
                <w:sz w:val="18"/>
                <w:szCs w:val="18"/>
                <w:color w:val="auto"/>
              </w:rPr>
            </w:pPr>
          </w:p>
        </w:tc>
        <w:tc>
          <w:tcPr>
            <w:tcW w:w="49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Kathryn D. Haviland</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10795</wp:posOffset>
            </wp:positionV>
            <wp:extent cx="57175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23">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FIRST NAME 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10795</wp:posOffset>
            </wp:positionV>
            <wp:extent cx="33089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ADDRESS LINE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10795</wp:posOffset>
            </wp:positionV>
            <wp:extent cx="330898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ADDRESS LINE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10795</wp:posOffset>
            </wp:positionV>
            <wp:extent cx="33089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10795</wp:posOffset>
            </wp:positionV>
            <wp:extent cx="33089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10795</wp:posOffset>
            </wp:positionV>
            <wp:extent cx="33089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10795</wp:posOffset>
            </wp:positionV>
            <wp:extent cx="33089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Performance Multiplier For Performance Cycle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Performance Multiplier for the Performance Cycle shall be determined as follows: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80" w:type="dxa"/>
            <w:vAlign w:val="bottom"/>
            <w:tcBorders>
              <w:top w:val="single" w:sz="8" w:color="auto"/>
              <w:left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Total Shareholder Return Percentile</w:t>
            </w:r>
          </w:p>
        </w:tc>
        <w:tc>
          <w:tcPr>
            <w:tcW w:w="3300" w:type="dxa"/>
            <w:vAlign w:val="bottom"/>
            <w:tcBorders>
              <w:top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Performance Multiplier if Total</w:t>
            </w:r>
          </w:p>
        </w:tc>
        <w:tc>
          <w:tcPr>
            <w:tcW w:w="2840" w:type="dxa"/>
            <w:vAlign w:val="bottom"/>
            <w:tcBorders>
              <w:top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Performance Multiplier if</w:t>
            </w:r>
          </w:p>
        </w:tc>
      </w:tr>
      <w:tr>
        <w:trPr>
          <w:trHeight w:val="243"/>
        </w:trPr>
        <w:tc>
          <w:tcPr>
            <w:tcW w:w="378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Rank within the Performance</w:t>
            </w:r>
          </w:p>
        </w:tc>
        <w:tc>
          <w:tcPr>
            <w:tcW w:w="33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Shareholder Return is ≥ 0%</w:t>
            </w:r>
          </w:p>
        </w:tc>
        <w:tc>
          <w:tcPr>
            <w:tcW w:w="28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Total Shareholder Return is &lt;</w:t>
            </w:r>
          </w:p>
        </w:tc>
      </w:tr>
      <w:tr>
        <w:trPr>
          <w:trHeight w:val="282"/>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Measurement Index</w:t>
            </w:r>
          </w:p>
        </w:tc>
        <w:tc>
          <w:tcPr>
            <w:tcW w:w="330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04"/>
        </w:trPr>
        <w:tc>
          <w:tcPr>
            <w:tcW w:w="3780" w:type="dxa"/>
            <w:vAlign w:val="bottom"/>
            <w:tcBorders>
              <w:left w:val="single" w:sz="8" w:color="auto"/>
              <w:bottom w:val="single" w:sz="8" w:color="auto"/>
              <w:right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r>
      <w:tr>
        <w:trPr>
          <w:trHeight w:val="276"/>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w:t>
            </w:r>
            <w:r>
              <w:rPr>
                <w:rFonts w:ascii="Times New Roman" w:cs="Times New Roman" w:eastAsia="Times New Roman" w:hAnsi="Times New Roman"/>
                <w:sz w:val="16"/>
                <w:szCs w:val="16"/>
                <w:color w:val="auto"/>
                <w:w w:val="98"/>
              </w:rPr>
              <w:t>th</w:t>
            </w:r>
            <w:r>
              <w:rPr>
                <w:rFonts w:ascii="Times New Roman" w:cs="Times New Roman" w:eastAsia="Times New Roman" w:hAnsi="Times New Roman"/>
                <w:sz w:val="22"/>
                <w:szCs w:val="22"/>
                <w:color w:val="auto"/>
                <w:w w:val="98"/>
              </w:rPr>
              <w:t xml:space="preserve"> Percentile or higher</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177"/>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75</w:t>
            </w:r>
            <w:r>
              <w:rPr>
                <w:rFonts w:ascii="Times New Roman" w:cs="Times New Roman" w:eastAsia="Times New Roman" w:hAnsi="Times New Roman"/>
                <w:sz w:val="16"/>
                <w:szCs w:val="16"/>
                <w:color w:val="auto"/>
                <w:w w:val="98"/>
              </w:rPr>
              <w:t>th</w:t>
            </w:r>
            <w:r>
              <w:rPr>
                <w:rFonts w:ascii="Times New Roman" w:cs="Times New Roman" w:eastAsia="Times New Roman" w:hAnsi="Times New Roman"/>
                <w:sz w:val="22"/>
                <w:szCs w:val="22"/>
                <w:color w:val="auto"/>
                <w:w w:val="98"/>
              </w:rPr>
              <w:t xml:space="preserve"> Percentile</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177"/>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w:t>
            </w:r>
            <w:r>
              <w:rPr>
                <w:rFonts w:ascii="Times New Roman" w:cs="Times New Roman" w:eastAsia="Times New Roman" w:hAnsi="Times New Roman"/>
                <w:sz w:val="16"/>
                <w:szCs w:val="16"/>
                <w:color w:val="auto"/>
                <w:w w:val="98"/>
              </w:rPr>
              <w:t>th</w:t>
            </w:r>
            <w:r>
              <w:rPr>
                <w:rFonts w:ascii="Times New Roman" w:cs="Times New Roman" w:eastAsia="Times New Roman" w:hAnsi="Times New Roman"/>
                <w:sz w:val="22"/>
                <w:szCs w:val="22"/>
                <w:color w:val="auto"/>
                <w:w w:val="98"/>
              </w:rPr>
              <w:t xml:space="preserve"> Percentile</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177"/>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25</w:t>
            </w:r>
            <w:r>
              <w:rPr>
                <w:rFonts w:ascii="Times New Roman" w:cs="Times New Roman" w:eastAsia="Times New Roman" w:hAnsi="Times New Roman"/>
                <w:sz w:val="16"/>
                <w:szCs w:val="16"/>
                <w:color w:val="auto"/>
                <w:w w:val="98"/>
              </w:rPr>
              <w:t>th</w:t>
            </w:r>
            <w:r>
              <w:rPr>
                <w:rFonts w:ascii="Times New Roman" w:cs="Times New Roman" w:eastAsia="Times New Roman" w:hAnsi="Times New Roman"/>
                <w:sz w:val="22"/>
                <w:szCs w:val="22"/>
                <w:color w:val="auto"/>
                <w:w w:val="98"/>
              </w:rPr>
              <w:t xml:space="preserve"> Percentile</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177"/>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r>
        <w:trPr>
          <w:trHeight w:val="276"/>
        </w:trPr>
        <w:tc>
          <w:tcPr>
            <w:tcW w:w="3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Below 25</w:t>
            </w:r>
            <w:r>
              <w:rPr>
                <w:rFonts w:ascii="Times New Roman" w:cs="Times New Roman" w:eastAsia="Times New Roman" w:hAnsi="Times New Roman"/>
                <w:sz w:val="16"/>
                <w:szCs w:val="16"/>
                <w:color w:val="auto"/>
                <w:w w:val="98"/>
              </w:rPr>
              <w:t>th</w:t>
            </w:r>
            <w:r>
              <w:rPr>
                <w:rFonts w:ascii="Times New Roman" w:cs="Times New Roman" w:eastAsia="Times New Roman" w:hAnsi="Times New Roman"/>
                <w:sz w:val="22"/>
                <w:szCs w:val="22"/>
                <w:color w:val="auto"/>
                <w:w w:val="98"/>
              </w:rPr>
              <w:t xml:space="preserve"> Percentile</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177"/>
        </w:trPr>
        <w:tc>
          <w:tcPr>
            <w:tcW w:w="3780" w:type="dxa"/>
            <w:vAlign w:val="bottom"/>
            <w:tcBorders>
              <w:left w:val="single" w:sz="8" w:color="auto"/>
              <w:bottom w:val="single" w:sz="8" w:color="auto"/>
              <w:right w:val="single" w:sz="8" w:color="auto"/>
            </w:tcBorders>
          </w:tcPr>
          <w:p>
            <w:pPr>
              <w:spacing w:after="0"/>
              <w:rPr>
                <w:sz w:val="15"/>
                <w:szCs w:val="15"/>
                <w:color w:val="auto"/>
              </w:rPr>
            </w:pPr>
          </w:p>
        </w:tc>
        <w:tc>
          <w:tcPr>
            <w:tcW w:w="3300" w:type="dxa"/>
            <w:vAlign w:val="bottom"/>
            <w:tcBorders>
              <w:bottom w:val="single" w:sz="8" w:color="auto"/>
              <w:right w:val="single" w:sz="8" w:color="auto"/>
            </w:tcBorders>
          </w:tcPr>
          <w:p>
            <w:pPr>
              <w:spacing w:after="0"/>
              <w:rPr>
                <w:sz w:val="15"/>
                <w:szCs w:val="15"/>
                <w:color w:val="auto"/>
              </w:rPr>
            </w:pPr>
          </w:p>
        </w:tc>
        <w:tc>
          <w:tcPr>
            <w:tcW w:w="2840" w:type="dxa"/>
            <w:vAlign w:val="bottom"/>
            <w:tcBorders>
              <w:bottom w:val="single" w:sz="8" w:color="auto"/>
              <w:right w:val="single" w:sz="8" w:color="auto"/>
            </w:tcBorders>
          </w:tcPr>
          <w:p>
            <w:pPr>
              <w:spacing w:after="0"/>
              <w:rPr>
                <w:sz w:val="15"/>
                <w:szCs w:val="15"/>
                <w:color w:val="auto"/>
              </w:rPr>
            </w:pPr>
          </w:p>
        </w:tc>
      </w:tr>
    </w:tbl>
    <w:p>
      <w:pPr>
        <w:spacing w:after="0" w:line="21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If the Total Shareholder Return for the Performance Cycle ranks between two of the Percentile Ranks above, then the Performance Multiplier shall be determined by using linear interpolation. For purposes of clarity, (i) in no event shall more than 200% of the Target Award be awardable; and (ii) in the event the Total Shareholder Return does not equal or exceed the 25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percentile, no portion of the Target Award shall be awardable. Notwithstanding anything herein to the contrary, if the Total Shareholder Return in a Performance Cycle is a negative percentage, then in no event shall more than 100% of the Target Award be awardable, even if the Total Shareholder Return would result in a greater percentage pursuant to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84" w:name="page285"/>
    <w:bookmarkEnd w:id="284"/>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If you, as the Grantee,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10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11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21"/>
          <w:szCs w:val="21"/>
          <w:color w:val="auto"/>
        </w:rPr>
        <w:t>Additionally, information about your shares of Stock or directorships held in the Company, details of all PSUs,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ind w:right="320"/>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9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11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08" w:right="1059" w:bottom="1440" w:gutter="0" w:footer="0" w:header="0"/>
        </w:sectPr>
      </w:pPr>
    </w:p>
    <w:bookmarkStart w:id="285" w:name="page286"/>
    <w:bookmarkEnd w:id="285"/>
    <w:p>
      <w:pPr>
        <w:ind w:right="140"/>
        <w:spacing w:after="0" w:line="258" w:lineRule="auto"/>
        <w:rPr>
          <w:sz w:val="20"/>
          <w:szCs w:val="20"/>
          <w:color w:val="auto"/>
        </w:rPr>
      </w:pPr>
      <w:r>
        <w:rPr>
          <w:rFonts w:ascii="Times New Roman" w:cs="Times New Roman" w:eastAsia="Times New Roman" w:hAnsi="Times New Roman"/>
          <w:sz w:val="22"/>
          <w:szCs w:val="22"/>
          <w:color w:val="auto"/>
        </w:rPr>
        <w:t>personal data (for example, putting in place contractual arrangements approved by the European Commission, or Standard Contractual Clauses).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11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9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ind w:right="620"/>
        <w:spacing w:after="0" w:line="235" w:lineRule="auto"/>
        <w:rPr>
          <w:sz w:val="20"/>
          <w:szCs w:val="20"/>
          <w:color w:val="auto"/>
        </w:rPr>
      </w:pPr>
      <w:r>
        <w:rPr>
          <w:rFonts w:ascii="Times New Roman" w:cs="Times New Roman" w:eastAsia="Times New Roman" w:hAnsi="Times New Roman"/>
          <w:sz w:val="22"/>
          <w:szCs w:val="22"/>
          <w:color w:val="auto"/>
        </w:rPr>
        <w:t>Questions about this Privacy Notice, to exercise applicable rights related to your personal data, or for more information about the Company’s privacy and data protection practices, please contact us at the appropriate locations: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55" w:right="1019" w:bottom="1440" w:gutter="0" w:footer="0" w:header="0"/>
        </w:sectPr>
      </w:pPr>
    </w:p>
    <w:bookmarkStart w:id="286" w:name="page287"/>
    <w:bookmarkEnd w:id="28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4" w:lineRule="exact"/>
        <w:rPr>
          <w:sz w:val="20"/>
          <w:szCs w:val="20"/>
          <w:color w:val="auto"/>
        </w:rPr>
      </w:pPr>
    </w:p>
    <w:p>
      <w:pPr>
        <w:jc w:val="center"/>
        <w:ind w:left="1000" w:right="2160"/>
        <w:spacing w:after="0" w:line="241" w:lineRule="auto"/>
        <w:rPr>
          <w:sz w:val="20"/>
          <w:szCs w:val="20"/>
          <w:color w:val="auto"/>
        </w:rPr>
      </w:pPr>
      <w:r>
        <w:rPr>
          <w:rFonts w:ascii="Times New Roman" w:cs="Times New Roman" w:eastAsia="Times New Roman" w:hAnsi="Times New Roman"/>
          <w:sz w:val="22"/>
          <w:szCs w:val="22"/>
          <w:b w:val="1"/>
          <w:bCs w:val="1"/>
          <w:color w:val="auto"/>
        </w:rPr>
        <w:t>PERFORMANCE-BASED RESTRICTED STOCK UNIT AWARD AGREEMENT FOR EMPLOYEES UNDER THE BLUEPRINT MEDICINES CORPORATION 2015 STOCK OPTION AND INCENTIVE PLAN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Grantees</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This Exhibit C, which is part of the Performance-Based Restricted Stock Unit Award Agreement for Employees, contains additional terms and conditions that will apply to the Grantee if residing outside the United States.</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Performance-Based Restricted Stock Unit Award Agreement for Employees.</w:t>
      </w:r>
    </w:p>
    <w:p>
      <w:pPr>
        <w:spacing w:after="0" w:line="200"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PSUs, the Grantee acknowledges, understands and agrees that:</w:t>
      </w:r>
    </w:p>
    <w:p>
      <w:pPr>
        <w:spacing w:after="0" w:line="20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PSUs is voluntary and occasional and does not create any contractual or other right to receive future grants of all decisions with respect to future or other grants, if any, will be at the sole discretion of the Company;</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Grantee’s participation in the Plan shall not be interpreted as forming an employment or services contract with the Company or any Subsidiary;</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voluntarily participating in the Plan;</w:t>
      </w:r>
    </w:p>
    <w:p>
      <w:pPr>
        <w:spacing w:after="0" w:line="206"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of Stock subject to the PSUs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of Stock subject to the PSUs, and the income and value of same, are not part of normal or expected compensation for any purpose, and do not confer on Grantee any right to receive Director fees or other compensation in any specific amount;</w:t>
      </w:r>
    </w:p>
    <w:p>
      <w:pPr>
        <w:spacing w:after="0" w:line="173"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PSUs and the shares of Stock subject to the PSUs, and the income and value of same, are not granted as consideration for, or in connection with, the service the Grantee may provide as a director of a Subsidiary;</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of Stock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87" w:name="page288"/>
    <w:bookmarkEnd w:id="287"/>
    <w:p>
      <w:pPr>
        <w:jc w:val="both"/>
        <w:ind w:left="1292" w:hanging="644"/>
        <w:spacing w:after="0" w:line="244" w:lineRule="auto"/>
        <w:tabs>
          <w:tab w:leader="none" w:pos="129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PSUs resulting from the termination of the Grantee’s service as a member of the Board (for any reason whatsoever);</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Grantee’s local currency and the United States Dollar that may affect the value of the PSUs or of any amounts due to the Grantee pursuant to the settlement of the PSUs or the subsequent sale of any shares of Stock acquired upon settlement.</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Grantee’s participation in the Plan, or the Grantee’s acquisition or sale of the underlying shares of Stock. The Grantee is hereby advised to consult with the Grantee’s own personal tax, legal and financial advisors regarding the Grantee’s participation in the Plan before taking any action related to the Plan.</w:t>
      </w:r>
    </w:p>
    <w:p>
      <w:pPr>
        <w:spacing w:after="0" w:line="176" w:lineRule="exact"/>
        <w:rPr>
          <w:rFonts w:ascii="Times New Roman" w:cs="Times New Roman" w:eastAsia="Times New Roman" w:hAnsi="Times New Roman"/>
          <w:sz w:val="22"/>
          <w:szCs w:val="22"/>
          <w:color w:val="auto"/>
        </w:rPr>
      </w:pPr>
    </w:p>
    <w:p>
      <w:pPr>
        <w:jc w:val="both"/>
        <w:ind w:left="652" w:right="20" w:hanging="652"/>
        <w:spacing w:after="0" w:line="244" w:lineRule="auto"/>
        <w:tabs>
          <w:tab w:leader="none" w:pos="6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Grantee’s participation in the Plan, on the PSUs and on any shares of Stock acquired under the Plan, to the extent the Company determines it is necessary or advisable for legal or administrative reasons, and to require the Grantee to sign any additional agreements or undertakings that may be necessary to accomplish the foregoing.</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35" w:lineRule="auto"/>
        <w:tabs>
          <w:tab w:leader="none" w:pos="65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Restrictions/Market Abuse Laws</w:t>
      </w:r>
      <w:r>
        <w:rPr>
          <w:rFonts w:ascii="Times New Roman" w:cs="Times New Roman" w:eastAsia="Times New Roman" w:hAnsi="Times New Roman"/>
          <w:sz w:val="22"/>
          <w:szCs w:val="22"/>
          <w:color w:val="auto"/>
        </w:rPr>
        <w:t>. The Grantee acknowledges that, depending on the Grantee’s country, the Grantee may be subject to insider trading restrictions and/or market abuse laws, which may affect the ability to acquire or sell shares of Stock or rights to shares of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PSUs) under the Plan during such times as the Grantee is considered to have “inside information” regarding the Company (as defined by the laws in the Grantee’s country). Any restrictions under these laws or regulations are separate from and in addition to any restrictions that may be imposed under any applicable Company insider trading policy. The Grantee is responsible for ensuring compliance with any applicable restrictions and is advised to consult a personal legal advisor on this matter.</w:t>
      </w:r>
    </w:p>
    <w:p>
      <w:pPr>
        <w:spacing w:after="0" w:line="178" w:lineRule="exact"/>
        <w:rPr>
          <w:rFonts w:ascii="Times New Roman" w:cs="Times New Roman" w:eastAsia="Times New Roman" w:hAnsi="Times New Roman"/>
          <w:sz w:val="22"/>
          <w:szCs w:val="22"/>
          <w:color w:val="auto"/>
        </w:rPr>
      </w:pPr>
    </w:p>
    <w:p>
      <w:pPr>
        <w:jc w:val="both"/>
        <w:ind w:left="652" w:hanging="652"/>
        <w:spacing w:after="0" w:line="246" w:lineRule="auto"/>
        <w:tabs>
          <w:tab w:leader="none" w:pos="652"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Asset/Account Reporting; Exchange Controls</w:t>
      </w:r>
      <w:r>
        <w:rPr>
          <w:rFonts w:ascii="Times New Roman" w:cs="Times New Roman" w:eastAsia="Times New Roman" w:hAnsi="Times New Roman"/>
          <w:sz w:val="21"/>
          <w:szCs w:val="21"/>
          <w:color w:val="auto"/>
        </w:rPr>
        <w:t>. The Grantee’s country may have certain foreign asset and/or account reporting requirements and/or exchange controls which may affect the Grantee’s ability to acquire or hold shares of Stock under the Plan or cash received from participating in the Plan (including from any dividends received or sale proceeds arising from the sale of shares of Stock) in a brokerage or bank account outside the Grantee’s country. The Grantee may be required to report such accounts, assets or transactions to the tax or other authorities in the Grantee’s country. The Grantee also may be required to repatriate sale proceeds or other funds received as a result of the Grantee’s participation in the Plan to the Grantee’s country through a designated bank or broker and/or within a certain time after receipt. The Grantee acknowledges that it is the Grantee’s responsibility to be compliant with such regulations, and the Grantee is advised to consult a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AWARD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Performance-Based Restricted Stock Unit Award Agreement for Employees and the General Terms and Conditions for Non-U.S. Grantees attached thereto as Exhibit 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D includes additional terms and conditions that govern the PSUs granted to the Grantee if the Grantee resides and/or works in a country listed below. If the Grantee moves to another country after receiving the grant of the PSUs, the Company will, in its discretion, determine the extent to which the terms and conditions herein will be applicable to the Grantee.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D also includes information regarding exchange controls and certain other issues of which the Grantee should be aware with respect to the Grantee’s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Grantee not rely on the information in this Exhibit D as the only source of information relating to the consequences of the Grantee’s participation in the Plan because the information may be out of date at the time that the PSUs vest or the Grantee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Grantee’s particular situation and the Company is not in a position to assure the Grantee of a particular result. Accordingly, the Grantee should seek appropriate professional advice as to how the relevant laws in the Grantee’s country may apply to the Grantee’s situation.</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Finally, if the Grantee is a citizen or resident of a country other than the one in which the Grantee is currently residing and/or working (or if the Grantee is considered as such for local law purposes), the information contained herein may not be applicable to the Grantee in the same manner.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PSUs Not French-Qualified</w:t>
      </w:r>
      <w:r>
        <w:rPr>
          <w:rFonts w:ascii="Times New Roman" w:cs="Times New Roman" w:eastAsia="Times New Roman" w:hAnsi="Times New Roman"/>
          <w:sz w:val="22"/>
          <w:szCs w:val="22"/>
          <w:color w:val="auto"/>
        </w:rPr>
        <w:t>. The PSUs granted under this Agreement are not intended to qualify for the specific tax and social security treatment pursuant to Sections L. 225-197-1 to L. 225-197-5 and L. 22-10-59 to L. 22-10-60 of the French Commercial Code,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89" w:name="page290"/>
    <w:bookmarkEnd w:id="289"/>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PSUs, the Grantee confirms having read and understood the Plan and the Agreement, including Exhibits A, B, C and this Exhibit D, and all terms and conditions included therein, which were provided in the English language. The Grantee accepts the terms of those documents accordingly.</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PSUs, le Titulaire de les PSUs confirme avoir lu et compris le Plan et le Contrat y relatifs, incluant tous leurs termes et conditions, qui ont été transmis en langue anglaise. Le Titulaire de les PSUs accepte les dispositions de ces documents en connaissance de cause.</w:t>
      </w:r>
    </w:p>
    <w:p>
      <w:pPr>
        <w:spacing w:after="0" w:line="1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Grantee imports or exports cash (e.g., proceeds from the sale of shares of Stock acquired under the Plan) with a value equal to or exceeding a certain threshold (currently €10,000), and does not use a financial institution to do so, he or she must submit a report to the customs and excise authorities.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Grantee must report any shares of Stock and bank or brokerage accounts he or she holds outside France (including any accounts that were opened, used and/or closed during the tax year) on an annual basis, on form No. 3916, together with their income tax return. It is the Grantee’s responsibility to comply with French foreign asset and account reporting requirements, and neither the Company nor the Service Recipient will be liable for any resulting fines or penalties.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available via Bundesbank’s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Additional reporting to the Bundesbank via email or telephone may be required.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Grantee will need to report the acquisition when the Grantee files his or her tax return for the relevant year. A qualified participation is attained if (i) the value of the shares of Stock acquired exceeds €150,000 or (ii) in the unlikely event the Grantee holds shares of Stock exceeding 10% of the Company’s total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By accepting the PSUs, the Grantee acknowledges that the Grantee has received a copy of the Plan and the Agreement, including Exhibits A, B, C and this Exhibit D, has reviewed these documents in their entirety and fully understands and accepts all provisions contained therein. The Grantee further acknowledges that the Grantee has read and specifically and expressly approves the provisions regarding Section 3: “Termination of Service Relationship,” Section 8: “Tax Withholding,” Section 10: “No Obligation to Continue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2"/>
          <w:szCs w:val="22"/>
          <w:color w:val="auto"/>
        </w:rPr>
        <w:t>Relationship,” Section 12: “Personal Data,” and Section 14: “Governing Law and Venue” in the Agreement,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 as Section 1: “Nature of Grant,” and Section 3: “Language” in Exhibit 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he or she is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PSUs,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More frequent reporting is required if such transaction value or account balances exceed €1,000,000.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2: “Nature of Grant” in Exhibit C:</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PSUs, the Grantee acknowledges, understands and agrees that the Grantee is voluntarily participating in the Plan and has received a copy of the Plan. The Grantee acknowledges having read and accepts Section 3: “Termination of Service Relationship” of this Agreement, and Section 1: “Nature of Grant” of 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1" w:name="page292"/>
    <w:bookmarkEnd w:id="291"/>
    <w:p>
      <w:pPr>
        <w:jc w:val="both"/>
        <w:spacing w:after="0" w:line="233" w:lineRule="auto"/>
        <w:rPr>
          <w:sz w:val="20"/>
          <w:szCs w:val="20"/>
          <w:color w:val="auto"/>
        </w:rPr>
      </w:pPr>
      <w:r>
        <w:rPr>
          <w:rFonts w:ascii="Times New Roman" w:cs="Times New Roman" w:eastAsia="Times New Roman" w:hAnsi="Times New Roman"/>
          <w:sz w:val="22"/>
          <w:szCs w:val="22"/>
          <w:color w:val="auto"/>
        </w:rPr>
        <w:t>The Grantee understands that the Company, in its sole discretion, has unilaterally, gratuitously and in its sole discretion decided to grant PSUs under the Plan to individuals who may be officers, employees, Non-Employee Directors and other key persons (including Consultants) of the Company and 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Grantee understands that the PSUs are granted on the assumption and condition that neither the PSUs nor the shares of Stock acquired at vesting of the PSUs shall become a part of any employment or other service contract (either with the Company or any of its Subsidiaries or affiliates) nor shall they be considered a mandatory benefit, salary for any purposes (including severance compensation) or any other right whatsoever. Further, the Grantee understands and freely accepts that the future value of the PSUs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PSUs grant shall be null and void.</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Grantee also understands and agrees that subject to any exceptions set forth in Section 3: “Termination of Service Relationship” of this Agreement, in the event of the termination of the Grantee’s Service Relationship for any reason (including the reasons listed below), the PSUs will cease vesting and any entitlement to exercise vested PSUs will start to run immediately effective on the date the Grantee is no longer providing services to the Service Recipient or the Company or any of its Subsidiaries. In particular, the Grantee understands and agrees that any unvested PSUs will be forfeited without entitlement to the underlying shares of Stock or to any amount as indemnification in the event of a termination of the Grantee’s Service Relationship as described in the Agreement prior to vesting of the PSUs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in connection with the grant of the PSUs. The Plan and the Agreement have not been nor will they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 not constitute a public offering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2" w:name="page293"/>
    <w:bookmarkEnd w:id="292"/>
    <w:p>
      <w:pPr>
        <w:jc w:val="both"/>
        <w:spacing w:after="0" w:line="258" w:lineRule="auto"/>
        <w:rPr>
          <w:sz w:val="20"/>
          <w:szCs w:val="20"/>
          <w:color w:val="auto"/>
        </w:rPr>
      </w:pPr>
      <w:r>
        <w:rPr>
          <w:rFonts w:ascii="Times New Roman" w:cs="Times New Roman" w:eastAsia="Times New Roman" w:hAnsi="Times New Roman"/>
          <w:sz w:val="22"/>
          <w:szCs w:val="22"/>
          <w:color w:val="auto"/>
        </w:rPr>
        <w:t>approved or supervised by any Swiss reviewing body according to article 51 FinSA or any Swiss regulatory authority, including the Swiss Financial Market Supervisory Authority.</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PSUs granted to the Grantee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Grantee is required to file with the Grantee’s tax return.</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8: “Tax Withholding” in the Agreement:</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8 of the Agreement, the Grantee hereby agrees that he or she is liable for all Tax-Related Items and hereby covenants to pay all such Tax-Related Items, as and when requested by the Company or the Service Recipient, as applicable, or by His Majesty’s Revenue &amp; Customs (“HMRC”) (or any other tax authority or any other relevant authority). The Grantee also hereby agrees to indemnify and keep indemnified the Company and the Service Recipient, as applicable, against any Tax-Related Items that they are required to pay or withhold or have paid or will pay to HMRC (or any other tax authority or any other relevant authority) on the Grantee’s behalf.</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Notwithstanding the foregoing, if the Grantee is a director or executive officer of the Company (within the meaning of Section 13(k) of the Exchange Act), the Grantee understands that he or she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he or she will be responsible for reporting and paying any income tax due on this additional benefit directly to HMRC under the self-assessment regime and for paying to the Company and/or the Service Recipient (as appropriate) the amount of any NICs due on this additional benefit, which may also be recovered from the Grantee by any of the means referred to in Section 8 of the Agreement.</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431 Election</w:t>
      </w:r>
      <w:r>
        <w:rPr>
          <w:rFonts w:ascii="Times New Roman" w:cs="Times New Roman" w:eastAsia="Times New Roman" w:hAnsi="Times New Roman"/>
          <w:sz w:val="22"/>
          <w:szCs w:val="22"/>
          <w:color w:val="auto"/>
        </w:rPr>
        <w:t>. If the Grantee is or becomes a director or executive officer of the Company (within the meaning of Section 13(k) of the Exchange Act) prior to vesting of the PSUs, the Company may require, as a condition of participation in the Plan and the settlement of the PSUs, that the Grantee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PSUs as if such shares were not restricted securities (for U.K. tax purposes only) despite the Company's clawback policy under the U.S.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3" w:name="page294"/>
    <w:bookmarkEnd w:id="293"/>
    <w:p>
      <w:pPr>
        <w:jc w:val="both"/>
        <w:spacing w:after="0" w:line="244" w:lineRule="auto"/>
        <w:rPr>
          <w:sz w:val="20"/>
          <w:szCs w:val="20"/>
          <w:color w:val="auto"/>
        </w:rPr>
      </w:pPr>
      <w:r>
        <w:rPr>
          <w:rFonts w:ascii="Times New Roman" w:cs="Times New Roman" w:eastAsia="Times New Roman" w:hAnsi="Times New Roman"/>
          <w:sz w:val="22"/>
          <w:szCs w:val="22"/>
          <w:color w:val="auto"/>
        </w:rPr>
        <w:t>Dodd-Frank Act of 2010. If the Grantee does not enter into the 431 Election if and when requested by the Company, the Grantee will not be entitled to vest in the PSUs and no shares of Stock will be issued to the Grantee, without any liability to the Company, the Service Recipient or any Subsidiary or affiliate.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2"/>
          <w:szCs w:val="22"/>
          <w:b w:val="1"/>
          <w:bCs w:val="1"/>
          <w:color w:val="auto"/>
        </w:rPr>
        <w:t>Exhibit 10.82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THE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 %%FIRST_NAME%-% %%LAST_NAME%-%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 %%TOTAL_SHARES_GRANTED,'999,999,999'%-%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 %%OPTION_DATE%-%</w:t>
      </w:r>
    </w:p>
    <w:p>
      <w:pPr>
        <w:spacing w:after="0" w:line="23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subject to the terms and conditions in this Restricted Stock Unit Award Agreement, including the Privacy Notice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General Terms and Conditions for Non-U.S. Grantees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any Country-Specific Terms and Conditions for the Grantee’s country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(collectively, the “Agreement”), and in the Plan. Each Restricted Stock Unit shall relate to one share of Common Stock, par value $0.001 per share, of the Company (the “Stock”).</w:t>
      </w:r>
    </w:p>
    <w:p>
      <w:pPr>
        <w:spacing w:after="0" w:line="205" w:lineRule="exact"/>
        <w:rPr>
          <w:sz w:val="20"/>
          <w:szCs w:val="20"/>
          <w:color w:val="auto"/>
        </w:rPr>
      </w:pPr>
    </w:p>
    <w:p>
      <w:pPr>
        <w:ind w:right="40" w:firstLine="656"/>
        <w:spacing w:after="0" w:line="238" w:lineRule="auto"/>
        <w:tabs>
          <w:tab w:leader="none" w:pos="135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203" w:lineRule="exact"/>
        <w:rPr>
          <w:rFonts w:ascii="Times New Roman" w:cs="Times New Roman" w:eastAsia="Times New Roman" w:hAnsi="Times New Roman"/>
          <w:sz w:val="22"/>
          <w:szCs w:val="22"/>
          <w:color w:val="auto"/>
        </w:rPr>
      </w:pPr>
    </w:p>
    <w:p>
      <w:pPr>
        <w:ind w:right="20" w:firstLine="656"/>
        <w:spacing w:after="0" w:line="248" w:lineRule="auto"/>
        <w:tabs>
          <w:tab w:leader="none" w:pos="135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Restricted Stock Units</w:t>
      </w:r>
      <w:r>
        <w:rPr>
          <w:rFonts w:ascii="Times New Roman" w:cs="Times New Roman" w:eastAsia="Times New Roman" w:hAnsi="Times New Roman"/>
          <w:sz w:val="21"/>
          <w:szCs w:val="21"/>
          <w:color w:val="auto"/>
        </w:rPr>
        <w:t>. The restrictions and conditions of Paragraph 1 of this Agreement shall lapse on the Vesting Date or Dates specified in the following schedule so long as the Grantee remains in a continuous Service Relationship with the Company or any Service Recipient (as such terms are defined in Section 3 below) through such Dates; provided that the vesting of the Award shall accelerate and the Award shall become fully vested immediately upon termination of the Grantee’s Service Relationship due to the Grantee’s death or disability. If a series of Vesting Dates is specified, then the restrictions and conditions in Paragraph 1 shall lapse only with respect to the number of Restricted Stock Units specified as vested on such date.</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Incremental Number of</w:t>
      </w:r>
    </w:p>
    <w:p>
      <w:pPr>
        <w:spacing w:after="0" w:line="18" w:lineRule="exact"/>
        <w:rPr>
          <w:sz w:val="20"/>
          <w:szCs w:val="20"/>
          <w:color w:val="auto"/>
        </w:rPr>
      </w:pPr>
    </w:p>
    <w:p>
      <w:pPr>
        <w:ind w:left="170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Restricted Stock Units Vested</w:t>
      </w:r>
      <w:r>
        <w:rPr>
          <w:sz w:val="20"/>
          <w:szCs w:val="20"/>
          <w:color w:val="auto"/>
        </w:rPr>
        <w:tab/>
      </w:r>
      <w:r>
        <w:rPr>
          <w:rFonts w:ascii="Times New Roman" w:cs="Times New Roman" w:eastAsia="Times New Roman" w:hAnsi="Times New Roman"/>
          <w:sz w:val="21"/>
          <w:szCs w:val="21"/>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-3810</wp:posOffset>
            </wp:positionV>
            <wp:extent cx="50317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42">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p>
      <w:pPr>
        <w:spacing w:after="0" w:line="223" w:lineRule="exact"/>
        <w:rPr>
          <w:sz w:val="20"/>
          <w:szCs w:val="20"/>
          <w:color w:val="auto"/>
        </w:rPr>
      </w:pPr>
    </w:p>
    <w:p>
      <w:pPr>
        <w:jc w:val="both"/>
        <w:ind w:left="1120"/>
        <w:spacing w:after="0" w:line="255" w:lineRule="auto"/>
        <w:rPr>
          <w:sz w:val="20"/>
          <w:szCs w:val="20"/>
          <w:color w:val="auto"/>
        </w:rPr>
      </w:pPr>
      <w:r>
        <w:rPr>
          <w:rFonts w:ascii="Times New Roman" w:cs="Times New Roman" w:eastAsia="Times New Roman" w:hAnsi="Times New Roman"/>
          <w:sz w:val="21"/>
          <w:szCs w:val="21"/>
          <w:color w:val="auto"/>
        </w:rPr>
        <w:t>%%SHARES_PERIOD1,’999,999,999’%-% %%SHARES_PERIOD2,’999,999,999’%-% %%SHARES_PERIOD3,’999,999,999’%-% %%SHARES_PERIOD4,’999,999,999’%-%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-633730</wp:posOffset>
            </wp:positionV>
            <wp:extent cx="5031740"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43">
                      <a:extLst>
                        <a:ext uri="{28A0092B-C50C-407E-A947-70E740481C1C}"/>
                      </a:extLst>
                    </a:blip>
                    <a:srcRect/>
                    <a:stretch>
                      <a:fillRect/>
                    </a:stretch>
                  </pic:blipFill>
                  <pic:spPr bwMode="auto">
                    <a:xfrm>
                      <a:off x="0" y="0"/>
                      <a:ext cx="5031740" cy="15430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-325120</wp:posOffset>
            </wp:positionV>
            <wp:extent cx="503174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4">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21"/>
          <w:szCs w:val="21"/>
          <w:color w:val="auto"/>
        </w:rPr>
        <w:t>%%VEST_DATE_PERIOD1%-% %%VEST_DATE_PERIOD2%-% %%VEST_DATE_PERIOD3%-% %%VEST_DATE_PERIOD4%-%</w:t>
      </w:r>
    </w:p>
    <w:p>
      <w:pPr>
        <w:spacing w:after="0" w:line="189" w:lineRule="exact"/>
        <w:rPr>
          <w:sz w:val="20"/>
          <w:szCs w:val="20"/>
          <w:color w:val="auto"/>
        </w:rPr>
      </w:pPr>
    </w:p>
    <w:p>
      <w:pPr>
        <w:sectPr>
          <w:pgSz w:w="11900" w:h="16838" w:orient="portrait"/>
          <w:cols w:equalWidth="0" w:num="2">
            <w:col w:w="5000" w:space="640"/>
            <w:col w:w="4280"/>
          </w:cols>
          <w:pgMar w:left="980" w:top="108"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1"/>
          <w:szCs w:val="21"/>
          <w:color w:val="auto"/>
        </w:rPr>
        <w:t>The Administrator may at any time accelerate the vesting schedule specified in this Paragraph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669925</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type w:val="continuous"/>
        </w:sectPr>
      </w:pPr>
    </w:p>
    <w:bookmarkStart w:id="295" w:name="page296"/>
    <w:bookmarkEnd w:id="295"/>
    <w:p>
      <w:pPr>
        <w:ind w:left="-460" w:right="20" w:firstLine="656"/>
        <w:spacing w:after="0" w:line="234" w:lineRule="auto"/>
        <w:tabs>
          <w:tab w:leader="none" w:pos="89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employment or service relationship as a consultant or director, as applicable (the “Service Relationship”) with the Company or, if different, the Subsidiary with which the Grantee has a Service Relationship (the “Service Recipient”)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The Company’s determination of the reason for termination of the Grantee’s Service Relationship shall be conclusive and binding on the Grantee and the Grantee’s representatives or legatees.</w:t>
      </w:r>
    </w:p>
    <w:p>
      <w:pPr>
        <w:spacing w:after="0" w:line="210" w:lineRule="exact"/>
        <w:rPr>
          <w:rFonts w:ascii="Times New Roman" w:cs="Times New Roman" w:eastAsia="Times New Roman" w:hAnsi="Times New Roman"/>
          <w:sz w:val="22"/>
          <w:szCs w:val="22"/>
          <w:color w:val="auto"/>
        </w:rPr>
      </w:pPr>
    </w:p>
    <w:p>
      <w:pPr>
        <w:ind w:left="-460" w:right="40" w:firstLine="656"/>
        <w:spacing w:after="0" w:line="238" w:lineRule="auto"/>
        <w:tabs>
          <w:tab w:leader="none" w:pos="89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3" w:lineRule="exact"/>
        <w:rPr>
          <w:rFonts w:ascii="Times New Roman" w:cs="Times New Roman" w:eastAsia="Times New Roman" w:hAnsi="Times New Roman"/>
          <w:sz w:val="22"/>
          <w:szCs w:val="22"/>
          <w:color w:val="auto"/>
        </w:rPr>
      </w:pPr>
    </w:p>
    <w:p>
      <w:pPr>
        <w:ind w:left="-460" w:right="260" w:firstLine="656"/>
        <w:spacing w:after="0" w:line="255" w:lineRule="auto"/>
        <w:tabs>
          <w:tab w:leader="none" w:pos="89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188" w:lineRule="exact"/>
        <w:rPr>
          <w:rFonts w:ascii="Times New Roman" w:cs="Times New Roman" w:eastAsia="Times New Roman" w:hAnsi="Times New Roman"/>
          <w:sz w:val="21"/>
          <w:szCs w:val="21"/>
          <w:color w:val="auto"/>
        </w:rPr>
      </w:pPr>
    </w:p>
    <w:p>
      <w:pPr>
        <w:ind w:left="900" w:hanging="704"/>
        <w:spacing w:after="0"/>
        <w:tabs>
          <w:tab w:leader="none" w:pos="9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60" w:firstLine="656"/>
        <w:spacing w:after="0" w:line="244" w:lineRule="auto"/>
        <w:tabs>
          <w:tab w:leader="none" w:pos="83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acknowledges that, regardless of any action taken by the Company or the Service Recipient,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actually withheld by the Company or the Service Recipient. The Grantee further acknowledges that the Company and/or the Service Recipient (1) make no representations or undertakings regarding the treatment of any Tax-Related Items in connection with any aspect of the Restricted Stock Units, including, but not limited to, the grant or vesting of the Restricted Stock Units, the subsequent sale of shares of Stock acquired pursuant to such vesting and the receipt of any dividends; and (2)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he or she acknowledges that the Company and/or the Service Recipient (or former Service Recipient, as applicable) may be required to withhold or account for Tax-Related Items in more than one jurisdiction.</w:t>
      </w:r>
    </w:p>
    <w:p>
      <w:pPr>
        <w:spacing w:after="0" w:line="210" w:lineRule="exact"/>
        <w:rPr>
          <w:rFonts w:ascii="Times New Roman" w:cs="Times New Roman" w:eastAsia="Times New Roman" w:hAnsi="Times New Roman"/>
          <w:sz w:val="21"/>
          <w:szCs w:val="21"/>
          <w:color w:val="auto"/>
        </w:rPr>
      </w:pPr>
    </w:p>
    <w:p>
      <w:pPr>
        <w:ind w:left="-460" w:right="120" w:firstLine="656"/>
        <w:spacing w:after="0" w:line="236" w:lineRule="auto"/>
        <w:tabs>
          <w:tab w:leader="none" w:pos="8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relevant taxable or tax withholding event, as applicable, the Grantee agrees to make adequate arrangements satisfactory to the Administrator to satisfy all Tax-Related Items. In this regard, the Grantee authorizes and directs the Company to cause its transfer agent and any manager of the Company’s stock plan benefits to sell on the Grantee’s behalf a whole number of shares of Stock from those shares of Stock issued to the Grantee necessary to satisfy the Tax-Related Items withholding obligations. The Grantee acknowledges that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492760</wp:posOffset>
            </wp:positionV>
            <wp:extent cx="629221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20"/>
          </w:cols>
          <w:pgMar w:left="1440" w:top="112" w:right="1039" w:bottom="1440" w:gutter="0" w:footer="0" w:header="0"/>
        </w:sectPr>
      </w:pPr>
    </w:p>
    <w:bookmarkStart w:id="296" w:name="page297"/>
    <w:bookmarkEnd w:id="296"/>
    <w:p>
      <w:pPr>
        <w:ind w:right="180"/>
        <w:spacing w:after="0" w:line="258" w:lineRule="auto"/>
        <w:rPr>
          <w:sz w:val="20"/>
          <w:szCs w:val="20"/>
          <w:color w:val="auto"/>
        </w:rPr>
      </w:pPr>
      <w:r>
        <w:rPr>
          <w:rFonts w:ascii="Times New Roman" w:cs="Times New Roman" w:eastAsia="Times New Roman" w:hAnsi="Times New Roman"/>
          <w:sz w:val="22"/>
          <w:szCs w:val="22"/>
          <w:color w:val="auto"/>
        </w:rPr>
        <w:t>shall have no control over the timing of such mandatory sale, and the Company shall use the proceeds from such sale to satisfy the Grantee’s liability for Tax-Related Items.</w:t>
      </w:r>
    </w:p>
    <w:p>
      <w:pPr>
        <w:spacing w:after="0" w:line="186" w:lineRule="exact"/>
        <w:rPr>
          <w:sz w:val="20"/>
          <w:szCs w:val="20"/>
          <w:color w:val="auto"/>
        </w:rPr>
      </w:pPr>
    </w:p>
    <w:p>
      <w:pPr>
        <w:ind w:firstLine="656"/>
        <w:spacing w:after="0" w:line="233"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such mandatory sale is prevented by a legal, contractual, regulatory or accounting restriction or if the obligation for Tax-Related Items arises other than in connection with the vesting (and associated settlement) of the Restricted Stock Units, the Grantee authorizes the Company and/or the Service Recipient, or their respective agents, to satisfy any applicable withholding obligations with regard to all Tax-Related Items by one or a combination of the following: (a) requiring the Grantee to make a payment in a form acceptable to the Company; (b) withholding from wages or other cash compensation paid to the Grantee by the Company, including director fees, and/or the Service Recipient; (c) withholding in shares of Stock to be issued upon vesting of the Restricted Stock Units (provided, in the case of Section 16 officer of the Company subject to Section 16 of the Exchange Act of 1934 (the “Exchange Act”), that this method is authorized by the Administrator as constituted in accordance with Rule 16b-3 under the Exchange Act); or (d) any other method of withholding determined by the Administrator and permitted by applicable law.</w:t>
      </w:r>
    </w:p>
    <w:p>
      <w:pPr>
        <w:spacing w:after="0" w:line="214" w:lineRule="exact"/>
        <w:rPr>
          <w:rFonts w:ascii="Times New Roman" w:cs="Times New Roman" w:eastAsia="Times New Roman" w:hAnsi="Times New Roman"/>
          <w:sz w:val="22"/>
          <w:szCs w:val="22"/>
          <w:color w:val="auto"/>
        </w:rPr>
      </w:pPr>
    </w:p>
    <w:p>
      <w:pPr>
        <w:ind w:firstLine="656"/>
        <w:spacing w:after="0" w:line="234"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Depending on the withholding method, the Company may withhold or account for Tax-Related Items by considering applicable minimum statutory withholding rates or other applicable withholding rates, including maximum applicable rates in the Grantee’s jurisdiction(s). In the event of over-withholding, the Grantee may receive a refund of any over-withheld amount in cash and will have no entitlement to the equivalent in shares of Stock, or if not refunded, the Grantee may seek a refund from local tax authorities. In the event of under-withholding, the Grantee may be required to pay additional Tax-Related Items directly to the applicable tax authority or to the Company and/or the Service Recipient. If the obligation for Tax-Related Items is satisfied by withholding in shares of Stock, for tax purposes, the Grantee is deemed to have been issued the full number of shares of Stock subject to the vested Restricted Stock Units, notwithstanding that a number of shares of Stock are held back solely for the purpose of paying the Tax-Related Items.</w:t>
      </w:r>
    </w:p>
    <w:p>
      <w:pPr>
        <w:spacing w:after="0" w:line="206" w:lineRule="exact"/>
        <w:rPr>
          <w:rFonts w:ascii="Times New Roman" w:cs="Times New Roman" w:eastAsia="Times New Roman" w:hAnsi="Times New Roman"/>
          <w:sz w:val="22"/>
          <w:szCs w:val="22"/>
          <w:color w:val="auto"/>
        </w:rPr>
      </w:pPr>
    </w:p>
    <w:p>
      <w:pPr>
        <w:ind w:right="200" w:firstLine="656"/>
        <w:spacing w:after="0" w:line="244" w:lineRule="auto"/>
        <w:tabs>
          <w:tab w:leader="none" w:pos="129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Grantee fails to comply with the Grantee’s obligations in connection with the Tax-Related Items.</w:t>
      </w:r>
    </w:p>
    <w:p>
      <w:pPr>
        <w:spacing w:after="0" w:line="200" w:lineRule="exact"/>
        <w:rPr>
          <w:sz w:val="20"/>
          <w:szCs w:val="20"/>
          <w:color w:val="auto"/>
        </w:rPr>
      </w:pPr>
    </w:p>
    <w:p>
      <w:pPr>
        <w:ind w:right="120" w:firstLine="656"/>
        <w:spacing w:after="0" w:line="244" w:lineRule="auto"/>
        <w:tabs>
          <w:tab w:leader="none" w:pos="135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200" w:lineRule="exact"/>
        <w:rPr>
          <w:rFonts w:ascii="Times New Roman" w:cs="Times New Roman" w:eastAsia="Times New Roman" w:hAnsi="Times New Roman"/>
          <w:sz w:val="22"/>
          <w:szCs w:val="22"/>
          <w:color w:val="auto"/>
        </w:rPr>
      </w:pPr>
    </w:p>
    <w:p>
      <w:pPr>
        <w:ind w:right="140" w:firstLine="656"/>
        <w:spacing w:after="0" w:line="255" w:lineRule="auto"/>
        <w:tabs>
          <w:tab w:leader="none" w:pos="135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the Service Recipient, as applicable, is obligated by or as a result of the Plan or this Agreement to continue the Grantee’s Service Relationship and neither the Plan nor this Agreement shall interfere in any way with the right of the Company or the Service Recipient, as applicable, to terminate the Service Relationship of the Grantee at any time.</w:t>
      </w:r>
    </w:p>
    <w:p>
      <w:pPr>
        <w:spacing w:after="0" w:line="188" w:lineRule="exact"/>
        <w:rPr>
          <w:rFonts w:ascii="Times New Roman" w:cs="Times New Roman" w:eastAsia="Times New Roman" w:hAnsi="Times New Roman"/>
          <w:sz w:val="21"/>
          <w:szCs w:val="21"/>
          <w:color w:val="auto"/>
        </w:rPr>
      </w:pPr>
    </w:p>
    <w:p>
      <w:pPr>
        <w:ind w:right="260" w:firstLine="656"/>
        <w:spacing w:after="0" w:line="244" w:lineRule="auto"/>
        <w:tabs>
          <w:tab w:leader="none" w:pos="135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00"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In order to administer the Plan and this Agreement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508000</wp:posOffset>
            </wp:positionV>
            <wp:extent cx="629221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7" w:name="page298"/>
    <w:bookmarkEnd w:id="297"/>
    <w:p>
      <w:pPr>
        <w:spacing w:after="0" w:line="235" w:lineRule="auto"/>
        <w:rPr>
          <w:sz w:val="20"/>
          <w:szCs w:val="20"/>
          <w:color w:val="auto"/>
        </w:rPr>
      </w:pPr>
      <w:r>
        <w:rPr>
          <w:rFonts w:ascii="Times New Roman" w:cs="Times New Roman" w:eastAsia="Times New Roman" w:hAnsi="Times New Roman"/>
          <w:sz w:val="22"/>
          <w:szCs w:val="22"/>
          <w:color w:val="auto"/>
        </w:rPr>
        <w:t>implement or structure future equity grants, the Company may collect and process the Grantee’s personal data, including sharing it with its Subsidiaries and certain agents thereof (together, the “Relevant Companies”) in connection with administering the Plan and performing its obligations under this Agreement (the “Relevant Information”). The Company may also transfer the Grantee’s personal data to countries with privacy laws that may be less protective than those of the Grantee’s country. The attached Exhibit A -- Privacy Notice, incorporated by reference into this Agreement as if fully set forth herein, further describes how the Grantee’s personal data will be processed and the Grantee’s rights with respect to personal data processed for the purposes of administering the Plan and this Agreement.</w:t>
      </w:r>
    </w:p>
    <w:p>
      <w:pPr>
        <w:spacing w:after="0" w:line="206" w:lineRule="exact"/>
        <w:rPr>
          <w:sz w:val="20"/>
          <w:szCs w:val="20"/>
          <w:color w:val="auto"/>
        </w:rPr>
      </w:pPr>
    </w:p>
    <w:p>
      <w:pPr>
        <w:ind w:right="60" w:firstLine="656"/>
        <w:spacing w:after="0" w:line="244" w:lineRule="auto"/>
        <w:tabs>
          <w:tab w:leader="none" w:pos="134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rFonts w:ascii="Times New Roman" w:cs="Times New Roman" w:eastAsia="Times New Roman" w:hAnsi="Times New Roman"/>
          <w:sz w:val="22"/>
          <w:szCs w:val="22"/>
          <w:color w:val="auto"/>
        </w:rPr>
      </w:pPr>
    </w:p>
    <w:p>
      <w:pPr>
        <w:ind w:right="300" w:firstLine="656"/>
        <w:spacing w:after="0" w:line="238" w:lineRule="auto"/>
        <w:tabs>
          <w:tab w:leader="none" w:pos="129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Award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spacing w:after="0" w:line="203"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208" w:lineRule="exact"/>
        <w:rPr>
          <w:rFonts w:ascii="Times New Roman" w:cs="Times New Roman" w:eastAsia="Times New Roman" w:hAnsi="Times New Roman"/>
          <w:sz w:val="22"/>
          <w:szCs w:val="22"/>
          <w:color w:val="auto"/>
        </w:rPr>
      </w:pPr>
    </w:p>
    <w:p>
      <w:pPr>
        <w:ind w:right="40" w:firstLine="656"/>
        <w:spacing w:after="0" w:line="244" w:lineRule="auto"/>
        <w:tabs>
          <w:tab w:leader="none" w:pos="129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rFonts w:ascii="Times New Roman" w:cs="Times New Roman" w:eastAsia="Times New Roman" w:hAnsi="Times New Roman"/>
          <w:sz w:val="22"/>
          <w:szCs w:val="22"/>
          <w:color w:val="auto"/>
        </w:rPr>
      </w:pPr>
    </w:p>
    <w:p>
      <w:pPr>
        <w:ind w:right="140" w:firstLine="656"/>
        <w:spacing w:after="0" w:line="244" w:lineRule="auto"/>
        <w:tabs>
          <w:tab w:leader="none" w:pos="129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Grantee acknowledges that a waiver by the Company of breach of any provision this Agreement shall not operate or be construed as a waiver of any other provision of this Agreement, or of any subsequent breach by the Grantee or any other grantee.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80" w:lineRule="exact"/>
        <w:rPr>
          <w:sz w:val="20"/>
          <w:szCs w:val="20"/>
          <w:color w:val="auto"/>
        </w:rPr>
      </w:pPr>
    </w:p>
    <w:p>
      <w:pPr>
        <w:ind w:left="4720"/>
        <w:spacing w:after="0"/>
        <w:tabs>
          <w:tab w:leader="none" w:pos="5280" w:val="left"/>
        </w:tabs>
        <w:rPr>
          <w:sz w:val="20"/>
          <w:szCs w:val="20"/>
          <w:color w:val="auto"/>
        </w:rPr>
      </w:pPr>
      <w:r>
        <w:rPr>
          <w:rFonts w:ascii="Times New Roman" w:cs="Times New Roman" w:eastAsia="Times New Roman" w:hAnsi="Times New Roman"/>
          <w:sz w:val="22"/>
          <w:szCs w:val="22"/>
          <w:color w:val="auto"/>
        </w:rPr>
        <w:t>By:</w:t>
        <w:tab/>
        <w:t>/s/ Kathryn D. Haviland</w:t>
      </w:r>
    </w:p>
    <w:p>
      <w:pPr>
        <w:spacing w:after="0" w:line="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Name:Kathryn D.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-158115</wp:posOffset>
            </wp:positionV>
            <wp:extent cx="29317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98" w:name="page299"/>
    <w:bookmarkEnd w:id="298"/>
    <w:p>
      <w:pPr>
        <w:ind w:right="99"/>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10795</wp:posOffset>
            </wp:positionV>
            <wp:extent cx="58889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50">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0" w:lineRule="exact"/>
        <w:rPr>
          <w:sz w:val="20"/>
          <w:szCs w:val="20"/>
          <w:color w:val="auto"/>
        </w:rPr>
      </w:pPr>
    </w:p>
    <w:p>
      <w:pPr>
        <w:spacing w:after="0" w:line="25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u w:val="single" w:color="auto"/>
          <w:color w:val="auto"/>
        </w:rPr>
        <w:t>%%FIRST_NAME%-%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-3810</wp:posOffset>
            </wp:positionV>
            <wp:extent cx="32404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51">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u w:val="single" w:color="auto"/>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-3810</wp:posOffset>
            </wp:positionV>
            <wp:extent cx="32404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5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u w:val="single" w:color="auto"/>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-3810</wp:posOffset>
            </wp:positionV>
            <wp:extent cx="32404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5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u w:val="single" w:color="auto"/>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-3810</wp:posOffset>
            </wp:positionV>
            <wp:extent cx="32404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5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u w:val="single" w:color="auto"/>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-3810</wp:posOffset>
            </wp:positionV>
            <wp:extent cx="324040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55">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u w:val="single" w:color="auto"/>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793115</wp:posOffset>
            </wp:positionV>
            <wp:extent cx="629221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-3810</wp:posOffset>
            </wp:positionV>
            <wp:extent cx="32404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5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ectPr>
          <w:pgSz w:w="11900" w:h="16838" w:orient="portrait"/>
          <w:cols w:equalWidth="0" w:num="1">
            <w:col w:w="9479"/>
          </w:cols>
          <w:pgMar w:left="980" w:top="112" w:right="1440"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you, the individual named as the Grantee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 European Commission, the Company has implemented adequate measures to protect your personal data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489585</wp:posOffset>
            </wp:positionV>
            <wp:extent cx="629221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00" w:name="page301"/>
    <w:bookmarkEnd w:id="300"/>
    <w:p>
      <w:pPr>
        <w:jc w:val="both"/>
        <w:spacing w:after="0" w:line="258" w:lineRule="auto"/>
        <w:rPr>
          <w:sz w:val="20"/>
          <w:szCs w:val="20"/>
          <w:color w:val="auto"/>
        </w:rPr>
      </w:pPr>
      <w:r>
        <w:rPr>
          <w:rFonts w:ascii="Times New Roman" w:cs="Times New Roman" w:eastAsia="Times New Roman" w:hAnsi="Times New Roman"/>
          <w:sz w:val="22"/>
          <w:szCs w:val="22"/>
          <w:color w:val="auto"/>
        </w:rPr>
        <w:t>putting in place contractual arrangements approved by the European Commission, or Standard Contractual Clauses).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questions about this Privacy Notice, to exercise applicable rights related to your personal data, or for more information about the Company’s privacy and data protection practices, please contact us at the appropriate locations: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Privacy@blueprintmedicines.com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662305</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301" w:name="page302"/>
    <w:bookmarkEnd w:id="30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Grantees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Exhibit B, which is part of the Restricted Stock Unit Award Agreement for Employees, contains additional terms and conditions that will apply to the Grantee if residing outside the United States.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Restricted Stock Unit Award Agreement for Employees.</w:t>
      </w:r>
    </w:p>
    <w:p>
      <w:pPr>
        <w:spacing w:after="0" w:line="200" w:lineRule="exact"/>
        <w:rPr>
          <w:sz w:val="20"/>
          <w:szCs w:val="20"/>
          <w:color w:val="auto"/>
        </w:rPr>
      </w:pPr>
    </w:p>
    <w:p>
      <w:pPr>
        <w:ind w:left="660" w:hanging="652"/>
        <w:spacing w:after="0" w:line="258" w:lineRule="auto"/>
        <w:tabs>
          <w:tab w:leader="none" w:pos="6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Restricted Stock Units, the Grantee acknowledges, understands and agrees that:</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Company;</w:t>
      </w:r>
    </w:p>
    <w:p>
      <w:pPr>
        <w:spacing w:after="0" w:line="158" w:lineRule="exact"/>
        <w:rPr>
          <w:rFonts w:ascii="Times New Roman" w:cs="Times New Roman" w:eastAsia="Times New Roman" w:hAnsi="Times New Roman"/>
          <w:sz w:val="22"/>
          <w:szCs w:val="22"/>
          <w:color w:val="auto"/>
        </w:rPr>
      </w:pPr>
    </w:p>
    <w:p>
      <w:pPr>
        <w:ind w:left="1300" w:right="20" w:hanging="644"/>
        <w:spacing w:after="0" w:line="257" w:lineRule="auto"/>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shall not be interpreted as forming an employment or services contract with the Company or any Subsidiary;</w:t>
      </w:r>
    </w:p>
    <w:p>
      <w:pPr>
        <w:spacing w:after="0" w:line="15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voluntarily participating in the Plan;</w:t>
      </w:r>
    </w:p>
    <w:p>
      <w:pPr>
        <w:spacing w:after="0" w:line="206"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of Stock subject to the Restricted Stock Units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of Stock subject to the Restricted Stock Units, and the income and value of same, are not part of normal or expected compensation for any purpose, and do not confer on Grantee any right to receive Director fees or other compensation in any specific amount;</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Restricted Stock Units and the shares of Stock subject to the Restricted Stock Units, and the income and value of same, are not granted as consideration for, or in connection with, the service the Grantee may provide as a director of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02" w:name="page303"/>
    <w:bookmarkEnd w:id="302"/>
    <w:p>
      <w:pPr>
        <w:ind w:left="1292" w:right="20" w:hanging="644"/>
        <w:spacing w:after="0" w:line="258" w:lineRule="auto"/>
        <w:tabs>
          <w:tab w:leader="none" w:pos="129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of Stock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service as a member of the Board (for any reason whatsoever);</w:t>
      </w:r>
    </w:p>
    <w:p>
      <w:pPr>
        <w:spacing w:after="0" w:line="172"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79" w:lineRule="exact"/>
        <w:rPr>
          <w:rFonts w:ascii="Times New Roman" w:cs="Times New Roman" w:eastAsia="Times New Roman" w:hAnsi="Times New Roman"/>
          <w:sz w:val="22"/>
          <w:szCs w:val="22"/>
          <w:color w:val="auto"/>
        </w:rPr>
      </w:pPr>
    </w:p>
    <w:p>
      <w:pPr>
        <w:jc w:val="both"/>
        <w:ind w:left="652" w:hanging="652"/>
        <w:spacing w:after="0" w:line="237" w:lineRule="auto"/>
        <w:tabs>
          <w:tab w:leader="none" w:pos="65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or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acquisition or sale of the underlying shares of Stock. The Grantee is hereby advised to consult with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own personal tax, legal and financial advisors regarding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before taking any action related to the Plan.</w:t>
      </w:r>
    </w:p>
    <w:p>
      <w:pPr>
        <w:spacing w:after="0" w:line="179" w:lineRule="exact"/>
        <w:rPr>
          <w:rFonts w:ascii="Times New Roman" w:cs="Times New Roman" w:eastAsia="Times New Roman" w:hAnsi="Times New Roman"/>
          <w:sz w:val="22"/>
          <w:szCs w:val="22"/>
          <w:color w:val="auto"/>
        </w:rPr>
      </w:pPr>
    </w:p>
    <w:p>
      <w:pPr>
        <w:jc w:val="both"/>
        <w:ind w:left="652" w:right="20" w:hanging="652"/>
        <w:spacing w:after="0" w:line="244" w:lineRule="auto"/>
        <w:tabs>
          <w:tab w:leader="none" w:pos="65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7" w:lineRule="auto"/>
        <w:tabs>
          <w:tab w:leader="none" w:pos="65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on the Restricted Stock Units and on any shares of Stock acquired under the Plan, to the extent the Company determines it is necessary or advisable for legal or administrative reasons, and to require the Grantee to sign any additional agreements or undertakings that may be necessary to accomplish the foregoing.</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46" w:lineRule="auto"/>
        <w:tabs>
          <w:tab w:leader="none" w:pos="65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The Grantee acknowledges that, depending on the Grantee</w:t>
      </w:r>
      <w:r>
        <w:rPr>
          <w:rFonts w:ascii="Arial" w:cs="Arial" w:eastAsia="Arial" w:hAnsi="Arial"/>
          <w:sz w:val="21"/>
          <w:szCs w:val="21"/>
          <w:color w:val="auto"/>
        </w:rPr>
        <w:t>’</w:t>
      </w:r>
      <w:r>
        <w:rPr>
          <w:rFonts w:ascii="Times New Roman" w:cs="Times New Roman" w:eastAsia="Times New Roman" w:hAnsi="Times New Roman"/>
          <w:sz w:val="21"/>
          <w:szCs w:val="21"/>
          <w:color w:val="auto"/>
        </w:rPr>
        <w:t>s country, the Grantee may be subject to insider trading restrictions and/or market abuse laws, which may affect the ability to acquire or sell shares of Stock or rights to shares of Stock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Restricted Stock Units) under the Plan during such times as the Grantee is considered to have </w:t>
      </w:r>
      <w:r>
        <w:rPr>
          <w:rFonts w:ascii="Arial" w:cs="Arial" w:eastAsia="Arial" w:hAnsi="Arial"/>
          <w:sz w:val="21"/>
          <w:szCs w:val="21"/>
          <w:color w:val="auto"/>
        </w:rPr>
        <w:t>“</w:t>
      </w:r>
      <w:r>
        <w:rPr>
          <w:rFonts w:ascii="Times New Roman" w:cs="Times New Roman" w:eastAsia="Times New Roman" w:hAnsi="Times New Roman"/>
          <w:sz w:val="21"/>
          <w:szCs w:val="21"/>
          <w:color w:val="auto"/>
        </w:rPr>
        <w:t>inside information</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regarding the Company (as defined by the laws in the Grantee</w:t>
      </w:r>
      <w:r>
        <w:rPr>
          <w:rFonts w:ascii="Arial" w:cs="Arial" w:eastAsia="Arial" w:hAnsi="Arial"/>
          <w:sz w:val="21"/>
          <w:szCs w:val="21"/>
          <w:color w:val="auto"/>
        </w:rPr>
        <w:t>’</w:t>
      </w:r>
      <w:r>
        <w:rPr>
          <w:rFonts w:ascii="Times New Roman" w:cs="Times New Roman" w:eastAsia="Times New Roman" w:hAnsi="Times New Roman"/>
          <w:sz w:val="21"/>
          <w:szCs w:val="21"/>
          <w:color w:val="auto"/>
        </w:rPr>
        <w:t>s country). Any restrictions under these laws or regulations are separate from and in addition to any restrictions that may be imposed under any applicable Company insider trading policy. The Grantee is responsible for ensuring compliance with any applicable restrictions and is advised to consult a personal legal advisor on this matter.</w:t>
      </w:r>
    </w:p>
    <w:p>
      <w:pPr>
        <w:spacing w:after="0" w:line="177" w:lineRule="exact"/>
        <w:rPr>
          <w:rFonts w:ascii="Times New Roman" w:cs="Times New Roman" w:eastAsia="Times New Roman" w:hAnsi="Times New Roman"/>
          <w:sz w:val="21"/>
          <w:szCs w:val="21"/>
          <w:color w:val="auto"/>
        </w:rPr>
      </w:pPr>
    </w:p>
    <w:p>
      <w:pPr>
        <w:jc w:val="both"/>
        <w:ind w:left="652" w:hanging="652"/>
        <w:spacing w:after="0" w:line="235" w:lineRule="auto"/>
        <w:tabs>
          <w:tab w:leader="none" w:pos="65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 Exchange Controls</w:t>
      </w:r>
      <w:r>
        <w:rPr>
          <w:rFonts w:ascii="Times New Roman" w:cs="Times New Roman" w:eastAsia="Times New Roman" w:hAnsi="Times New Roman"/>
          <w:sz w:val="22"/>
          <w:szCs w:val="22"/>
          <w:color w:val="auto"/>
        </w:rPr>
        <w:t>.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may have certain foreign asset and/or account reporting requirements and/or exchange controls which may affect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ability to acquire or hold shares of Stock under the Plan or cash received from participating in the Plan (including from any dividends received or sale proceeds arising from the sale of shares of Stock) in a brokerage or bank account outside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Grantee may be required to report such accounts, assets or transactions to the tax or other authorities in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The Grantee also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628650</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2" w:right="999" w:bottom="1440" w:gutter="0" w:footer="0" w:header="0"/>
        </w:sectPr>
      </w:pPr>
    </w:p>
    <w:bookmarkStart w:id="303" w:name="page304"/>
    <w:bookmarkEnd w:id="303"/>
    <w:p>
      <w:pPr>
        <w:jc w:val="both"/>
        <w:ind w:left="200"/>
        <w:spacing w:after="0" w:line="239" w:lineRule="auto"/>
        <w:rPr>
          <w:sz w:val="20"/>
          <w:szCs w:val="20"/>
          <w:color w:val="auto"/>
        </w:rPr>
      </w:pPr>
      <w:r>
        <w:rPr>
          <w:rFonts w:ascii="Times New Roman" w:cs="Times New Roman" w:eastAsia="Times New Roman" w:hAnsi="Times New Roman"/>
          <w:sz w:val="22"/>
          <w:szCs w:val="22"/>
          <w:color w:val="auto"/>
        </w:rPr>
        <w:t>be required to repatriate sale proceeds or other funds received as a result of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participation in the Plan to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country through a designated bank or broker and/or within a certain time after receipt. The Grantee acknowledges that it is the Grantee</w:t>
      </w:r>
      <w:r>
        <w:rPr>
          <w:rFonts w:ascii="Arial" w:cs="Arial" w:eastAsia="Arial" w:hAnsi="Arial"/>
          <w:sz w:val="22"/>
          <w:szCs w:val="22"/>
          <w:color w:val="auto"/>
        </w:rPr>
        <w:t>’</w:t>
      </w:r>
      <w:r>
        <w:rPr>
          <w:rFonts w:ascii="Times New Roman" w:cs="Times New Roman" w:eastAsia="Times New Roman" w:hAnsi="Times New Roman"/>
          <w:sz w:val="22"/>
          <w:szCs w:val="22"/>
          <w:color w:val="auto"/>
        </w:rPr>
        <w:t>s responsibility to be compliant with such regulations, and the Grantee is advised to consult a personal legal advisor for any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918845</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EMPLOYEES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Restricted Stock Unit Award Agreement for Employees and the General Terms and Conditions for Non-U.S. Grantees attached thereto as Exhibit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C includes additional terms and conditions that govern the Restricted Stock Units granted to the Grantee if the Grantee resides and/or works in a country listed below. If the Grantee moves to another country after receiving the grant of the Restricted Stock Units, the Company will, in its discretion, determine the extent to which the terms and conditions herein will be applicable to the Grantee.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C also includes information regarding exchange controls and certain other issues of which the Grantee should be aware with respect to the Grantee’s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Grantee not rely on the information in this Exhibit C as the only source of information relating to the consequences of the Grantee’s participation in the Plan because the information may be out of date at the time that the Restricted Stock Units vest or the Grantee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Grantee’s particular situation and the Company is not in a position to assure the Grantee of a particular result. Accordingly, the Grantee should seek appropriate professional advice as to how the relevant laws in the Grantee’s country may apply to the Grantee’s situation.</w:t>
      </w:r>
    </w:p>
    <w:p>
      <w:pPr>
        <w:spacing w:after="0" w:line="18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Finally, if the Grantee is a citizen or resident of a country other than the one in which the Grantee is currently residing and/or working (or if the Grantee is considered as such for local law purposes), the information contained herein may not be applicable to the Grantee in the same manner.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Restricted Stock Units Not French-Qualified</w:t>
      </w:r>
      <w:r>
        <w:rPr>
          <w:rFonts w:ascii="Times New Roman" w:cs="Times New Roman" w:eastAsia="Times New Roman" w:hAnsi="Times New Roman"/>
          <w:sz w:val="22"/>
          <w:szCs w:val="22"/>
          <w:color w:val="auto"/>
        </w:rPr>
        <w:t>. The Restricted Stock Units granted under this Agreement are not intended to qualify for the specific tax and social security treatment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05" w:name="page306"/>
    <w:bookmarkEnd w:id="305"/>
    <w:p>
      <w:pPr>
        <w:jc w:val="both"/>
        <w:spacing w:after="0" w:line="259" w:lineRule="auto"/>
        <w:rPr>
          <w:sz w:val="20"/>
          <w:szCs w:val="20"/>
          <w:color w:val="auto"/>
        </w:rPr>
      </w:pPr>
      <w:r>
        <w:rPr>
          <w:rFonts w:ascii="Times New Roman" w:cs="Times New Roman" w:eastAsia="Times New Roman" w:hAnsi="Times New Roman"/>
          <w:sz w:val="22"/>
          <w:szCs w:val="22"/>
          <w:color w:val="auto"/>
        </w:rPr>
        <w:t>to Sections L. 225-197-1 to L. 225-197-5 and L. 22-10-59 to L. 22-10-60 of the French Commercial Code, as amended.</w:t>
      </w:r>
    </w:p>
    <w:p>
      <w:pPr>
        <w:spacing w:after="0" w:line="1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Restricted Stock Units, the Grantee confirms having read and understood the Plan and the Agreement, including Exhibits A, B, and this Exhibit C, and all terms and conditions included therein, which were provided in the English language. The Grantee accepts the terms of those documents accordingly.</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Restricted Stock Units, le Titulaire de les Restricted Stock Units confirme avoir lu et compris le Plan et le Contrat y relatifs, incluant tous leurs termes et conditions, qui ont été transmis en langue anglaise. Le Titulaire de les Restricted Stock Units accepte les dispositions de ces documents en connaissance de cause.</w:t>
      </w:r>
    </w:p>
    <w:p>
      <w:pPr>
        <w:spacing w:after="0" w:line="13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Grantee imports or exports cash (e.g., proceeds from the sale of shares of Stock acquired under the Plan) with a value equal to or exceeding a certain threshold (currently €10,000), and does not use a financial institution to do so, he or she must submit a report to the customs and excise authorities.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Grantee must report any shares of Stock and bank or brokerage accounts he or she holds outside France (including any accounts that were opened, used and/or closed during the tax year) on an annual basis, on form No. 3916, together with their income tax return. It is the Grantee’s responsibility to comply with French foreign asset and account reporting requirements, and neither the Company nor the Service Recipient will be liable for any resulting fines or penalties.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available via Bundesbank’s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Additional reporting to the Bundesbank via email or telephone may be required.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Grantee will need to report the acquisition when the Grantee files his or her tax return for the relevant year. A qualified participation is attained if (i) the value of the shares of Stock acquired exceeds €150,000 or (ii) in the unlikely event the Grantee holds shares of Stock exceeding 10% of the Company’s total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By accepting the Restricted Stock Units, the Grantee acknowledges that the Grantee has received a copy of the Plan and the Agreement, including Exhibits A, B, and this Exhibit C, has reviewed these documents in their entirety and fully understands and accepts all provisions contained therein. The Grantee further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1"/>
          <w:szCs w:val="21"/>
          <w:color w:val="auto"/>
        </w:rPr>
        <w:t>the Grantee has read and specifically and expressly approves the provisions regarding Section 3: “Termination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  Relationship,”  Section  6:  “Tax  Withholding,”  Section  7:  “No  Obligation  to  Continue  Service</w:t>
      </w:r>
    </w:p>
    <w:p>
      <w:pPr>
        <w:spacing w:after="0"/>
        <w:rPr>
          <w:sz w:val="20"/>
          <w:szCs w:val="20"/>
          <w:color w:val="auto"/>
        </w:rPr>
      </w:pPr>
      <w:r>
        <w:rPr>
          <w:rFonts w:ascii="Times New Roman" w:cs="Times New Roman" w:eastAsia="Times New Roman" w:hAnsi="Times New Roman"/>
          <w:sz w:val="21"/>
          <w:szCs w:val="21"/>
          <w:color w:val="auto"/>
        </w:rPr>
        <w:t>Relationship,” Section 9: “Personal Data,” and Section 12: “Governing Law and Venue” in the Agreement, as well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Section 1: “Nature of Grant,” and Section 3: “Language” in Exhibit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he or she is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 €1,000,000. More frequent reporting is required if such transaction value or account balances exceed €1,000,000.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1: “Nature of Grant” in this Exhibit 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accepting the Restricted Stock Units, the Grantee acknowledges, understands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07" w:name="page308"/>
    <w:bookmarkEnd w:id="307"/>
    <w:p>
      <w:pPr>
        <w:jc w:val="both"/>
        <w:spacing w:after="0" w:line="244" w:lineRule="auto"/>
        <w:rPr>
          <w:sz w:val="20"/>
          <w:szCs w:val="20"/>
          <w:color w:val="auto"/>
        </w:rPr>
      </w:pPr>
      <w:r>
        <w:rPr>
          <w:rFonts w:ascii="Times New Roman" w:cs="Times New Roman" w:eastAsia="Times New Roman" w:hAnsi="Times New Roman"/>
          <w:sz w:val="22"/>
          <w:szCs w:val="22"/>
          <w:color w:val="auto"/>
        </w:rPr>
        <w:t>the Grantee is voluntarily participating in the Plan and has received a copy of the Plan. The Grantee acknowledges having read and accepts Section 3: “Termination of Service Relationship” of this Agreement, and Section 1: “Nature of Grant” in Exhibit B.</w:t>
      </w:r>
    </w:p>
    <w:p>
      <w:pPr>
        <w:spacing w:after="0" w:line="1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Grantee understands that the Company, in its sole discretion, has unilaterally, gratuitously and in its sole discretion decided to grant Restricted Stock Units under the Plan to individuals who may be officers, employees, Non-Employee Directors and other key persons (including Consultants) of the Company and 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Grantee understands that the Restricted Stock Units are granted on the assumption and condition that neither the Restricted Stock Units nor the shares of Stock acquired at vesting of the Restricted Stock Units shall become a part of any employment or other service contract (either with the Company or any of its Subsidiaries or affiliates) nor shall they be considered a mandatory benefit, salary for any purposes (including severance compensation) or any other right whatsoever. Further, the Grantee understands and freely accepts that the future value of the Restricted Stock Units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Restricted Stock Units grant shall be null and void.</w:t>
      </w:r>
    </w:p>
    <w:p>
      <w:pPr>
        <w:spacing w:after="0" w:line="1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Grantee also understands and agrees that subject to any exceptions set forth in Section 3: “Termination of Service Relationship” of this Agreement, in the event of the termination of the Grantee’s Service Relationship for any reason (including the reasons listed below), the Restricted Stock Units will cease vesting and any entitlement to exercise vested Restricted Stock Units will start to run immediately effective on the date the Grantee is no longer providing services to the Service Recipient or the Company or any of its Subsidiaries. In particular, the Grantee understands and agrees that any unvested Restricted Stock Units will be forfeited without entitlement to the underlying shares of Stock or to any amount as indemnification in the event of a termination of the Grantee’s Service Relationship as described in the Agreement prior to vesting of the Restricted Stock Units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in connection with the grant of the Restricted Stock Units. The Plan and the Agreement have not been nor will they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 not constitute a public offering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08" w:name="page309"/>
    <w:bookmarkEnd w:id="308"/>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 approved or supervised by any Swiss reviewing body according to article 51 FinSA or any Swiss regulatory authority, including the Swiss Financial Market Supervisory Authority.</w:t>
      </w:r>
    </w:p>
    <w:p>
      <w:pPr>
        <w:spacing w:after="0" w:line="14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Restricted Stock Units granted to the Grantee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Grantee is required to file with the Grantee’s tax return.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6: “Tax Withholding” in the Agreement:</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6 of the Agreement, the Grantee hereby agrees that he or she is liable for all Tax-Related Items and hereby covenants to pay all such Tax-Related Items, as and when requested by the Company or the Service Recipient, as applicable, or by His Majesty’s Revenue &amp; Customs (“HMRC”) (or any other tax authority or any other relevant authority). The Grantee also hereby agrees to indemnify and keep indemnified the Company and the Service Recipient, as applicable, against any Tax-Related Items that they are required to pay or withhold or have paid or will pay to HMRC (or any other tax authority or any other relevant authority) on the Grantee’s behalf.</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Notwithstanding the foregoing, if the Grantee is a director or executive officer of the Company (within the meaning of Section 13(k) of the Exchange Act), the Grantee understands that he or she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he or she will be responsible for reporting and paying any income tax due on this additional benefit directly to HMRC under the self-assessment regime and for paying to the Company and/or the Service Recipient (as appropriate) the amount of any NICs due on this additional benefit, which may also be recovered from the Grantee by any of the means referred to in Section 6 of the Agreement.</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431 Election</w:t>
      </w:r>
      <w:r>
        <w:rPr>
          <w:rFonts w:ascii="Times New Roman" w:cs="Times New Roman" w:eastAsia="Times New Roman" w:hAnsi="Times New Roman"/>
          <w:sz w:val="22"/>
          <w:szCs w:val="22"/>
          <w:color w:val="auto"/>
        </w:rPr>
        <w:t>. If the Grantee is or becomes a director or executive officer of the Company (within the meaning of Section 13(k) of the Exchange Act) prior to vesting of the Restricted Stock Units, the Company may require, as a condition of participation in the Plan and the settlement of the Restricted Stock Units, that the Grantee enter into, jointly with the Service Recipient,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09" w:name="page310"/>
    <w:bookmarkEnd w:id="309"/>
    <w:p>
      <w:pPr>
        <w:jc w:val="both"/>
        <w:spacing w:after="0" w:line="235" w:lineRule="auto"/>
        <w:rPr>
          <w:sz w:val="20"/>
          <w:szCs w:val="20"/>
          <w:color w:val="auto"/>
        </w:rPr>
      </w:pPr>
      <w:r>
        <w:rPr>
          <w:rFonts w:ascii="Times New Roman" w:cs="Times New Roman" w:eastAsia="Times New Roman" w:hAnsi="Times New Roman"/>
          <w:sz w:val="22"/>
          <w:szCs w:val="22"/>
          <w:color w:val="auto"/>
        </w:rPr>
        <w:t>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Restricted Stock Units as if such shares were not restricted securities (for U.K. tax purposes only) despite the Company's clawback policy under the U.S. Dodd-Frank Act of 2010. If the Grantee does not enter into the 431 Election if and when requested by the Company, the Grantee will not be entitled to vest in the Restricted Stock Units and no shares of Stock will be issued to the Grantee, without any liability to the Company, the Service Recipient or any Subsidiary 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22"/>
          <w:szCs w:val="22"/>
          <w:b w:val="1"/>
          <w:bCs w:val="1"/>
          <w:color w:val="auto"/>
        </w:rPr>
        <w:t>Exhibit 10.83</w:t>
      </w:r>
    </w:p>
    <w:p>
      <w:pPr>
        <w:spacing w:after="0" w:line="233" w:lineRule="exact"/>
        <w:rPr>
          <w:sz w:val="20"/>
          <w:szCs w:val="20"/>
          <w:color w:val="auto"/>
        </w:rPr>
      </w:pPr>
    </w:p>
    <w:p>
      <w:pPr>
        <w:jc w:val="center"/>
        <w:ind w:left="1000" w:right="2160"/>
        <w:spacing w:after="0" w:line="241" w:lineRule="auto"/>
        <w:rPr>
          <w:sz w:val="20"/>
          <w:szCs w:val="20"/>
          <w:color w:val="auto"/>
        </w:rPr>
      </w:pPr>
      <w:r>
        <w:rPr>
          <w:rFonts w:ascii="Times New Roman" w:cs="Times New Roman" w:eastAsia="Times New Roman" w:hAnsi="Times New Roman"/>
          <w:sz w:val="22"/>
          <w:szCs w:val="22"/>
          <w:b w:val="1"/>
          <w:bCs w:val="1"/>
          <w:color w:val="auto"/>
        </w:rPr>
        <w:t>RESTRICTED STOCK UNIT AWARD AGREEMENT FOR NON-EMPLOYEE DIRECTORS UNDER THE BLUEPRINT MEDICINES CORPORATION 2015 STOCK OPTION AND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 %%FIRST_NAME%-% %%LAST_NAME%-%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 %%TOTAL_SHARES_GRANTED,'999,999,999'%-%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 %%OPTION_DATE%-%</w:t>
      </w:r>
    </w:p>
    <w:p>
      <w:pPr>
        <w:spacing w:after="0" w:line="206" w:lineRule="exact"/>
        <w:rPr>
          <w:sz w:val="20"/>
          <w:szCs w:val="20"/>
          <w:color w:val="auto"/>
        </w:rPr>
      </w:pPr>
    </w:p>
    <w:p>
      <w:pPr>
        <w:ind w:right="1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subject to the terms and conditions set forth in this Restricted Stock Unit Award Agreement for Non-Employee Directors, including the Privacy Notice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General Terms and Conditions for Non-U.S. Grantees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any Country-Specific Terms and Conditions for the Grantee's country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(collectively, the “Agreement”). Each Restricted Stock Unit shall relate to one share of Common Stock, par value $0.001 per share, of the Company (the “Stock”).</w:t>
      </w:r>
    </w:p>
    <w:p>
      <w:pPr>
        <w:spacing w:after="0" w:line="205" w:lineRule="exact"/>
        <w:rPr>
          <w:sz w:val="20"/>
          <w:szCs w:val="20"/>
          <w:color w:val="auto"/>
        </w:rPr>
      </w:pPr>
    </w:p>
    <w:p>
      <w:pPr>
        <w:ind w:right="40" w:firstLine="656"/>
        <w:spacing w:after="0" w:line="238" w:lineRule="auto"/>
        <w:tabs>
          <w:tab w:leader="none" w:pos="12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203" w:lineRule="exact"/>
        <w:rPr>
          <w:rFonts w:ascii="Times New Roman" w:cs="Times New Roman" w:eastAsia="Times New Roman" w:hAnsi="Times New Roman"/>
          <w:sz w:val="22"/>
          <w:szCs w:val="22"/>
          <w:color w:val="auto"/>
        </w:rPr>
      </w:pPr>
    </w:p>
    <w:p>
      <w:pPr>
        <w:ind w:right="20" w:firstLine="656"/>
        <w:spacing w:after="0" w:line="235" w:lineRule="auto"/>
        <w:tabs>
          <w:tab w:leader="none" w:pos="12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on the Vesting Date or Dates specified in the following schedule so long as the Grantee remains in a continuous Service Relationship with the Company or any Service Recipient (as such terms are defined in Section 3 below) through such Dates; provided that the vesting of the Award shall accelerate and the Award shall become fully vested immediately upon (x) the termination of the Service Relationship due to the Grantee’s death or disability, or (y) the consummation of a Sale Event subject to the Grantee’s continued Service Relationship through the date of such Sale Event.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 Units</w:t>
            </w:r>
          </w:p>
        </w:tc>
        <w:tc>
          <w:tcPr>
            <w:tcW w:w="1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80" w:type="dxa"/>
            <w:vAlign w:val="bottom"/>
          </w:tcPr>
          <w:p>
            <w:pPr>
              <w:spacing w:after="0"/>
              <w:rPr>
                <w:sz w:val="20"/>
                <w:szCs w:val="20"/>
                <w:color w:val="auto"/>
              </w:rPr>
            </w:pPr>
          </w:p>
        </w:tc>
        <w:tc>
          <w:tcPr>
            <w:tcW w:w="692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Vesting Date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%%SHARES_PERIOD1%-%</w:t>
            </w:r>
          </w:p>
        </w:tc>
        <w:tc>
          <w:tcPr>
            <w:tcW w:w="71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The earlier of the one-year anniversary of the Grant Date and the Company’s next annual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meeting of stockholders following the Grant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311" w:name="page312"/>
    <w:bookmarkEnd w:id="311"/>
    <w:p>
      <w:pPr>
        <w:ind w:left="200"/>
        <w:spacing w:after="0"/>
        <w:rPr>
          <w:sz w:val="20"/>
          <w:szCs w:val="20"/>
          <w:color w:val="auto"/>
        </w:rPr>
      </w:pPr>
      <w:r>
        <w:rPr>
          <w:rFonts w:ascii="Times New Roman" w:cs="Times New Roman" w:eastAsia="Times New Roman" w:hAnsi="Times New Roman"/>
          <w:sz w:val="22"/>
          <w:szCs w:val="22"/>
          <w:color w:val="auto"/>
        </w:rPr>
        <w:t>The Administrator may at any time accelerate the vesting schedule specified in this Paragraph 2.</w:t>
      </w:r>
    </w:p>
    <w:p>
      <w:pPr>
        <w:spacing w:after="0" w:line="233" w:lineRule="exact"/>
        <w:rPr>
          <w:sz w:val="20"/>
          <w:szCs w:val="20"/>
          <w:color w:val="auto"/>
        </w:rPr>
      </w:pPr>
    </w:p>
    <w:p>
      <w:pPr>
        <w:ind w:left="-460" w:firstLine="656"/>
        <w:spacing w:after="0" w:line="234" w:lineRule="auto"/>
        <w:tabs>
          <w:tab w:leader="none" w:pos="8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as a Non-Employee Director of the Company or continued service as a consultant, director or employee (the “Service Relationship”) of the Company or any Subsidiary with which the Grantee has a Service Relationship (the “Service Recipient”) terminates for any reason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 The Company’s determination of the reason for termination of the Grantee’s Service Relationship shall be conclusive and binding on the Grantee and the Grantee’s representatives or legatees.</w:t>
      </w:r>
    </w:p>
    <w:p>
      <w:pPr>
        <w:spacing w:after="0" w:line="210" w:lineRule="exact"/>
        <w:rPr>
          <w:rFonts w:ascii="Times New Roman" w:cs="Times New Roman" w:eastAsia="Times New Roman" w:hAnsi="Times New Roman"/>
          <w:sz w:val="22"/>
          <w:szCs w:val="22"/>
          <w:color w:val="auto"/>
        </w:rPr>
      </w:pPr>
    </w:p>
    <w:p>
      <w:pPr>
        <w:ind w:left="-460" w:right="180" w:firstLine="656"/>
        <w:spacing w:after="0" w:line="236" w:lineRule="auto"/>
        <w:tabs>
          <w:tab w:leader="none" w:pos="8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(but in no event later than two and one-half months after the end of the year in which the Vesting Date occurs) and subject to satisfaction of any applicable tax that is required to be withheld by the Company,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8" w:lineRule="exact"/>
        <w:rPr>
          <w:rFonts w:ascii="Times New Roman" w:cs="Times New Roman" w:eastAsia="Times New Roman" w:hAnsi="Times New Roman"/>
          <w:sz w:val="22"/>
          <w:szCs w:val="22"/>
          <w:color w:val="auto"/>
        </w:rPr>
      </w:pPr>
    </w:p>
    <w:p>
      <w:pPr>
        <w:ind w:left="-460" w:right="60" w:firstLine="656"/>
        <w:spacing w:after="0" w:line="239" w:lineRule="auto"/>
        <w:tabs>
          <w:tab w:leader="none" w:pos="8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Award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207" w:lineRule="exact"/>
        <w:rPr>
          <w:rFonts w:ascii="Times New Roman" w:cs="Times New Roman" w:eastAsia="Times New Roman" w:hAnsi="Times New Roman"/>
          <w:sz w:val="22"/>
          <w:szCs w:val="22"/>
          <w:color w:val="auto"/>
        </w:rPr>
      </w:pPr>
    </w:p>
    <w:p>
      <w:pPr>
        <w:ind w:left="-460" w:right="20" w:firstLine="656"/>
        <w:spacing w:after="0" w:line="244" w:lineRule="auto"/>
        <w:tabs>
          <w:tab w:leader="none" w:pos="8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200" w:lineRule="exact"/>
        <w:rPr>
          <w:rFonts w:ascii="Times New Roman" w:cs="Times New Roman" w:eastAsia="Times New Roman" w:hAnsi="Times New Roman"/>
          <w:sz w:val="22"/>
          <w:szCs w:val="22"/>
          <w:color w:val="auto"/>
        </w:rPr>
      </w:pPr>
    </w:p>
    <w:p>
      <w:pPr>
        <w:jc w:val="both"/>
        <w:ind w:left="-460" w:right="100" w:firstLine="656"/>
        <w:spacing w:after="0" w:line="239" w:lineRule="auto"/>
        <w:tabs>
          <w:tab w:leader="none" w:pos="8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Plan nor this Award confers upon the Grantee any rights with respect to continuance as a Non-Employee Director or in any other Service Relationship, and neither the Plan nor this Agreement shall interfere in any way with the right of the Company or any Service Recipient, as applicable, to terminate the Service Relationship of the Grantee at any time.</w:t>
      </w:r>
    </w:p>
    <w:p>
      <w:pPr>
        <w:spacing w:after="0" w:line="207" w:lineRule="exact"/>
        <w:rPr>
          <w:rFonts w:ascii="Times New Roman" w:cs="Times New Roman" w:eastAsia="Times New Roman" w:hAnsi="Times New Roman"/>
          <w:sz w:val="22"/>
          <w:szCs w:val="22"/>
          <w:color w:val="auto"/>
        </w:rPr>
      </w:pPr>
    </w:p>
    <w:p>
      <w:pPr>
        <w:ind w:left="-460" w:right="300" w:firstLine="656"/>
        <w:spacing w:after="0" w:line="244" w:lineRule="auto"/>
        <w:tabs>
          <w:tab w:leader="none" w:pos="8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00" w:lineRule="exact"/>
        <w:rPr>
          <w:rFonts w:ascii="Times New Roman" w:cs="Times New Roman" w:eastAsia="Times New Roman" w:hAnsi="Times New Roman"/>
          <w:sz w:val="22"/>
          <w:szCs w:val="22"/>
          <w:color w:val="auto"/>
        </w:rPr>
      </w:pPr>
    </w:p>
    <w:p>
      <w:pPr>
        <w:jc w:val="both"/>
        <w:ind w:left="-460" w:right="180" w:firstLine="656"/>
        <w:spacing w:after="0" w:line="244" w:lineRule="auto"/>
        <w:tabs>
          <w:tab w:leader="none" w:pos="8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In order to administer the Plan and this Agreement, and to implement or structure future equity grants, the Company may collect and process the Grantee's personal data, including sharing it with its Subsidiaries and affiliates and certain agents thereof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7" w:lineRule="exact"/>
        <w:rPr>
          <w:rFonts w:ascii="Times New Roman" w:cs="Times New Roman" w:eastAsia="Times New Roman" w:hAnsi="Times New Roman"/>
          <w:sz w:val="22"/>
          <w:szCs w:val="22"/>
          <w:color w:val="auto"/>
        </w:rPr>
      </w:pPr>
    </w:p>
    <w:p>
      <w:pPr>
        <w:ind w:left="4460" w:hanging="106"/>
        <w:spacing w:after="0"/>
        <w:tabs>
          <w:tab w:leader="none" w:pos="44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868" w:right="1019" w:bottom="1440" w:gutter="0" w:footer="0" w:header="0"/>
        </w:sectPr>
      </w:pPr>
    </w:p>
    <w:bookmarkStart w:id="312" w:name="page313"/>
    <w:bookmarkEnd w:id="312"/>
    <w:p>
      <w:pPr>
        <w:ind w:right="100"/>
        <w:spacing w:after="0" w:line="236" w:lineRule="auto"/>
        <w:rPr>
          <w:sz w:val="20"/>
          <w:szCs w:val="20"/>
          <w:color w:val="auto"/>
        </w:rPr>
      </w:pPr>
      <w:r>
        <w:rPr>
          <w:rFonts w:ascii="Times New Roman" w:cs="Times New Roman" w:eastAsia="Times New Roman" w:hAnsi="Times New Roman"/>
          <w:sz w:val="22"/>
          <w:szCs w:val="22"/>
          <w:color w:val="auto"/>
        </w:rPr>
        <w:t xml:space="preserve">(together, the “Relevant Companies”) in connection with administering the Plan and performing its obligations under this Agreement. The Company may also transfer the Grantee’s personal data to countries with privacy laws that may be less protective than those of the Grantee’s country.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 Privacy Notice, incorporated by reference into this Agreement as if fully set forth herein, further describes how the Grantee’s personal data will be processed and the Grantee’s rights with respect to personal data processed for the purposes of administering the Plan and this Agreement.</w:t>
      </w:r>
    </w:p>
    <w:p>
      <w:pPr>
        <w:spacing w:after="0" w:line="208" w:lineRule="exact"/>
        <w:rPr>
          <w:sz w:val="20"/>
          <w:szCs w:val="20"/>
          <w:color w:val="auto"/>
        </w:rPr>
      </w:pPr>
    </w:p>
    <w:p>
      <w:pPr>
        <w:ind w:right="60" w:firstLine="656"/>
        <w:spacing w:after="0" w:line="244" w:lineRule="auto"/>
        <w:tabs>
          <w:tab w:leader="none" w:pos="129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rFonts w:ascii="Times New Roman" w:cs="Times New Roman" w:eastAsia="Times New Roman" w:hAnsi="Times New Roman"/>
          <w:sz w:val="22"/>
          <w:szCs w:val="22"/>
          <w:color w:val="auto"/>
        </w:rPr>
      </w:pPr>
    </w:p>
    <w:p>
      <w:pPr>
        <w:ind w:right="300" w:firstLine="656"/>
        <w:spacing w:after="0" w:line="238" w:lineRule="auto"/>
        <w:tabs>
          <w:tab w:leader="none" w:pos="129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Award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spacing w:after="0" w:line="203"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208" w:lineRule="exact"/>
        <w:rPr>
          <w:rFonts w:ascii="Times New Roman" w:cs="Times New Roman" w:eastAsia="Times New Roman" w:hAnsi="Times New Roman"/>
          <w:sz w:val="22"/>
          <w:szCs w:val="22"/>
          <w:color w:val="auto"/>
        </w:rPr>
      </w:pPr>
    </w:p>
    <w:p>
      <w:pPr>
        <w:ind w:right="40" w:firstLine="656"/>
        <w:spacing w:after="0" w:line="244" w:lineRule="auto"/>
        <w:tabs>
          <w:tab w:leader="none" w:pos="129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rFonts w:ascii="Times New Roman" w:cs="Times New Roman" w:eastAsia="Times New Roman" w:hAnsi="Times New Roman"/>
          <w:sz w:val="22"/>
          <w:szCs w:val="22"/>
          <w:color w:val="auto"/>
        </w:rPr>
      </w:pPr>
    </w:p>
    <w:p>
      <w:pPr>
        <w:jc w:val="both"/>
        <w:ind w:right="220" w:firstLine="656"/>
        <w:spacing w:after="0" w:line="244" w:lineRule="auto"/>
        <w:tabs>
          <w:tab w:leader="none" w:pos="129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Grantee acknowledges that a waiver by the Company or breach of any provision of this Agreement shall not operate or be construed as a waiver of any other provision of this Agreement, or of any subsequent breach by the Grantee or any other grantee.</w:t>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0" w:lineRule="exact"/>
        <w:rPr>
          <w:sz w:val="20"/>
          <w:szCs w:val="20"/>
          <w:color w:val="auto"/>
        </w:rPr>
      </w:pPr>
    </w:p>
    <w:p>
      <w:pPr>
        <w:spacing w:after="0" w:line="245"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Kathryn D. Haviland</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Kathryn D. Haviland</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13" w:name="page314"/>
    <w:bookmarkEnd w:id="313"/>
    <w:p>
      <w:pPr>
        <w:ind w:right="99"/>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58718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%%FIRST_NAME%-% %%LAST_NAME%-%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%%ADDRESS_LINE_1%-%</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%%ADDRESS_LINE_2%-%</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%%CITY%-%, %%STATE%-%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%%COUNTRY%-%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1" w:right="1440" w:bottom="1440" w:gutter="0" w:footer="0" w:header="0"/>
        </w:sectPr>
      </w:pPr>
    </w:p>
    <w:bookmarkStart w:id="314" w:name="page315"/>
    <w:bookmarkEnd w:id="31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If you, as the Grantee,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17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17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ind w:right="380"/>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17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17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15" w:name="page316"/>
    <w:bookmarkEnd w:id="315"/>
    <w:p>
      <w:pPr>
        <w:ind w:right="540"/>
        <w:spacing w:after="0" w:line="244" w:lineRule="auto"/>
        <w:rPr>
          <w:sz w:val="20"/>
          <w:szCs w:val="20"/>
          <w:color w:val="auto"/>
        </w:rPr>
      </w:pPr>
      <w:r>
        <w:rPr>
          <w:rFonts w:ascii="Times New Roman" w:cs="Times New Roman" w:eastAsia="Times New Roman" w:hAnsi="Times New Roman"/>
          <w:sz w:val="22"/>
          <w:szCs w:val="22"/>
          <w:color w:val="auto"/>
        </w:rPr>
        <w:t>European Commission, the Company has implemented adequate measures to protect your personal data (for example, putting in place contractual arrangements approved by the European Commission, or Standard Contractual Clauses).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17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ind w:right="620"/>
        <w:spacing w:after="0" w:line="235" w:lineRule="auto"/>
        <w:rPr>
          <w:sz w:val="20"/>
          <w:szCs w:val="20"/>
          <w:color w:val="auto"/>
        </w:rPr>
      </w:pPr>
      <w:r>
        <w:rPr>
          <w:rFonts w:ascii="Times New Roman" w:cs="Times New Roman" w:eastAsia="Times New Roman" w:hAnsi="Times New Roman"/>
          <w:sz w:val="22"/>
          <w:szCs w:val="22"/>
          <w:color w:val="auto"/>
        </w:rPr>
        <w:t>Questions about this Privacy Notice, to exercise applicable rights related to your personal data, or for more information about the Company’s privacy and data protection practices, please contact us at the appropriate locations: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Grantees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Exhibit B, which is part of the Restricted Stock Unit Award Agreement for Non-Employee Directors, contains additional terms and conditions that will apply to the Grantee if residing outside the United States.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Restricted Stock Unit Award Agreement for Non-Employee Directors.</w:t>
      </w:r>
    </w:p>
    <w:p>
      <w:pPr>
        <w:spacing w:after="0" w:line="200" w:lineRule="exact"/>
        <w:rPr>
          <w:sz w:val="20"/>
          <w:szCs w:val="20"/>
          <w:color w:val="auto"/>
        </w:rPr>
      </w:pPr>
    </w:p>
    <w:p>
      <w:pPr>
        <w:ind w:left="660" w:right="20" w:hanging="652"/>
        <w:spacing w:after="0" w:line="258" w:lineRule="auto"/>
        <w:tabs>
          <w:tab w:leader="none" w:pos="66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4 of the Restricted Stock Unit Award Agreement for Non-Employee Directors.</w:t>
      </w:r>
    </w:p>
    <w:p>
      <w:pPr>
        <w:spacing w:after="0" w:line="158" w:lineRule="exact"/>
        <w:rPr>
          <w:rFonts w:ascii="Times New Roman" w:cs="Times New Roman" w:eastAsia="Times New Roman" w:hAnsi="Times New Roman"/>
          <w:sz w:val="22"/>
          <w:szCs w:val="22"/>
          <w:color w:val="auto"/>
        </w:rPr>
      </w:pPr>
    </w:p>
    <w:p>
      <w:pPr>
        <w:jc w:val="both"/>
        <w:ind w:left="6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Grantee acknowledges that, regardless of any action taken by the Company, the ultimate liability for all income tax, social insurance, payroll tax, fringe benefit tax, payment on account or other tax-related items related to the Grantee's participation in the Plan and legally applicable to the Grantee (“Tax-Related Items”) is and remains the Grantee’s responsibility and may exceed the amount actually withheld by the Company. The Grantee further acknowledges that the Company (a) makes no representations or undertakings regarding the treatment of any Tax-Related Items in connection with any aspect of the Restricted Stock Units, including, but not limited to, the grant or vesting of the Restricted Stock Units and the subsequent sale of shares of Stock acquired pursuant to such vesting and the receipt of any dividends and/or dividend equivalents; and (b) does not commit to and is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may be required to withhold or account for Tax-Related Items in more than one jurisdiction and may seek evidence from the Grantee of residency for purposes of operating such withholding or payment on account.</w:t>
      </w:r>
    </w:p>
    <w:p>
      <w:pPr>
        <w:spacing w:after="0" w:line="180" w:lineRule="exact"/>
        <w:rPr>
          <w:rFonts w:ascii="Times New Roman" w:cs="Times New Roman" w:eastAsia="Times New Roman" w:hAnsi="Times New Roman"/>
          <w:sz w:val="22"/>
          <w:szCs w:val="22"/>
          <w:color w:val="auto"/>
        </w:rPr>
      </w:pPr>
    </w:p>
    <w:p>
      <w:pPr>
        <w:jc w:val="both"/>
        <w:ind w:left="6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responsible for withholding any Tax-Related Items, unless required by applicable law. The Company may take such action as it deems appropriate to ensure that all Tax-Related Items are withheld or collected from the Grantee, if and to the extent required by applicable law. In this regard, the Company will have the power and the right to require the Grantee to remit to the Company, the amount necessary to satisfy the Tax-Related Items. Notwithstanding the foregoing, unless otherwise determined by the Administrator, any obligations to pay Tax-Related Items will be met by having the Company withhold a number of shares of Stock from the total number of shares of Stock otherwise issuable to the Grantee upon the relevant taxable or tax withholding event, as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4920" w:hanging="106"/>
        <w:spacing w:after="0"/>
        <w:tabs>
          <w:tab w:leader="none" w:pos="49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17" w:name="page318"/>
    <w:bookmarkEnd w:id="317"/>
    <w:p>
      <w:pPr>
        <w:jc w:val="both"/>
        <w:ind w:left="652"/>
        <w:spacing w:after="0" w:line="233" w:lineRule="auto"/>
        <w:rPr>
          <w:sz w:val="20"/>
          <w:szCs w:val="20"/>
          <w:color w:val="auto"/>
        </w:rPr>
      </w:pPr>
      <w:r>
        <w:rPr>
          <w:rFonts w:ascii="Times New Roman" w:cs="Times New Roman" w:eastAsia="Times New Roman" w:hAnsi="Times New Roman"/>
          <w:sz w:val="22"/>
          <w:szCs w:val="22"/>
          <w:color w:val="auto"/>
        </w:rPr>
        <w:t>applicable. In the event that withholding in shares of Stock is problematic under applicable tax or securities law or has materially adverse accounting consequences, the Grantee authorizes the Company, or its respective agents, at the Company’s discretion, to satisfy the obligations with regard to all Tax-Related Items by one or a combination of the following: (i) requiring the Grantee to make a payment in a form acceptable to the Company; (ii) withholding from the Grantee’s Director fees or other cash compensation paid to the Grantee by the Company; (iii) withholding from proceeds of the sale of shares of Stock acquired upon vesting/settlement of the Restricted Stock Units either through a voluntary sale or through a mandatory sale arranged by the Company (on the Grantee’s behalf pursuant to this authorization); or (iv) any other method of withholding determined by the Company and to the extent required by applicable law or the Plan, approved by the Administrator. Depending on the withholding method, the Company may withhold or account for Tax-Related Items by considering maximum applicable rates, in which case the Grantee will receive a refund of any over-withheld amount in cash and will have no entitlement to the Common Stock equivalent.</w:t>
      </w:r>
    </w:p>
    <w:p>
      <w:pPr>
        <w:spacing w:after="0" w:line="209" w:lineRule="exact"/>
        <w:rPr>
          <w:sz w:val="20"/>
          <w:szCs w:val="20"/>
          <w:color w:val="auto"/>
        </w:rPr>
      </w:pPr>
    </w:p>
    <w:p>
      <w:pPr>
        <w:jc w:val="both"/>
        <w:ind w:left="652" w:right="20"/>
        <w:spacing w:after="0" w:line="244" w:lineRule="auto"/>
        <w:rPr>
          <w:sz w:val="20"/>
          <w:szCs w:val="20"/>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Grantee fails to comply with the Grantee’s obligations in connection with the Tax-Related Items.</w:t>
      </w:r>
    </w:p>
    <w:p>
      <w:pPr>
        <w:spacing w:after="0" w:line="173" w:lineRule="exact"/>
        <w:rPr>
          <w:sz w:val="20"/>
          <w:szCs w:val="20"/>
          <w:color w:val="auto"/>
        </w:rPr>
      </w:pPr>
    </w:p>
    <w:p>
      <w:pPr>
        <w:ind w:left="652" w:hanging="652"/>
        <w:spacing w:after="0" w:line="258" w:lineRule="auto"/>
        <w:tabs>
          <w:tab w:leader="none" w:pos="65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Restricted Stock Units, the Grantee acknowledges, understands and agrees that:</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Company;</w:t>
      </w:r>
    </w:p>
    <w:p>
      <w:pPr>
        <w:spacing w:after="0" w:line="158"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Grantee’s participation in the Plan shall not be interpreted as forming an employment or services contract with the Company or any Subsidiary;</w:t>
      </w:r>
    </w:p>
    <w:p>
      <w:pPr>
        <w:spacing w:after="0" w:line="15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voluntarily participating in the Plan;</w:t>
      </w:r>
    </w:p>
    <w:p>
      <w:pPr>
        <w:spacing w:after="0" w:line="206"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of Stock subject to the Restricted Stock Units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of Stock subject to the Restricted Stock Units, and the income and value of same, are not part of normal or expected compensation for any purpose, and do not confer on Grantee any right to receive Director fees or other compensation in any specific amount;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4" w:lineRule="exact"/>
        <w:rPr>
          <w:rFonts w:ascii="Times New Roman" w:cs="Times New Roman" w:eastAsia="Times New Roman" w:hAnsi="Times New Roman"/>
          <w:sz w:val="22"/>
          <w:szCs w:val="22"/>
          <w:color w:val="auto"/>
        </w:rPr>
      </w:pPr>
    </w:p>
    <w:p>
      <w:pPr>
        <w:ind w:left="4912" w:hanging="106"/>
        <w:spacing w:after="0"/>
        <w:tabs>
          <w:tab w:leader="none" w:pos="4912"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318" w:name="page319"/>
    <w:bookmarkEnd w:id="318"/>
    <w:p>
      <w:pPr>
        <w:jc w:val="both"/>
        <w:ind w:left="1292" w:hanging="644"/>
        <w:spacing w:after="0" w:line="239" w:lineRule="auto"/>
        <w:tabs>
          <w:tab w:leader="none" w:pos="129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Restricted Stock Units and the shares of Stock subject to the Restricted Stock Units, and the income and value of same, are not granted as consideration for, or in connection with, the service the Grantee may provide as a director of a Subsidiary;</w:t>
      </w:r>
    </w:p>
    <w:p>
      <w:pPr>
        <w:spacing w:after="0" w:line="180"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of Stock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the Grantee’s service as a member of the Board (for any reason whatsoever);</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Grantee’s participation in the Plan, or the Grantee’s acquisition or sale of the underlying shares of Stock. The Grantee is hereby advised to consult with the Grantee’s own personal tax, legal and financial advisors regarding the Grantee’s participation in the Plan before taking any action related to the Plan.</w:t>
      </w:r>
    </w:p>
    <w:p>
      <w:pPr>
        <w:spacing w:after="0" w:line="176" w:lineRule="exact"/>
        <w:rPr>
          <w:rFonts w:ascii="Times New Roman" w:cs="Times New Roman" w:eastAsia="Times New Roman" w:hAnsi="Times New Roman"/>
          <w:sz w:val="22"/>
          <w:szCs w:val="22"/>
          <w:color w:val="auto"/>
        </w:rPr>
      </w:pPr>
    </w:p>
    <w:p>
      <w:pPr>
        <w:jc w:val="both"/>
        <w:ind w:left="652" w:right="20" w:hanging="652"/>
        <w:spacing w:after="0" w:line="244" w:lineRule="auto"/>
        <w:tabs>
          <w:tab w:leader="none" w:pos="65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Grantee’s participation in the Plan, on the Restricted Stock Units and on any shares of Stock acquired under the Plan, to the extent the Company determines it is necessary or advisable for legal or administrative reasons, and to require the Grantee to sign any additional agreements or undertakings that may be necessary to accomplish the foregoing.</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47" w:lineRule="auto"/>
        <w:tabs>
          <w:tab w:leader="none" w:pos="652"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The Grantee acknowledges that, depending on the Grantee’s country, the Grantee may be subject to insider trading restrictions and/or market abuse laws, which may affect the ability to acquire or sell shares of Stock or rights to shares of Stock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Restricted Stock Units) under the Plan during such times as the Grantee is considered to have “inside information” regarding the Company (as defined by the laws in the Grantee’s country). Any restrictions under these laws or regulations are separate from and in addition to any restrictions that may be imposed under any applicable Company insider trading policy. The Grantee is responsible for ensuring compliance with any applicable restrictions and is advised to consult a personal legal advisor on this matter.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5" w:lineRule="exact"/>
        <w:rPr>
          <w:rFonts w:ascii="Times New Roman" w:cs="Times New Roman" w:eastAsia="Times New Roman" w:hAnsi="Times New Roman"/>
          <w:sz w:val="21"/>
          <w:szCs w:val="21"/>
          <w:color w:val="auto"/>
        </w:rPr>
      </w:pPr>
    </w:p>
    <w:p>
      <w:pPr>
        <w:ind w:left="4912" w:hanging="106"/>
        <w:spacing w:after="0"/>
        <w:tabs>
          <w:tab w:leader="none" w:pos="491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319" w:name="page320"/>
    <w:bookmarkEnd w:id="319"/>
    <w:p>
      <w:pPr>
        <w:jc w:val="both"/>
        <w:ind w:left="652" w:hanging="652"/>
        <w:spacing w:after="0" w:line="246" w:lineRule="auto"/>
        <w:tabs>
          <w:tab w:leader="none" w:pos="652"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Asset/Account Reporting; Exchange Controls</w:t>
      </w:r>
      <w:r>
        <w:rPr>
          <w:rFonts w:ascii="Times New Roman" w:cs="Times New Roman" w:eastAsia="Times New Roman" w:hAnsi="Times New Roman"/>
          <w:sz w:val="21"/>
          <w:szCs w:val="21"/>
          <w:color w:val="auto"/>
        </w:rPr>
        <w:t>. The Grantee’s country may have certain foreign asset and/or account reporting requirements and/or exchange controls which may affect the Grantee’s ability to acquire or hold shares of Stock under the Plan or cash received from participating in the Plan (including from any dividends received or sale proceeds arising from the sale of shares of Stock) in a brokerage or bank account outside the Grantee’s country. The Grantee may be required to report such accounts, assets or transactions to the tax or other authorities in the Grantee’s country. The Grantee also may be required to repatriate sale proceeds or other funds received as a result of the Grantee’s participation in the Plan to the Grantee’s country through a designated bank or broker and/or within a certain time after receipt. The Grantee acknowledges that it is the Grantee’s responsibility to be compliant with such regulations, and the Grantee is advised to consult a personal legal advisor for any details.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13" w:lineRule="exact"/>
        <w:rPr>
          <w:rFonts w:ascii="Times New Roman" w:cs="Times New Roman" w:eastAsia="Times New Roman" w:hAnsi="Times New Roman"/>
          <w:sz w:val="21"/>
          <w:szCs w:val="21"/>
          <w:color w:val="auto"/>
        </w:rPr>
      </w:pPr>
    </w:p>
    <w:p>
      <w:pPr>
        <w:ind w:left="4872" w:hanging="111"/>
        <w:spacing w:after="0"/>
        <w:tabs>
          <w:tab w:leader="none" w:pos="4872"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320" w:name="page321"/>
    <w:bookmarkEnd w:id="32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Restricted Stock Unit Award Agreement for Non-Employee Directors and the General Terms and Conditions for Non-U.S. Grantees attached thereto as Exhibit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C includes additional terms and conditions that govern the Restricted Stock Units granted to the Grantee if the Grantee resides and/or works in a country listed below. If the Grantee moves to another country after receiving the grant of the Restricted Stock Units, the Company will, in its discretion, determine the extent to which the terms and conditions herein will be applicable to the Grantee.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C also includes information regarding exchange controls and certain other issues of which the Grantee should be aware with respect to the Grantee’s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Grantee not rely on the information in this Exhibit C as the only source of information relating to the consequences of the Grantee’s participation in the Plan because the information may be out of date at the time that the Restricted Stock Units vest or the Grantee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Grantee’s particular situation and the Company is not in a position to assure the Grantee of a particular result. Accordingly, the Grantee should seek appropriate professional advice as to how the relevant laws in the Grantee’s country may apply to the Grantee’s situation.</w:t>
      </w:r>
    </w:p>
    <w:p>
      <w:pPr>
        <w:spacing w:after="0" w:line="188"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21"/>
          <w:szCs w:val="21"/>
          <w:color w:val="auto"/>
        </w:rPr>
        <w:t>Finally, if the Grantee is a citizen or resident of a country other than the one in which the Grantee is currently residing and/or working (or if the Grantee is considered as such for local law purposes), the information contained herein may not be applicable to the Grantee in the same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Restricted Stock Units Not French-Qualified</w:t>
      </w:r>
      <w:r>
        <w:rPr>
          <w:rFonts w:ascii="Times New Roman" w:cs="Times New Roman" w:eastAsia="Times New Roman" w:hAnsi="Times New Roman"/>
          <w:sz w:val="22"/>
          <w:szCs w:val="22"/>
          <w:color w:val="auto"/>
        </w:rPr>
        <w:t>. The Restricted Stock Units granted under this Agreement are not intended to qualify for the specific tax and social security treatment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21" w:name="page322"/>
    <w:bookmarkEnd w:id="321"/>
    <w:p>
      <w:pPr>
        <w:jc w:val="both"/>
        <w:spacing w:after="0" w:line="258" w:lineRule="auto"/>
        <w:rPr>
          <w:sz w:val="20"/>
          <w:szCs w:val="20"/>
          <w:color w:val="auto"/>
        </w:rPr>
      </w:pPr>
      <w:r>
        <w:rPr>
          <w:rFonts w:ascii="Times New Roman" w:cs="Times New Roman" w:eastAsia="Times New Roman" w:hAnsi="Times New Roman"/>
          <w:sz w:val="22"/>
          <w:szCs w:val="22"/>
          <w:color w:val="auto"/>
        </w:rPr>
        <w:t>to Sections L. 225-197-1 to L. 225-197-5 and L. 22-10-59 to L. 22-10-60 of the French Commercial Code, as amended.</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Restricted Stock Units, the Grantee confirms having read and understood the Plan and the Agreement, including Exhibits A, B, and this Exhibit C, and all terms and conditions included therein, which were provided in the English language. The Grantee accepts the terms of those documents accordingly.</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Restricted Stock Units, le Titulaire de les Restricted Stock Units confirme avoir lu et compris le Plan et le Contrat y relatifs, incluant tous leurs termes et conditions, qui ont été transmis en langue anglaise. Le Titulaire de les Restricted Stock Units accepte les dispositions de ces documents en connaissance de cause.</w:t>
      </w:r>
    </w:p>
    <w:p>
      <w:pPr>
        <w:spacing w:after="0" w:line="17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Grantee imports or exports cash (e.g., proceeds from the sale of shares of Stock acquired under the Plan) with a value equal to or exceeding a certain threshold (currently €10,000), and does not use a financial institution to do so, they must submit a report to the customs and excise authorities.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Grantee must report any shares of Stock and bank or brokerage accounts they hold outside France (including any accounts that were opened, used and/or closed during the tax year) on an annual basis, on form No. 3916, together with their income tax return. It is the Grantee’s responsibility to comply with French foreign asset and account reporting requirements, and neither the Company nor the Service Recipient will be liable for any resulting fines or penalties.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available via Bundesbank’s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Additional reporting to the Bundesbank via email or telephone may be required.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Grantee will need to report the acquisition when the Grantee files their tax return for the relevant year. A qualified participation is attained if (i) the value of the shares of Stock acquired exceeds €150,000 or (ii) in the unlikely event the Grantee holds shares of Stock exceeding 10% of the Company’s total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By accepting the Restricted Stock Units, the Grantee acknowledges that the Grantee has received a copy of the Plan and the Agreement,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22" w:name="page323"/>
    <w:bookmarkEnd w:id="322"/>
    <w:p>
      <w:pPr>
        <w:jc w:val="both"/>
        <w:spacing w:after="0" w:line="236" w:lineRule="auto"/>
        <w:rPr>
          <w:sz w:val="20"/>
          <w:szCs w:val="20"/>
          <w:color w:val="auto"/>
        </w:rPr>
      </w:pPr>
      <w:r>
        <w:rPr>
          <w:rFonts w:ascii="Times New Roman" w:cs="Times New Roman" w:eastAsia="Times New Roman" w:hAnsi="Times New Roman"/>
          <w:sz w:val="22"/>
          <w:szCs w:val="22"/>
          <w:color w:val="auto"/>
        </w:rPr>
        <w:t>Exhibits A, B, and this Exhibit C, has reviewed these documents in their entirety and fully understands and accepts all provisions contained therein. The Grantee further acknowledges that the Grantee has read and specifically and expressly approves the provisions regarding Section 3: “Termination of Service Relationship,” Section 7: “No Obligation to Continue Service Relationship,” Section 9: “Personal Data,” and Section 12: “Governing Law and Venue” in the Agreement, as well as Section 1: “Responsibility for Taxes,” Section 2: “Nature of Grant,” and Section 4: “Language,” in Exhibit B.</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they are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21"/>
          <w:szCs w:val="21"/>
          <w:color w:val="auto"/>
        </w:rPr>
        <w:t>€1,000,000. More frequent reporting is required if such transaction value or account balances exceed €1,000,000.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2: “Nature of Grant” in Exhibit B:</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Restricted Stock Units, the Grantee acknowledges, understands and agrees that the Grantee is voluntarily participating in the Plan and has received a copy of the Plan. The Grantee acknowledges having read and accepts Section 3: “Termination of Service Relationship” of this Agreement, and Section 2: “Nature of Grant” of Exhibit B.</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Grantee understands that the Company, in its sole discretion, has unilaterally, gratuitously and in its sole discretion decided to grant Restricted Stock Units under the Plan to individuals who may be officers, employees, Non-Employee Directors and other key persons (including Consultants) of the Company and 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Grantee understands that the Restricted Stock Units are granted on the assumption and condition that neither the Restricted Stock Units nor the shares of Stock acquired at vesting of the Restricted Stock Units shall become a part of any employment or other service contract (either with the Company or any of its Subsidiaries or affiliates) nor shall they be considered a mandatory benefit, salary for any purposes (including severance compensation) or any other right whatsoever. Further, the Grantee understands and freely accepts that the future value of the Restricted Stock Units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Restricted Stock Units grant shall be null and void.</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Grantee also understands and agrees that subject to any exceptions set forth in Section 3: “Termination of Service Relationship” of this Agreement, in the event of the termination of the Grantee’s Service Relationship for any reason (including the reasons listed below), the Restricted Stock Units will cease vesting and any entitlement to exercise vested Restricted Stock Units will start to run immediately effective on the date the Grantee is no longer providing services to the Service Recipient or the Company or any of its Subsidiaries. In particular, the Grantee understands and agrees that any unvested Restricted Stock Units will be forfeited without entitlement to the underlying shares of Stock or to any amount as indemnification in the event of a termination of the Grantee’s Service Relationship as described in the Agreement prior to vesting of the Restricted Stock Units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No “offer of securities to the public,” as defined under Spanish law, has taken place or will take place in the Spanish territory in connection with the grant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24" w:name="page325"/>
    <w:bookmarkEnd w:id="324"/>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Restricted Stock Units. The Plan and the Agreement have not been nor will they be registered with the </w:t>
      </w:r>
      <w:r>
        <w:rPr>
          <w:rFonts w:ascii="Times New Roman" w:cs="Times New Roman" w:eastAsia="Times New Roman" w:hAnsi="Times New Roman"/>
          <w:sz w:val="22"/>
          <w:szCs w:val="22"/>
          <w:i w:val="1"/>
          <w:iCs w:val="1"/>
          <w:color w:val="auto"/>
        </w:rPr>
        <w:t>Comisión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Nacional del Mercado de Valores</w:t>
      </w:r>
      <w:r>
        <w:rPr>
          <w:rFonts w:ascii="Times New Roman" w:cs="Times New Roman" w:eastAsia="Times New Roman" w:hAnsi="Times New Roman"/>
          <w:sz w:val="22"/>
          <w:szCs w:val="22"/>
          <w:color w:val="auto"/>
        </w:rPr>
        <w:t>, and do not constitute a public offering prospectus.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 approved or supervised by any Swiss reviewing body according to article 51 FinSA or any Swiss regulatory authority, including the Swiss Financial Market Supervisory Authority.</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Restricted Stock Units granted to the Grantee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Grantee is required to file with the Grantee’s tax return.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1: “Responsibility for Taxes” in Exhibit B:</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1 of Exhibit B, the Grantee hereby agrees that they are liable for all Tax-Related Items and hereby covenants to pay all such Tax-Related Items, as and when requested by the Company or the Service Recipient, as applicable, or by His Majesty’s Revenue &amp; Customs (“HMRC”) (or any other tax authority or any other relevant authority). The Grantee also hereby agrees to indemnify and keep indemnified the Company and the Service Recipient, as applicable, against any Tax-Related Items that they are required to pay or withhold or have paid or will pay to HMRC (or any other tax authority or any other relevant authority) on the Grantee’s behalf.</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Notwithstanding the foregoing, if the Grantee is a director or executive officer of the Company (within the meaning of Section 13(k) of the Exchange Act), the Grantee understands that they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they will be responsible for reporting and paying any income tax due on this additional benefit directly to HMRC under the self-assessment regime and for paying to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25" w:name="page326"/>
    <w:bookmarkEnd w:id="325"/>
    <w:p>
      <w:pPr>
        <w:jc w:val="both"/>
        <w:spacing w:after="0" w:line="258" w:lineRule="auto"/>
        <w:rPr>
          <w:sz w:val="20"/>
          <w:szCs w:val="20"/>
          <w:color w:val="auto"/>
        </w:rPr>
      </w:pPr>
      <w:r>
        <w:rPr>
          <w:rFonts w:ascii="Times New Roman" w:cs="Times New Roman" w:eastAsia="Times New Roman" w:hAnsi="Times New Roman"/>
          <w:sz w:val="22"/>
          <w:szCs w:val="22"/>
          <w:color w:val="auto"/>
        </w:rPr>
        <w:t>Company and/or the Service Recipient (as appropriate) the amount of any NICs due on this additional benefit, which may also be recovered from the Grantee by any of the means referred to in Section 1 of Exhibit B.</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431 Election</w:t>
      </w:r>
      <w:r>
        <w:rPr>
          <w:rFonts w:ascii="Times New Roman" w:cs="Times New Roman" w:eastAsia="Times New Roman" w:hAnsi="Times New Roman"/>
          <w:sz w:val="21"/>
          <w:szCs w:val="21"/>
          <w:color w:val="auto"/>
        </w:rPr>
        <w:t>. If the Grantee is or becomes a director or executive officer of the Company (within the meaning of Section 13(k) of the Exchange Act) prior to vesting of the Restricted Stock Units, the Company may require, as a condition of participation in the Plan and the settlement of the Restricted Stock Units, that the Grantee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Restricted Stock Units as if such shares were not restricted securities (for U.K. tax purposes only) despite the Company's clawback policy under the U.S. Dodd-Frank Act of 2010. If the Grantee does not enter into the 431 Election if and when requested by the Company, the Grantee will not be entitled to vest in the Restricted Stock Units and no shares of Stock will be issued to the Grantee, without any liability to the Company, the Service Recipient or any Subsidiary or affiliate.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2"/>
          <w:szCs w:val="22"/>
          <w:b w:val="1"/>
          <w:bCs w:val="1"/>
          <w:color w:val="auto"/>
        </w:rPr>
        <w:t>Exhibit 10.84</w:t>
      </w:r>
    </w:p>
    <w:p>
      <w:pPr>
        <w:spacing w:after="0" w:line="206" w:lineRule="exact"/>
        <w:rPr>
          <w:sz w:val="20"/>
          <w:szCs w:val="20"/>
          <w:color w:val="auto"/>
        </w:rPr>
      </w:pPr>
    </w:p>
    <w:p>
      <w:pPr>
        <w:jc w:val="center"/>
        <w:ind w:left="1000" w:right="2160"/>
        <w:spacing w:after="0" w:line="241" w:lineRule="auto"/>
        <w:rPr>
          <w:sz w:val="20"/>
          <w:szCs w:val="20"/>
          <w:color w:val="auto"/>
        </w:rPr>
      </w:pPr>
      <w:r>
        <w:rPr>
          <w:rFonts w:ascii="Times New Roman" w:cs="Times New Roman" w:eastAsia="Times New Roman" w:hAnsi="Times New Roman"/>
          <w:sz w:val="22"/>
          <w:szCs w:val="22"/>
          <w:b w:val="1"/>
          <w:bCs w:val="1"/>
          <w:color w:val="auto"/>
        </w:rPr>
        <w:t>RESTRICTED STOCK UNIT AWARD AGREEMENT FOR NON-EMPLOYEE DIRECTORS UNDER THE BLUEPRINT MEDICINES CORPORATION 2015 STOCK OPTION AND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 %%FIRST_NAME%-% %%LAST_NAME%-%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Restricted Stock Units: %%TOTAL_SHARES_GRANTED,'999,999,999'%-%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 %%OPTION_DATE%-%</w:t>
      </w:r>
    </w:p>
    <w:p>
      <w:pPr>
        <w:spacing w:after="0" w:line="233" w:lineRule="exact"/>
        <w:rPr>
          <w:sz w:val="20"/>
          <w:szCs w:val="20"/>
          <w:color w:val="auto"/>
        </w:rPr>
      </w:pPr>
    </w:p>
    <w:p>
      <w:pPr>
        <w:ind w:right="1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subject to the terms and conditions set forth in this Restricted Stock Unit Award Agreement for Non-Employee Directors, including the Privacy Notice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General Terms and Conditions for Non-U.S. Grantees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any Country-Specific Terms and Conditions for the Grantee's country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(collectively, the “Agreement”). Each Restricted Stock Unit shall relate to one share of Common Stock, par value $0.001 per share, of the Company (the “Stock”).</w:t>
      </w:r>
    </w:p>
    <w:p>
      <w:pPr>
        <w:spacing w:after="0" w:line="205" w:lineRule="exact"/>
        <w:rPr>
          <w:sz w:val="20"/>
          <w:szCs w:val="20"/>
          <w:color w:val="auto"/>
        </w:rPr>
      </w:pPr>
    </w:p>
    <w:p>
      <w:pPr>
        <w:ind w:right="40" w:firstLine="656"/>
        <w:spacing w:after="0" w:line="238" w:lineRule="auto"/>
        <w:tabs>
          <w:tab w:leader="none" w:pos="129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203" w:lineRule="exact"/>
        <w:rPr>
          <w:rFonts w:ascii="Times New Roman" w:cs="Times New Roman" w:eastAsia="Times New Roman" w:hAnsi="Times New Roman"/>
          <w:sz w:val="22"/>
          <w:szCs w:val="22"/>
          <w:color w:val="auto"/>
        </w:rPr>
      </w:pPr>
    </w:p>
    <w:p>
      <w:pPr>
        <w:ind w:right="20" w:firstLine="656"/>
        <w:spacing w:after="0" w:line="235" w:lineRule="auto"/>
        <w:tabs>
          <w:tab w:leader="none" w:pos="129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on the Vesting Date or Dates specified in the following schedule so long as the Grantee remains in a continuous Service Relationship with the Company or any Service Recipient (as such terms are defined in Section 3 below) through such Dates; provided that the vesting of the Award shall accelerate and the Award shall become fully vested immediately upon (x) the termination of the Service Relationship due to the Grantee’s death or disability, or (y) the consummation of a Sale Event subject to the Grantee’s continued Service Relationship through the date of such Sale Event.</w:t>
      </w:r>
    </w:p>
    <w:p>
      <w:pPr>
        <w:sectPr>
          <w:pgSz w:w="11900" w:h="16838" w:orient="portrait"/>
          <w:cols w:equalWidth="0" w:num="1">
            <w:col w:w="9920"/>
          </w:cols>
          <w:pgMar w:left="980" w:top="324" w:right="999" w:bottom="1440" w:gutter="0" w:footer="0" w:header="0"/>
        </w:sectPr>
      </w:pPr>
    </w:p>
    <w:p>
      <w:pPr>
        <w:spacing w:after="0" w:line="224"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line="26"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0"/>
          <w:szCs w:val="20"/>
          <w:b w:val="1"/>
          <w:bCs w:val="1"/>
          <w:color w:val="auto"/>
        </w:rPr>
        <w:t>Restricted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0</wp:posOffset>
            </wp:positionV>
            <wp:extent cx="26060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96"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21"/>
          <w:szCs w:val="21"/>
          <w:color w:val="auto"/>
        </w:rPr>
        <w:t>%%SHARES_PERIOD1,’999,999,999’%-% %%SHARES_PERIOD2,’999,999,999’%-% %%SHARES_PERIOD3,’999,999,999’%-%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-481965</wp:posOffset>
            </wp:positionV>
            <wp:extent cx="5031740"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7">
                      <a:extLst>
                        <a:ext uri="{28A0092B-C50C-407E-A947-70E740481C1C}"/>
                      </a:extLst>
                    </a:blip>
                    <a:srcRect/>
                    <a:stretch>
                      <a:fillRect/>
                    </a:stretch>
                  </pic:blipFill>
                  <pic:spPr bwMode="auto">
                    <a:xfrm>
                      <a:off x="0" y="0"/>
                      <a:ext cx="5031740" cy="15430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-173355</wp:posOffset>
            </wp:positionV>
            <wp:extent cx="5031740" cy="154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8">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20"/>
          <w:szCs w:val="20"/>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16510</wp:posOffset>
            </wp:positionV>
            <wp:extent cx="229743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22" w:lineRule="exact"/>
        <w:rPr>
          <w:sz w:val="20"/>
          <w:szCs w:val="20"/>
          <w:color w:val="auto"/>
        </w:rPr>
      </w:pPr>
    </w:p>
    <w:p>
      <w:pPr>
        <w:jc w:val="both"/>
        <w:ind w:right="1300"/>
        <w:spacing w:after="0" w:line="261" w:lineRule="auto"/>
        <w:rPr>
          <w:sz w:val="20"/>
          <w:szCs w:val="20"/>
          <w:color w:val="auto"/>
        </w:rPr>
      </w:pPr>
      <w:r>
        <w:rPr>
          <w:rFonts w:ascii="Times New Roman" w:cs="Times New Roman" w:eastAsia="Times New Roman" w:hAnsi="Times New Roman"/>
          <w:sz w:val="21"/>
          <w:szCs w:val="21"/>
          <w:color w:val="auto"/>
        </w:rPr>
        <w:t>%%VEST_DATE_PERIOD1%-% %%VEST_DATE_PERIOD2%-% %%VEST_DATE_PERIOD3%-%</w:t>
      </w:r>
    </w:p>
    <w:p>
      <w:pPr>
        <w:spacing w:after="0" w:line="200" w:lineRule="exact"/>
        <w:rPr>
          <w:sz w:val="20"/>
          <w:szCs w:val="20"/>
          <w:color w:val="auto"/>
        </w:rPr>
      </w:pPr>
    </w:p>
    <w:p>
      <w:pPr>
        <w:sectPr>
          <w:pgSz w:w="11900" w:h="16838" w:orient="portrait"/>
          <w:cols w:equalWidth="0" w:num="2">
            <w:col w:w="5000" w:space="620"/>
            <w:col w:w="4300"/>
          </w:cols>
          <w:pgMar w:left="980" w:top="324"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type w:val="continuous"/>
        </w:sectPr>
      </w:pPr>
    </w:p>
    <w:bookmarkStart w:id="327" w:name="page328"/>
    <w:bookmarkEnd w:id="327"/>
    <w:p>
      <w:pPr>
        <w:ind w:left="200"/>
        <w:spacing w:after="0"/>
        <w:rPr>
          <w:sz w:val="20"/>
          <w:szCs w:val="20"/>
          <w:color w:val="auto"/>
        </w:rPr>
      </w:pPr>
      <w:r>
        <w:rPr>
          <w:rFonts w:ascii="Times New Roman" w:cs="Times New Roman" w:eastAsia="Times New Roman" w:hAnsi="Times New Roman"/>
          <w:sz w:val="22"/>
          <w:szCs w:val="22"/>
          <w:color w:val="auto"/>
        </w:rPr>
        <w:t>The Administrator may at any time accelerate the vesting schedule specified in this Paragraph 2.</w:t>
      </w:r>
    </w:p>
    <w:p>
      <w:pPr>
        <w:spacing w:after="0" w:line="233" w:lineRule="exact"/>
        <w:rPr>
          <w:sz w:val="20"/>
          <w:szCs w:val="20"/>
          <w:color w:val="auto"/>
        </w:rPr>
      </w:pPr>
    </w:p>
    <w:p>
      <w:pPr>
        <w:ind w:left="-460" w:firstLine="656"/>
        <w:spacing w:after="0" w:line="234" w:lineRule="auto"/>
        <w:tabs>
          <w:tab w:leader="none" w:pos="8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as a Non-Employee Director of the Company or continued service as a consultant, director or employee (the “Service Relationship”) of the Company or any Subsidiary with which the Grantee has a Service Relationship (the “Service Recipient”) terminates for any reason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 The Company’s determination of the reason for termination of the Grantee’s Service Relationship shall be conclusive and binding on the Grantee and the Grantee’s representatives or legatees.</w:t>
      </w:r>
    </w:p>
    <w:p>
      <w:pPr>
        <w:spacing w:after="0" w:line="210" w:lineRule="exact"/>
        <w:rPr>
          <w:rFonts w:ascii="Times New Roman" w:cs="Times New Roman" w:eastAsia="Times New Roman" w:hAnsi="Times New Roman"/>
          <w:sz w:val="22"/>
          <w:szCs w:val="22"/>
          <w:color w:val="auto"/>
        </w:rPr>
      </w:pPr>
    </w:p>
    <w:p>
      <w:pPr>
        <w:ind w:left="-460" w:right="180" w:firstLine="656"/>
        <w:spacing w:after="0" w:line="236" w:lineRule="auto"/>
        <w:tabs>
          <w:tab w:leader="none" w:pos="8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(but in no event later than two and one-half months after the end of the year in which the Vesting Date occurs) and subject to satisfaction of any applicable tax that is required to be withheld by the Company,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8" w:lineRule="exact"/>
        <w:rPr>
          <w:rFonts w:ascii="Times New Roman" w:cs="Times New Roman" w:eastAsia="Times New Roman" w:hAnsi="Times New Roman"/>
          <w:sz w:val="22"/>
          <w:szCs w:val="22"/>
          <w:color w:val="auto"/>
        </w:rPr>
      </w:pPr>
    </w:p>
    <w:p>
      <w:pPr>
        <w:ind w:left="-460" w:right="60" w:firstLine="656"/>
        <w:spacing w:after="0" w:line="239" w:lineRule="auto"/>
        <w:tabs>
          <w:tab w:leader="none" w:pos="8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Award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207" w:lineRule="exact"/>
        <w:rPr>
          <w:rFonts w:ascii="Times New Roman" w:cs="Times New Roman" w:eastAsia="Times New Roman" w:hAnsi="Times New Roman"/>
          <w:sz w:val="22"/>
          <w:szCs w:val="22"/>
          <w:color w:val="auto"/>
        </w:rPr>
      </w:pPr>
    </w:p>
    <w:p>
      <w:pPr>
        <w:ind w:left="-460" w:right="20" w:firstLine="656"/>
        <w:spacing w:after="0" w:line="244" w:lineRule="auto"/>
        <w:tabs>
          <w:tab w:leader="none" w:pos="8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200" w:lineRule="exact"/>
        <w:rPr>
          <w:rFonts w:ascii="Times New Roman" w:cs="Times New Roman" w:eastAsia="Times New Roman" w:hAnsi="Times New Roman"/>
          <w:sz w:val="22"/>
          <w:szCs w:val="22"/>
          <w:color w:val="auto"/>
        </w:rPr>
      </w:pPr>
    </w:p>
    <w:p>
      <w:pPr>
        <w:jc w:val="both"/>
        <w:ind w:left="-460" w:right="100" w:firstLine="656"/>
        <w:spacing w:after="0" w:line="239" w:lineRule="auto"/>
        <w:tabs>
          <w:tab w:leader="none" w:pos="8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Service Relationship</w:t>
      </w:r>
      <w:r>
        <w:rPr>
          <w:rFonts w:ascii="Times New Roman" w:cs="Times New Roman" w:eastAsia="Times New Roman" w:hAnsi="Times New Roman"/>
          <w:sz w:val="22"/>
          <w:szCs w:val="22"/>
          <w:color w:val="auto"/>
        </w:rPr>
        <w:t>. Neither the Plan nor this Award confers upon the Grantee any rights with respect to continuance as a Non-Employee Director or in any other Service Relationship, and neither the Plan nor this Agreement shall interfere in any way with the right of the Company or any Service Recipient, as applicable, to terminate the Service Relationship of the Grantee at any time.</w:t>
      </w:r>
    </w:p>
    <w:p>
      <w:pPr>
        <w:spacing w:after="0" w:line="207" w:lineRule="exact"/>
        <w:rPr>
          <w:rFonts w:ascii="Times New Roman" w:cs="Times New Roman" w:eastAsia="Times New Roman" w:hAnsi="Times New Roman"/>
          <w:sz w:val="22"/>
          <w:szCs w:val="22"/>
          <w:color w:val="auto"/>
        </w:rPr>
      </w:pPr>
    </w:p>
    <w:p>
      <w:pPr>
        <w:ind w:left="-460" w:right="300" w:firstLine="656"/>
        <w:spacing w:after="0" w:line="244" w:lineRule="auto"/>
        <w:tabs>
          <w:tab w:leader="none" w:pos="8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00" w:lineRule="exact"/>
        <w:rPr>
          <w:rFonts w:ascii="Times New Roman" w:cs="Times New Roman" w:eastAsia="Times New Roman" w:hAnsi="Times New Roman"/>
          <w:sz w:val="22"/>
          <w:szCs w:val="22"/>
          <w:color w:val="auto"/>
        </w:rPr>
      </w:pPr>
    </w:p>
    <w:p>
      <w:pPr>
        <w:jc w:val="both"/>
        <w:ind w:left="-460" w:right="180" w:firstLine="656"/>
        <w:spacing w:after="0" w:line="244" w:lineRule="auto"/>
        <w:tabs>
          <w:tab w:leader="none" w:pos="83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In order to administer the Plan and this Agreement, and to implement or structure future equity grants, the Company may collect and process the Grantee's personal data, including sharing it with its Subsidiaries and affiliates and certain agents thereof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2" w:lineRule="exact"/>
        <w:rPr>
          <w:rFonts w:ascii="Times New Roman" w:cs="Times New Roman" w:eastAsia="Times New Roman" w:hAnsi="Times New Roman"/>
          <w:sz w:val="22"/>
          <w:szCs w:val="22"/>
          <w:color w:val="auto"/>
        </w:rPr>
      </w:pPr>
    </w:p>
    <w:p>
      <w:pPr>
        <w:ind w:left="4440" w:hanging="105"/>
        <w:spacing w:after="0"/>
        <w:tabs>
          <w:tab w:leader="none" w:pos="44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868" w:right="1019" w:bottom="1440" w:gutter="0" w:footer="0" w:header="0"/>
        </w:sectPr>
      </w:pPr>
    </w:p>
    <w:bookmarkStart w:id="328" w:name="page329"/>
    <w:bookmarkEnd w:id="328"/>
    <w:p>
      <w:pPr>
        <w:ind w:right="80"/>
        <w:spacing w:after="0" w:line="236" w:lineRule="auto"/>
        <w:rPr>
          <w:sz w:val="20"/>
          <w:szCs w:val="20"/>
          <w:color w:val="auto"/>
        </w:rPr>
      </w:pPr>
      <w:r>
        <w:rPr>
          <w:rFonts w:ascii="Times New Roman" w:cs="Times New Roman" w:eastAsia="Times New Roman" w:hAnsi="Times New Roman"/>
          <w:sz w:val="22"/>
          <w:szCs w:val="22"/>
          <w:color w:val="auto"/>
        </w:rPr>
        <w:t xml:space="preserve">(together, the “Relevant Companies”) in connection with administering the Plan and performing its obligations under this Agreement. The Company may also transfer the Grantee’s personal data to countries with privacy laws that may be less protective than those of the Grantee’s country.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 Privacy Notice, incorporated by reference into this Agreement as if fully set forth herein, further describes how the Grantee’s personal data will be processed and the Grantee’s rights with respect to personal data processed for the purposes of administering the Plan and this Agreement.</w:t>
      </w:r>
    </w:p>
    <w:p>
      <w:pPr>
        <w:spacing w:after="0" w:line="208" w:lineRule="exact"/>
        <w:rPr>
          <w:sz w:val="20"/>
          <w:szCs w:val="20"/>
          <w:color w:val="auto"/>
        </w:rPr>
      </w:pPr>
    </w:p>
    <w:p>
      <w:pPr>
        <w:ind w:right="40" w:firstLine="656"/>
        <w:spacing w:after="0" w:line="244"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rFonts w:ascii="Times New Roman" w:cs="Times New Roman" w:eastAsia="Times New Roman" w:hAnsi="Times New Roman"/>
          <w:sz w:val="22"/>
          <w:szCs w:val="22"/>
          <w:color w:val="auto"/>
        </w:rPr>
      </w:pPr>
    </w:p>
    <w:p>
      <w:pPr>
        <w:ind w:right="280" w:firstLine="656"/>
        <w:spacing w:after="0" w:line="238"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Award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spacing w:after="0" w:line="203"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 in the courts of Middlesex County, Massachusetts, or the federal courts for the United States for the District of Massachusetts, where this grant is made and/or to be performed.</w:t>
      </w:r>
    </w:p>
    <w:p>
      <w:pPr>
        <w:spacing w:after="0" w:line="208" w:lineRule="exact"/>
        <w:rPr>
          <w:rFonts w:ascii="Times New Roman" w:cs="Times New Roman" w:eastAsia="Times New Roman" w:hAnsi="Times New Roman"/>
          <w:sz w:val="22"/>
          <w:szCs w:val="22"/>
          <w:color w:val="auto"/>
        </w:rPr>
      </w:pPr>
    </w:p>
    <w:p>
      <w:pPr>
        <w:ind w:right="20" w:firstLine="656"/>
        <w:spacing w:after="0" w:line="244"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rFonts w:ascii="Times New Roman" w:cs="Times New Roman" w:eastAsia="Times New Roman" w:hAnsi="Times New Roman"/>
          <w:sz w:val="22"/>
          <w:szCs w:val="22"/>
          <w:color w:val="auto"/>
        </w:rPr>
      </w:pPr>
    </w:p>
    <w:p>
      <w:pPr>
        <w:jc w:val="both"/>
        <w:ind w:right="200" w:firstLine="656"/>
        <w:spacing w:after="0" w:line="244" w:lineRule="auto"/>
        <w:tabs>
          <w:tab w:leader="none" w:pos="129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Grantee acknowledges that a waiver by the Company or breach of any provision of this Agreement shall not operate or be construed as a waiver of any other provision of this Agreement, or of any subsequent breach by the Grantee or any other grantee.</w:t>
      </w:r>
    </w:p>
    <w:p>
      <w:pPr>
        <w:spacing w:after="0" w:line="19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7" w:lineRule="exact"/>
        <w:rPr>
          <w:sz w:val="20"/>
          <w:szCs w:val="20"/>
          <w:color w:val="auto"/>
        </w:rPr>
      </w:pPr>
    </w:p>
    <w:p>
      <w:pPr>
        <w:ind w:left="4280"/>
        <w:spacing w:after="0"/>
        <w:tabs>
          <w:tab w:leader="none" w:pos="4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Kathryn D. Haviland</w:t>
      </w:r>
    </w:p>
    <w:p>
      <w:pPr>
        <w:spacing w:after="0" w:line="1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 Kathryn D.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-158115</wp:posOffset>
            </wp:positionV>
            <wp:extent cx="31546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4280"/>
        <w:spacing w:after="0"/>
        <w:tabs>
          <w:tab w:leader="none" w:pos="49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329" w:name="page330"/>
    <w:bookmarkEnd w:id="329"/>
    <w:p>
      <w:pPr>
        <w:ind w:right="99"/>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10795</wp:posOffset>
            </wp:positionV>
            <wp:extent cx="571754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4">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u w:val="single" w:color="auto"/>
          <w:color w:val="auto"/>
        </w:rPr>
        <w:t>Grantee’s name and address:</w:t>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u w:val="single" w:color="auto"/>
          <w:color w:val="auto"/>
        </w:rPr>
        <w:t>%%FIRST_NAME%-%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-3810</wp:posOffset>
            </wp:positionV>
            <wp:extent cx="33089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22"/>
          <w:szCs w:val="22"/>
          <w:u w:val="single" w:color="auto"/>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-3810</wp:posOffset>
            </wp:positionV>
            <wp:extent cx="33089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22"/>
          <w:szCs w:val="22"/>
          <w:u w:val="single" w:color="auto"/>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-3810</wp:posOffset>
            </wp:positionV>
            <wp:extent cx="33089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22"/>
          <w:szCs w:val="22"/>
          <w:u w:val="single" w:color="auto"/>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-3810</wp:posOffset>
            </wp:positionV>
            <wp:extent cx="33089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22"/>
          <w:szCs w:val="22"/>
          <w:u w:val="single" w:color="auto"/>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-3810</wp:posOffset>
            </wp:positionV>
            <wp:extent cx="33089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4700"/>
        <w:spacing w:after="0"/>
        <w:rPr>
          <w:sz w:val="20"/>
          <w:szCs w:val="20"/>
          <w:color w:val="auto"/>
        </w:rPr>
      </w:pPr>
      <w:r>
        <w:rPr>
          <w:rFonts w:ascii="Times New Roman" w:cs="Times New Roman" w:eastAsia="Times New Roman" w:hAnsi="Times New Roman"/>
          <w:sz w:val="22"/>
          <w:szCs w:val="22"/>
          <w:u w:val="single" w:color="auto"/>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-3810</wp:posOffset>
            </wp:positionV>
            <wp:extent cx="33089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0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68" w:right="1440"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If you, as the Grantee,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106"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ind w:right="580"/>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11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ind w:right="380"/>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9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11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 recognized by the European Commission as providing an adequate level of data protection. For transfers of your personal data to countries not considered adequate by the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31" w:name="page332"/>
    <w:bookmarkEnd w:id="331"/>
    <w:p>
      <w:pPr>
        <w:ind w:right="540"/>
        <w:spacing w:after="0" w:line="244" w:lineRule="auto"/>
        <w:rPr>
          <w:sz w:val="20"/>
          <w:szCs w:val="20"/>
          <w:color w:val="auto"/>
        </w:rPr>
      </w:pPr>
      <w:r>
        <w:rPr>
          <w:rFonts w:ascii="Times New Roman" w:cs="Times New Roman" w:eastAsia="Times New Roman" w:hAnsi="Times New Roman"/>
          <w:sz w:val="22"/>
          <w:szCs w:val="22"/>
          <w:color w:val="auto"/>
        </w:rPr>
        <w:t>European Commission, the Company has implemented adequate measures to protect your personal data (for example, putting in place contractual arrangements approved by the European Commission, or Standard Contractual Clauses).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11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9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ind w:right="620"/>
        <w:spacing w:after="0" w:line="235" w:lineRule="auto"/>
        <w:rPr>
          <w:sz w:val="20"/>
          <w:szCs w:val="20"/>
          <w:color w:val="auto"/>
        </w:rPr>
      </w:pPr>
      <w:r>
        <w:rPr>
          <w:rFonts w:ascii="Times New Roman" w:cs="Times New Roman" w:eastAsia="Times New Roman" w:hAnsi="Times New Roman"/>
          <w:sz w:val="22"/>
          <w:szCs w:val="22"/>
          <w:color w:val="auto"/>
        </w:rPr>
        <w:t>Questions about this Privacy Notice, to exercise applicable rights related to your personal data, or for more information about the Company’s privacy and data protection practices, please contact us at the appropriate locations: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Privacy@blueprintmedicines.com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332" w:name="page333"/>
    <w:bookmarkEnd w:id="33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Terms and Conditions for Non-U.S. Grantees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Exhibit B, which is part of the Restricted Stock Unit Award Agreement for Non-Employee Directors, contains additional terms and conditions that will apply to the Grantee if residing outside the United States.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Restricted Stock Unit Award Agreement for Non-Employee Directors.</w:t>
      </w:r>
    </w:p>
    <w:p>
      <w:pPr>
        <w:spacing w:after="0" w:line="200" w:lineRule="exact"/>
        <w:rPr>
          <w:sz w:val="20"/>
          <w:szCs w:val="20"/>
          <w:color w:val="auto"/>
        </w:rPr>
      </w:pPr>
    </w:p>
    <w:p>
      <w:pPr>
        <w:ind w:left="660" w:right="20" w:hanging="652"/>
        <w:spacing w:after="0" w:line="258" w:lineRule="auto"/>
        <w:tabs>
          <w:tab w:leader="none" w:pos="6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Section 4 of the Restricted Stock Unit Award Agreement for Non-Employee Directors.</w:t>
      </w:r>
    </w:p>
    <w:p>
      <w:pPr>
        <w:spacing w:after="0" w:line="158" w:lineRule="exact"/>
        <w:rPr>
          <w:rFonts w:ascii="Times New Roman" w:cs="Times New Roman" w:eastAsia="Times New Roman" w:hAnsi="Times New Roman"/>
          <w:sz w:val="22"/>
          <w:szCs w:val="22"/>
          <w:color w:val="auto"/>
        </w:rPr>
      </w:pPr>
    </w:p>
    <w:p>
      <w:pPr>
        <w:jc w:val="both"/>
        <w:ind w:left="6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Grantee acknowledges that, regardless of any action taken by the Company, the ultimate liability for all income tax, social insurance, payroll tax, fringe benefit tax, payment on account or other tax-related items related to the Grantee's participation in the Plan and legally applicable to the Grantee (“Tax-Related Items”) is and remains the Grantee’s responsibility and may exceed the amount actually withheld by the Company. The Grantee further acknowledges that the Company (a) makes no representations or undertakings regarding the treatment of any Tax-Related Items in connection with any aspect of the Restricted Stock Units, including, but not limited to, the grant or vesting of the Restricted Stock Units and the subsequent sale of shares of Stock acquired pursuant to such vesting and the receipt of any dividends and/or dividend equivalents; and (b) does not commit to and is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may be required to withhold or account for Tax-Related Items in more than one jurisdiction and may seek evidence from the Grantee of residency for purposes of operating such withholding or payment on account.</w:t>
      </w:r>
    </w:p>
    <w:p>
      <w:pPr>
        <w:spacing w:after="0" w:line="180" w:lineRule="exact"/>
        <w:rPr>
          <w:rFonts w:ascii="Times New Roman" w:cs="Times New Roman" w:eastAsia="Times New Roman" w:hAnsi="Times New Roman"/>
          <w:sz w:val="22"/>
          <w:szCs w:val="22"/>
          <w:color w:val="auto"/>
        </w:rPr>
      </w:pPr>
    </w:p>
    <w:p>
      <w:pPr>
        <w:jc w:val="both"/>
        <w:ind w:left="6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responsible for withholding any Tax-Related Items, unless required by applicable law. The Company may take such action as it deems appropriate to ensure that all Tax-Related Items are withheld or collected from the Grantee, if and to the extent required by applicable law. In this regard, the Company will have the power and the right to require the Grantee to remit to the Company, the amount necessary to satisfy the Tax-Related Items. Notwithstanding the foregoing, unless otherwise determined by the Administrator, any obligations to pay Tax-Related Items will be met by having the Company withhold a number of shares of Stock from the total number of shares of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2" w:lineRule="exact"/>
        <w:rPr>
          <w:rFonts w:ascii="Times New Roman" w:cs="Times New Roman" w:eastAsia="Times New Roman" w:hAnsi="Times New Roman"/>
          <w:sz w:val="22"/>
          <w:szCs w:val="22"/>
          <w:color w:val="auto"/>
        </w:rPr>
      </w:pPr>
    </w:p>
    <w:p>
      <w:pPr>
        <w:ind w:left="4900" w:hanging="105"/>
        <w:spacing w:after="0"/>
        <w:tabs>
          <w:tab w:leader="none" w:pos="49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33" w:name="page334"/>
    <w:bookmarkEnd w:id="333"/>
    <w:p>
      <w:pPr>
        <w:jc w:val="both"/>
        <w:ind w:left="652"/>
        <w:spacing w:after="0" w:line="233" w:lineRule="auto"/>
        <w:rPr>
          <w:sz w:val="20"/>
          <w:szCs w:val="20"/>
          <w:color w:val="auto"/>
        </w:rPr>
      </w:pPr>
      <w:r>
        <w:rPr>
          <w:rFonts w:ascii="Times New Roman" w:cs="Times New Roman" w:eastAsia="Times New Roman" w:hAnsi="Times New Roman"/>
          <w:sz w:val="22"/>
          <w:szCs w:val="22"/>
          <w:color w:val="auto"/>
        </w:rPr>
        <w:t>otherwise issuable to the Grantee upon the relevant taxable or tax withholding event, as applicable. In the event that withholding in shares of Stock is problematic under applicable tax or securities law or has materially adverse accounting consequences, the Grantee authorizes the Company, or its respective agents, at the Company’s discretion, to satisfy the obligations with regard to all Tax-Related Items by one or a combination of the following: (i) requiring the Grantee to make a payment in a form acceptable to the Company; (ii) withholding from the Grantee’s Director fees or other cash compensation paid to the Grantee by the Company; (iii) withholding from proceeds of the sale of shares of Stock acquired upon vesting/settlement of the Restricted Stock Units either through a voluntary sale or through a mandatory sale arranged by the Company (on the Grantee’s behalf pursuant to this authorization); or (iv) any other method of withholding determined by the Company and to the extent required by applicable law or the Plan, approved by the Administrator. Depending on the withholding method, the Company may withhold or account for Tax-Related Items by considering maximum applicable rates, in which case the Grantee will receive a refund of any over-withheld amount in cash and will have no entitlement to the Common Stock equivalent.</w:t>
      </w:r>
    </w:p>
    <w:p>
      <w:pPr>
        <w:spacing w:after="0" w:line="207" w:lineRule="exact"/>
        <w:rPr>
          <w:sz w:val="20"/>
          <w:szCs w:val="20"/>
          <w:color w:val="auto"/>
        </w:rPr>
      </w:pPr>
    </w:p>
    <w:p>
      <w:pPr>
        <w:jc w:val="both"/>
        <w:ind w:left="652" w:right="20"/>
        <w:spacing w:after="0" w:line="244" w:lineRule="auto"/>
        <w:rPr>
          <w:sz w:val="20"/>
          <w:szCs w:val="20"/>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Grantee fails to comply with the Grantee’s obligations in connection with the Tax-Related Items.</w:t>
      </w:r>
    </w:p>
    <w:p>
      <w:pPr>
        <w:spacing w:after="0" w:line="173" w:lineRule="exact"/>
        <w:rPr>
          <w:sz w:val="20"/>
          <w:szCs w:val="20"/>
          <w:color w:val="auto"/>
        </w:rPr>
      </w:pPr>
    </w:p>
    <w:p>
      <w:pPr>
        <w:ind w:left="652" w:hanging="652"/>
        <w:spacing w:after="0" w:line="258" w:lineRule="auto"/>
        <w:tabs>
          <w:tab w:leader="none" w:pos="65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Restricted Stock Units, the Grantee acknowledges, understands and agrees that:</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units or other grants, if any, will be at the sole discretion of the Company;</w:t>
      </w:r>
    </w:p>
    <w:p>
      <w:pPr>
        <w:spacing w:after="0" w:line="158"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Grantee’s participation in the Plan shall not be interpreted as forming an employment or services contract with the Company or any Subsidiary;</w:t>
      </w:r>
    </w:p>
    <w:p>
      <w:pPr>
        <w:spacing w:after="0" w:line="15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voluntarily participating in the Plan;</w:t>
      </w:r>
    </w:p>
    <w:p>
      <w:pPr>
        <w:spacing w:after="0" w:line="206"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of Stock subject to the Restricted Stock Units are not intended to replace any pension rights, Director fees or compensation;</w:t>
      </w:r>
    </w:p>
    <w:p>
      <w:pPr>
        <w:spacing w:after="0" w:line="158" w:lineRule="exact"/>
        <w:rPr>
          <w:rFonts w:ascii="Times New Roman" w:cs="Times New Roman" w:eastAsia="Times New Roman" w:hAnsi="Times New Roman"/>
          <w:sz w:val="22"/>
          <w:szCs w:val="22"/>
          <w:color w:val="auto"/>
        </w:rPr>
      </w:pPr>
    </w:p>
    <w:p>
      <w:pPr>
        <w:ind w:left="1292" w:hanging="644"/>
        <w:spacing w:after="0" w:line="258" w:lineRule="auto"/>
        <w:tabs>
          <w:tab w:leader="none" w:pos="129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shares of Stock subject to the Restricted Stock Units, and the income and value of same, are not part of normal or expected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4892" w:hanging="105"/>
        <w:spacing w:after="0"/>
        <w:tabs>
          <w:tab w:leader="none" w:pos="4892"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334" w:name="page335"/>
    <w:bookmarkEnd w:id="334"/>
    <w:p>
      <w:pPr>
        <w:ind w:left="1292"/>
        <w:spacing w:after="0" w:line="258" w:lineRule="auto"/>
        <w:rPr>
          <w:sz w:val="20"/>
          <w:szCs w:val="20"/>
          <w:color w:val="auto"/>
        </w:rPr>
      </w:pPr>
      <w:r>
        <w:rPr>
          <w:rFonts w:ascii="Times New Roman" w:cs="Times New Roman" w:eastAsia="Times New Roman" w:hAnsi="Times New Roman"/>
          <w:sz w:val="22"/>
          <w:szCs w:val="22"/>
          <w:color w:val="auto"/>
        </w:rPr>
        <w:t>compensation for any purpose, and do not confer on Grantee any right to receive Director fees or other compensation in any specific amount;</w:t>
      </w:r>
    </w:p>
    <w:p>
      <w:pPr>
        <w:spacing w:after="0" w:line="158" w:lineRule="exact"/>
        <w:rPr>
          <w:sz w:val="20"/>
          <w:szCs w:val="20"/>
          <w:color w:val="auto"/>
        </w:rPr>
      </w:pPr>
    </w:p>
    <w:p>
      <w:pPr>
        <w:jc w:val="both"/>
        <w:ind w:left="1292" w:hanging="644"/>
        <w:spacing w:after="0" w:line="239" w:lineRule="auto"/>
        <w:tabs>
          <w:tab w:leader="none" w:pos="12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Restricted Stock Units and the shares of Stock subject to the Restricted Stock Units, and the income and value of same, are not granted as consideration for, or in connection with, the service the Grantee may provide as a director of a Subsidiary;</w:t>
      </w:r>
    </w:p>
    <w:p>
      <w:pPr>
        <w:spacing w:after="0" w:line="180" w:lineRule="exact"/>
        <w:rPr>
          <w:rFonts w:ascii="Times New Roman" w:cs="Times New Roman" w:eastAsia="Times New Roman" w:hAnsi="Times New Roman"/>
          <w:sz w:val="22"/>
          <w:szCs w:val="22"/>
          <w:color w:val="auto"/>
        </w:rPr>
      </w:pPr>
    </w:p>
    <w:p>
      <w:pPr>
        <w:ind w:left="1292" w:right="20" w:hanging="644"/>
        <w:spacing w:after="0" w:line="258" w:lineRule="auto"/>
        <w:tabs>
          <w:tab w:leader="none" w:pos="12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of Stock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jc w:val="both"/>
        <w:ind w:left="1292" w:hanging="644"/>
        <w:spacing w:after="0" w:line="244" w:lineRule="auto"/>
        <w:tabs>
          <w:tab w:leader="none" w:pos="12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the Grantee’s service as a member of the Board (for any reason whatsoever);</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39" w:lineRule="auto"/>
        <w:tabs>
          <w:tab w:leader="none" w:pos="129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80"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Grantee’s participation in the Plan, or the Grantee’s acquisition or sale of the underlying shares of Stock. The Grantee is hereby advised to consult with the Grantee’s own personal tax, legal and financial advisors regarding the Grantee’s participation in the Plan before taking any action related to the Plan.</w:t>
      </w:r>
    </w:p>
    <w:p>
      <w:pPr>
        <w:spacing w:after="0" w:line="176" w:lineRule="exact"/>
        <w:rPr>
          <w:rFonts w:ascii="Times New Roman" w:cs="Times New Roman" w:eastAsia="Times New Roman" w:hAnsi="Times New Roman"/>
          <w:sz w:val="22"/>
          <w:szCs w:val="22"/>
          <w:color w:val="auto"/>
        </w:rPr>
      </w:pPr>
    </w:p>
    <w:p>
      <w:pPr>
        <w:jc w:val="both"/>
        <w:ind w:left="652" w:right="20" w:hanging="652"/>
        <w:spacing w:after="0" w:line="244" w:lineRule="auto"/>
        <w:tabs>
          <w:tab w:leader="none" w:pos="65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the Grantee has received this Agreement or any other document related to the Plan translated into a language other than English and if the meaning of the translated version is different than the English version, the English version will control.</w:t>
      </w:r>
    </w:p>
    <w:p>
      <w:pPr>
        <w:spacing w:after="0" w:line="173"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65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any other requirements on the Grantee’s participation in the Plan, on the Restricted Stock Units and on any shares of Stock acquired under the Plan, to the extent the Company determines it is necessary or advisable for legal or administrative reasons, and to require the Grantee to sign any additional agreements or undertakings that may be necessary to accomplish the foregoing.</w:t>
      </w:r>
    </w:p>
    <w:p>
      <w:pPr>
        <w:spacing w:after="0" w:line="176" w:lineRule="exact"/>
        <w:rPr>
          <w:rFonts w:ascii="Times New Roman" w:cs="Times New Roman" w:eastAsia="Times New Roman" w:hAnsi="Times New Roman"/>
          <w:sz w:val="22"/>
          <w:szCs w:val="22"/>
          <w:color w:val="auto"/>
        </w:rPr>
      </w:pPr>
    </w:p>
    <w:p>
      <w:pPr>
        <w:jc w:val="both"/>
        <w:ind w:left="652" w:hanging="652"/>
        <w:spacing w:after="0" w:line="235" w:lineRule="auto"/>
        <w:tabs>
          <w:tab w:leader="none" w:pos="65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Restrictions/Market Abuse Laws</w:t>
      </w:r>
      <w:r>
        <w:rPr>
          <w:rFonts w:ascii="Times New Roman" w:cs="Times New Roman" w:eastAsia="Times New Roman" w:hAnsi="Times New Roman"/>
          <w:sz w:val="22"/>
          <w:szCs w:val="22"/>
          <w:color w:val="auto"/>
        </w:rPr>
        <w:t>. The Grantee acknowledges that, depending on the Grantee’s country, the Grantee may be subject to insider trading restrictions and/or market abuse laws, which may affect the ability to acquire or sell shares of Stock or rights to shares of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under the Plan during such times as the Grantee is considered to have “inside information” regarding the Company (as defined by the laws in the Grantee’s country). Any restrictions under these laws or regulations are separate from and in addition to any restrictions that may be imposed under any applicable Company insider trading policy. The Grantee is responsible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8" w:lineRule="exact"/>
        <w:rPr>
          <w:rFonts w:ascii="Times New Roman" w:cs="Times New Roman" w:eastAsia="Times New Roman" w:hAnsi="Times New Roman"/>
          <w:sz w:val="22"/>
          <w:szCs w:val="22"/>
          <w:color w:val="auto"/>
        </w:rPr>
      </w:pPr>
    </w:p>
    <w:p>
      <w:pPr>
        <w:ind w:left="4892" w:hanging="105"/>
        <w:spacing w:after="0"/>
        <w:tabs>
          <w:tab w:leader="none" w:pos="4892"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335" w:name="page336"/>
    <w:bookmarkEnd w:id="335"/>
    <w:p>
      <w:pPr>
        <w:ind w:left="652"/>
        <w:spacing w:after="0" w:line="258" w:lineRule="auto"/>
        <w:rPr>
          <w:sz w:val="20"/>
          <w:szCs w:val="20"/>
          <w:color w:val="auto"/>
        </w:rPr>
      </w:pPr>
      <w:r>
        <w:rPr>
          <w:rFonts w:ascii="Times New Roman" w:cs="Times New Roman" w:eastAsia="Times New Roman" w:hAnsi="Times New Roman"/>
          <w:sz w:val="22"/>
          <w:szCs w:val="22"/>
          <w:color w:val="auto"/>
        </w:rPr>
        <w:t>for ensuring compliance with any applicable restrictions and is advised to consult a personal legal advisor on this matter.</w:t>
      </w:r>
    </w:p>
    <w:p>
      <w:pPr>
        <w:spacing w:after="0" w:line="158" w:lineRule="exact"/>
        <w:rPr>
          <w:sz w:val="20"/>
          <w:szCs w:val="20"/>
          <w:color w:val="auto"/>
        </w:rPr>
      </w:pPr>
    </w:p>
    <w:p>
      <w:pPr>
        <w:jc w:val="both"/>
        <w:ind w:left="652" w:hanging="652"/>
        <w:spacing w:after="0" w:line="246" w:lineRule="auto"/>
        <w:tabs>
          <w:tab w:leader="none" w:pos="652"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Asset/Account Reporting; Exchange Controls</w:t>
      </w:r>
      <w:r>
        <w:rPr>
          <w:rFonts w:ascii="Times New Roman" w:cs="Times New Roman" w:eastAsia="Times New Roman" w:hAnsi="Times New Roman"/>
          <w:sz w:val="21"/>
          <w:szCs w:val="21"/>
          <w:color w:val="auto"/>
        </w:rPr>
        <w:t>. The Grantee’s country may have certain foreign asset and/or account reporting requirements and/or exchange controls which may affect the Grantee’s ability to acquire or hold shares of Stock under the Plan or cash received from participating in the Plan (including from any dividends received or sale proceeds arising from the sale of shares of Stock) in a brokerage or bank account outside the Grantee’s country. The Grantee may be required to report such accounts, assets or transactions to the tax or other authorities in the Grantee’s country. The Grantee also may be required to repatriate sale proceeds or other funds received as a result of the Grantee’s participation in the Plan to the Grantee’s country through a designated bank or broker and/or within a certain time after receipt. The Grantee acknowledges that it is the Grantee’s responsibility to be compliant with such regulations, and the Grantee is advised to consult a personal legal advisor for any details.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5" w:lineRule="exact"/>
        <w:rPr>
          <w:rFonts w:ascii="Times New Roman" w:cs="Times New Roman" w:eastAsia="Times New Roman" w:hAnsi="Times New Roman"/>
          <w:sz w:val="21"/>
          <w:szCs w:val="21"/>
          <w:color w:val="auto"/>
        </w:rPr>
      </w:pPr>
    </w:p>
    <w:p>
      <w:pPr>
        <w:ind w:left="4832" w:hanging="99"/>
        <w:spacing w:after="0"/>
        <w:tabs>
          <w:tab w:leader="none" w:pos="483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NON-EMPLOYEE DIRECTORS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OPTION AND INCENTIVE PLAN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Country-Specific Terms and Conditions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 given to such terms in the Blueprint Medicines Corporation 2015 Stock Option and Incentive Plan as amended and restated and the Restricted Stock Unit Award Agreement for Non-Employee Directors and the General Terms and Conditions for Non-U.S. Grantees attached thereto as Exhibit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Exhibit C includes additional terms and conditions that govern the Restricted Stock Units granted to the Grantee if the Grantee resides and/or works in a country listed below. If the Grantee moves to another country after receiving the grant of the Restricted Stock Units, the Company will, in its discretion, determine the extent to which the terms and conditions herein will be applicable to the Grantee.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This Exhibit C also includes information regarding exchange controls and certain other issues of which the Grantee should be aware with respect to the Grantee’s participation in the Plan. The information is based on the securities, exchange control and other laws in effect in the respective countries as of </w:t>
      </w:r>
      <w:r>
        <w:rPr>
          <w:rFonts w:ascii="Times New Roman" w:cs="Times New Roman" w:eastAsia="Times New Roman" w:hAnsi="Times New Roman"/>
          <w:sz w:val="22"/>
          <w:szCs w:val="22"/>
          <w:b w:val="1"/>
          <w:bCs w:val="1"/>
          <w:color w:val="auto"/>
        </w:rPr>
        <w:t>February 2023</w:t>
      </w:r>
      <w:r>
        <w:rPr>
          <w:rFonts w:ascii="Times New Roman" w:cs="Times New Roman" w:eastAsia="Times New Roman" w:hAnsi="Times New Roman"/>
          <w:sz w:val="22"/>
          <w:szCs w:val="22"/>
          <w:color w:val="auto"/>
        </w:rPr>
        <w:t>. Such laws are often complex and change frequently. As a result, the Company strongly recommends that the Grantee not rely on the information in this Exhibit C as the only source of information relating to the consequences of the Grantee’s participation in the Plan because the information may be out of date at the time that the Restricted Stock Units vest or the Grantee sells shares of Stock acquired under the Plan.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Grantee’s particular situation and the Company is not in a position to assure the Grantee of a particular result. Accordingly, the Grantee should seek appropriate professional advice as to how the relevant laws in the Grantee’s country may apply to the Grantee’s situation.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Finally, if the Grantee is a citizen or resident of a country other than the one in which the Grantee is currently residing and/or working (or if the Grantee is considered as such for local law purposes), the information contained herein may not be applicable to the Grantee in the same manner.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Restricted Stock Units Not French-Qualified</w:t>
      </w:r>
      <w:r>
        <w:rPr>
          <w:rFonts w:ascii="Times New Roman" w:cs="Times New Roman" w:eastAsia="Times New Roman" w:hAnsi="Times New Roman"/>
          <w:sz w:val="22"/>
          <w:szCs w:val="22"/>
          <w:color w:val="auto"/>
        </w:rPr>
        <w:t>. The Restricted Stock Units granted under this Agreement are not intended to qualify for the specific tax and social security treatment pursuant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37" w:name="page338"/>
    <w:bookmarkEnd w:id="337"/>
    <w:p>
      <w:pPr>
        <w:jc w:val="both"/>
        <w:spacing w:after="0" w:line="258" w:lineRule="auto"/>
        <w:rPr>
          <w:sz w:val="20"/>
          <w:szCs w:val="20"/>
          <w:color w:val="auto"/>
        </w:rPr>
      </w:pPr>
      <w:r>
        <w:rPr>
          <w:rFonts w:ascii="Times New Roman" w:cs="Times New Roman" w:eastAsia="Times New Roman" w:hAnsi="Times New Roman"/>
          <w:sz w:val="22"/>
          <w:szCs w:val="22"/>
          <w:color w:val="auto"/>
        </w:rPr>
        <w:t>to Sections L. 225-197-1 to L. 225-197-5 and L. 22-10-59 to L. 22-10-60 of the French Commercial Code, as amended.</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By accepting the Restricted Stock Units, the Grantee confirms having read and understood the Plan and the Agreement, including Exhibits A, B, and this Exhibit C, and all terms and conditions included therein, which were provided in the English language. The Grantee accepts the terms of those documents accordingly.</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En acceptant les Restricted Stock Units, le Titulaire de les Restricted Stock Units confirme avoir lu et compris le Plan et le Contrat y relatifs, incluant tous leurs termes et conditions, qui ont été transmis en langue anglaise. Le Titulaire de les Restricted Stock Units accepte les dispositions de ces documents en connaissance de cause.</w:t>
      </w:r>
    </w:p>
    <w:p>
      <w:pPr>
        <w:spacing w:after="0" w:line="13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Grantee imports or exports cash (e.g., proceeds from the sale of shares of Stock acquired under the Plan) with a value equal to or exceeding a certain threshold (currently €10,000), and does not use a financial institution to do so, they must submit a report to the customs and excise authorities.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Grantee must report any shares of Stock and bank or brokerage accounts they hold outside France (including any accounts that were opened, used and/or closed during the tax year) on an annual basis, on form No. 3916, together with their income tax return. It is the Grantee’s responsibility to comply with French foreign asset and account reporting requirements, and neither the Company nor the Service Recipient will be liable for any resulting fines or penalties.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in connection with the purchase or sale of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transfer of proceeds from the sale of shares of Stock into Germany) must be reported monthly to the German Federal Bank. In the event that German residents make or receive a payment in excess of this amount, the resident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available via Bundesbank’s website: </w:t>
      </w:r>
      <w:r>
        <w:rPr>
          <w:rFonts w:ascii="Times New Roman" w:cs="Times New Roman" w:eastAsia="Times New Roman" w:hAnsi="Times New Roman"/>
          <w:sz w:val="22"/>
          <w:szCs w:val="22"/>
          <w:u w:val="single" w:color="auto"/>
          <w:color w:val="auto"/>
        </w:rPr>
        <w:t>www.bundesbank.de</w:t>
      </w:r>
      <w:r>
        <w:rPr>
          <w:rFonts w:ascii="Times New Roman" w:cs="Times New Roman" w:eastAsia="Times New Roman" w:hAnsi="Times New Roman"/>
          <w:sz w:val="22"/>
          <w:szCs w:val="22"/>
          <w:color w:val="auto"/>
        </w:rPr>
        <w:t>. Additional reporting to the Bundesbank via email or telephone may be required.</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acquisition of shares of Stock under the Plan leads to a “qualified participation” at any point during the calendar year, the Grantee will need to report the acquisition when the Grantee files their tax return for the relevant year. A qualified participation is attained if (i) the value of the shares of Stock acquired exceeds €150,000 or (ii) in the unlikely event the Grantee holds shares of Stock exceeding 10% of the Company’s total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By accepting the Restricted Stock Units, the Grantee acknowledges that the Grantee has received a copy of the Plan and the Agreement,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38" w:name="page339"/>
    <w:bookmarkEnd w:id="338"/>
    <w:p>
      <w:pPr>
        <w:jc w:val="both"/>
        <w:spacing w:after="0" w:line="236" w:lineRule="auto"/>
        <w:rPr>
          <w:sz w:val="20"/>
          <w:szCs w:val="20"/>
          <w:color w:val="auto"/>
        </w:rPr>
      </w:pPr>
      <w:r>
        <w:rPr>
          <w:rFonts w:ascii="Times New Roman" w:cs="Times New Roman" w:eastAsia="Times New Roman" w:hAnsi="Times New Roman"/>
          <w:sz w:val="22"/>
          <w:szCs w:val="22"/>
          <w:color w:val="auto"/>
        </w:rPr>
        <w:t>Exhibits A, B, and this Exhibit C, has reviewed these documents in their entirety and fully understands and accepts all provisions contained therein. The Grantee further acknowledges that the Grantee has read and specifically and expressly approves the provisions regarding Section 3: “Termination of Service Relationship,” Section 7: “No Obligation to Continue Service Relationship,” Section 9: “Personal Data,” and Section 12: “Governing Law and Venue” in the Agreement, as well as Section 1: “Responsibility for Taxes,” Section 2: “Nature of Grant,” and Section 4: “Language,” in Exhibit B.</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Italian residents who, at any time during the fiscal year, hold foreign financial assets (including cash and shares of Stock) which may generate income taxable in Italy are required to report these assets on their annual tax returns (UNICO Form, RW Schedule, or on a special form if they are not required to file a tax return) for the year during which the assets are held. These reporting obligations will also apply to Italian residents who are the beneficial owners of foreign financial assets under Italian money laundering provisions.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Tax on Foreign Financial Assets</w:t>
      </w:r>
      <w:r>
        <w:rPr>
          <w:rFonts w:ascii="Times New Roman" w:cs="Times New Roman" w:eastAsia="Times New Roman" w:hAnsi="Times New Roman"/>
          <w:sz w:val="22"/>
          <w:szCs w:val="22"/>
          <w:color w:val="auto"/>
        </w:rPr>
        <w:t>. Italian residents are subject to a tax on the value of financial assets held outside Italy if the value of such assets exceeds a certain threshold.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shares of Stock) assessed on December 31 or on the last day of the year that the assets were held (if shares of Stock are acquired or sold during the year, the taxable amount is reduced in proportion to the number of days the shares were held during the calendar year). The tax is assessed as part of the annual tax return.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Foreign Asset/Account Reporting Requirement Information</w:t>
      </w:r>
      <w:r>
        <w:rPr>
          <w:rFonts w:ascii="Times New Roman" w:cs="Times New Roman" w:eastAsia="Times New Roman" w:hAnsi="Times New Roman"/>
          <w:sz w:val="22"/>
          <w:szCs w:val="22"/>
          <w:color w:val="auto"/>
        </w:rPr>
        <w:t>. To the extent the Grantee holds shares of Stock or has a bank account outside of Spain with a value in excess of €50,000 (for each type of asset category) as of December 31 each year, the Grantee will be required to report information on such assets and/or accounts on their tax return Form 720 for such year. After such shares of Stock or accounts are initially reported, the reporting obligation will only apply for subsequent years if the value of any previously-reported shares or accounts increases by more than €20,000 (for each type of asset category) as of each subsequent December 31, or if the Grantee sells shares of Stock or closes a bank account that was previously reported.</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Further, the Grantee is required to electronically declare to the Bank of Spain any securities accounts (including brokerage accounts) held abroad, as well as the securities (including shares of Stock acquired under the Plan) held in such accounts, if the value of the transactions for all such accounts during the prior tax year or the balances in such accounts as of December 31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1"/>
          <w:szCs w:val="21"/>
          <w:color w:val="auto"/>
        </w:rPr>
        <w:t>€1,000,000. More frequent reporting is required if such transaction value or account balances exceed €1,000,000.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Labor Law Acknowledgment</w:t>
      </w:r>
      <w:r>
        <w:rPr>
          <w:rFonts w:ascii="Times New Roman" w:cs="Times New Roman" w:eastAsia="Times New Roman" w:hAnsi="Times New Roman"/>
          <w:sz w:val="22"/>
          <w:szCs w:val="22"/>
          <w:color w:val="auto"/>
        </w:rPr>
        <w:t>. This provision supplements Section 2: “Nature of Grant” in Exhibit B:</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Restricted Stock Units, the Grantee acknowledges, understands and agrees that the Grantee is voluntarily participating in the Plan and has received a copy of the Plan. The Grantee acknowledges having read and accepts Section 3: “Termination of Service Relationship” of this Agreement, and Section 2: “Nature of Grant” in Exhibit B.</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Grantee understands that the Company, in its sole discretion, has unilaterally, gratuitously and in its sole discretion decided to grant Restricted Stock Units under the Plan to individuals who may be officers, employees, Non-Employee Directors and other key persons (including Consultants) of the Company and its Subsidiaries. The decision is a limited decision that is entered into upon the express assumption and condition that any grant will not economically or otherwise bind the Company or any of its Subsidiaries or affiliates on an ongoing basis over and above the specific terms of the Plan. Consequently, the Grantee understands that the Restricted Stock Units are granted on the assumption and condition that neither the Restricted Stock Units nor the shares of Stock acquired at vesting of the Restricted Stock Units shall become a part of any employment or other service contract (either with the Company or any of its Subsidiaries or affiliates) nor shall they be considered a mandatory benefit, salary for any purposes (including severance compensation) or any other right whatsoever. Further, the Grantee understands and freely accepts that the future value of the Restricted Stock Units and shares of Stock is unknown and unpredictable. In addition, the Grantee understands that the grant would not be made to the Grantee but for the assumptions and conditions referred to above; thus, the Grantee acknowledges and freely accepts that should any or all of the assumptions be mistaken or should any of the conditions not be met for any reason, then the Restricted Stock Units grant shall be null and void.</w:t>
      </w:r>
    </w:p>
    <w:p>
      <w:pPr>
        <w:spacing w:after="0" w:line="1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Grantee also understands and agrees that subject to any exceptions set forth in Section 3: “Termination of Service Relationship” of this Agreement, in the event of the termination of the Grantee’s Service Relationship for any reason (including the reasons listed below), the Restricted Stock Units will cease vesting and any entitlement to exercise vested Restricted Stock Units will start to run immediately effective on the date the Grantee is no longer providing services to the Service Recipient or the Company or any of its Subsidiaries. In particular, the Grantee understands and agrees that any unvested Restricted Stock Units will be forfeited without entitlement to the underlying shares of Stock or to any amount as indemnification in the event of a termination of the Grantee’s Service Relationship as described in the Agreement prior to vesting of the Restricted Stock Units by reason of, including but not limited to, resignation, retirement,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subject to a “despido improcedente”),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Service Recipient and under Article 10.3 of the Royal Decree 1382/1985.</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No “offer of securities to the public,” as defined under Spanish law, has taken place or will take place in the Spanish territory in connection with the grant of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40" w:name="page341"/>
    <w:bookmarkEnd w:id="340"/>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Restricted Stock Units. The Plan and the Agreement have not been nor will they be registered with the </w:t>
      </w:r>
      <w:r>
        <w:rPr>
          <w:rFonts w:ascii="Times New Roman" w:cs="Times New Roman" w:eastAsia="Times New Roman" w:hAnsi="Times New Roman"/>
          <w:sz w:val="22"/>
          <w:szCs w:val="22"/>
          <w:i w:val="1"/>
          <w:iCs w:val="1"/>
          <w:color w:val="auto"/>
        </w:rPr>
        <w:t>Comisión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Nacional del Mercado de Valores</w:t>
      </w:r>
      <w:r>
        <w:rPr>
          <w:rFonts w:ascii="Times New Roman" w:cs="Times New Roman" w:eastAsia="Times New Roman" w:hAnsi="Times New Roman"/>
          <w:sz w:val="22"/>
          <w:szCs w:val="22"/>
          <w:color w:val="auto"/>
        </w:rPr>
        <w:t>, and do not constitute a public offering prospectus.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offering of participation in the Plan is considered a private offering in Switzerland; therefore, it is not subject to registration in Switzerland. Neither this document nor any other materials relating to the Plan (i) constitute a prospectus according to articles 35 et seq. of the Swiss Federal Act on Financial Services (“FinSA”), (ii) may be publicly distributed or otherwise made publicly available in Switzerland to any person other than an employee or service provider of the Company or a Subsidiary or (iii) has been or will be filed with, approved or supervised by any Swiss reviewing body according to article 51 FinSA or any Swiss regulatory authority, including the Swiss Financial Market Supervisory Authority.</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Foreign Asset / Account Reporting Information</w:t>
      </w:r>
      <w:r>
        <w:rPr>
          <w:rFonts w:ascii="Times New Roman" w:cs="Times New Roman" w:eastAsia="Times New Roman" w:hAnsi="Times New Roman"/>
          <w:sz w:val="22"/>
          <w:szCs w:val="22"/>
          <w:color w:val="auto"/>
        </w:rPr>
        <w:t>. Swiss residents are required to declare all of their foreign bank and brokerage accounts in which they hold cash or securities, including the accounts that were opened and/or closed during the tax year, as well as any other assets, on an annual basis on in their tax return. This includes Restricted Stock Units granted to the Grantee under the Plan which should not be subject to the net wealth tax, but must be reflected “pro memoria” in the statement on bank accounts and securities (</w:t>
      </w:r>
      <w:r>
        <w:rPr>
          <w:rFonts w:ascii="Times New Roman" w:cs="Times New Roman" w:eastAsia="Times New Roman" w:hAnsi="Times New Roman"/>
          <w:sz w:val="22"/>
          <w:szCs w:val="22"/>
          <w:i w:val="1"/>
          <w:iCs w:val="1"/>
          <w:color w:val="auto"/>
        </w:rPr>
        <w:t>Wertschriftenverzeichnis</w:t>
      </w:r>
      <w:r>
        <w:rPr>
          <w:rFonts w:ascii="Times New Roman" w:cs="Times New Roman" w:eastAsia="Times New Roman" w:hAnsi="Times New Roman"/>
          <w:sz w:val="22"/>
          <w:szCs w:val="22"/>
          <w:color w:val="auto"/>
        </w:rPr>
        <w:t>) that the Grantee is required to file with the Grantee’s tax return.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following provision supplements Section 1: “Responsibility for Taxes”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Without limitation to Section 1 of Exhibit B, the Grantee hereby agrees that they are liable for all Tax-Related Items and hereby covenants to pay all such Tax-Related Items, as and when requested by the Company or the Service Recipient, as applicable, or by His Majesty’s Revenue &amp; Customs (“HMRC”) (or any other tax authority or any other relevant authority). The Grantee also hereby agrees to indemnify and keep indemnified the Company and the Service Recipient, as applicable, against any Tax-Related Items that they are required to pay or withhold or have paid or will pay to HMRC (or any other tax authority or any other relevant authority) on the Grantee’s behalf.</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Notwithstanding the foregoing, if the Grantee is a director or executive officer of the Company (within the meaning of Section 13(k) of the Exchange Act), the Grantee understands that they may not be able to indemnify the Company for the amount of any Tax-Related Items not collected from or paid by the Grantee, if the indemnification could be considered to be a loan. In this case, the Tax-Related Items not collected or paid may constitute a benefit to the Grantee on which additional income tax and National Insurance Contributions (“NICs”) may be payable. The Grantee understands that they will be responsible for reporting and paying any income tax due on this additional benefit directly to HMRC under the self-assessment regime and for paying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341" w:name="page342"/>
    <w:bookmarkEnd w:id="341"/>
    <w:p>
      <w:pPr>
        <w:jc w:val="both"/>
        <w:spacing w:after="0" w:line="258" w:lineRule="auto"/>
        <w:rPr>
          <w:sz w:val="20"/>
          <w:szCs w:val="20"/>
          <w:color w:val="auto"/>
        </w:rPr>
      </w:pPr>
      <w:r>
        <w:rPr>
          <w:rFonts w:ascii="Times New Roman" w:cs="Times New Roman" w:eastAsia="Times New Roman" w:hAnsi="Times New Roman"/>
          <w:sz w:val="22"/>
          <w:szCs w:val="22"/>
          <w:color w:val="auto"/>
        </w:rPr>
        <w:t>Company and/or the Service Recipient (as appropriate) the amount of any NICs due on this additional benefit, which may also be recovered from the Grantee by any of the means referred to in Section 1 of Exhibit B.</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431 Election</w:t>
      </w:r>
      <w:r>
        <w:rPr>
          <w:rFonts w:ascii="Times New Roman" w:cs="Times New Roman" w:eastAsia="Times New Roman" w:hAnsi="Times New Roman"/>
          <w:sz w:val="21"/>
          <w:szCs w:val="21"/>
          <w:color w:val="auto"/>
        </w:rPr>
        <w:t>. If the Grantee is or becomes a director or executive officer of the Company (within the meaning of Section 13(k) of the Exchange Act) prior to vesting of the Restricted Stock Units, the Company may require, as a condition of participation in the Plan and the settlement of the Restricted Stock Units, that the Grantee enter into, jointly with the Service Recipient, an election within Section 431 of the U.K. Income Tax (Earnings and Pensions) Act 2003 (“ITEPA 2003”) in respect of computing any tax charge on the acquisition of “restricted securities” (as defined in Sections 423 and 424 of ITEPA 2003) (the “431 Election”). This election will be to treat the shares of Stock acquired pursuant to the vesting of the Restricted Stock Units as if such shares were not restricted securities (for U.K. tax purposes only) despite the Company's clawback policy under the U.S. Dodd-Frank Act of 2010. If the Grantee does not enter into the 431 Election if and when requested by the Company, the Grantee will not be entitled to vest in the Restricted Stock Units and no shares of Stock will be issued to the Grantee, without any liability to the Company, the Service Recipient or any Subsidiary or affiliate.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22"/>
          <w:szCs w:val="22"/>
          <w:b w:val="1"/>
          <w:bCs w:val="1"/>
          <w:color w:val="auto"/>
        </w:rPr>
        <w:t>Exhibit 10.85</w:t>
      </w:r>
    </w:p>
    <w:p>
      <w:pPr>
        <w:spacing w:after="0" w:line="234" w:lineRule="exact"/>
        <w:rPr>
          <w:sz w:val="20"/>
          <w:szCs w:val="20"/>
          <w:color w:val="auto"/>
        </w:rPr>
      </w:pPr>
    </w:p>
    <w:p>
      <w:pPr>
        <w:jc w:val="center"/>
        <w:ind w:left="1000" w:right="2160"/>
        <w:spacing w:after="0" w:line="246" w:lineRule="auto"/>
        <w:rPr>
          <w:sz w:val="20"/>
          <w:szCs w:val="20"/>
          <w:color w:val="auto"/>
        </w:rPr>
      </w:pPr>
      <w:r>
        <w:rPr>
          <w:rFonts w:ascii="Times New Roman" w:cs="Times New Roman" w:eastAsia="Times New Roman" w:hAnsi="Times New Roman"/>
          <w:sz w:val="22"/>
          <w:szCs w:val="22"/>
          <w:b w:val="1"/>
          <w:bCs w:val="1"/>
          <w:color w:val="auto"/>
        </w:rPr>
        <w:t>RESTRICTED STOCK UNIT AWARD AGREEMENT UNDER THE BLUEPRINT MEDICINES CORPORATION 2020 INDUCEMENT PLAN</w:t>
      </w:r>
    </w:p>
    <w:p>
      <w:pPr>
        <w:spacing w:after="0" w:line="198"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Name of Grantee:</w:t>
      </w:r>
      <w:r>
        <w:rPr>
          <w:sz w:val="20"/>
          <w:szCs w:val="20"/>
          <w:color w:val="auto"/>
        </w:rPr>
        <w:tab/>
      </w:r>
      <w:r>
        <w:rPr>
          <w:rFonts w:ascii="Times New Roman" w:cs="Times New Roman" w:eastAsia="Times New Roman" w:hAnsi="Times New Roman"/>
          <w:sz w:val="21"/>
          <w:szCs w:val="21"/>
          <w:color w:val="auto"/>
        </w:rPr>
        <w:t>%%FIRST_NAME%-% %%LAST_NAME%-%</w:t>
      </w:r>
    </w:p>
    <w:p>
      <w:pPr>
        <w:spacing w:after="0" w:line="23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2"/>
          <w:szCs w:val="22"/>
          <w:color w:val="auto"/>
        </w:rPr>
        <w:t>No. of Restricted Stock Units:</w:t>
      </w:r>
      <w:r>
        <w:rPr>
          <w:sz w:val="20"/>
          <w:szCs w:val="20"/>
          <w:color w:val="auto"/>
        </w:rPr>
        <w:tab/>
      </w:r>
      <w:r>
        <w:rPr>
          <w:rFonts w:ascii="Times New Roman" w:cs="Times New Roman" w:eastAsia="Times New Roman" w:hAnsi="Times New Roman"/>
          <w:sz w:val="21"/>
          <w:szCs w:val="21"/>
          <w:color w:val="auto"/>
        </w:rPr>
        <w:t>%%TOTAL_SHARES_GRANTED,'999,999,999'%-%</w:t>
      </w: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Grant Date:</w:t>
      </w:r>
      <w:r>
        <w:rPr>
          <w:sz w:val="20"/>
          <w:szCs w:val="20"/>
          <w:color w:val="auto"/>
        </w:rPr>
        <w:tab/>
      </w:r>
      <w:r>
        <w:rPr>
          <w:rFonts w:ascii="Times New Roman" w:cs="Times New Roman" w:eastAsia="Times New Roman" w:hAnsi="Times New Roman"/>
          <w:sz w:val="21"/>
          <w:szCs w:val="21"/>
          <w:color w:val="auto"/>
        </w:rPr>
        <w:t>%%OPTION_DATE%-%</w:t>
      </w:r>
    </w:p>
    <w:p>
      <w:pPr>
        <w:spacing w:after="0" w:line="233"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 xml:space="preserve">Pursuant to the Blueprint Medicines Corporation 2020 Inducement Plan as amended through the date hereof (the “Plan”), Blueprint Medicines Corporation (the “Company”) hereby grants an award of the number of Restricted Stock Units listed above (an “Award”) to the Grantee named above, subject to the terms and conditions set forth in this Restricted Stock Unit Award Agreement, including the Privacy Notice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(the “Agreement”) and in the Plan. Each Restricted Stock Unit shall relate to one share of Common Stock, par value $0.001 per share, of the Company (the “Stock”). For the avoidance of doubt, this Award is not issued under the Company’s 2015 Stock Option and Incentive Plan, as amended from time to time, and does not reduce the share reserve under such equity plan. This Award has been granted as an inducement pursuant to Rule 5635(c)(4) of the Marketplace Rules of The Nasdaq Stock Market LLC.</w:t>
      </w:r>
    </w:p>
    <w:p>
      <w:pPr>
        <w:spacing w:after="0" w:line="210" w:lineRule="exact"/>
        <w:rPr>
          <w:sz w:val="20"/>
          <w:szCs w:val="20"/>
          <w:color w:val="auto"/>
        </w:rPr>
      </w:pPr>
    </w:p>
    <w:p>
      <w:pPr>
        <w:ind w:right="40" w:firstLine="656"/>
        <w:spacing w:after="0" w:line="238" w:lineRule="auto"/>
        <w:tabs>
          <w:tab w:leader="none" w:pos="135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203" w:lineRule="exact"/>
        <w:rPr>
          <w:rFonts w:ascii="Times New Roman" w:cs="Times New Roman" w:eastAsia="Times New Roman" w:hAnsi="Times New Roman"/>
          <w:sz w:val="22"/>
          <w:szCs w:val="22"/>
          <w:color w:val="auto"/>
        </w:rPr>
      </w:pPr>
    </w:p>
    <w:p>
      <w:pPr>
        <w:ind w:right="20" w:firstLine="656"/>
        <w:spacing w:after="0" w:line="248" w:lineRule="auto"/>
        <w:tabs>
          <w:tab w:leader="none" w:pos="135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Restricted Stock Units</w:t>
      </w:r>
      <w:r>
        <w:rPr>
          <w:rFonts w:ascii="Times New Roman" w:cs="Times New Roman" w:eastAsia="Times New Roman" w:hAnsi="Times New Roman"/>
          <w:sz w:val="21"/>
          <w:szCs w:val="21"/>
          <w:color w:val="auto"/>
        </w:rPr>
        <w:t>. The restrictions and conditions of Paragraph 1 of this Agreement shall lapse on the Vesting Date or Dates specified in the following schedule so long as the Grantee remains in a continuous Service Relationship with the Company or any Service Recipient (as such terms are defined in Section 3 below) through such Dates; provided that the vesting of the Award shall accelerate and the Award shall become fully vested immediately upon termination of the Grantee's Service Relationship due to the Grantee’s death or disability. If a series of Vesting Dates is specified, then the restrictions and conditions in Paragraph 1 shall lapse only with respect to the number of Restricted Stock Units specified as vested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631190</wp:posOffset>
            </wp:positionV>
            <wp:extent cx="629221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43" w:name="page344"/>
    <w:bookmarkEnd w:id="343"/>
    <w:p>
      <w:pPr>
        <w:ind w:left="540"/>
        <w:spacing w:after="0"/>
        <w:rPr>
          <w:sz w:val="20"/>
          <w:szCs w:val="20"/>
          <w:color w:val="auto"/>
        </w:rPr>
      </w:pPr>
      <w:r>
        <w:rPr>
          <w:rFonts w:ascii="Times New Roman" w:cs="Times New Roman" w:eastAsia="Times New Roman" w:hAnsi="Times New Roman"/>
          <w:sz w:val="22"/>
          <w:szCs w:val="22"/>
          <w:b w:val="1"/>
          <w:bCs w:val="1"/>
          <w:color w:val="auto"/>
        </w:rPr>
        <w:t>Incremental Number of</w:t>
      </w:r>
    </w:p>
    <w:p>
      <w:pPr>
        <w:spacing w:after="0" w:line="18" w:lineRule="exact"/>
        <w:rPr>
          <w:sz w:val="20"/>
          <w:szCs w:val="20"/>
          <w:color w:val="auto"/>
        </w:rPr>
      </w:pPr>
    </w:p>
    <w:p>
      <w:pPr>
        <w:ind w:left="540"/>
        <w:spacing w:after="0"/>
        <w:tabs>
          <w:tab w:leader="none" w:pos="6060" w:val="left"/>
        </w:tabs>
        <w:rPr>
          <w:sz w:val="20"/>
          <w:szCs w:val="20"/>
          <w:color w:val="auto"/>
        </w:rPr>
      </w:pPr>
      <w:r>
        <w:rPr>
          <w:rFonts w:ascii="Times New Roman" w:cs="Times New Roman" w:eastAsia="Times New Roman" w:hAnsi="Times New Roman"/>
          <w:sz w:val="22"/>
          <w:szCs w:val="22"/>
          <w:b w:val="1"/>
          <w:bCs w:val="1"/>
          <w:color w:val="auto"/>
        </w:rPr>
        <w:t>Restricted Stock Units Vested</w:t>
      </w:r>
      <w:r>
        <w:rPr>
          <w:sz w:val="20"/>
          <w:szCs w:val="20"/>
          <w:color w:val="auto"/>
        </w:rPr>
        <w:tab/>
      </w:r>
      <w:r>
        <w:rPr>
          <w:rFonts w:ascii="Times New Roman" w:cs="Times New Roman" w:eastAsia="Times New Roman" w:hAnsi="Times New Roman"/>
          <w:sz w:val="21"/>
          <w:szCs w:val="21"/>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-3810</wp:posOffset>
            </wp:positionV>
            <wp:extent cx="503174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5">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ectPr>
          <w:pgSz w:w="11900" w:h="16838" w:orient="portrait"/>
          <w:cols w:equalWidth="0" w:num="1">
            <w:col w:w="9400"/>
          </w:cols>
          <w:pgMar w:left="1440" w:top="500" w:right="1059" w:bottom="1440" w:gutter="0" w:footer="0" w:header="0"/>
        </w:sect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%%SHARES_PERIOD1%-%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-135255</wp:posOffset>
            </wp:positionV>
            <wp:extent cx="5031740" cy="154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6">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%%SHARES_PERIOD2%-%</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%%SHARES_PERIOD3%-%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-150495</wp:posOffset>
            </wp:positionV>
            <wp:extent cx="5031740"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7">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21"/>
          <w:szCs w:val="21"/>
          <w:color w:val="auto"/>
        </w:rPr>
        <w:t>%%SHARES_PERIOD4%-%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940" w:firstLine="54"/>
        <w:spacing w:after="0" w:line="255" w:lineRule="auto"/>
        <w:rPr>
          <w:sz w:val="20"/>
          <w:szCs w:val="20"/>
          <w:color w:val="auto"/>
        </w:rPr>
      </w:pPr>
      <w:r>
        <w:rPr>
          <w:rFonts w:ascii="Times New Roman" w:cs="Times New Roman" w:eastAsia="Times New Roman" w:hAnsi="Times New Roman"/>
          <w:sz w:val="21"/>
          <w:szCs w:val="21"/>
          <w:color w:val="auto"/>
        </w:rPr>
        <w:t>%%VEST_DATE_PERIOD1%-% %%VEST_DATE_PERIOD2%-% %%VEST_DATE_PERIOD3%-% %%VEST_DATE_PERIOD4%-%</w:t>
      </w:r>
    </w:p>
    <w:p>
      <w:pPr>
        <w:spacing w:after="0" w:line="189" w:lineRule="exact"/>
        <w:rPr>
          <w:sz w:val="20"/>
          <w:szCs w:val="20"/>
          <w:color w:val="auto"/>
        </w:rPr>
      </w:pPr>
    </w:p>
    <w:p>
      <w:pPr>
        <w:sectPr>
          <w:pgSz w:w="11900" w:h="16838" w:orient="portrait"/>
          <w:cols w:equalWidth="0" w:num="2">
            <w:col w:w="4700" w:space="720"/>
            <w:col w:w="3980"/>
          </w:cols>
          <w:pgMar w:left="1440" w:top="500" w:right="105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2"/>
          <w:szCs w:val="22"/>
          <w:color w:val="auto"/>
        </w:rPr>
        <w:t>The Administrator may at any time accelerate the vesting schedule specified in this Paragraph 2.</w:t>
      </w:r>
    </w:p>
    <w:p>
      <w:pPr>
        <w:spacing w:after="0" w:line="233" w:lineRule="exact"/>
        <w:rPr>
          <w:sz w:val="20"/>
          <w:szCs w:val="20"/>
          <w:color w:val="auto"/>
        </w:rPr>
      </w:pPr>
    </w:p>
    <w:p>
      <w:pPr>
        <w:ind w:left="-460" w:firstLine="656"/>
        <w:spacing w:after="0" w:line="234" w:lineRule="auto"/>
        <w:tabs>
          <w:tab w:leader="none" w:pos="89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employment or service relationship as a consultant or director, as applicable (the “Service Relationship”) with the Company or, if different, the Subsidiary with which the Grantee has a Service Relationship (the “Service Recipient”)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The Company’s determination of the reason for termination of the Grantee’s Service Relationship shall be conclusive and binding on the Grantee and the Grantee’s representatives or legatees.</w:t>
      </w:r>
    </w:p>
    <w:p>
      <w:pPr>
        <w:spacing w:after="0" w:line="210" w:lineRule="exact"/>
        <w:rPr>
          <w:rFonts w:ascii="Times New Roman" w:cs="Times New Roman" w:eastAsia="Times New Roman" w:hAnsi="Times New Roman"/>
          <w:sz w:val="22"/>
          <w:szCs w:val="22"/>
          <w:color w:val="auto"/>
        </w:rPr>
      </w:pPr>
    </w:p>
    <w:p>
      <w:pPr>
        <w:ind w:left="-460" w:right="20" w:firstLine="656"/>
        <w:spacing w:after="0" w:line="238" w:lineRule="auto"/>
        <w:tabs>
          <w:tab w:leader="none" w:pos="89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3" w:lineRule="exact"/>
        <w:rPr>
          <w:rFonts w:ascii="Times New Roman" w:cs="Times New Roman" w:eastAsia="Times New Roman" w:hAnsi="Times New Roman"/>
          <w:sz w:val="22"/>
          <w:szCs w:val="22"/>
          <w:color w:val="auto"/>
        </w:rPr>
      </w:pPr>
    </w:p>
    <w:p>
      <w:pPr>
        <w:ind w:left="-460" w:right="240" w:firstLine="656"/>
        <w:spacing w:after="0" w:line="255" w:lineRule="auto"/>
        <w:tabs>
          <w:tab w:leader="none" w:pos="89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 by all the terms and conditions of the Plan, which is incorporated herein by reference, including the powers of the Administrator set forth in Section 2(b) of the Plan. Capitalized terms in this Agreement shall have the meaning specified in the Plan, unless a different meaning is specified herein.</w:t>
      </w:r>
    </w:p>
    <w:p>
      <w:pPr>
        <w:spacing w:after="0" w:line="188" w:lineRule="exact"/>
        <w:rPr>
          <w:rFonts w:ascii="Times New Roman" w:cs="Times New Roman" w:eastAsia="Times New Roman" w:hAnsi="Times New Roman"/>
          <w:sz w:val="21"/>
          <w:szCs w:val="21"/>
          <w:color w:val="auto"/>
        </w:rPr>
      </w:pPr>
    </w:p>
    <w:p>
      <w:pPr>
        <w:ind w:left="900" w:hanging="704"/>
        <w:spacing w:after="0"/>
        <w:tabs>
          <w:tab w:leader="none" w:pos="9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60" w:right="120" w:firstLine="656"/>
        <w:spacing w:after="0" w:line="235" w:lineRule="auto"/>
        <w:tabs>
          <w:tab w:leader="none" w:pos="8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that, regardless of any action taken by the Company or the Service Recipient, the ultimate liability for all income tax, social insurance, payroll tax, fringe benefits tax, payment on account or other tax-related items related to the Grantee’s participation in the Plan and legally applicable to the Grantee (“Tax-Related Items”) is and remains the Grantee’s responsibility and may exceed the amount actually withheld by the Company or the Service Recipient. The Grantee further acknowledges that the Company and/or the Service Recipient (1) make no representations or undertakings regarding the treatment of any Tax-Related Items in connection with any aspect of the Restricted Stock Units, including, but not limited to, the grant or vesting of the Restricted Stock Units, the subsequent sale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490855</wp:posOffset>
            </wp:positionV>
            <wp:extent cx="629221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00"/>
          </w:cols>
          <w:pgMar w:left="1440" w:top="500" w:right="1059" w:bottom="1440" w:gutter="0" w:footer="0" w:header="0"/>
          <w:type w:val="continuous"/>
        </w:sectPr>
      </w:pPr>
    </w:p>
    <w:bookmarkStart w:id="344" w:name="page345"/>
    <w:bookmarkEnd w:id="344"/>
    <w:p>
      <w:pPr>
        <w:ind w:right="100"/>
        <w:spacing w:after="0" w:line="236" w:lineRule="auto"/>
        <w:rPr>
          <w:sz w:val="20"/>
          <w:szCs w:val="20"/>
          <w:color w:val="auto"/>
        </w:rPr>
      </w:pPr>
      <w:r>
        <w:rPr>
          <w:rFonts w:ascii="Times New Roman" w:cs="Times New Roman" w:eastAsia="Times New Roman" w:hAnsi="Times New Roman"/>
          <w:sz w:val="22"/>
          <w:szCs w:val="22"/>
          <w:color w:val="auto"/>
        </w:rPr>
        <w:t>Stock acquired pursuant to such vesting and the receipt of any dividends; and (2)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he or she acknowledges that the Company and/or the Service Recipient (or former Service Recipient, as applicable) may be required to withhold or account for Tax-Related Items in more than one jurisdiction.</w:t>
      </w:r>
    </w:p>
    <w:p>
      <w:pPr>
        <w:spacing w:after="0" w:line="208" w:lineRule="exact"/>
        <w:rPr>
          <w:sz w:val="20"/>
          <w:szCs w:val="20"/>
          <w:color w:val="auto"/>
        </w:rPr>
      </w:pPr>
    </w:p>
    <w:p>
      <w:pPr>
        <w:ind w:right="160" w:firstLine="656"/>
        <w:spacing w:after="0" w:line="235" w:lineRule="auto"/>
        <w:tabs>
          <w:tab w:leader="none" w:pos="129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relevant taxable or tax withholding event, as applicable, the Grantee agrees to make adequate arrangements satisfactory to the Administrator to satisfy all Tax-Related Items. In this regard, the Grantee authorizes and directs the Company to cause its transfer agent and any manager of the Company’s stock plan benefits to sell on the Grantee’s behalf a whole number of shares of Stock from those shares of Stock issued to the Grantee necessary to satisfy the Tax-Related Items withholding obligations. The Grantee acknowledges that the Grantee shall have no control over the timing of such mandatory sale, and the Company shall use the proceeds from such sale to satisfy the Grantee’s liability for Tax-Related Items.</w:t>
      </w:r>
    </w:p>
    <w:p>
      <w:pPr>
        <w:spacing w:after="0" w:line="210" w:lineRule="exact"/>
        <w:rPr>
          <w:rFonts w:ascii="Times New Roman" w:cs="Times New Roman" w:eastAsia="Times New Roman" w:hAnsi="Times New Roman"/>
          <w:sz w:val="22"/>
          <w:szCs w:val="22"/>
          <w:color w:val="auto"/>
        </w:rPr>
      </w:pPr>
    </w:p>
    <w:p>
      <w:pPr>
        <w:ind w:right="100" w:firstLine="656"/>
        <w:spacing w:after="0" w:line="233" w:lineRule="auto"/>
        <w:tabs>
          <w:tab w:leader="none" w:pos="129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such mandatory sale is prevented by a legal, contractual, regulatory or accounting restriction or if the obligation for Tax-Related Items arises other than in connection with the vesting (and associated settlement) of the Restricted Stock Units, the Grantee authorizes the Company and/or the Service Recipient, or their respective agents, to satisfy any applicable withholding obligations with regard to all Tax-Related Items by one or a combination of the following: (i) requiring the Grantee to make a payment in a form acceptable to the Company; (ii) withholding from wages or other cash compensation paid to the Grantee by the Company, including director fees, and/or the Service Recipient; (iii) withholding in shares of Stock to be issued upon vesting of the Restricted Stock Units (provided, in the case of Section 16 officer of the Company subject to Section 16 of the Exchange Act of 1934 (the “Exchange Act”), that this method is authorized by the Administrator as constituted in accordance with Rule 16b-3 under the Exchange Act); or (iv) any other method of withholding determined by the Administrator and permitted by applicable law.</w:t>
      </w:r>
    </w:p>
    <w:p>
      <w:pPr>
        <w:spacing w:after="0" w:line="214" w:lineRule="exact"/>
        <w:rPr>
          <w:rFonts w:ascii="Times New Roman" w:cs="Times New Roman" w:eastAsia="Times New Roman" w:hAnsi="Times New Roman"/>
          <w:sz w:val="22"/>
          <w:szCs w:val="22"/>
          <w:color w:val="auto"/>
        </w:rPr>
      </w:pPr>
    </w:p>
    <w:p>
      <w:pPr>
        <w:ind w:firstLine="656"/>
        <w:spacing w:after="0" w:line="234" w:lineRule="auto"/>
        <w:tabs>
          <w:tab w:leader="none" w:pos="129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Depending on the withholding method, the Company may withhold or account for Tax-Related Items by considering applicable minimum statutory withholding rates or other applicable withholding rates, including maximum applicable rates in the Grantee’s jurisdiction(s). In the event of over-withholding, the Grantee may receive a refund of any over-withheld amount in cash and will have no entitlement to the equivalent in shares of Stock, or if not refunded, the Grantee may seek a refund from local tax authorities. In the event of under-withholding, the Grantee may be required to pay additional Tax-Related Items directly to the applicable tax authority or to the Company and/or the Service Recipient. If the obligation for Tax-Related Items is satisfied by withholding in shares of Stock, for tax purposes, the Grantee is deemed to have been issued the full number of shares of Stock subject to the vested Restricted Stock Units, notwithstanding that a number of shares of Stock are held back solely for the purpose of paying the Tax-Related Items.</w:t>
      </w:r>
    </w:p>
    <w:p>
      <w:pPr>
        <w:spacing w:after="0" w:line="206" w:lineRule="exact"/>
        <w:rPr>
          <w:rFonts w:ascii="Times New Roman" w:cs="Times New Roman" w:eastAsia="Times New Roman" w:hAnsi="Times New Roman"/>
          <w:sz w:val="22"/>
          <w:szCs w:val="22"/>
          <w:color w:val="auto"/>
        </w:rPr>
      </w:pPr>
    </w:p>
    <w:p>
      <w:pPr>
        <w:ind w:right="540" w:firstLine="656"/>
        <w:spacing w:after="0" w:line="258" w:lineRule="auto"/>
        <w:tabs>
          <w:tab w:leader="none" w:pos="129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refuse to issue or deliver the shares of Stock or the proceeds of the sale of shares of Stock, if the Grantee fails to comply with the Grantee’s obligations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22"/>
          <w:szCs w:val="22"/>
          <w:color w:val="auto"/>
        </w:rPr>
        <w:t>connection with the Tax-Related Items.</w:t>
      </w:r>
    </w:p>
    <w:p>
      <w:pPr>
        <w:spacing w:after="0" w:line="233" w:lineRule="exact"/>
        <w:rPr>
          <w:sz w:val="20"/>
          <w:szCs w:val="20"/>
          <w:color w:val="auto"/>
        </w:rPr>
      </w:pPr>
    </w:p>
    <w:p>
      <w:pPr>
        <w:ind w:right="100" w:firstLine="656"/>
        <w:spacing w:after="0" w:line="244" w:lineRule="auto"/>
        <w:tabs>
          <w:tab w:leader="none" w:pos="135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200" w:lineRule="exact"/>
        <w:rPr>
          <w:rFonts w:ascii="Times New Roman" w:cs="Times New Roman" w:eastAsia="Times New Roman" w:hAnsi="Times New Roman"/>
          <w:sz w:val="22"/>
          <w:szCs w:val="22"/>
          <w:color w:val="auto"/>
        </w:rPr>
      </w:pPr>
    </w:p>
    <w:p>
      <w:pPr>
        <w:ind w:right="120" w:firstLine="656"/>
        <w:spacing w:after="0" w:line="255" w:lineRule="auto"/>
        <w:tabs>
          <w:tab w:leader="none" w:pos="135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Service Relationship</w:t>
      </w:r>
      <w:r>
        <w:rPr>
          <w:rFonts w:ascii="Times New Roman" w:cs="Times New Roman" w:eastAsia="Times New Roman" w:hAnsi="Times New Roman"/>
          <w:sz w:val="21"/>
          <w:szCs w:val="21"/>
          <w:color w:val="auto"/>
        </w:rPr>
        <w:t>. Neither the Company nor the Service Recipient, as applicable, is obligated by or as a result of the Plan or this Agreement to continue the Grantee’s Service Relationship and neither the Plan nor this Agreement shall interfere in any way with the right of the Company or the Service Recipient, as applicable, to terminate the Service Relationship of the Grantee at any time.</w:t>
      </w:r>
    </w:p>
    <w:p>
      <w:pPr>
        <w:spacing w:after="0" w:line="188" w:lineRule="exact"/>
        <w:rPr>
          <w:rFonts w:ascii="Times New Roman" w:cs="Times New Roman" w:eastAsia="Times New Roman" w:hAnsi="Times New Roman"/>
          <w:sz w:val="21"/>
          <w:szCs w:val="21"/>
          <w:color w:val="auto"/>
        </w:rPr>
      </w:pPr>
    </w:p>
    <w:p>
      <w:pPr>
        <w:ind w:right="240" w:firstLine="656"/>
        <w:spacing w:after="0" w:line="244" w:lineRule="auto"/>
        <w:tabs>
          <w:tab w:leader="none" w:pos="135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00" w:lineRule="exact"/>
        <w:rPr>
          <w:rFonts w:ascii="Times New Roman" w:cs="Times New Roman" w:eastAsia="Times New Roman" w:hAnsi="Times New Roman"/>
          <w:sz w:val="22"/>
          <w:szCs w:val="22"/>
          <w:color w:val="auto"/>
        </w:rPr>
      </w:pPr>
    </w:p>
    <w:p>
      <w:pPr>
        <w:ind w:firstLine="656"/>
        <w:spacing w:after="0" w:line="247" w:lineRule="auto"/>
        <w:tabs>
          <w:tab w:leader="none" w:pos="135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In order to administer the Plan and this Agreement and to implement or structure future equity grants, the Company may collect and process the Grantee’s personal data, including sharing it with its Subsidiaries and certain agents thereof (together, the “Relevant Companies”) in connection with administering the Plan and performing its obligations under this Agreement (the “Relevant Information”). The Company may also transfer the Grantee’s personal data to countries with privacy laws that may be less protective than those of the Grantee’s country. The attached Exhibit A -- Privacy Notice, incorporated by reference into this Agreement as if fully set forth herein, further describes how the Grantee’s personal data will be processed and the Grantee’s rights with respect to personal data processed for the purposes of administering the Plan and this Agreement.</w:t>
      </w:r>
    </w:p>
    <w:p>
      <w:pPr>
        <w:spacing w:after="0" w:line="198" w:lineRule="exact"/>
        <w:rPr>
          <w:rFonts w:ascii="Times New Roman" w:cs="Times New Roman" w:eastAsia="Times New Roman" w:hAnsi="Times New Roman"/>
          <w:sz w:val="21"/>
          <w:szCs w:val="21"/>
          <w:color w:val="auto"/>
        </w:rPr>
      </w:pPr>
    </w:p>
    <w:p>
      <w:pPr>
        <w:ind w:right="40" w:firstLine="656"/>
        <w:spacing w:after="0" w:line="244" w:lineRule="auto"/>
        <w:tabs>
          <w:tab w:leader="none" w:pos="134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0" w:lineRule="exact"/>
        <w:rPr>
          <w:rFonts w:ascii="Times New Roman" w:cs="Times New Roman" w:eastAsia="Times New Roman" w:hAnsi="Times New Roman"/>
          <w:sz w:val="22"/>
          <w:szCs w:val="22"/>
          <w:color w:val="auto"/>
        </w:rPr>
      </w:pPr>
    </w:p>
    <w:p>
      <w:pPr>
        <w:ind w:right="280" w:firstLine="656"/>
        <w:spacing w:after="0" w:line="238" w:lineRule="auto"/>
        <w:tabs>
          <w:tab w:leader="none" w:pos="129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this Award or future awards that may be granted under the Plan by electronic means. The Grantee hereby consents to receive such documents by electronic delivery and agrees to participate in the Plan through an on-line or electronic system established and maintained by the Company or another third party designated by the Company.</w:t>
      </w:r>
    </w:p>
    <w:p>
      <w:pPr>
        <w:spacing w:after="0" w:line="203"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and the provisions of this Agreement are governed by, and subject to, the laws of the State of Delaware, applied without regard to the conflict of law provisions, as provided in the Plan. For purposes of litigating any dispute that arises under this grant or the Agreement, the parties hereby submit to and consent to the jurisdiction of the Commonwealth of Massachusetts, agree that such litigation shall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489585</wp:posOffset>
            </wp:positionV>
            <wp:extent cx="629221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4" w:right="1019" w:bottom="1440" w:gutter="0" w:footer="0" w:header="0"/>
        </w:sectPr>
      </w:pPr>
    </w:p>
    <w:bookmarkStart w:id="346" w:name="page347"/>
    <w:bookmarkEnd w:id="346"/>
    <w:p>
      <w:pPr>
        <w:ind w:right="340"/>
        <w:spacing w:after="0" w:line="258" w:lineRule="auto"/>
        <w:rPr>
          <w:sz w:val="20"/>
          <w:szCs w:val="20"/>
          <w:color w:val="auto"/>
        </w:rPr>
      </w:pPr>
      <w:r>
        <w:rPr>
          <w:rFonts w:ascii="Times New Roman" w:cs="Times New Roman" w:eastAsia="Times New Roman" w:hAnsi="Times New Roman"/>
          <w:sz w:val="22"/>
          <w:szCs w:val="22"/>
          <w:color w:val="auto"/>
        </w:rPr>
        <w:t>in the courts of Middlesex County, Massachusetts, or the federal courts for the United States for the District of Massachusetts, where this grant is made and/or to be performed.</w:t>
      </w:r>
    </w:p>
    <w:p>
      <w:pPr>
        <w:spacing w:after="0" w:line="185" w:lineRule="exact"/>
        <w:rPr>
          <w:sz w:val="20"/>
          <w:szCs w:val="20"/>
          <w:color w:val="auto"/>
        </w:rPr>
      </w:pPr>
    </w:p>
    <w:p>
      <w:pPr>
        <w:ind w:firstLine="656"/>
        <w:spacing w:after="0" w:line="244" w:lineRule="auto"/>
        <w:tabs>
          <w:tab w:leader="none" w:pos="129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rFonts w:ascii="Times New Roman" w:cs="Times New Roman" w:eastAsia="Times New Roman" w:hAnsi="Times New Roman"/>
          <w:sz w:val="22"/>
          <w:szCs w:val="22"/>
          <w:color w:val="auto"/>
        </w:rPr>
      </w:pPr>
    </w:p>
    <w:p>
      <w:pPr>
        <w:ind w:right="100" w:firstLine="656"/>
        <w:spacing w:after="0" w:line="244" w:lineRule="auto"/>
        <w:tabs>
          <w:tab w:leader="none" w:pos="129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Grantee acknowledges that a waiver by the Company of breach of any provision this Agreement shall not operate or be construed as a waiver of any other provision of this Agreement, or of any subsequent breach by the Grantee or any other grantee.</w:t>
      </w:r>
    </w:p>
    <w:p>
      <w:pPr>
        <w:spacing w:after="0" w:line="21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7" w:lineRule="exact"/>
        <w:rPr>
          <w:sz w:val="20"/>
          <w:szCs w:val="20"/>
          <w:color w:val="auto"/>
        </w:rPr>
      </w:pPr>
    </w:p>
    <w:p>
      <w:pPr>
        <w:ind w:left="3640"/>
        <w:spacing w:after="0"/>
        <w:tabs>
          <w:tab w:leader="none" w:pos="4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Kathryn D. Haviland</w:t>
      </w:r>
    </w:p>
    <w:p>
      <w:pPr>
        <w:spacing w:after="0" w:line="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 Kathryn D.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-158115</wp:posOffset>
            </wp:positionV>
            <wp:extent cx="35744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3640"/>
        <w:spacing w:after="0"/>
        <w:tabs>
          <w:tab w:leader="none" w:pos="42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587184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00" w:lineRule="exact"/>
        <w:rPr>
          <w:sz w:val="20"/>
          <w:szCs w:val="20"/>
          <w:color w:val="auto"/>
        </w:rPr>
      </w:pPr>
    </w:p>
    <w:p>
      <w:pPr>
        <w:spacing w:after="0" w:line="2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u w:val="single" w:color="auto"/>
          <w:color w:val="auto"/>
        </w:rPr>
        <w:t>%%FIRST_NAME%-% %%LAST_NAME%-%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5715</wp:posOffset>
            </wp:positionV>
            <wp:extent cx="3566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18"/>
          <w:szCs w:val="18"/>
          <w:u w:val="single" w:color="auto"/>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14605</wp:posOffset>
            </wp:positionV>
            <wp:extent cx="3566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u w:val="single" w:color="auto"/>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14605</wp:posOffset>
            </wp:positionV>
            <wp:extent cx="35661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u w:val="single" w:color="auto"/>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14605</wp:posOffset>
            </wp:positionV>
            <wp:extent cx="35661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u w:val="single" w:color="auto"/>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14605</wp:posOffset>
            </wp:positionV>
            <wp:extent cx="3566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674370</wp:posOffset>
            </wp:positionV>
            <wp:extent cx="629221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14605</wp:posOffset>
            </wp:positionV>
            <wp:extent cx="35661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9880"/>
          </w:cols>
          <w:pgMar w:left="980" w:top="504" w:right="1039"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PRIVACY NOTICE</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you, the individual named as the Grantee in the Agreement to which this Exhibit A -- Privacy Notice is attached, choose to participate in the Plan, the Company will collect, use, disclose, and retain certain personal data about you. This Privacy Notice describes how your personal data will be used and to whom it will be disclosed. It also describes your rights with respect to your personal data.</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personal data is information that identifies you or could reasonably be used to identify you. Your personal data will be processed by the Company (the Data Controller) and Relevant Companies as necessary for the performance of this Agreement and to administer the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Collection and Use of Personal Data</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Personal data collected includes Social Security or other identification number, email address and telephone number, home address, date of birth, salary, nationality, and job title.</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Additionally, information about your shares of Stock or directorships held in the Company, details of all Restricted Stock Units, Stock Options or any other entitlement to or eligibility for shares of Stock awarded, canceled, exercised, vested, unvested or outstanding in your favor, and other information for which collection and processing is necessary for the purpose of implementing and administering the Plan and/or general performance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Sharing of Personal Data</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Your personal data will be shared with one or more of the Company’s Subsidiaries, affiliates and certain third-party service providers (“Relevant Companies”) in connection with administering the Plan and performing its obligations under the Agreement.</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When sharing your personal data with a third-party service provider, we do so for purposes of administering the Plan and we enter into a contract with the service provider that describes the purposes for sharing your personal data and requires the third-party recipient to protect the confidentiality of and secure the personal data shared, and prohibits use or disclosure of the personal data for any purpose except performing the services under the contract, or as necessary to comply with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Transfers of Personal Data</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Your personal data may be sent to the Company and Relevant Companies in the United States or any country where we have operations or in which we engage service providers, which may include locations outside of your country of residence and where data protection rules may be different from those of your country. In certain circumstances, courts, law enforcement agencies, regulatory agencies or security authorities in those other countries may be entitled to access your personal data.</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 you are located in the European Economic Area (“EEA”), United Kingdom or Switzerland, your personal data may be transferred to any of the Relevant Companies in non-EEA countries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48" w:name="page349"/>
    <w:bookmarkEnd w:id="348"/>
    <w:p>
      <w:pPr>
        <w:jc w:val="both"/>
        <w:spacing w:after="0" w:line="239" w:lineRule="auto"/>
        <w:rPr>
          <w:sz w:val="20"/>
          <w:szCs w:val="20"/>
          <w:color w:val="auto"/>
        </w:rPr>
      </w:pPr>
      <w:r>
        <w:rPr>
          <w:rFonts w:ascii="Times New Roman" w:cs="Times New Roman" w:eastAsia="Times New Roman" w:hAnsi="Times New Roman"/>
          <w:sz w:val="22"/>
          <w:szCs w:val="22"/>
          <w:color w:val="auto"/>
        </w:rPr>
        <w:t>recognized by the European Commission as providing an adequate level of data protection. For transfers of your personal data to countries not considered adequate by the European Commission, the Company has implemented adequate measures to protect your personal data (for example, putting in place contractual arrangements approved by the European Commission, or Standard Contractual Clauses).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will use reasonable technical, administrative and physical safeguards to help protect your personal data from loss, misuse and unauthorized access or disclosure.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Retention of Information</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Your personal data will be retained in accordance with the Company’s legitimate business needs and for purposes of compliance with legal, regulatory, audit and tax requirements for as long as allowed by applicable law. After this period, personal data will be deleted, unless the Company has a legal basis to retain it for a different purpose.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Rights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Depending on the laws applicable to your location (e.g., European Economic Area, Switzerland, United Kingdom, and various US state laws), you may have the right to request access to, modify, export, delete, etc. your personal data. These rights are not absolute and only apply in certain circumstances. This means that the Company may be unable or not obligated to grant your request, for example, due to legal requirements to which the Company is subject.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some cases, in order to grant a request to exercise your rights, the Company may need to collect additional information from you to verify your identity, such as a government-issued identification. The Company will not discriminate against you for exercising your rights, but you will be unable to participate in the Plan if the Company is not able to process your personal data.</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In many countries (e.g., European Economic Area Member States, Switzerland, the United Kingdom, etc.) the country Data Protection Authority (DPA) is responsible for making sure that applicable data protection laws are followed. For more information about your privacy rights, or if you wish to file a complaint, you may contact your local DPA. A list of European Union supervisory authorities is available here: </w:t>
      </w:r>
      <w:r>
        <w:rPr>
          <w:rFonts w:ascii="Times New Roman" w:cs="Times New Roman" w:eastAsia="Times New Roman" w:hAnsi="Times New Roman"/>
          <w:sz w:val="21"/>
          <w:szCs w:val="21"/>
          <w:u w:val="single" w:color="auto"/>
          <w:color w:val="auto"/>
        </w:rPr>
        <w:t>https://edpb.europa.eu/about-edpb/board/members_en</w:t>
      </w:r>
      <w:r>
        <w:rPr>
          <w:rFonts w:ascii="Times New Roman" w:cs="Times New Roman" w:eastAsia="Times New Roman" w:hAnsi="Times New Roman"/>
          <w:sz w:val="21"/>
          <w:szCs w:val="21"/>
          <w:color w:val="auto"/>
        </w:rPr>
        <w:t xml:space="preserve">; United Kingdom - Information Commissioner’s Office (ICO): </w:t>
      </w:r>
      <w:r>
        <w:rPr>
          <w:rFonts w:ascii="Times New Roman" w:cs="Times New Roman" w:eastAsia="Times New Roman" w:hAnsi="Times New Roman"/>
          <w:sz w:val="21"/>
          <w:szCs w:val="21"/>
          <w:u w:val="single" w:color="auto"/>
          <w:color w:val="auto"/>
        </w:rPr>
        <w:t>https://ico.org.uk</w:t>
      </w:r>
      <w:r>
        <w:rPr>
          <w:rFonts w:ascii="Times New Roman" w:cs="Times New Roman" w:eastAsia="Times New Roman" w:hAnsi="Times New Roman"/>
          <w:sz w:val="21"/>
          <w:szCs w:val="21"/>
          <w:color w:val="auto"/>
        </w:rPr>
        <w:t xml:space="preserve">; Switzerland – Federal Data Protection and Information Commissioner: </w:t>
      </w:r>
      <w:r>
        <w:rPr>
          <w:rFonts w:ascii="Times New Roman" w:cs="Times New Roman" w:eastAsia="Times New Roman" w:hAnsi="Times New Roman"/>
          <w:sz w:val="21"/>
          <w:szCs w:val="21"/>
          <w:u w:val="single" w:color="auto"/>
          <w:color w:val="auto"/>
        </w:rPr>
        <w:t>Data Protection - Switzerland (admin.ch).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Us</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questions about this Privacy Notice, to exercise applicable rights related to your personal data, or for more information about the Company’s privacy and data protection practices, please contact us at the appropriate locations: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EEA, Switzerland, or UK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EUPrivacy@blueprintmedicines.com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States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Privacy@blueprintmedicines.com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Entity</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State/Jurisdiction of Incorporation or Organization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Security Corporation</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(Switzerland) GmbH</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(Netherlands) B.V.</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(UK) Ltd.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(Germany) GmbH</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Spain, S.L.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Blueprint Medicines (France) SAS</w:t>
            </w: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(Italy) S.r.L.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8"/>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50" w:name="page351"/>
    <w:bookmarkEnd w:id="35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860" w:hanging="327"/>
        <w:spacing w:after="0"/>
        <w:tabs>
          <w:tab w:leader="none" w:pos="8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333-236424) of Blueprint Medicines Corporation,</w:t>
      </w:r>
    </w:p>
    <w:p>
      <w:pPr>
        <w:spacing w:after="0" w:line="36" w:lineRule="exact"/>
        <w:rPr>
          <w:rFonts w:ascii="Times New Roman" w:cs="Times New Roman" w:eastAsia="Times New Roman" w:hAnsi="Times New Roman"/>
          <w:sz w:val="18"/>
          <w:szCs w:val="18"/>
          <w:color w:val="auto"/>
        </w:rPr>
      </w:pPr>
    </w:p>
    <w:p>
      <w:pPr>
        <w:jc w:val="both"/>
        <w:ind w:left="860" w:right="239" w:hanging="327"/>
        <w:spacing w:after="0" w:line="286" w:lineRule="auto"/>
        <w:tabs>
          <w:tab w:leader="none" w:pos="8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333-203749) pertaining to the 2011 Stock Option and Grant Plan, 2015 Stock Option and Incentive Plan, and 2015 Employee Stock Purchase Plan of Blueprint Medicines Corporation,</w:t>
      </w:r>
    </w:p>
    <w:p>
      <w:pPr>
        <w:spacing w:after="0" w:line="2" w:lineRule="exact"/>
        <w:rPr>
          <w:rFonts w:ascii="Times New Roman" w:cs="Times New Roman" w:eastAsia="Times New Roman" w:hAnsi="Times New Roman"/>
          <w:sz w:val="18"/>
          <w:szCs w:val="18"/>
          <w:color w:val="auto"/>
        </w:rPr>
      </w:pPr>
    </w:p>
    <w:p>
      <w:pPr>
        <w:jc w:val="both"/>
        <w:ind w:left="860" w:right="219" w:hanging="327"/>
        <w:spacing w:after="0" w:line="286" w:lineRule="auto"/>
        <w:tabs>
          <w:tab w:leader="none" w:pos="8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333-210125, 333-216575, 333-223131, 333-229885, 333-236421 and 333-253215) pertaining to the 2015 Stock Option and Incentive Plan and 2015 Employee Stock Purchase Plan of Blueprint Medicines Corporation, and</w:t>
      </w:r>
    </w:p>
    <w:p>
      <w:pPr>
        <w:spacing w:after="0" w:line="2" w:lineRule="exact"/>
        <w:rPr>
          <w:rFonts w:ascii="Times New Roman" w:cs="Times New Roman" w:eastAsia="Times New Roman" w:hAnsi="Times New Roman"/>
          <w:sz w:val="18"/>
          <w:szCs w:val="18"/>
          <w:color w:val="auto"/>
        </w:rPr>
      </w:pPr>
    </w:p>
    <w:p>
      <w:pPr>
        <w:ind w:left="860" w:right="239" w:hanging="327"/>
        <w:spacing w:after="0" w:line="313" w:lineRule="auto"/>
        <w:tabs>
          <w:tab w:leader="none" w:pos="8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333-238039) pertaining to the 2020 Inducement Plan of Blueprint Medicines Corporation;</w:t>
      </w:r>
    </w:p>
    <w:p>
      <w:pPr>
        <w:spacing w:after="0" w:line="162"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of our reports dated February 16, 2023,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2022.</w:t>
      </w:r>
    </w:p>
    <w:p>
      <w:pPr>
        <w:spacing w:after="0" w:line="18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51" w:name="page352"/>
    <w:bookmarkEnd w:id="35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Kathryn Haviland, certify that:</w:t>
      </w:r>
    </w:p>
    <w:p>
      <w:pPr>
        <w:spacing w:after="0" w:line="225" w:lineRule="exact"/>
        <w:rPr>
          <w:sz w:val="20"/>
          <w:szCs w:val="20"/>
          <w:color w:val="auto"/>
        </w:rPr>
      </w:pPr>
    </w:p>
    <w:p>
      <w:pPr>
        <w:ind w:left="1500" w:hanging="643"/>
        <w:spacing w:after="0"/>
        <w:tabs>
          <w:tab w:leader="none" w:pos="15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Kathryn Haviland</w:t>
            </w:r>
          </w:p>
        </w:tc>
      </w:tr>
      <w:tr>
        <w:trPr>
          <w:trHeight w:val="191"/>
        </w:trPr>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14"/>
        </w:trPr>
        <w:tc>
          <w:tcPr>
            <w:tcW w:w="3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63"/>
        </w:trPr>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52" w:name="page353"/>
    <w:bookmarkEnd w:id="35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25" w:lineRule="exact"/>
        <w:rPr>
          <w:sz w:val="20"/>
          <w:szCs w:val="20"/>
          <w:color w:val="auto"/>
        </w:rPr>
      </w:pPr>
    </w:p>
    <w:p>
      <w:pPr>
        <w:ind w:left="1500" w:hanging="643"/>
        <w:spacing w:after="0"/>
        <w:tabs>
          <w:tab w:leader="none" w:pos="15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5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By:/s/ Michael Landsittel</w:t>
            </w:r>
          </w:p>
        </w:tc>
      </w:tr>
      <w:tr>
        <w:trPr>
          <w:trHeight w:val="191"/>
        </w:trPr>
        <w:tc>
          <w:tcPr>
            <w:tcW w:w="3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Landsittel</w:t>
            </w:r>
          </w:p>
        </w:tc>
      </w:tr>
      <w:tr>
        <w:trPr>
          <w:trHeight w:val="214"/>
        </w:trPr>
        <w:tc>
          <w:tcPr>
            <w:tcW w:w="3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79"/>
        </w:trPr>
        <w:tc>
          <w:tcPr>
            <w:tcW w:w="3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53" w:name="page354"/>
    <w:bookmarkEnd w:id="35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jc w:val="both"/>
        <w:ind w:left="200" w:right="33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Blueprint Medicines Corporation (the “Company”) for the year ended December 31, 2022 as filed with the Securities and Exchange Commission on the date hereof (the “Report”), each of the undersigned officers of the Company hereby certifies, pursuant to 18 U.S.C. Section 1350, that to his knowledge:</w:t>
      </w:r>
    </w:p>
    <w:p>
      <w:pPr>
        <w:spacing w:after="0" w:line="187" w:lineRule="exact"/>
        <w:rPr>
          <w:sz w:val="20"/>
          <w:szCs w:val="20"/>
          <w:color w:val="auto"/>
        </w:rPr>
      </w:pPr>
    </w:p>
    <w:p>
      <w:pPr>
        <w:ind w:left="1500" w:right="259" w:hanging="562"/>
        <w:spacing w:after="0" w:line="282" w:lineRule="auto"/>
        <w:tabs>
          <w:tab w:leader="none" w:pos="15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500" w:right="899" w:hanging="562"/>
        <w:spacing w:after="0" w:line="282" w:lineRule="auto"/>
        <w:tabs>
          <w:tab w:leader="none" w:pos="15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8"/>
          <w:szCs w:val="18"/>
          <w:color w:val="auto"/>
        </w:rPr>
        <w:t>By: /s/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24771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8"/>
          <w:szCs w:val="18"/>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24771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1)"/>
      <w:numFmt w:val="decimal"/>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amp;"/>
      <w:numFmt w:val="bullet"/>
      <w:start w:val="1"/>
    </w:lvl>
  </w:abstractNum>
  <w:abstractNum w:abstractNumId="11">
    <w:nsid w:val="7672BD23"/>
    <w:multiLevelType w:val="hybridMultilevel"/>
    <w:lvl w:ilvl="0">
      <w:lvlJc w:val="left"/>
      <w:lvlText w:val="●"/>
      <w:numFmt w:val="bullet"/>
      <w:start w:val="1"/>
    </w:lvl>
  </w:abstractNum>
  <w:abstractNum w:abstractNumId="12">
    <w:nsid w:val="6FC75AF8"/>
    <w:multiLevelType w:val="hybridMultilevel"/>
    <w:lvl w:ilvl="0">
      <w:lvlJc w:val="left"/>
      <w:lvlText w:val="(%1)"/>
      <w:numFmt w:val="lowerLetter"/>
      <w:start w:val="2"/>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
      <w:numFmt w:val="bullet"/>
      <w:start w:val="1"/>
    </w:lvl>
    <w:lvl w:ilvl="1">
      <w:lvlJc w:val="left"/>
      <w:lvlText w:val="●"/>
      <w:numFmt w:val="bullet"/>
      <w:start w:val="1"/>
    </w:lvl>
  </w:abstractNum>
  <w:abstractNum w:abstractNumId="20">
    <w:nsid w:val="14FCE74E"/>
    <w:multiLevelType w:val="hybridMultilevel"/>
    <w:lvl w:ilvl="0">
      <w:lvlJc w:val="left"/>
      <w:lvlText w:val="●"/>
      <w:numFmt w:val="bullet"/>
      <w:start w:val="1"/>
    </w:lvl>
  </w:abstractNum>
  <w:abstractNum w:abstractNumId="21">
    <w:nsid w:val="6A3DD3E8"/>
    <w:multiLevelType w:val="hybridMultilevel"/>
    <w:lvl w:ilvl="0">
      <w:lvlJc w:val="left"/>
      <w:lvlText w:val="&amp;"/>
      <w:numFmt w:val="bullet"/>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
      <w:numFmt w:val="bullet"/>
      <w:start w:val="1"/>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
      <w:numFmt w:val="bullet"/>
      <w:start w:val="1"/>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
      <w:numFmt w:val="bullet"/>
      <w:start w:val="1"/>
    </w:lvl>
  </w:abstractNum>
  <w:abstractNum w:abstractNumId="34">
    <w:nsid w:val="1CA0C5FA"/>
    <w:multiLevelType w:val="hybridMultilevel"/>
    <w:lvl w:ilvl="0">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
      <w:numFmt w:val="bullet"/>
      <w:start w:val="1"/>
    </w:lvl>
  </w:abstractNum>
  <w:abstractNum w:abstractNumId="37">
    <w:nsid w:val="7C58FD05"/>
    <w:multiLevelType w:val="hybridMultilevel"/>
    <w:lvl w:ilvl="0">
      <w:lvlJc w:val="left"/>
      <w:lvlText w:val="●"/>
      <w:numFmt w:val="bullet"/>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
      <w:numFmt w:val="bullet"/>
      <w:start w:val="1"/>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
      <w:numFmt w:val="bullet"/>
      <w:start w:val="1"/>
    </w:lvl>
  </w:abstractNum>
  <w:abstractNum w:abstractNumId="43">
    <w:nsid w:val="4BD8591A"/>
    <w:multiLevelType w:val="hybridMultilevel"/>
    <w:lvl w:ilvl="0">
      <w:lvlJc w:val="left"/>
      <w:lvlText w:val="●"/>
      <w:numFmt w:val="bullet"/>
      <w:start w:val="1"/>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
      <w:numFmt w:val="bullet"/>
      <w:start w:val="1"/>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
      <w:numFmt w:val="bullet"/>
      <w:start w:val="1"/>
    </w:lvl>
  </w:abstractNum>
  <w:abstractNum w:abstractNumId="48">
    <w:nsid w:val="379E21B5"/>
    <w:multiLevelType w:val="hybridMultilevel"/>
    <w:lvl w:ilvl="0">
      <w:lvlJc w:val="left"/>
      <w:lvlText w:val="●"/>
      <w:numFmt w:val="bullet"/>
      <w:start w:val="1"/>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
      <w:numFmt w:val="bullet"/>
      <w:start w:val="1"/>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
      <w:numFmt w:val="bullet"/>
      <w:start w:val="1"/>
    </w:lvl>
  </w:abstractNum>
  <w:abstractNum w:abstractNumId="53">
    <w:nsid w:val="1DF029D3"/>
    <w:multiLevelType w:val="hybridMultilevel"/>
    <w:lvl w:ilvl="0">
      <w:lvlJc w:val="left"/>
      <w:lvlText w:val="(%1)"/>
      <w:numFmt w:val="lowerRoman"/>
      <w:start w:val="1"/>
    </w:lvl>
  </w:abstractNum>
  <w:abstractNum w:abstractNumId="54">
    <w:nsid w:val="5675FF36"/>
    <w:multiLevelType w:val="hybridMultilevel"/>
    <w:lvl w:ilvl="0">
      <w:lvlJc w:val="left"/>
      <w:lvlText w:val="●"/>
      <w:numFmt w:val="bullet"/>
      <w:start w:val="1"/>
    </w:lvl>
  </w:abstractNum>
  <w:abstractNum w:abstractNumId="55">
    <w:nsid w:val="3DD15094"/>
    <w:multiLevelType w:val="hybridMultilevel"/>
    <w:lvl w:ilvl="0">
      <w:lvlJc w:val="left"/>
      <w:lvlText w:val="●"/>
      <w:numFmt w:val="bullet"/>
      <w:start w:val="1"/>
    </w:lvl>
  </w:abstractNum>
  <w:abstractNum w:abstractNumId="56">
    <w:nsid w:val="3DB012B3"/>
    <w:multiLevelType w:val="hybridMultilevel"/>
    <w:lvl w:ilvl="0">
      <w:lvlJc w:val="left"/>
      <w:lvlText w:val="●"/>
      <w:numFmt w:val="bullet"/>
      <w:start w:val="1"/>
    </w:lvl>
  </w:abstractNum>
  <w:abstractNum w:abstractNumId="57">
    <w:nsid w:val="2708C9AF"/>
    <w:multiLevelType w:val="hybridMultilevel"/>
    <w:lvl w:ilvl="0">
      <w:lvlJc w:val="left"/>
      <w:lvlText w:val="(%1)"/>
      <w:numFmt w:val="decimal"/>
      <w:start w:val="1"/>
    </w:lvl>
  </w:abstractNum>
  <w:abstractNum w:abstractNumId="58">
    <w:nsid w:val="5B25ACE2"/>
    <w:multiLevelType w:val="hybridMultilevel"/>
    <w:lvl w:ilvl="0">
      <w:lvlJc w:val="left"/>
      <w:lvlText w:val="(%1)"/>
      <w:numFmt w:val="decimal"/>
      <w:start w:val="3"/>
    </w:lvl>
  </w:abstractNum>
  <w:abstractNum w:abstractNumId="59">
    <w:nsid w:val="175DFCF0"/>
    <w:multiLevelType w:val="hybridMultilevel"/>
    <w:lvl w:ilvl="0">
      <w:lvlJc w:val="left"/>
      <w:lvlText w:val="~"/>
      <w:numFmt w:val="bullet"/>
      <w:start w:val="1"/>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
      <w:numFmt w:val="bullet"/>
      <w:start w:val="1"/>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
      <w:numFmt w:val="bullet"/>
      <w:start w:val="1"/>
    </w:lvl>
  </w:abstractNum>
  <w:abstractNum w:abstractNumId="64">
    <w:nsid w:val="56438D15"/>
    <w:multiLevelType w:val="hybridMultilevel"/>
    <w:lvl w:ilvl="0">
      <w:lvlJc w:val="left"/>
      <w:lvlText w:val="●"/>
      <w:numFmt w:val="bullet"/>
      <w:start w:val="1"/>
    </w:lvl>
  </w:abstractNum>
  <w:abstractNum w:abstractNumId="65">
    <w:nsid w:val="519E3149"/>
    <w:multiLevelType w:val="hybridMultilevel"/>
    <w:lvl w:ilvl="0">
      <w:lvlJc w:val="left"/>
      <w:lvlText w:val="(%1)"/>
      <w:numFmt w:val="lowerRoman"/>
      <w:start w:val="3"/>
    </w:lvl>
  </w:abstractNum>
  <w:abstractNum w:abstractNumId="66">
    <w:nsid w:val="2C6E4AFD"/>
    <w:multiLevelType w:val="hybridMultilevel"/>
    <w:lvl w:ilvl="0">
      <w:lvlJc w:val="left"/>
      <w:lvlText w:val="(%1)"/>
      <w:numFmt w:val="lowerRoman"/>
      <w:start w:val="1"/>
    </w:lvl>
  </w:abstractNum>
  <w:abstractNum w:abstractNumId="67">
    <w:nsid w:val="17A1B582"/>
    <w:multiLevelType w:val="hybridMultilevel"/>
    <w:lvl w:ilvl="0">
      <w:lvlJc w:val="left"/>
      <w:lvlText w:val="(%1)"/>
      <w:numFmt w:val="decimal"/>
      <w:start w:val="3"/>
    </w:lvl>
  </w:abstractNum>
  <w:abstractNum w:abstractNumId="68">
    <w:nsid w:val="4DF72E4E"/>
    <w:multiLevelType w:val="hybridMultilevel"/>
    <w:lvl w:ilvl="0">
      <w:lvlJc w:val="left"/>
      <w:lvlText w:val="(%1)"/>
      <w:numFmt w:val="decimal"/>
      <w:start w:val="1"/>
    </w:lvl>
  </w:abstractNum>
  <w:abstractNum w:abstractNumId="69">
    <w:nsid w:val="5046B5A9"/>
    <w:multiLevelType w:val="hybridMultilevel"/>
    <w:lvl w:ilvl="0">
      <w:lvlJc w:val="left"/>
      <w:lvlText w:val="(%1)"/>
      <w:numFmt w:val="lowerLetter"/>
      <w:start w:val="1"/>
    </w:lvl>
  </w:abstractNum>
  <w:abstractNum w:abstractNumId="70">
    <w:nsid w:val="5D888A08"/>
    <w:multiLevelType w:val="hybridMultilevel"/>
    <w:lvl w:ilvl="0">
      <w:lvlJc w:val="left"/>
      <w:lvlText w:val="%1."/>
      <w:numFmt w:val="decimal"/>
      <w:start w:val="1"/>
    </w:lvl>
  </w:abstractNum>
  <w:abstractNum w:abstractNumId="71">
    <w:nsid w:val="2A082C70"/>
    <w:multiLevelType w:val="hybridMultilevel"/>
    <w:lvl w:ilvl="0">
      <w:lvlJc w:val="left"/>
      <w:lvlText w:val="%1."/>
      <w:numFmt w:val="decimal"/>
      <w:start w:val="2"/>
    </w:lvl>
  </w:abstractNum>
  <w:abstractNum w:abstractNumId="72">
    <w:nsid w:val="5EC6AFD4"/>
    <w:multiLevelType w:val="hybridMultilevel"/>
    <w:lvl w:ilvl="0">
      <w:lvlJc w:val="left"/>
      <w:lvlText w:val="%1."/>
      <w:numFmt w:val="decimal"/>
      <w:start w:val="3"/>
    </w:lvl>
  </w:abstractNum>
  <w:abstractNum w:abstractNumId="73">
    <w:nsid w:val="19E21BB2"/>
    <w:multiLevelType w:val="hybridMultilevel"/>
    <w:lvl w:ilvl="0">
      <w:lvlJc w:val="left"/>
      <w:lvlText w:val="%1."/>
      <w:numFmt w:val="decimal"/>
      <w:start w:val="4"/>
    </w:lvl>
  </w:abstractNum>
  <w:abstractNum w:abstractNumId="74">
    <w:nsid w:val="75E0858A"/>
    <w:multiLevelType w:val="hybridMultilevel"/>
    <w:lvl w:ilvl="0">
      <w:lvlJc w:val="left"/>
      <w:lvlText w:val="%1."/>
      <w:numFmt w:val="decimal"/>
      <w:start w:val="1"/>
    </w:lvl>
  </w:abstractNum>
  <w:abstractNum w:abstractNumId="75">
    <w:nsid w:val="57A61A29"/>
    <w:multiLevelType w:val="hybridMultilevel"/>
    <w:lvl w:ilvl="0">
      <w:lvlJc w:val="left"/>
      <w:lvlText w:val="%1."/>
      <w:numFmt w:val="decimal"/>
      <w:start w:val="2"/>
    </w:lvl>
  </w:abstractNum>
  <w:abstractNum w:abstractNumId="76">
    <w:nsid w:val="5399C654"/>
    <w:multiLevelType w:val="hybridMultilevel"/>
    <w:lvl w:ilvl="0">
      <w:lvlJc w:val="left"/>
      <w:lvlText w:val="%1."/>
      <w:numFmt w:val="decimal"/>
      <w:start w:val="3"/>
    </w:lvl>
  </w:abstractNum>
  <w:abstractNum w:abstractNumId="77">
    <w:nsid w:val="20EE1348"/>
    <w:multiLevelType w:val="hybridMultilevel"/>
    <w:lvl w:ilvl="0">
      <w:lvlJc w:val="left"/>
      <w:lvlText w:val="%1."/>
      <w:numFmt w:val="decimal"/>
      <w:start w:val="4"/>
    </w:lvl>
  </w:abstractNum>
  <w:abstractNum w:abstractNumId="78">
    <w:nsid w:val="4427069A"/>
    <w:multiLevelType w:val="hybridMultilevel"/>
    <w:lvl w:ilvl="0">
      <w:lvlJc w:val="left"/>
      <w:lvlText w:val="%1."/>
      <w:numFmt w:val="decimal"/>
      <w:start w:val="1"/>
    </w:lvl>
  </w:abstractNum>
  <w:abstractNum w:abstractNumId="79">
    <w:nsid w:val="B37E80A"/>
    <w:multiLevelType w:val="hybridMultilevel"/>
    <w:lvl w:ilvl="0">
      <w:lvlJc w:val="left"/>
      <w:lvlText w:val="%1."/>
      <w:numFmt w:val="decimal"/>
      <w:start w:val="2"/>
    </w:lvl>
    <w:lvl w:ilvl="1">
      <w:lvlJc w:val="left"/>
      <w:lvlText w:val="(%2)"/>
      <w:numFmt w:val="lowerLetter"/>
      <w:start w:val="1"/>
    </w:lvl>
  </w:abstractNum>
  <w:abstractNum w:abstractNumId="80">
    <w:nsid w:val="2157F6BC"/>
    <w:multiLevelType w:val="hybridMultilevel"/>
    <w:lvl w:ilvl="0">
      <w:lvlJc w:val="left"/>
      <w:lvlText w:val="(%1)"/>
      <w:numFmt w:val="lowerRoman"/>
      <w:start w:val="4"/>
    </w:lvl>
  </w:abstractNum>
  <w:abstractNum w:abstractNumId="81">
    <w:nsid w:val="704E1DD5"/>
    <w:multiLevelType w:val="hybridMultilevel"/>
    <w:lvl w:ilvl="0">
      <w:lvlJc w:val="left"/>
      <w:lvlText w:val="(%1)"/>
      <w:numFmt w:val="lowerLetter"/>
      <w:start w:val="2"/>
    </w:lvl>
  </w:abstractNum>
  <w:abstractNum w:abstractNumId="82">
    <w:nsid w:val="57D2F10E"/>
    <w:multiLevelType w:val="hybridMultilevel"/>
    <w:lvl w:ilvl="0">
      <w:lvlJc w:val="left"/>
      <w:lvlText w:val="%1."/>
      <w:numFmt w:val="decimal"/>
      <w:start w:val="3"/>
    </w:lvl>
    <w:lvl w:ilvl="1">
      <w:lvlJc w:val="left"/>
      <w:lvlText w:val="(%2)"/>
      <w:numFmt w:val="lowerLetter"/>
      <w:start w:val="1"/>
    </w:lvl>
  </w:abstractNum>
  <w:abstractNum w:abstractNumId="83">
    <w:nsid w:val="BFFAE18"/>
    <w:multiLevelType w:val="hybridMultilevel"/>
    <w:lvl w:ilvl="0">
      <w:lvlJc w:val="left"/>
      <w:lvlText w:val="%1."/>
      <w:numFmt w:val="decimal"/>
      <w:start w:val="4"/>
    </w:lvl>
  </w:abstractNum>
  <w:abstractNum w:abstractNumId="84">
    <w:nsid w:val="E3E47A8"/>
    <w:multiLevelType w:val="hybridMultilevel"/>
    <w:lvl w:ilvl="0">
      <w:lvlJc w:val="left"/>
      <w:lvlText w:val="%1."/>
      <w:numFmt w:val="decimal"/>
      <w:start w:val="5"/>
    </w:lvl>
  </w:abstractNum>
  <w:abstractNum w:abstractNumId="85">
    <w:nsid w:val="2E48F044"/>
    <w:multiLevelType w:val="hybridMultilevel"/>
    <w:lvl w:ilvl="0">
      <w:lvlJc w:val="left"/>
      <w:lvlText w:val="%1."/>
      <w:numFmt w:val="decimal"/>
      <w:start w:val="13"/>
    </w:lvl>
  </w:abstractNum>
  <w:abstractNum w:abstractNumId="86">
    <w:nsid w:val="49D0FEAC"/>
    <w:multiLevelType w:val="hybridMultilevel"/>
    <w:lvl w:ilvl="0">
      <w:lvlJc w:val="left"/>
      <w:lvlText w:val="%1."/>
      <w:numFmt w:val="decimal"/>
      <w:start w:val="1"/>
    </w:lvl>
  </w:abstractNum>
  <w:abstractNum w:abstractNumId="87">
    <w:nsid w:val="4BEE5A5B"/>
    <w:multiLevelType w:val="hybridMultilevel"/>
    <w:lvl w:ilvl="0">
      <w:lvlJc w:val="left"/>
      <w:lvlText w:val="%1."/>
      <w:numFmt w:val="decimal"/>
      <w:start w:val="2"/>
    </w:lvl>
    <w:lvl w:ilvl="1">
      <w:lvlJc w:val="left"/>
      <w:lvlText w:val="(%2)"/>
      <w:numFmt w:val="lowerLetter"/>
      <w:start w:val="1"/>
    </w:lvl>
  </w:abstractNum>
  <w:abstractNum w:abstractNumId="88">
    <w:nsid w:val="5551B9F3"/>
    <w:multiLevelType w:val="hybridMultilevel"/>
    <w:lvl w:ilvl="0">
      <w:lvlJc w:val="left"/>
      <w:lvlText w:val="%1"/>
      <w:numFmt w:val="decimal"/>
      <w:start w:val="1"/>
    </w:lvl>
    <w:lvl w:ilvl="1">
      <w:lvlJc w:val="left"/>
      <w:lvlText w:val="(%2)"/>
      <w:numFmt w:val="lowerLetter"/>
      <w:start w:val="10"/>
    </w:lvl>
  </w:abstractNum>
  <w:abstractNum w:abstractNumId="89">
    <w:nsid w:val="24F6AB8E"/>
    <w:multiLevelType w:val="hybridMultilevel"/>
    <w:lvl w:ilvl="0">
      <w:lvlJc w:val="left"/>
      <w:lvlText w:val="%1."/>
      <w:numFmt w:val="decimal"/>
      <w:start w:val="3"/>
    </w:lvl>
    <w:lvl w:ilvl="1">
      <w:lvlJc w:val="left"/>
      <w:lvlText w:val="%2"/>
      <w:numFmt w:val="lowerLetter"/>
      <w:start w:val="1"/>
    </w:lvl>
  </w:abstractNum>
  <w:abstractNum w:abstractNumId="90">
    <w:nsid w:val="634C574C"/>
    <w:multiLevelType w:val="hybridMultilevel"/>
    <w:lvl w:ilvl="0">
      <w:lvlJc w:val="left"/>
      <w:lvlText w:val="%1."/>
      <w:numFmt w:val="decimal"/>
      <w:start w:val="1"/>
    </w:lvl>
  </w:abstractNum>
  <w:abstractNum w:abstractNumId="91">
    <w:nsid w:val="24E99DD7"/>
    <w:multiLevelType w:val="hybridMultilevel"/>
    <w:lvl w:ilvl="0">
      <w:lvlJc w:val="left"/>
      <w:lvlText w:val="%1."/>
      <w:numFmt w:val="decimal"/>
      <w:start w:val="2"/>
    </w:lvl>
    <w:lvl w:ilvl="1">
      <w:lvlJc w:val="left"/>
      <w:lvlText w:val="(%2)"/>
      <w:numFmt w:val="lowerLetter"/>
      <w:start w:val="1"/>
    </w:lvl>
  </w:abstractNum>
  <w:abstractNum w:abstractNumId="92">
    <w:nsid w:val="2A31B62D"/>
    <w:multiLevelType w:val="hybridMultilevel"/>
    <w:lvl w:ilvl="0">
      <w:lvlJc w:val="left"/>
      <w:lvlText w:val="(%1)"/>
      <w:numFmt w:val="lowerRoman"/>
      <w:start w:val="4"/>
    </w:lvl>
  </w:abstractNum>
  <w:abstractNum w:abstractNumId="93">
    <w:nsid w:val="1849C29B"/>
    <w:multiLevelType w:val="hybridMultilevel"/>
    <w:lvl w:ilvl="0">
      <w:lvlJc w:val="left"/>
      <w:lvlText w:val="(%1)"/>
      <w:numFmt w:val="lowerLetter"/>
      <w:start w:val="2"/>
    </w:lvl>
  </w:abstractNum>
  <w:abstractNum w:abstractNumId="94">
    <w:nsid w:val="7DFF9D09"/>
    <w:multiLevelType w:val="hybridMultilevel"/>
    <w:lvl w:ilvl="0">
      <w:lvlJc w:val="left"/>
      <w:lvlText w:val="%1."/>
      <w:numFmt w:val="decimal"/>
      <w:start w:val="3"/>
    </w:lvl>
    <w:lvl w:ilvl="1">
      <w:lvlJc w:val="left"/>
      <w:lvlText w:val="(%2)"/>
      <w:numFmt w:val="lowerLetter"/>
      <w:start w:val="1"/>
    </w:lvl>
  </w:abstractNum>
  <w:abstractNum w:abstractNumId="95">
    <w:nsid w:val="754342"/>
    <w:multiLevelType w:val="hybridMultilevel"/>
    <w:lvl w:ilvl="0">
      <w:lvlJc w:val="left"/>
      <w:lvlText w:val="%1."/>
      <w:numFmt w:val="decimal"/>
      <w:start w:val="4"/>
    </w:lvl>
  </w:abstractNum>
  <w:abstractNum w:abstractNumId="96">
    <w:nsid w:val="69E7F3E5"/>
    <w:multiLevelType w:val="hybridMultilevel"/>
    <w:lvl w:ilvl="0">
      <w:lvlJc w:val="left"/>
      <w:lvlText w:val="%1."/>
      <w:numFmt w:val="decimal"/>
      <w:start w:val="5"/>
    </w:lvl>
  </w:abstractNum>
  <w:abstractNum w:abstractNumId="97">
    <w:nsid w:val="2A6DE806"/>
    <w:multiLevelType w:val="hybridMultilevel"/>
    <w:lvl w:ilvl="0">
      <w:lvlJc w:val="left"/>
      <w:lvlText w:val="%1."/>
      <w:numFmt w:val="decimal"/>
      <w:start w:val="13"/>
    </w:lvl>
  </w:abstractNum>
  <w:abstractNum w:abstractNumId="98">
    <w:nsid w:val="1816F8C4"/>
    <w:multiLevelType w:val="hybridMultilevel"/>
    <w:lvl w:ilvl="0">
      <w:lvlJc w:val="left"/>
      <w:lvlText w:val="%1."/>
      <w:numFmt w:val="decimal"/>
      <w:start w:val="1"/>
    </w:lvl>
  </w:abstractNum>
  <w:abstractNum w:abstractNumId="99">
    <w:nsid w:val="37DF2233"/>
    <w:multiLevelType w:val="hybridMultilevel"/>
    <w:lvl w:ilvl="0">
      <w:lvlJc w:val="left"/>
      <w:lvlText w:val="%1."/>
      <w:numFmt w:val="decimal"/>
      <w:start w:val="2"/>
    </w:lvl>
    <w:lvl w:ilvl="1">
      <w:lvlJc w:val="left"/>
      <w:lvlText w:val="(%2)"/>
      <w:numFmt w:val="lowerLetter"/>
      <w:start w:val="1"/>
    </w:lvl>
  </w:abstractNum>
  <w:abstractNum w:abstractNumId="100">
    <w:nsid w:val="7AB49DAF"/>
    <w:multiLevelType w:val="hybridMultilevel"/>
    <w:lvl w:ilvl="0">
      <w:lvlJc w:val="left"/>
      <w:lvlText w:val="%1"/>
      <w:numFmt w:val="decimal"/>
      <w:start w:val="1"/>
    </w:lvl>
    <w:lvl w:ilvl="1">
      <w:lvlJc w:val="left"/>
      <w:lvlText w:val="(%2)"/>
      <w:numFmt w:val="lowerLetter"/>
      <w:start w:val="10"/>
    </w:lvl>
  </w:abstractNum>
  <w:abstractNum w:abstractNumId="101">
    <w:nsid w:val="759F82CD"/>
    <w:multiLevelType w:val="hybridMultilevel"/>
    <w:lvl w:ilvl="0">
      <w:lvlJc w:val="left"/>
      <w:lvlText w:val="%1."/>
      <w:numFmt w:val="decimal"/>
      <w:start w:val="3"/>
    </w:lvl>
    <w:lvl w:ilvl="1">
      <w:lvlJc w:val="left"/>
      <w:lvlText w:val="%2"/>
      <w:numFmt w:val="lowerLetter"/>
      <w:start w:val="1"/>
    </w:lvl>
  </w:abstractNum>
  <w:abstractNum w:abstractNumId="102">
    <w:nsid w:val="61E74EA3"/>
    <w:multiLevelType w:val="hybridMultilevel"/>
    <w:lvl w:ilvl="0">
      <w:lvlJc w:val="left"/>
      <w:lvlText w:val="%1."/>
      <w:numFmt w:val="decimal"/>
      <w:start w:val="1"/>
    </w:lvl>
  </w:abstractNum>
  <w:abstractNum w:abstractNumId="103">
    <w:nsid w:val="597B4D84"/>
    <w:multiLevelType w:val="hybridMultilevel"/>
    <w:lvl w:ilvl="0">
      <w:lvlJc w:val="left"/>
      <w:lvlText w:val="%1."/>
      <w:numFmt w:val="decimal"/>
      <w:start w:val="2"/>
    </w:lvl>
    <w:lvl w:ilvl="1">
      <w:lvlJc w:val="left"/>
      <w:lvlText w:val="(%2)"/>
      <w:numFmt w:val="lowerLetter"/>
      <w:start w:val="1"/>
    </w:lvl>
  </w:abstractNum>
  <w:abstractNum w:abstractNumId="104">
    <w:nsid w:val="F819E7F"/>
    <w:multiLevelType w:val="hybridMultilevel"/>
    <w:lvl w:ilvl="0">
      <w:lvlJc w:val="left"/>
      <w:lvlText w:val="(%1)"/>
      <w:numFmt w:val="lowerLetter"/>
      <w:start w:val="2"/>
    </w:lvl>
  </w:abstractNum>
  <w:abstractNum w:abstractNumId="105">
    <w:nsid w:val="57C7D42D"/>
    <w:multiLevelType w:val="hybridMultilevel"/>
    <w:lvl w:ilvl="0">
      <w:lvlJc w:val="left"/>
      <w:lvlText w:val="%1"/>
      <w:numFmt w:val="decimal"/>
      <w:start w:val="1"/>
    </w:lvl>
    <w:lvl w:ilvl="1">
      <w:lvlJc w:val="left"/>
      <w:lvlText w:val="(%2)"/>
      <w:numFmt w:val="lowerLetter"/>
      <w:start w:val="3"/>
    </w:lvl>
  </w:abstractNum>
  <w:abstractNum w:abstractNumId="106">
    <w:nsid w:val="312167AD"/>
    <w:multiLevelType w:val="hybridMultilevel"/>
    <w:lvl w:ilvl="0">
      <w:lvlJc w:val="left"/>
      <w:lvlText w:val="%1."/>
      <w:numFmt w:val="decimal"/>
      <w:start w:val="3"/>
    </w:lvl>
    <w:lvl w:ilvl="1">
      <w:lvlJc w:val="left"/>
      <w:lvlText w:val="(%2)"/>
      <w:numFmt w:val="lowerLetter"/>
      <w:start w:val="1"/>
    </w:lvl>
  </w:abstractNum>
  <w:abstractNum w:abstractNumId="107">
    <w:nsid w:val="631B64D4"/>
    <w:multiLevelType w:val="hybridMultilevel"/>
    <w:lvl w:ilvl="0">
      <w:lvlJc w:val="left"/>
      <w:lvlText w:val="%1."/>
      <w:numFmt w:val="decimal"/>
      <w:start w:val="6"/>
    </w:lvl>
  </w:abstractNum>
  <w:abstractNum w:abstractNumId="108">
    <w:nsid w:val="78B5E776"/>
    <w:multiLevelType w:val="hybridMultilevel"/>
    <w:lvl w:ilvl="0">
      <w:lvlJc w:val="left"/>
      <w:lvlText w:val="%1."/>
      <w:numFmt w:val="decimal"/>
      <w:start w:val="13"/>
    </w:lvl>
  </w:abstractNum>
  <w:abstractNum w:abstractNumId="109">
    <w:nsid w:val="75486E47"/>
    <w:multiLevelType w:val="hybridMultilevel"/>
    <w:lvl w:ilvl="0">
      <w:lvlJc w:val="left"/>
      <w:lvlText w:val="%1."/>
      <w:numFmt w:val="decimal"/>
      <w:start w:val="1"/>
    </w:lvl>
  </w:abstractNum>
  <w:abstractNum w:abstractNumId="110">
    <w:nsid w:val="6E534CDE"/>
    <w:multiLevelType w:val="hybridMultilevel"/>
    <w:lvl w:ilvl="0">
      <w:lvlJc w:val="left"/>
      <w:lvlText w:val="%1."/>
      <w:numFmt w:val="decimal"/>
      <w:start w:val="2"/>
    </w:lvl>
    <w:lvl w:ilvl="1">
      <w:lvlJc w:val="left"/>
      <w:lvlText w:val="(%2)"/>
      <w:numFmt w:val="lowerLetter"/>
      <w:start w:val="1"/>
    </w:lvl>
  </w:abstractNum>
  <w:abstractNum w:abstractNumId="111">
    <w:nsid w:val="1A0DDE32"/>
    <w:multiLevelType w:val="hybridMultilevel"/>
    <w:lvl w:ilvl="0">
      <w:lvlJc w:val="left"/>
      <w:lvlText w:val="%1"/>
      <w:numFmt w:val="decimal"/>
      <w:start w:val="1"/>
    </w:lvl>
    <w:lvl w:ilvl="1">
      <w:lvlJc w:val="left"/>
      <w:lvlText w:val="(%2)"/>
      <w:numFmt w:val="lowerLetter"/>
      <w:start w:val="10"/>
    </w:lvl>
  </w:abstractNum>
  <w:abstractNum w:abstractNumId="112">
    <w:nsid w:val="65968C1C"/>
    <w:multiLevelType w:val="hybridMultilevel"/>
    <w:lvl w:ilvl="0">
      <w:lvlJc w:val="left"/>
      <w:lvlText w:val="%1."/>
      <w:numFmt w:val="decimal"/>
      <w:start w:val="3"/>
    </w:lvl>
    <w:lvl w:ilvl="1">
      <w:lvlJc w:val="left"/>
      <w:lvlText w:val="%2"/>
      <w:numFmt w:val="lowerLetter"/>
      <w:start w:val="1"/>
    </w:lvl>
  </w:abstractNum>
  <w:abstractNum w:abstractNumId="113">
    <w:nsid w:val="46263DEC"/>
    <w:multiLevelType w:val="hybridMultilevel"/>
    <w:lvl w:ilvl="0">
      <w:lvlJc w:val="left"/>
      <w:lvlText w:val="%1."/>
      <w:numFmt w:val="decimal"/>
      <w:start w:val="7"/>
    </w:lvl>
  </w:abstractNum>
  <w:abstractNum w:abstractNumId="114">
    <w:nsid w:val="260D8C4A"/>
    <w:multiLevelType w:val="hybridMultilevel"/>
    <w:lvl w:ilvl="0">
      <w:lvlJc w:val="left"/>
      <w:lvlText w:val="%1."/>
      <w:numFmt w:val="decimal"/>
      <w:start w:val="1"/>
    </w:lvl>
  </w:abstractNum>
  <w:abstractNum w:abstractNumId="115">
    <w:nsid w:val="73D4D3C4"/>
    <w:multiLevelType w:val="hybridMultilevel"/>
    <w:lvl w:ilvl="0">
      <w:lvlJc w:val="left"/>
      <w:lvlText w:val="%1."/>
      <w:numFmt w:val="decimal"/>
      <w:start w:val="2"/>
    </w:lvl>
    <w:lvl w:ilvl="1">
      <w:lvlJc w:val="left"/>
      <w:lvlText w:val="(%2)"/>
      <w:numFmt w:val="lowerLetter"/>
      <w:start w:val="1"/>
    </w:lvl>
  </w:abstractNum>
  <w:abstractNum w:abstractNumId="116">
    <w:nsid w:val="746F2E30"/>
    <w:multiLevelType w:val="hybridMultilevel"/>
    <w:lvl w:ilvl="0">
      <w:lvlJc w:val="left"/>
      <w:lvlText w:val="(%1)"/>
      <w:numFmt w:val="lowerLetter"/>
      <w:start w:val="2"/>
    </w:lvl>
  </w:abstractNum>
  <w:abstractNum w:abstractNumId="117">
    <w:nsid w:val="6FDE8AF6"/>
    <w:multiLevelType w:val="hybridMultilevel"/>
    <w:lvl w:ilvl="0">
      <w:lvlJc w:val="left"/>
      <w:lvlText w:val="%1"/>
      <w:numFmt w:val="decimal"/>
      <w:start w:val="1"/>
    </w:lvl>
    <w:lvl w:ilvl="1">
      <w:lvlJc w:val="left"/>
      <w:lvlText w:val="(%2)"/>
      <w:numFmt w:val="lowerLetter"/>
      <w:start w:val="3"/>
    </w:lvl>
  </w:abstractNum>
  <w:abstractNum w:abstractNumId="118">
    <w:nsid w:val="3FC32E20"/>
    <w:multiLevelType w:val="hybridMultilevel"/>
    <w:lvl w:ilvl="0">
      <w:lvlJc w:val="left"/>
      <w:lvlText w:val="%1."/>
      <w:numFmt w:val="decimal"/>
      <w:start w:val="3"/>
    </w:lvl>
    <w:lvl w:ilvl="1">
      <w:lvlJc w:val="left"/>
      <w:lvlText w:val="(%2)"/>
      <w:numFmt w:val="lowerLetter"/>
      <w:start w:val="1"/>
    </w:lvl>
  </w:abstractNum>
  <w:abstractNum w:abstractNumId="119">
    <w:nsid w:val="49C0E823"/>
    <w:multiLevelType w:val="hybridMultilevel"/>
    <w:lvl w:ilvl="0">
      <w:lvlJc w:val="left"/>
      <w:lvlText w:val="%1."/>
      <w:numFmt w:val="decimal"/>
      <w:start w:val="6"/>
    </w:lvl>
  </w:abstractNum>
  <w:abstractNum w:abstractNumId="120">
    <w:nsid w:val="14D53685"/>
    <w:multiLevelType w:val="hybridMultilevel"/>
    <w:lvl w:ilvl="0">
      <w:lvlJc w:val="left"/>
      <w:lvlText w:val="%1."/>
      <w:numFmt w:val="decimal"/>
      <w:start w:val="13"/>
    </w:lvl>
  </w:abstractNum>
  <w:abstractNum w:abstractNumId="121">
    <w:nsid w:val="230F856C"/>
    <w:multiLevelType w:val="hybridMultilevel"/>
    <w:lvl w:ilvl="0">
      <w:lvlJc w:val="left"/>
      <w:lvlText w:val="%1."/>
      <w:numFmt w:val="decimal"/>
      <w:start w:val="1"/>
    </w:lvl>
  </w:abstractNum>
  <w:abstractNum w:abstractNumId="122">
    <w:nsid w:val="6EAA85FB"/>
    <w:multiLevelType w:val="hybridMultilevel"/>
    <w:lvl w:ilvl="0">
      <w:lvlJc w:val="left"/>
      <w:lvlText w:val="%1."/>
      <w:numFmt w:val="decimal"/>
      <w:start w:val="2"/>
    </w:lvl>
    <w:lvl w:ilvl="1">
      <w:lvlJc w:val="left"/>
      <w:lvlText w:val="(%2)"/>
      <w:numFmt w:val="lowerLetter"/>
      <w:start w:val="1"/>
    </w:lvl>
  </w:abstractNum>
  <w:abstractNum w:abstractNumId="123">
    <w:nsid w:val="3F06ECB2"/>
    <w:multiLevelType w:val="hybridMultilevel"/>
    <w:lvl w:ilvl="0">
      <w:lvlJc w:val="left"/>
      <w:lvlText w:val="%1"/>
      <w:numFmt w:val="decimal"/>
      <w:start w:val="1"/>
    </w:lvl>
    <w:lvl w:ilvl="1">
      <w:lvlJc w:val="left"/>
      <w:lvlText w:val="(%2)"/>
      <w:numFmt w:val="lowerLetter"/>
      <w:start w:val="10"/>
    </w:lvl>
  </w:abstractNum>
  <w:abstractNum w:abstractNumId="124">
    <w:nsid w:val="3B594807"/>
    <w:multiLevelType w:val="hybridMultilevel"/>
    <w:lvl w:ilvl="0">
      <w:lvlJc w:val="left"/>
      <w:lvlText w:val="%1."/>
      <w:numFmt w:val="decimal"/>
      <w:start w:val="3"/>
    </w:lvl>
    <w:lvl w:ilvl="1">
      <w:lvlJc w:val="left"/>
      <w:lvlText w:val="%2"/>
      <w:numFmt w:val="lowerLetter"/>
      <w:start w:val="1"/>
    </w:lvl>
  </w:abstractNum>
  <w:abstractNum w:abstractNumId="125">
    <w:nsid w:val="6CAA2304"/>
    <w:multiLevelType w:val="hybridMultilevel"/>
    <w:lvl w:ilvl="0">
      <w:lvlJc w:val="left"/>
      <w:lvlText w:val="%1."/>
      <w:numFmt w:val="decimal"/>
      <w:start w:val="7"/>
    </w:lvl>
  </w:abstractNum>
  <w:abstractNum w:abstractNumId="126">
    <w:nsid w:val="3F7C2FF4"/>
    <w:multiLevelType w:val="hybridMultilevel"/>
    <w:lvl w:ilvl="0">
      <w:lvlJc w:val="left"/>
      <w:lvlText w:val="%1."/>
      <w:numFmt w:val="decimal"/>
      <w:start w:val="1"/>
    </w:lvl>
  </w:abstractNum>
  <w:abstractNum w:abstractNumId="127">
    <w:nsid w:val="25413BEC"/>
    <w:multiLevelType w:val="hybridMultilevel"/>
    <w:lvl w:ilvl="0">
      <w:lvlJc w:val="left"/>
      <w:lvlText w:val="%1."/>
      <w:numFmt w:val="decimal"/>
      <w:start w:val="2"/>
    </w:lvl>
    <w:lvl w:ilvl="1">
      <w:lvlJc w:val="left"/>
      <w:lvlText w:val="(%2)"/>
      <w:numFmt w:val="lowerLetter"/>
      <w:start w:val="1"/>
    </w:lvl>
  </w:abstractNum>
  <w:abstractNum w:abstractNumId="128">
    <w:nsid w:val="17180B0B"/>
    <w:multiLevelType w:val="hybridMultilevel"/>
    <w:lvl w:ilvl="0">
      <w:lvlJc w:val="left"/>
      <w:lvlText w:val="(%1)"/>
      <w:numFmt w:val="lowerRoman"/>
      <w:start w:val="4"/>
    </w:lvl>
  </w:abstractNum>
  <w:abstractNum w:abstractNumId="129">
    <w:nsid w:val="579328B9"/>
    <w:multiLevelType w:val="hybridMultilevel"/>
    <w:lvl w:ilvl="0">
      <w:lvlJc w:val="left"/>
      <w:lvlText w:val="(%1)"/>
      <w:numFmt w:val="lowerLetter"/>
      <w:start w:val="2"/>
    </w:lvl>
  </w:abstractNum>
  <w:abstractNum w:abstractNumId="130">
    <w:nsid w:val="5D205E20"/>
    <w:multiLevelType w:val="hybridMultilevel"/>
    <w:lvl w:ilvl="0">
      <w:lvlJc w:val="left"/>
      <w:lvlText w:val="%1"/>
      <w:numFmt w:val="decimal"/>
      <w:start w:val="1"/>
    </w:lvl>
    <w:lvl w:ilvl="1">
      <w:lvlJc w:val="left"/>
      <w:lvlText w:val="(%2)"/>
      <w:numFmt w:val="lowerLetter"/>
      <w:start w:val="3"/>
    </w:lvl>
  </w:abstractNum>
  <w:abstractNum w:abstractNumId="131">
    <w:nsid w:val="11CCA8BA"/>
    <w:multiLevelType w:val="hybridMultilevel"/>
    <w:lvl w:ilvl="0">
      <w:lvlJc w:val="left"/>
      <w:lvlText w:val="%1."/>
      <w:numFmt w:val="decimal"/>
      <w:start w:val="3"/>
    </w:lvl>
    <w:lvl w:ilvl="1">
      <w:lvlJc w:val="left"/>
      <w:lvlText w:val="(%2)"/>
      <w:numFmt w:val="lowerLetter"/>
      <w:start w:val="1"/>
    </w:lvl>
  </w:abstractNum>
  <w:abstractNum w:abstractNumId="132">
    <w:nsid w:val="4D32AB86"/>
    <w:multiLevelType w:val="hybridMultilevel"/>
    <w:lvl w:ilvl="0">
      <w:lvlJc w:val="left"/>
      <w:lvlText w:val="%1."/>
      <w:numFmt w:val="decimal"/>
      <w:start w:val="4"/>
    </w:lvl>
  </w:abstractNum>
  <w:abstractNum w:abstractNumId="133">
    <w:nsid w:val="3F07ACC3"/>
    <w:multiLevelType w:val="hybridMultilevel"/>
    <w:lvl w:ilvl="0">
      <w:lvlJc w:val="left"/>
      <w:lvlText w:val="%1."/>
      <w:numFmt w:val="decimal"/>
      <w:start w:val="10"/>
    </w:lvl>
  </w:abstractNum>
  <w:abstractNum w:abstractNumId="134">
    <w:nsid w:val="6B47F63E"/>
    <w:multiLevelType w:val="hybridMultilevel"/>
    <w:lvl w:ilvl="0">
      <w:lvlJc w:val="left"/>
      <w:lvlText w:val="%1."/>
      <w:numFmt w:val="decimal"/>
      <w:start w:val="1"/>
    </w:lvl>
    <w:lvl w:ilvl="1">
      <w:lvlJc w:val="left"/>
      <w:lvlText w:val="(%2)"/>
      <w:numFmt w:val="lowerLetter"/>
      <w:start w:val="1"/>
    </w:lvl>
  </w:abstractNum>
  <w:abstractNum w:abstractNumId="135">
    <w:nsid w:val="5CB44A05"/>
    <w:multiLevelType w:val="hybridMultilevel"/>
    <w:lvl w:ilvl="0">
      <w:lvlJc w:val="left"/>
      <w:lvlText w:val="1"/>
      <w:numFmt w:val="bullet"/>
      <w:start w:val="1"/>
    </w:lvl>
  </w:abstractNum>
  <w:abstractNum w:abstractNumId="136">
    <w:nsid w:val="16CF80F1"/>
    <w:multiLevelType w:val="hybridMultilevel"/>
    <w:lvl w:ilvl="0">
      <w:lvlJc w:val="left"/>
      <w:lvlText w:val="%1"/>
      <w:numFmt w:val="decimal"/>
      <w:start w:val="1"/>
    </w:lvl>
    <w:lvl w:ilvl="1">
      <w:lvlJc w:val="left"/>
      <w:lvlText w:val="(%2)"/>
      <w:numFmt w:val="lowerLetter"/>
      <w:start w:val="2"/>
    </w:lvl>
  </w:abstractNum>
  <w:abstractNum w:abstractNumId="137">
    <w:nsid w:val="1C695DEC"/>
    <w:multiLevelType w:val="hybridMultilevel"/>
    <w:lvl w:ilvl="0">
      <w:lvlJc w:val="left"/>
      <w:lvlText w:val="%1."/>
      <w:numFmt w:val="decimal"/>
      <w:start w:val="3"/>
    </w:lvl>
    <w:lvl w:ilvl="1">
      <w:lvlJc w:val="left"/>
      <w:lvlText w:val="(%2)"/>
      <w:numFmt w:val="lowerLetter"/>
      <w:start w:val="1"/>
    </w:lvl>
  </w:abstractNum>
  <w:abstractNum w:abstractNumId="138">
    <w:nsid w:val="3FCFAED9"/>
    <w:multiLevelType w:val="hybridMultilevel"/>
    <w:lvl w:ilvl="0">
      <w:lvlJc w:val="left"/>
      <w:lvlText w:val="%1."/>
      <w:numFmt w:val="decimal"/>
      <w:start w:val="4"/>
    </w:lvl>
    <w:lvl w:ilvl="1">
      <w:lvlJc w:val="left"/>
      <w:lvlText w:val="(%2)"/>
      <w:numFmt w:val="lowerLetter"/>
      <w:start w:val="1"/>
    </w:lvl>
  </w:abstractNum>
  <w:abstractNum w:abstractNumId="139">
    <w:nsid w:val="F856867"/>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40">
    <w:nsid w:val="11B1CC33"/>
    <w:multiLevelType w:val="hybridMultilevel"/>
    <w:lvl w:ilvl="0">
      <w:lvlJc w:val="left"/>
      <w:lvlText w:val="(%1)"/>
      <w:numFmt w:val="decimal"/>
      <w:start w:val="60"/>
    </w:lvl>
    <w:lvl w:ilvl="1">
      <w:lvlJc w:val="left"/>
      <w:lvlText w:val="%2."/>
      <w:numFmt w:val="decimal"/>
      <w:start w:val="4"/>
    </w:lvl>
    <w:lvl w:ilvl="2">
      <w:lvlJc w:val="left"/>
      <w:lvlText w:val="(%3)"/>
      <w:numFmt w:val="lowerLetter"/>
      <w:start w:val="4"/>
    </w:lvl>
  </w:abstractNum>
  <w:abstractNum w:abstractNumId="141">
    <w:nsid w:val="2E22FB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2">
    <w:nsid w:val="29934699"/>
    <w:multiLevelType w:val="hybridMultilevel"/>
    <w:lvl w:ilvl="0">
      <w:lvlJc w:val="left"/>
      <w:lvlText w:val="(%1)"/>
      <w:numFmt w:val="lowerLetter"/>
      <w:start w:val="3"/>
    </w:lvl>
  </w:abstractNum>
  <w:abstractNum w:abstractNumId="143">
    <w:nsid w:val="77485850"/>
    <w:multiLevelType w:val="hybridMultilevel"/>
    <w:lvl w:ilvl="0">
      <w:lvlJc w:val="left"/>
      <w:lvlText w:val="%1"/>
      <w:numFmt w:val="decimal"/>
      <w:start w:val="1"/>
    </w:lvl>
    <w:lvl w:ilvl="1">
      <w:lvlJc w:val="left"/>
      <w:lvlText w:val="(%2)"/>
      <w:numFmt w:val="lowerLetter"/>
      <w:start w:val="15"/>
    </w:lvl>
  </w:abstractNum>
  <w:abstractNum w:abstractNumId="144">
    <w:nsid w:val="744939A3"/>
    <w:multiLevelType w:val="hybridMultilevel"/>
    <w:lvl w:ilvl="0">
      <w:lvlJc w:val="left"/>
      <w:lvlText w:val="%1."/>
      <w:numFmt w:val="decimal"/>
      <w:start w:val="7"/>
    </w:lvl>
    <w:lvl w:ilvl="1">
      <w:lvlJc w:val="left"/>
      <w:lvlText w:val="(%2)"/>
      <w:numFmt w:val="lowerLetter"/>
      <w:start w:val="1"/>
    </w:lvl>
  </w:abstractNum>
  <w:abstractNum w:abstractNumId="145">
    <w:nsid w:val="4FA0D2E3"/>
    <w:multiLevelType w:val="hybridMultilevel"/>
    <w:lvl w:ilvl="0">
      <w:lvlJc w:val="left"/>
      <w:lvlText w:val="%1"/>
      <w:numFmt w:val="decimal"/>
      <w:start w:val="1"/>
    </w:lvl>
    <w:lvl w:ilvl="1">
      <w:lvlJc w:val="left"/>
      <w:lvlText w:val="(%2)"/>
      <w:numFmt w:val="lowerLetter"/>
      <w:start w:val="4"/>
    </w:lvl>
  </w:abstractNum>
  <w:abstractNum w:abstractNumId="146">
    <w:nsid w:val="6B1D2C14"/>
    <w:multiLevelType w:val="hybridMultilevel"/>
    <w:lvl w:ilvl="0">
      <w:lvlJc w:val="left"/>
      <w:lvlText w:val="%1."/>
      <w:numFmt w:val="decimal"/>
      <w:start w:val="9"/>
    </w:lvl>
    <w:lvl w:ilvl="1">
      <w:lvlJc w:val="left"/>
      <w:lvlText w:val="%2"/>
      <w:numFmt w:val="lowerLetter"/>
      <w:start w:val="1"/>
    </w:lvl>
  </w:abstractNum>
  <w:abstractNum w:abstractNumId="147">
    <w:nsid w:val="68B867D3"/>
    <w:multiLevelType w:val="hybridMultilevel"/>
    <w:lvl w:ilvl="0">
      <w:lvlJc w:val="left"/>
      <w:lvlText w:val="%1."/>
      <w:numFmt w:val="decimal"/>
      <w:start w:val="13"/>
    </w:lvl>
  </w:abstractNum>
  <w:abstractNum w:abstractNumId="148">
    <w:nsid w:val="3F7F5DD9"/>
    <w:multiLevelType w:val="hybridMultilevel"/>
    <w:lvl w:ilvl="0">
      <w:lvlJc w:val="left"/>
      <w:lvlText w:val="%1."/>
      <w:numFmt w:val="decimal"/>
      <w:start w:val="1"/>
    </w:lvl>
    <w:lvl w:ilvl="1">
      <w:lvlJc w:val="left"/>
      <w:lvlText w:val="(%2)"/>
      <w:numFmt w:val="lowerLetter"/>
      <w:start w:val="1"/>
    </w:lvl>
  </w:abstractNum>
  <w:abstractNum w:abstractNumId="149">
    <w:nsid w:val="2AE05A34"/>
    <w:multiLevelType w:val="hybridMultilevel"/>
    <w:lvl w:ilvl="0">
      <w:lvlJc w:val="left"/>
      <w:lvlText w:val="%1"/>
      <w:numFmt w:val="decimal"/>
      <w:start w:val="1"/>
    </w:lvl>
    <w:lvl w:ilvl="1">
      <w:lvlJc w:val="left"/>
      <w:lvlText w:val="(%2)"/>
      <w:numFmt w:val="lowerLetter"/>
      <w:start w:val="9"/>
    </w:lvl>
  </w:abstractNum>
  <w:abstractNum w:abstractNumId="150">
    <w:nsid w:val="32794FF7"/>
    <w:multiLevelType w:val="hybridMultilevel"/>
    <w:lvl w:ilvl="0">
      <w:lvlJc w:val="left"/>
      <w:lvlText w:val="%1."/>
      <w:numFmt w:val="decimal"/>
      <w:start w:val="2"/>
    </w:lvl>
    <w:lvl w:ilvl="1">
      <w:lvlJc w:val="left"/>
      <w:lvlText w:val="%2"/>
      <w:numFmt w:val="lowerLetter"/>
      <w:start w:val="1"/>
    </w:lvl>
  </w:abstractNum>
  <w:abstractNum w:abstractNumId="151">
    <w:nsid w:val="5454945E"/>
    <w:multiLevelType w:val="hybridMultilevel"/>
    <w:lvl w:ilvl="0">
      <w:lvlJc w:val="left"/>
      <w:lvlText w:val="%1."/>
      <w:numFmt w:val="decimal"/>
      <w:start w:val="1"/>
    </w:lvl>
  </w:abstractNum>
  <w:abstractNum w:abstractNumId="152">
    <w:nsid w:val="4DEFDFA0"/>
    <w:multiLevelType w:val="hybridMultilevel"/>
    <w:lvl w:ilvl="0">
      <w:lvlJc w:val="left"/>
      <w:lvlText w:val="%1."/>
      <w:numFmt w:val="decimal"/>
      <w:start w:val="3"/>
    </w:lvl>
  </w:abstractNum>
  <w:abstractNum w:abstractNumId="153">
    <w:nsid w:val="2123D5F2"/>
    <w:multiLevelType w:val="hybridMultilevel"/>
    <w:lvl w:ilvl="0">
      <w:lvlJc w:val="left"/>
      <w:lvlText w:val="(%1)"/>
      <w:numFmt w:val="lowerLetter"/>
      <w:start w:val="1"/>
    </w:lvl>
  </w:abstractNum>
  <w:abstractNum w:abstractNumId="154">
    <w:nsid w:val="135B8110"/>
    <w:multiLevelType w:val="hybridMultilevel"/>
    <w:lvl w:ilvl="0">
      <w:lvlJc w:val="left"/>
      <w:lvlText w:val="(%1)"/>
      <w:numFmt w:val="lowerLetter"/>
      <w:start w:val="3"/>
    </w:lvl>
  </w:abstractNum>
  <w:abstractNum w:abstractNumId="155">
    <w:nsid w:val="94927A8"/>
    <w:multiLevelType w:val="hybridMultilevel"/>
    <w:lvl w:ilvl="0">
      <w:lvlJc w:val="left"/>
      <w:lvlText w:val="%1."/>
      <w:numFmt w:val="decimal"/>
      <w:start w:val="7"/>
    </w:lvl>
  </w:abstractNum>
  <w:abstractNum w:abstractNumId="156">
    <w:nsid w:val="DCDF8F6"/>
    <w:multiLevelType w:val="hybridMultilevel"/>
    <w:lvl w:ilvl="0">
      <w:lvlJc w:val="left"/>
      <w:lvlText w:val="%1."/>
      <w:numFmt w:val="decimal"/>
      <w:start w:val="11"/>
    </w:lvl>
  </w:abstractNum>
  <w:abstractNum w:abstractNumId="157">
    <w:nsid w:val="52D7B105"/>
    <w:multiLevelType w:val="hybridMultilevel"/>
    <w:lvl w:ilvl="0">
      <w:lvlJc w:val="left"/>
      <w:lvlText w:val="%1."/>
      <w:numFmt w:val="decimal"/>
      <w:start w:val="1"/>
    </w:lvl>
    <w:lvl w:ilvl="1">
      <w:lvlJc w:val="left"/>
      <w:lvlText w:val="(%2)"/>
      <w:numFmt w:val="lowerLetter"/>
      <w:start w:val="1"/>
    </w:lvl>
  </w:abstractNum>
  <w:abstractNum w:abstractNumId="158">
    <w:nsid w:val="2E8A6394"/>
    <w:multiLevelType w:val="hybridMultilevel"/>
    <w:lvl w:ilvl="0">
      <w:lvlJc w:val="left"/>
      <w:lvlText w:val="%1"/>
      <w:numFmt w:val="decimal"/>
      <w:start w:val="1"/>
    </w:lvl>
    <w:lvl w:ilvl="1">
      <w:lvlJc w:val="left"/>
      <w:lvlText w:val="(%2)"/>
      <w:numFmt w:val="lowerLetter"/>
      <w:start w:val="9"/>
    </w:lvl>
  </w:abstractNum>
  <w:abstractNum w:abstractNumId="159">
    <w:nsid w:val="24E60401"/>
    <w:multiLevelType w:val="hybridMultilevel"/>
    <w:lvl w:ilvl="0">
      <w:lvlJc w:val="left"/>
      <w:lvlText w:val="%1."/>
      <w:numFmt w:val="decimal"/>
      <w:start w:val="2"/>
    </w:lvl>
    <w:lvl w:ilvl="1">
      <w:lvlJc w:val="left"/>
      <w:lvlText w:val="%2"/>
      <w:numFmt w:val="lowerLetter"/>
      <w:start w:val="1"/>
    </w:lvl>
  </w:abstractNum>
  <w:abstractNum w:abstractNumId="160">
    <w:nsid w:val="2A6AD9BE"/>
    <w:multiLevelType w:val="hybridMultilevel"/>
    <w:lvl w:ilvl="0">
      <w:lvlJc w:val="left"/>
      <w:lvlText w:val="%1."/>
      <w:numFmt w:val="decimal"/>
      <w:start w:val="1"/>
    </w:lvl>
  </w:abstractNum>
  <w:abstractNum w:abstractNumId="161">
    <w:nsid w:val="BAAC1B4"/>
    <w:multiLevelType w:val="hybridMultilevel"/>
    <w:lvl w:ilvl="0">
      <w:lvlJc w:val="left"/>
      <w:lvlText w:val="%1."/>
      <w:numFmt w:val="decimal"/>
      <w:start w:val="3"/>
    </w:lvl>
    <w:lvl w:ilvl="1">
      <w:lvlJc w:val="left"/>
      <w:lvlText w:val="-"/>
      <w:numFmt w:val="bullet"/>
      <w:start w:val="1"/>
    </w:lvl>
  </w:abstractNum>
  <w:abstractNum w:abstractNumId="162">
    <w:nsid w:val="36B2ACBC"/>
    <w:multiLevelType w:val="hybridMultilevel"/>
    <w:lvl w:ilvl="0">
      <w:lvlJc w:val="left"/>
      <w:lvlText w:val="%1."/>
      <w:numFmt w:val="decimal"/>
      <w:start w:val="10"/>
    </w:lvl>
  </w:abstractNum>
  <w:abstractNum w:abstractNumId="163">
    <w:nsid w:val="779D8544"/>
    <w:multiLevelType w:val="hybridMultilevel"/>
    <w:lvl w:ilvl="0">
      <w:lvlJc w:val="left"/>
      <w:lvlText w:val="%1."/>
      <w:numFmt w:val="decimal"/>
      <w:start w:val="1"/>
    </w:lvl>
    <w:lvl w:ilvl="1">
      <w:lvlJc w:val="left"/>
      <w:lvlText w:val="-"/>
      <w:numFmt w:val="bullet"/>
      <w:start w:val="1"/>
    </w:lvl>
  </w:abstractNum>
  <w:abstractNum w:abstractNumId="164">
    <w:nsid w:val="4AB26E78"/>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65">
    <w:nsid w:val="21FAA2FA"/>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166">
    <w:nsid w:val="5451CF4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67">
    <w:nsid w:val="6181EF69"/>
    <w:multiLevelType w:val="hybridMultilevel"/>
    <w:lvl w:ilvl="0">
      <w:lvlJc w:val="left"/>
      <w:lvlText w:val="%1."/>
      <w:numFmt w:val="decimal"/>
      <w:start w:val="7"/>
    </w:lvl>
    <w:lvl w:ilvl="1">
      <w:lvlJc w:val="left"/>
      <w:lvlText w:val="-"/>
      <w:numFmt w:val="bullet"/>
      <w:start w:val="1"/>
    </w:lvl>
  </w:abstractNum>
  <w:abstractNum w:abstractNumId="168">
    <w:nsid w:val="3E6400E6"/>
    <w:multiLevelType w:val="hybridMultilevel"/>
    <w:lvl w:ilvl="0">
      <w:lvlJc w:val="left"/>
      <w:lvlText w:val="%1."/>
      <w:numFmt w:val="decimal"/>
      <w:start w:val="1"/>
    </w:lvl>
  </w:abstractNum>
  <w:abstractNum w:abstractNumId="169">
    <w:nsid w:val="14217E23"/>
    <w:multiLevelType w:val="hybridMultilevel"/>
    <w:lvl w:ilvl="0">
      <w:lvlJc w:val="left"/>
      <w:lvlText w:val="%1."/>
      <w:numFmt w:val="decimal"/>
      <w:start w:val="3"/>
    </w:lvl>
    <w:lvl w:ilvl="1">
      <w:lvlJc w:val="left"/>
      <w:lvlText w:val="-"/>
      <w:numFmt w:val="bullet"/>
      <w:start w:val="1"/>
    </w:lvl>
  </w:abstractNum>
  <w:abstractNum w:abstractNumId="170">
    <w:nsid w:val="710757D0"/>
    <w:multiLevelType w:val="hybridMultilevel"/>
    <w:lvl w:ilvl="0">
      <w:lvlJc w:val="left"/>
      <w:lvlText w:val="%1."/>
      <w:numFmt w:val="decimal"/>
      <w:start w:val="10"/>
    </w:lvl>
  </w:abstractNum>
  <w:abstractNum w:abstractNumId="171">
    <w:nsid w:val="5015CD1A"/>
    <w:multiLevelType w:val="hybridMultilevel"/>
    <w:lvl w:ilvl="0">
      <w:lvlJc w:val="left"/>
      <w:lvlText w:val="%1."/>
      <w:numFmt w:val="decimal"/>
      <w:start w:val="1"/>
    </w:lvl>
    <w:lvl w:ilvl="1">
      <w:lvlJc w:val="left"/>
      <w:lvlText w:val="-"/>
      <w:numFmt w:val="bullet"/>
      <w:start w:val="1"/>
    </w:lvl>
  </w:abstractNum>
  <w:abstractNum w:abstractNumId="172">
    <w:nsid w:val="424479DA"/>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73">
    <w:nsid w:val="1A9A9E69"/>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174">
    <w:nsid w:val="475E256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75">
    <w:nsid w:val="368DB37E"/>
    <w:multiLevelType w:val="hybridMultilevel"/>
    <w:lvl w:ilvl="0">
      <w:lvlJc w:val="left"/>
      <w:lvlText w:val="%1."/>
      <w:numFmt w:val="decimal"/>
      <w:start w:val="7"/>
    </w:lvl>
    <w:lvl w:ilvl="1">
      <w:lvlJc w:val="left"/>
      <w:lvlText w:val="-"/>
      <w:numFmt w:val="bullet"/>
      <w:start w:val="1"/>
    </w:lvl>
  </w:abstractNum>
  <w:abstractNum w:abstractNumId="176">
    <w:nsid w:val="6A3B714C"/>
    <w:multiLevelType w:val="hybridMultilevel"/>
    <w:lvl w:ilvl="0">
      <w:lvlJc w:val="left"/>
      <w:lvlText w:val="%1."/>
      <w:numFmt w:val="decimal"/>
      <w:start w:val="1"/>
    </w:lvl>
  </w:abstractNum>
  <w:abstractNum w:abstractNumId="177">
    <w:nsid w:val="327B517E"/>
    <w:multiLevelType w:val="hybridMultilevel"/>
    <w:lvl w:ilvl="0">
      <w:lvlJc w:val="left"/>
      <w:lvlText w:val="%1."/>
      <w:numFmt w:val="decimal"/>
      <w:start w:val="3"/>
    </w:lvl>
  </w:abstractNum>
  <w:abstractNum w:abstractNumId="178">
    <w:nsid w:val="1F461B51"/>
    <w:multiLevelType w:val="hybridMultilevel"/>
    <w:lvl w:ilvl="0">
      <w:lvlJc w:val="left"/>
      <w:lvlText w:val="(%1)"/>
      <w:numFmt w:val="lowerLetter"/>
      <w:start w:val="1"/>
    </w:lvl>
  </w:abstractNum>
  <w:abstractNum w:abstractNumId="179">
    <w:nsid w:val="29BACF25"/>
    <w:multiLevelType w:val="hybridMultilevel"/>
    <w:lvl w:ilvl="0">
      <w:lvlJc w:val="left"/>
      <w:lvlText w:val="(%1)"/>
      <w:numFmt w:val="lowerLetter"/>
      <w:start w:val="2"/>
    </w:lvl>
  </w:abstractNum>
  <w:abstractNum w:abstractNumId="180">
    <w:nsid w:val="5D5BABB3"/>
    <w:multiLevelType w:val="hybridMultilevel"/>
    <w:lvl w:ilvl="0">
      <w:lvlJc w:val="left"/>
      <w:lvlText w:val="%1."/>
      <w:numFmt w:val="decimal"/>
      <w:start w:val="7"/>
    </w:lvl>
  </w:abstractNum>
  <w:abstractNum w:abstractNumId="181">
    <w:nsid w:val="51BF6B48"/>
    <w:multiLevelType w:val="hybridMultilevel"/>
    <w:lvl w:ilvl="0">
      <w:lvlJc w:val="left"/>
      <w:lvlText w:val="%1."/>
      <w:numFmt w:val="decimal"/>
      <w:start w:val="14"/>
    </w:lvl>
  </w:abstractNum>
  <w:abstractNum w:abstractNumId="182">
    <w:nsid w:val="7E0F6384"/>
    <w:multiLevelType w:val="hybridMultilevel"/>
    <w:lvl w:ilvl="0">
      <w:lvlJc w:val="left"/>
      <w:lvlText w:val="(%1)"/>
      <w:numFmt w:val="decimal"/>
      <w:start w:val="1"/>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lvl w:ilvl="1">
      <w:lvlJc w:val="left"/>
      <w:lvlText w:val="(%2)"/>
      <w:numFmt w:val="lowerLetter"/>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5" Type="http://schemas.openxmlformats.org/officeDocument/2006/relationships/image" Target="media/image162.png"/><Relationship Id="rId186" Type="http://schemas.openxmlformats.org/officeDocument/2006/relationships/image" Target="media/image163.png"/><Relationship Id="rId228" Type="http://schemas.openxmlformats.org/officeDocument/2006/relationships/image" Target="media/image164.png"/><Relationship Id="rId235" Type="http://schemas.openxmlformats.org/officeDocument/2006/relationships/image" Target="media/image165.png"/><Relationship Id="rId252" Type="http://schemas.openxmlformats.org/officeDocument/2006/relationships/image" Target="media/image166.png"/><Relationship Id="rId253" Type="http://schemas.openxmlformats.org/officeDocument/2006/relationships/image" Target="media/image167.png"/><Relationship Id="rId254" Type="http://schemas.openxmlformats.org/officeDocument/2006/relationships/image" Target="media/image168.png"/><Relationship Id="rId255" Type="http://schemas.openxmlformats.org/officeDocument/2006/relationships/image" Target="media/image169.png"/><Relationship Id="rId256" Type="http://schemas.openxmlformats.org/officeDocument/2006/relationships/image" Target="media/image170.png"/><Relationship Id="rId257" Type="http://schemas.openxmlformats.org/officeDocument/2006/relationships/image" Target="media/image171.png"/><Relationship Id="rId258" Type="http://schemas.openxmlformats.org/officeDocument/2006/relationships/image" Target="media/image172.png"/><Relationship Id="rId259" Type="http://schemas.openxmlformats.org/officeDocument/2006/relationships/image" Target="media/image173.png"/><Relationship Id="rId260" Type="http://schemas.openxmlformats.org/officeDocument/2006/relationships/image" Target="media/image174.png"/><Relationship Id="rId261" Type="http://schemas.openxmlformats.org/officeDocument/2006/relationships/image" Target="media/image175.png"/><Relationship Id="rId262" Type="http://schemas.openxmlformats.org/officeDocument/2006/relationships/image" Target="media/image176.png"/><Relationship Id="rId263" Type="http://schemas.openxmlformats.org/officeDocument/2006/relationships/image" Target="media/image177.png"/><Relationship Id="rId264" Type="http://schemas.openxmlformats.org/officeDocument/2006/relationships/image" Target="media/image178.png"/><Relationship Id="rId265" Type="http://schemas.openxmlformats.org/officeDocument/2006/relationships/image" Target="media/image179.png"/><Relationship Id="rId266" Type="http://schemas.openxmlformats.org/officeDocument/2006/relationships/image" Target="media/image180.png"/><Relationship Id="rId267" Type="http://schemas.openxmlformats.org/officeDocument/2006/relationships/image" Target="media/image181.png"/><Relationship Id="rId268" Type="http://schemas.openxmlformats.org/officeDocument/2006/relationships/image" Target="media/image182.png"/><Relationship Id="rId269" Type="http://schemas.openxmlformats.org/officeDocument/2006/relationships/image" Target="media/image183.png"/><Relationship Id="rId270" Type="http://schemas.openxmlformats.org/officeDocument/2006/relationships/image" Target="media/image184.png"/><Relationship Id="rId271" Type="http://schemas.openxmlformats.org/officeDocument/2006/relationships/image" Target="media/image185.png"/><Relationship Id="rId272" Type="http://schemas.openxmlformats.org/officeDocument/2006/relationships/image" Target="media/image186.png"/><Relationship Id="rId273" Type="http://schemas.openxmlformats.org/officeDocument/2006/relationships/image" Target="media/image187.png"/><Relationship Id="rId274" Type="http://schemas.openxmlformats.org/officeDocument/2006/relationships/image" Target="media/image188.png"/><Relationship Id="rId275" Type="http://schemas.openxmlformats.org/officeDocument/2006/relationships/image" Target="media/image189.png"/><Relationship Id="rId276" Type="http://schemas.openxmlformats.org/officeDocument/2006/relationships/image" Target="media/image190.png"/><Relationship Id="rId277" Type="http://schemas.openxmlformats.org/officeDocument/2006/relationships/image" Target="media/image191.png"/><Relationship Id="rId278" Type="http://schemas.openxmlformats.org/officeDocument/2006/relationships/image" Target="media/image192.png"/><Relationship Id="rId279" Type="http://schemas.openxmlformats.org/officeDocument/2006/relationships/image" Target="media/image193.png"/><Relationship Id="rId280" Type="http://schemas.openxmlformats.org/officeDocument/2006/relationships/image" Target="media/image194.png"/><Relationship Id="rId281" Type="http://schemas.openxmlformats.org/officeDocument/2006/relationships/image" Target="media/image195.png"/><Relationship Id="rId282" Type="http://schemas.openxmlformats.org/officeDocument/2006/relationships/image" Target="media/image196.png"/><Relationship Id="rId283" Type="http://schemas.openxmlformats.org/officeDocument/2006/relationships/image" Target="media/image197.png"/><Relationship Id="rId284" Type="http://schemas.openxmlformats.org/officeDocument/2006/relationships/image" Target="media/image198.png"/><Relationship Id="rId285" Type="http://schemas.openxmlformats.org/officeDocument/2006/relationships/image" Target="media/image199.png"/><Relationship Id="rId286" Type="http://schemas.openxmlformats.org/officeDocument/2006/relationships/image" Target="media/image200.png"/><Relationship Id="rId287" Type="http://schemas.openxmlformats.org/officeDocument/2006/relationships/image" Target="media/image201.png"/><Relationship Id="rId288" Type="http://schemas.openxmlformats.org/officeDocument/2006/relationships/image" Target="media/image202.png"/><Relationship Id="rId289" Type="http://schemas.openxmlformats.org/officeDocument/2006/relationships/image" Target="media/image203.png"/><Relationship Id="rId290" Type="http://schemas.openxmlformats.org/officeDocument/2006/relationships/image" Target="media/image204.png"/><Relationship Id="rId291" Type="http://schemas.openxmlformats.org/officeDocument/2006/relationships/image" Target="media/image205.png"/><Relationship Id="rId292" Type="http://schemas.openxmlformats.org/officeDocument/2006/relationships/image" Target="media/image206.png"/><Relationship Id="rId293" Type="http://schemas.openxmlformats.org/officeDocument/2006/relationships/image" Target="media/image207.png"/><Relationship Id="rId294" Type="http://schemas.openxmlformats.org/officeDocument/2006/relationships/image" Target="media/image208.png"/><Relationship Id="rId295" Type="http://schemas.openxmlformats.org/officeDocument/2006/relationships/image" Target="media/image209.png"/><Relationship Id="rId296" Type="http://schemas.openxmlformats.org/officeDocument/2006/relationships/image" Target="media/image210.png"/><Relationship Id="rId297" Type="http://schemas.openxmlformats.org/officeDocument/2006/relationships/image" Target="media/image211.png"/><Relationship Id="rId298" Type="http://schemas.openxmlformats.org/officeDocument/2006/relationships/image" Target="media/image212.png"/><Relationship Id="rId299" Type="http://schemas.openxmlformats.org/officeDocument/2006/relationships/image" Target="media/image213.png"/><Relationship Id="rId300" Type="http://schemas.openxmlformats.org/officeDocument/2006/relationships/image" Target="media/image214.png"/><Relationship Id="rId301" Type="http://schemas.openxmlformats.org/officeDocument/2006/relationships/image" Target="media/image215.png"/><Relationship Id="rId302" Type="http://schemas.openxmlformats.org/officeDocument/2006/relationships/image" Target="media/image216.png"/><Relationship Id="rId303" Type="http://schemas.openxmlformats.org/officeDocument/2006/relationships/image" Target="media/image217.png"/><Relationship Id="rId304" Type="http://schemas.openxmlformats.org/officeDocument/2006/relationships/image" Target="media/image218.png"/><Relationship Id="rId305" Type="http://schemas.openxmlformats.org/officeDocument/2006/relationships/image" Target="media/image219.png"/><Relationship Id="rId306" Type="http://schemas.openxmlformats.org/officeDocument/2006/relationships/image" Target="media/image220.png"/><Relationship Id="rId307" Type="http://schemas.openxmlformats.org/officeDocument/2006/relationships/image" Target="media/image221.png"/><Relationship Id="rId308" Type="http://schemas.openxmlformats.org/officeDocument/2006/relationships/image" Target="media/image222.png"/><Relationship Id="rId309" Type="http://schemas.openxmlformats.org/officeDocument/2006/relationships/image" Target="media/image223.png"/><Relationship Id="rId310" Type="http://schemas.openxmlformats.org/officeDocument/2006/relationships/image" Target="media/image224.png"/><Relationship Id="rId311" Type="http://schemas.openxmlformats.org/officeDocument/2006/relationships/image" Target="media/image225.png"/><Relationship Id="rId312" Type="http://schemas.openxmlformats.org/officeDocument/2006/relationships/image" Target="media/image226.png"/><Relationship Id="rId313" Type="http://schemas.openxmlformats.org/officeDocument/2006/relationships/image" Target="media/image227.png"/><Relationship Id="rId314" Type="http://schemas.openxmlformats.org/officeDocument/2006/relationships/image" Target="media/image228.png"/><Relationship Id="rId315" Type="http://schemas.openxmlformats.org/officeDocument/2006/relationships/image" Target="media/image229.png"/><Relationship Id="rId316" Type="http://schemas.openxmlformats.org/officeDocument/2006/relationships/image" Target="media/image230.png"/><Relationship Id="rId317" Type="http://schemas.openxmlformats.org/officeDocument/2006/relationships/image" Target="media/image231.png"/><Relationship Id="rId318" Type="http://schemas.openxmlformats.org/officeDocument/2006/relationships/image" Target="media/image232.png"/><Relationship Id="rId319" Type="http://schemas.openxmlformats.org/officeDocument/2006/relationships/image" Target="media/image233.png"/><Relationship Id="rId320" Type="http://schemas.openxmlformats.org/officeDocument/2006/relationships/image" Target="media/image234.png"/><Relationship Id="rId321" Type="http://schemas.openxmlformats.org/officeDocument/2006/relationships/image" Target="media/image235.png"/><Relationship Id="rId322" Type="http://schemas.openxmlformats.org/officeDocument/2006/relationships/image" Target="media/image236.png"/><Relationship Id="rId323" Type="http://schemas.openxmlformats.org/officeDocument/2006/relationships/image" Target="media/image237.png"/><Relationship Id="rId324" Type="http://schemas.openxmlformats.org/officeDocument/2006/relationships/image" Target="media/image238.png"/><Relationship Id="rId325" Type="http://schemas.openxmlformats.org/officeDocument/2006/relationships/image" Target="media/image239.png"/><Relationship Id="rId326" Type="http://schemas.openxmlformats.org/officeDocument/2006/relationships/image" Target="media/image240.png"/><Relationship Id="rId327" Type="http://schemas.openxmlformats.org/officeDocument/2006/relationships/image" Target="media/image241.png"/><Relationship Id="rId328" Type="http://schemas.openxmlformats.org/officeDocument/2006/relationships/image" Target="media/image242.png"/><Relationship Id="rId329" Type="http://schemas.openxmlformats.org/officeDocument/2006/relationships/image" Target="media/image243.png"/><Relationship Id="rId330" Type="http://schemas.openxmlformats.org/officeDocument/2006/relationships/image" Target="media/image244.png"/><Relationship Id="rId331" Type="http://schemas.openxmlformats.org/officeDocument/2006/relationships/image" Target="media/image245.png"/><Relationship Id="rId332" Type="http://schemas.openxmlformats.org/officeDocument/2006/relationships/image" Target="media/image246.png"/><Relationship Id="rId333" Type="http://schemas.openxmlformats.org/officeDocument/2006/relationships/image" Target="media/image247.png"/><Relationship Id="rId334" Type="http://schemas.openxmlformats.org/officeDocument/2006/relationships/image" Target="media/image248.png"/><Relationship Id="rId335" Type="http://schemas.openxmlformats.org/officeDocument/2006/relationships/image" Target="media/image249.png"/><Relationship Id="rId336" Type="http://schemas.openxmlformats.org/officeDocument/2006/relationships/image" Target="media/image250.png"/><Relationship Id="rId337" Type="http://schemas.openxmlformats.org/officeDocument/2006/relationships/image" Target="media/image251.png"/><Relationship Id="rId338" Type="http://schemas.openxmlformats.org/officeDocument/2006/relationships/image" Target="media/image252.png"/><Relationship Id="rId339" Type="http://schemas.openxmlformats.org/officeDocument/2006/relationships/image" Target="media/image253.png"/><Relationship Id="rId340" Type="http://schemas.openxmlformats.org/officeDocument/2006/relationships/image" Target="media/image254.png"/><Relationship Id="rId341" Type="http://schemas.openxmlformats.org/officeDocument/2006/relationships/image" Target="media/image255.png"/><Relationship Id="rId342" Type="http://schemas.openxmlformats.org/officeDocument/2006/relationships/image" Target="media/image256.png"/><Relationship Id="rId343" Type="http://schemas.openxmlformats.org/officeDocument/2006/relationships/image" Target="media/image257.png"/><Relationship Id="rId344" Type="http://schemas.openxmlformats.org/officeDocument/2006/relationships/image" Target="media/image258.png"/><Relationship Id="rId345" Type="http://schemas.openxmlformats.org/officeDocument/2006/relationships/image" Target="media/image259.png"/><Relationship Id="rId346" Type="http://schemas.openxmlformats.org/officeDocument/2006/relationships/image" Target="media/image260.png"/><Relationship Id="rId347" Type="http://schemas.openxmlformats.org/officeDocument/2006/relationships/image" Target="media/image261.png"/><Relationship Id="rId348" Type="http://schemas.openxmlformats.org/officeDocument/2006/relationships/image" Target="media/image262.png"/><Relationship Id="rId349" Type="http://schemas.openxmlformats.org/officeDocument/2006/relationships/image" Target="media/image263.png"/><Relationship Id="rId350" Type="http://schemas.openxmlformats.org/officeDocument/2006/relationships/image" Target="media/image264.png"/><Relationship Id="rId351" Type="http://schemas.openxmlformats.org/officeDocument/2006/relationships/image" Target="media/image265.png"/><Relationship Id="rId352" Type="http://schemas.openxmlformats.org/officeDocument/2006/relationships/image" Target="media/image266.png"/><Relationship Id="rId353" Type="http://schemas.openxmlformats.org/officeDocument/2006/relationships/image" Target="media/image267.png"/><Relationship Id="rId354" Type="http://schemas.openxmlformats.org/officeDocument/2006/relationships/image" Target="media/image268.png"/><Relationship Id="rId355" Type="http://schemas.openxmlformats.org/officeDocument/2006/relationships/image" Target="media/image269.png"/><Relationship Id="rId356" Type="http://schemas.openxmlformats.org/officeDocument/2006/relationships/image" Target="media/image270.png"/><Relationship Id="rId357" Type="http://schemas.openxmlformats.org/officeDocument/2006/relationships/image" Target="media/image271.png"/><Relationship Id="rId358" Type="http://schemas.openxmlformats.org/officeDocument/2006/relationships/image" Target="media/image272.png"/><Relationship Id="rId359" Type="http://schemas.openxmlformats.org/officeDocument/2006/relationships/image" Target="media/image273.png"/><Relationship Id="rId360" Type="http://schemas.openxmlformats.org/officeDocument/2006/relationships/image" Target="media/image274.png"/><Relationship Id="rId361" Type="http://schemas.openxmlformats.org/officeDocument/2006/relationships/image" Target="media/image275.png"/><Relationship Id="rId362" Type="http://schemas.openxmlformats.org/officeDocument/2006/relationships/image" Target="media/image276.png"/><Relationship Id="rId363" Type="http://schemas.openxmlformats.org/officeDocument/2006/relationships/image" Target="media/image277.png"/><Relationship Id="rId364" Type="http://schemas.openxmlformats.org/officeDocument/2006/relationships/image" Target="media/image278.png"/><Relationship Id="rId365" Type="http://schemas.openxmlformats.org/officeDocument/2006/relationships/image" Target="media/image279.png"/><Relationship Id="rId366" Type="http://schemas.openxmlformats.org/officeDocument/2006/relationships/image" Target="media/image280.png"/><Relationship Id="rId367" Type="http://schemas.openxmlformats.org/officeDocument/2006/relationships/image" Target="media/image281.png"/><Relationship Id="rId368" Type="http://schemas.openxmlformats.org/officeDocument/2006/relationships/image" Target="media/image282.png"/><Relationship Id="rId369" Type="http://schemas.openxmlformats.org/officeDocument/2006/relationships/image" Target="media/image283.png"/><Relationship Id="rId370" Type="http://schemas.openxmlformats.org/officeDocument/2006/relationships/image" Target="media/image284.png"/><Relationship Id="rId371" Type="http://schemas.openxmlformats.org/officeDocument/2006/relationships/image" Target="media/image285.png"/><Relationship Id="rId372" Type="http://schemas.openxmlformats.org/officeDocument/2006/relationships/image" Target="media/image286.png"/><Relationship Id="rId373" Type="http://schemas.openxmlformats.org/officeDocument/2006/relationships/image" Target="media/image287.png"/><Relationship Id="rId374" Type="http://schemas.openxmlformats.org/officeDocument/2006/relationships/image" Target="media/image288.png"/><Relationship Id="rId375" Type="http://schemas.openxmlformats.org/officeDocument/2006/relationships/image" Target="media/image289.png"/><Relationship Id="rId376" Type="http://schemas.openxmlformats.org/officeDocument/2006/relationships/image" Target="media/image290.png"/><Relationship Id="rId377" Type="http://schemas.openxmlformats.org/officeDocument/2006/relationships/image" Target="media/image291.png"/><Relationship Id="rId378" Type="http://schemas.openxmlformats.org/officeDocument/2006/relationships/image" Target="media/image292.png"/><Relationship Id="rId379" Type="http://schemas.openxmlformats.org/officeDocument/2006/relationships/image" Target="media/image293.png"/><Relationship Id="rId380" Type="http://schemas.openxmlformats.org/officeDocument/2006/relationships/image" Target="media/image294.png"/><Relationship Id="rId381" Type="http://schemas.openxmlformats.org/officeDocument/2006/relationships/image" Target="media/image295.png"/><Relationship Id="rId382" Type="http://schemas.openxmlformats.org/officeDocument/2006/relationships/image" Target="media/image296.png"/><Relationship Id="rId383" Type="http://schemas.openxmlformats.org/officeDocument/2006/relationships/image" Target="media/image297.png"/><Relationship Id="rId384" Type="http://schemas.openxmlformats.org/officeDocument/2006/relationships/image" Target="media/image298.png"/><Relationship Id="rId385" Type="http://schemas.openxmlformats.org/officeDocument/2006/relationships/image" Target="media/image299.png"/><Relationship Id="rId386" Type="http://schemas.openxmlformats.org/officeDocument/2006/relationships/image" Target="media/image300.png"/><Relationship Id="rId387" Type="http://schemas.openxmlformats.org/officeDocument/2006/relationships/image" Target="media/image301.png"/><Relationship Id="rId388" Type="http://schemas.openxmlformats.org/officeDocument/2006/relationships/image" Target="media/image302.png"/><Relationship Id="rId389" Type="http://schemas.openxmlformats.org/officeDocument/2006/relationships/image" Target="media/image303.png"/><Relationship Id="rId390" Type="http://schemas.openxmlformats.org/officeDocument/2006/relationships/image" Target="media/image304.png"/><Relationship Id="rId391" Type="http://schemas.openxmlformats.org/officeDocument/2006/relationships/image" Target="media/image305.png"/><Relationship Id="rId392" Type="http://schemas.openxmlformats.org/officeDocument/2006/relationships/image" Target="media/image306.png"/><Relationship Id="rId393" Type="http://schemas.openxmlformats.org/officeDocument/2006/relationships/image" Target="media/image307.png"/><Relationship Id="rId394" Type="http://schemas.openxmlformats.org/officeDocument/2006/relationships/image" Target="media/image308.png"/><Relationship Id="rId395" Type="http://schemas.openxmlformats.org/officeDocument/2006/relationships/image" Target="media/image309.png"/><Relationship Id="rId396" Type="http://schemas.openxmlformats.org/officeDocument/2006/relationships/image" Target="media/image310.png"/><Relationship Id="rId397" Type="http://schemas.openxmlformats.org/officeDocument/2006/relationships/image" Target="media/image311.png"/><Relationship Id="rId398" Type="http://schemas.openxmlformats.org/officeDocument/2006/relationships/image" Target="media/image312.png"/><Relationship Id="rId399" Type="http://schemas.openxmlformats.org/officeDocument/2006/relationships/image" Target="media/image313.png"/><Relationship Id="rId400" Type="http://schemas.openxmlformats.org/officeDocument/2006/relationships/image" Target="media/image314.png"/><Relationship Id="rId401" Type="http://schemas.openxmlformats.org/officeDocument/2006/relationships/image" Target="media/image315.png"/><Relationship Id="rId402" Type="http://schemas.openxmlformats.org/officeDocument/2006/relationships/image" Target="media/image316.png"/><Relationship Id="rId403" Type="http://schemas.openxmlformats.org/officeDocument/2006/relationships/image" Target="media/image317.png"/><Relationship Id="rId404" Type="http://schemas.openxmlformats.org/officeDocument/2006/relationships/image" Target="media/image318.png"/><Relationship Id="rId405" Type="http://schemas.openxmlformats.org/officeDocument/2006/relationships/image" Target="media/image319.png"/><Relationship Id="rId406" Type="http://schemas.openxmlformats.org/officeDocument/2006/relationships/image" Target="media/image320.png"/><Relationship Id="rId407" Type="http://schemas.openxmlformats.org/officeDocument/2006/relationships/image" Target="media/image321.png"/><Relationship Id="rId408" Type="http://schemas.openxmlformats.org/officeDocument/2006/relationships/image" Target="media/image322.png"/><Relationship Id="rId409" Type="http://schemas.openxmlformats.org/officeDocument/2006/relationships/image" Target="media/image323.png"/><Relationship Id="rId410" Type="http://schemas.openxmlformats.org/officeDocument/2006/relationships/image" Target="media/image324.png"/><Relationship Id="rId411" Type="http://schemas.openxmlformats.org/officeDocument/2006/relationships/image" Target="media/image325.png"/><Relationship Id="rId412" Type="http://schemas.openxmlformats.org/officeDocument/2006/relationships/image" Target="media/image326.png"/><Relationship Id="rId413" Type="http://schemas.openxmlformats.org/officeDocument/2006/relationships/image" Target="media/image327.png"/><Relationship Id="rId414" Type="http://schemas.openxmlformats.org/officeDocument/2006/relationships/image" Target="media/image328.png"/><Relationship Id="rId415" Type="http://schemas.openxmlformats.org/officeDocument/2006/relationships/image" Target="media/image329.png"/><Relationship Id="rId416" Type="http://schemas.openxmlformats.org/officeDocument/2006/relationships/image" Target="media/image330.png"/><Relationship Id="rId417" Type="http://schemas.openxmlformats.org/officeDocument/2006/relationships/image" Target="media/image331.png"/><Relationship Id="rId418" Type="http://schemas.openxmlformats.org/officeDocument/2006/relationships/image" Target="media/image332.png"/><Relationship Id="rId419" Type="http://schemas.openxmlformats.org/officeDocument/2006/relationships/image" Target="media/image333.png"/><Relationship Id="rId420" Type="http://schemas.openxmlformats.org/officeDocument/2006/relationships/image" Target="media/image334.png"/><Relationship Id="rId421" Type="http://schemas.openxmlformats.org/officeDocument/2006/relationships/image" Target="media/image335.png"/><Relationship Id="rId422" Type="http://schemas.openxmlformats.org/officeDocument/2006/relationships/image" Target="media/image336.png"/><Relationship Id="rId423" Type="http://schemas.openxmlformats.org/officeDocument/2006/relationships/image" Target="media/image337.png"/><Relationship Id="rId424" Type="http://schemas.openxmlformats.org/officeDocument/2006/relationships/image" Target="media/image338.png"/><Relationship Id="rId425" Type="http://schemas.openxmlformats.org/officeDocument/2006/relationships/image" Target="media/image339.png"/><Relationship Id="rId426" Type="http://schemas.openxmlformats.org/officeDocument/2006/relationships/image" Target="media/image340.png"/><Relationship Id="rId427" Type="http://schemas.openxmlformats.org/officeDocument/2006/relationships/image" Target="media/image341.png"/><Relationship Id="rId428" Type="http://schemas.openxmlformats.org/officeDocument/2006/relationships/image" Target="media/image342.png"/><Relationship Id="rId429" Type="http://schemas.openxmlformats.org/officeDocument/2006/relationships/image" Target="media/image343.png"/><Relationship Id="rId430" Type="http://schemas.openxmlformats.org/officeDocument/2006/relationships/image" Target="media/image344.png"/><Relationship Id="rId431" Type="http://schemas.openxmlformats.org/officeDocument/2006/relationships/image" Target="media/image345.png"/><Relationship Id="rId432" Type="http://schemas.openxmlformats.org/officeDocument/2006/relationships/image" Target="media/image346.png"/><Relationship Id="rId433" Type="http://schemas.openxmlformats.org/officeDocument/2006/relationships/image" Target="media/image347.png"/><Relationship Id="rId434" Type="http://schemas.openxmlformats.org/officeDocument/2006/relationships/image" Target="media/image348.png"/><Relationship Id="rId435" Type="http://schemas.openxmlformats.org/officeDocument/2006/relationships/image" Target="media/image349.png"/><Relationship Id="rId436" Type="http://schemas.openxmlformats.org/officeDocument/2006/relationships/image" Target="media/image350.png"/><Relationship Id="rId437" Type="http://schemas.openxmlformats.org/officeDocument/2006/relationships/image" Target="media/image351.png"/><Relationship Id="rId438" Type="http://schemas.openxmlformats.org/officeDocument/2006/relationships/image" Target="media/image352.png"/><Relationship Id="rId439" Type="http://schemas.openxmlformats.org/officeDocument/2006/relationships/image" Target="media/image353.png"/><Relationship Id="rId440" Type="http://schemas.openxmlformats.org/officeDocument/2006/relationships/image" Target="media/image354.png"/><Relationship Id="rId441" Type="http://schemas.openxmlformats.org/officeDocument/2006/relationships/image" Target="media/image355.png"/><Relationship Id="rId442" Type="http://schemas.openxmlformats.org/officeDocument/2006/relationships/image" Target="media/image356.png"/><Relationship Id="rId443" Type="http://schemas.openxmlformats.org/officeDocument/2006/relationships/image" Target="media/image357.png"/><Relationship Id="rId444" Type="http://schemas.openxmlformats.org/officeDocument/2006/relationships/image" Target="media/image358.png"/><Relationship Id="rId445" Type="http://schemas.openxmlformats.org/officeDocument/2006/relationships/image" Target="media/image359.png"/><Relationship Id="rId446" Type="http://schemas.openxmlformats.org/officeDocument/2006/relationships/image" Target="media/image360.png"/><Relationship Id="rId447" Type="http://schemas.openxmlformats.org/officeDocument/2006/relationships/image" Target="media/image361.png"/><Relationship Id="rId448" Type="http://schemas.openxmlformats.org/officeDocument/2006/relationships/image" Target="media/image362.png"/><Relationship Id="rId449" Type="http://schemas.openxmlformats.org/officeDocument/2006/relationships/image" Target="media/image363.png"/><Relationship Id="rId450" Type="http://schemas.openxmlformats.org/officeDocument/2006/relationships/image" Target="media/image364.png"/><Relationship Id="rId451" Type="http://schemas.openxmlformats.org/officeDocument/2006/relationships/image" Target="media/image365.png"/><Relationship Id="rId452" Type="http://schemas.openxmlformats.org/officeDocument/2006/relationships/image" Target="media/image366.png"/><Relationship Id="rId453" Type="http://schemas.openxmlformats.org/officeDocument/2006/relationships/image" Target="media/image367.png"/><Relationship Id="rId454" Type="http://schemas.openxmlformats.org/officeDocument/2006/relationships/image" Target="media/image368.png"/><Relationship Id="rId455" Type="http://schemas.openxmlformats.org/officeDocument/2006/relationships/image" Target="media/image369.png"/><Relationship Id="rId456" Type="http://schemas.openxmlformats.org/officeDocument/2006/relationships/image" Target="media/image370.png"/><Relationship Id="rId457" Type="http://schemas.openxmlformats.org/officeDocument/2006/relationships/image" Target="media/image371.png"/><Relationship Id="rId458" Type="http://schemas.openxmlformats.org/officeDocument/2006/relationships/image" Target="media/image372.png"/><Relationship Id="rId459" Type="http://schemas.openxmlformats.org/officeDocument/2006/relationships/image" Target="media/image373.png"/><Relationship Id="rId460" Type="http://schemas.openxmlformats.org/officeDocument/2006/relationships/image" Target="media/image374.png"/><Relationship Id="rId461" Type="http://schemas.openxmlformats.org/officeDocument/2006/relationships/image" Target="media/image375.png"/><Relationship Id="rId462" Type="http://schemas.openxmlformats.org/officeDocument/2006/relationships/image" Target="media/image376.png"/><Relationship Id="rId463" Type="http://schemas.openxmlformats.org/officeDocument/2006/relationships/image" Target="media/image377.png"/><Relationship Id="rId464" Type="http://schemas.openxmlformats.org/officeDocument/2006/relationships/image" Target="media/image378.png"/><Relationship Id="rId465" Type="http://schemas.openxmlformats.org/officeDocument/2006/relationships/image" Target="media/image379.png"/><Relationship Id="rId466" Type="http://schemas.openxmlformats.org/officeDocument/2006/relationships/image" Target="media/image380.png"/><Relationship Id="rId467" Type="http://schemas.openxmlformats.org/officeDocument/2006/relationships/image" Target="media/image381.png"/><Relationship Id="rId468" Type="http://schemas.openxmlformats.org/officeDocument/2006/relationships/image" Target="media/image382.png"/><Relationship Id="rId469" Type="http://schemas.openxmlformats.org/officeDocument/2006/relationships/image" Target="media/image383.png"/><Relationship Id="rId470" Type="http://schemas.openxmlformats.org/officeDocument/2006/relationships/image" Target="media/image384.png"/><Relationship Id="rId471" Type="http://schemas.openxmlformats.org/officeDocument/2006/relationships/image" Target="media/image385.png"/><Relationship Id="rId472" Type="http://schemas.openxmlformats.org/officeDocument/2006/relationships/image" Target="media/image386.png"/><Relationship Id="rId473" Type="http://schemas.openxmlformats.org/officeDocument/2006/relationships/image" Target="media/image387.png"/><Relationship Id="rId474" Type="http://schemas.openxmlformats.org/officeDocument/2006/relationships/image" Target="media/image388.png"/><Relationship Id="rId475" Type="http://schemas.openxmlformats.org/officeDocument/2006/relationships/image" Target="media/image389.png"/><Relationship Id="rId476" Type="http://schemas.openxmlformats.org/officeDocument/2006/relationships/image" Target="media/image390.png"/><Relationship Id="rId477" Type="http://schemas.openxmlformats.org/officeDocument/2006/relationships/image" Target="media/image391.png"/><Relationship Id="rId478" Type="http://schemas.openxmlformats.org/officeDocument/2006/relationships/image" Target="media/image392.png"/><Relationship Id="rId479" Type="http://schemas.openxmlformats.org/officeDocument/2006/relationships/image" Target="media/image393.png"/><Relationship Id="rId480" Type="http://schemas.openxmlformats.org/officeDocument/2006/relationships/image" Target="media/image394.png"/><Relationship Id="rId481" Type="http://schemas.openxmlformats.org/officeDocument/2006/relationships/image" Target="media/image395.png"/><Relationship Id="rId482" Type="http://schemas.openxmlformats.org/officeDocument/2006/relationships/image" Target="media/image396.png"/><Relationship Id="rId483" Type="http://schemas.openxmlformats.org/officeDocument/2006/relationships/image" Target="media/image397.png"/><Relationship Id="rId484" Type="http://schemas.openxmlformats.org/officeDocument/2006/relationships/image" Target="media/image398.png"/><Relationship Id="rId485" Type="http://schemas.openxmlformats.org/officeDocument/2006/relationships/image" Target="media/image399.png"/><Relationship Id="rId486" Type="http://schemas.openxmlformats.org/officeDocument/2006/relationships/image" Target="media/image400.png"/><Relationship Id="rId487" Type="http://schemas.openxmlformats.org/officeDocument/2006/relationships/image" Target="media/image401.png"/><Relationship Id="rId488" Type="http://schemas.openxmlformats.org/officeDocument/2006/relationships/image" Target="media/image402.png"/><Relationship Id="rId489" Type="http://schemas.openxmlformats.org/officeDocument/2006/relationships/image" Target="media/image403.png"/><Relationship Id="rId490" Type="http://schemas.openxmlformats.org/officeDocument/2006/relationships/image" Target="media/image404.png"/><Relationship Id="rId491" Type="http://schemas.openxmlformats.org/officeDocument/2006/relationships/image" Target="media/image405.png"/><Relationship Id="rId492" Type="http://schemas.openxmlformats.org/officeDocument/2006/relationships/image" Target="media/image406.png"/><Relationship Id="rId493" Type="http://schemas.openxmlformats.org/officeDocument/2006/relationships/image" Target="media/image407.png"/><Relationship Id="rId494" Type="http://schemas.openxmlformats.org/officeDocument/2006/relationships/image" Target="media/image408.png"/><Relationship Id="rId495" Type="http://schemas.openxmlformats.org/officeDocument/2006/relationships/image" Target="media/image409.png"/><Relationship Id="rId496" Type="http://schemas.openxmlformats.org/officeDocument/2006/relationships/image" Target="media/image410.png"/><Relationship Id="rId497" Type="http://schemas.openxmlformats.org/officeDocument/2006/relationships/image" Target="media/image411.png"/><Relationship Id="rId498" Type="http://schemas.openxmlformats.org/officeDocument/2006/relationships/image" Target="media/image412.png"/><Relationship Id="rId499" Type="http://schemas.openxmlformats.org/officeDocument/2006/relationships/image" Target="media/image413.png"/><Relationship Id="rId500" Type="http://schemas.openxmlformats.org/officeDocument/2006/relationships/image" Target="media/image414.png"/><Relationship Id="rId501" Type="http://schemas.openxmlformats.org/officeDocument/2006/relationships/image" Target="media/image415.png"/><Relationship Id="rId502" Type="http://schemas.openxmlformats.org/officeDocument/2006/relationships/image" Target="media/image416.png"/><Relationship Id="rId503" Type="http://schemas.openxmlformats.org/officeDocument/2006/relationships/image" Target="media/image417.png"/><Relationship Id="rId504" Type="http://schemas.openxmlformats.org/officeDocument/2006/relationships/image" Target="media/image418.png"/><Relationship Id="rId505" Type="http://schemas.openxmlformats.org/officeDocument/2006/relationships/image" Target="media/image419.png"/><Relationship Id="rId506" Type="http://schemas.openxmlformats.org/officeDocument/2006/relationships/image" Target="media/image420.png"/><Relationship Id="rId507" Type="http://schemas.openxmlformats.org/officeDocument/2006/relationships/image" Target="media/image421.png"/><Relationship Id="rId508" Type="http://schemas.openxmlformats.org/officeDocument/2006/relationships/image" Target="media/image422.png"/><Relationship Id="rId509" Type="http://schemas.openxmlformats.org/officeDocument/2006/relationships/image" Target="media/image423.png"/><Relationship Id="rId510" Type="http://schemas.openxmlformats.org/officeDocument/2006/relationships/image" Target="media/image424.png"/><Relationship Id="rId511" Type="http://schemas.openxmlformats.org/officeDocument/2006/relationships/image" Target="media/image425.png"/><Relationship Id="rId512" Type="http://schemas.openxmlformats.org/officeDocument/2006/relationships/image" Target="media/image426.png"/><Relationship Id="rId513" Type="http://schemas.openxmlformats.org/officeDocument/2006/relationships/image" Target="media/image427.png"/><Relationship Id="rId514" Type="http://schemas.openxmlformats.org/officeDocument/2006/relationships/image" Target="media/image428.png"/><Relationship Id="rId515" Type="http://schemas.openxmlformats.org/officeDocument/2006/relationships/image" Target="media/image429.png"/><Relationship Id="rId516" Type="http://schemas.openxmlformats.org/officeDocument/2006/relationships/image" Target="media/image430.png"/><Relationship Id="rId517" Type="http://schemas.openxmlformats.org/officeDocument/2006/relationships/image" Target="media/image431.png"/><Relationship Id="rId518" Type="http://schemas.openxmlformats.org/officeDocument/2006/relationships/image" Target="media/image432.png"/><Relationship Id="rId519" Type="http://schemas.openxmlformats.org/officeDocument/2006/relationships/image" Target="media/image433.png"/><Relationship Id="rId520" Type="http://schemas.openxmlformats.org/officeDocument/2006/relationships/image" Target="media/image434.png"/><Relationship Id="rId521" Type="http://schemas.openxmlformats.org/officeDocument/2006/relationships/image" Target="media/image435.png"/><Relationship Id="rId522" Type="http://schemas.openxmlformats.org/officeDocument/2006/relationships/image" Target="media/image436.png"/><Relationship Id="rId523" Type="http://schemas.openxmlformats.org/officeDocument/2006/relationships/image" Target="media/image437.png"/><Relationship Id="rId524" Type="http://schemas.openxmlformats.org/officeDocument/2006/relationships/image" Target="media/image438.png"/><Relationship Id="rId525" Type="http://schemas.openxmlformats.org/officeDocument/2006/relationships/image" Target="media/image439.png"/><Relationship Id="rId526" Type="http://schemas.openxmlformats.org/officeDocument/2006/relationships/image" Target="media/image440.png"/><Relationship Id="rId527" Type="http://schemas.openxmlformats.org/officeDocument/2006/relationships/image" Target="media/image441.png"/><Relationship Id="rId528" Type="http://schemas.openxmlformats.org/officeDocument/2006/relationships/image" Target="media/image442.png"/><Relationship Id="rId529" Type="http://schemas.openxmlformats.org/officeDocument/2006/relationships/image" Target="media/image443.png"/><Relationship Id="rId530" Type="http://schemas.openxmlformats.org/officeDocument/2006/relationships/image" Target="media/image444.png"/><Relationship Id="rId531" Type="http://schemas.openxmlformats.org/officeDocument/2006/relationships/image" Target="media/image445.png"/><Relationship Id="rId532" Type="http://schemas.openxmlformats.org/officeDocument/2006/relationships/image" Target="media/image446.png"/><Relationship Id="rId533" Type="http://schemas.openxmlformats.org/officeDocument/2006/relationships/image" Target="media/image447.png"/><Relationship Id="rId534" Type="http://schemas.openxmlformats.org/officeDocument/2006/relationships/image" Target="media/image448.png"/><Relationship Id="rId535" Type="http://schemas.openxmlformats.org/officeDocument/2006/relationships/image" Target="media/image449.png"/><Relationship Id="rId169" Type="http://schemas.openxmlformats.org/officeDocument/2006/relationships/hyperlink" Target="https://www.sec.gov/Archives/edgar/data/1597264/000155837022001316/bpmc-20211231xex1d1.htm" TargetMode="External"/><Relationship Id="rId170" Type="http://schemas.openxmlformats.org/officeDocument/2006/relationships/hyperlink" Target="https://www.sec.gov/Archives/edgar/data/0001597264/000110465921154482/tm2136572d1_ex2-1.htm" TargetMode="External"/><Relationship Id="rId171" Type="http://schemas.openxmlformats.org/officeDocument/2006/relationships/hyperlink" Target="http://www.sec.gov/Archives/edgar/data/1597264/000155837015002529/bpmc-20150930ex3100367a3.htm" TargetMode="External"/><Relationship Id="rId172" Type="http://schemas.openxmlformats.org/officeDocument/2006/relationships/hyperlink" Target="https://www.sec.gov/Archives/edgar/data/1597264/000155837020005307/bpmc-20200331xex3d1.htm" TargetMode="External"/><Relationship Id="rId173" Type="http://schemas.openxmlformats.org/officeDocument/2006/relationships/hyperlink" Target="http://www.sec.gov/Archives/edgar/data/1597264/000104746915003668/a2224211zex-4_1.htm" TargetMode="External"/><Relationship Id="rId174" Type="http://schemas.openxmlformats.org/officeDocument/2006/relationships/hyperlink" Target="https://www.sec.gov/Archives/edgar/data/1597264/000155837020000784/ex-4d3.htm" TargetMode="External"/><Relationship Id="rId176" Type="http://schemas.openxmlformats.org/officeDocument/2006/relationships/hyperlink" Target="http://www.sec.gov/Archives/edgar/data/1597264/000104746915002608/a2223883zex-10_1.htm" TargetMode="External"/><Relationship Id="rId177" Type="http://schemas.openxmlformats.org/officeDocument/2006/relationships/hyperlink" Target="https://www.sec.gov/Archives/edgar/data/1597264/000155837020000784/ex-10d2.htm" TargetMode="External"/><Relationship Id="rId178" Type="http://schemas.openxmlformats.org/officeDocument/2006/relationships/hyperlink" Target="https://www.sec.gov/Archives/edgar/data/1597264/000155837020000784/ex-10d3.htm" TargetMode="External"/><Relationship Id="rId179" Type="http://schemas.openxmlformats.org/officeDocument/2006/relationships/hyperlink" Target="https://www.sec.gov/Archives/edgar/data/1597264/000155837020005420/tmb-20200506xex99d1.htm" TargetMode="External"/><Relationship Id="rId180" Type="http://schemas.openxmlformats.org/officeDocument/2006/relationships/hyperlink" Target="http://www.sec.gov/Archives/edgar/data/1597264/000104746915002608/a2223883zex-10_4.htm" TargetMode="External"/><Relationship Id="rId181" Type="http://schemas.openxmlformats.org/officeDocument/2006/relationships/hyperlink" Target="http://www.sec.gov/Archives/edgar/data/1597264/000155837018000862/bpmc-20171231ex105e4bc60.htm" TargetMode="External"/><Relationship Id="rId182" Type="http://schemas.openxmlformats.org/officeDocument/2006/relationships/hyperlink" Target="https://www.sec.gov/Archives/edgar/data/1597264/000155837021005262/bpmc-20210331xex10d1.htm" TargetMode="External"/><Relationship Id="rId183" Type="http://schemas.openxmlformats.org/officeDocument/2006/relationships/hyperlink" Target="https://www.sec.gov/Archives/edgar/data/1597264/000155837022001316/bpmc-20211231xex10d8.htm" TargetMode="External"/><Relationship Id="rId184" Type="http://schemas.openxmlformats.org/officeDocument/2006/relationships/hyperlink" Target="http://www.sec.gov/Archives/edgar/data/1597264/000155837017003397/bpmc-20170331ex1015d322c.htm" TargetMode="External"/><Relationship Id="rId185" Type="http://schemas.openxmlformats.org/officeDocument/2006/relationships/hyperlink" Target="http://www.sec.gov/Archives/edgar/data/1597264/000155837018007557/ex-10d1.htm" TargetMode="External"/><Relationship Id="rId187" Type="http://schemas.openxmlformats.org/officeDocument/2006/relationships/hyperlink" Target="http://www.sec.gov/Archives/edgar/data/1597264/000155837015002529/bpmc-20150930ex10257b824.htm" TargetMode="External"/><Relationship Id="rId188" Type="http://schemas.openxmlformats.org/officeDocument/2006/relationships/hyperlink" Target="https://www.sec.gov/Archives/edgar/data/0001597264/000110465921153200/tm2136160d1_ex10-1.htm" TargetMode="External"/><Relationship Id="rId189" Type="http://schemas.openxmlformats.org/officeDocument/2006/relationships/hyperlink" Target="https://www.sec.gov/Archives/edgar/data/1597264/000110465922001275/tm221614d1_ex10-1.htm" TargetMode="External"/><Relationship Id="rId190" Type="http://schemas.openxmlformats.org/officeDocument/2006/relationships/hyperlink" Target="https://www.sec.gov/Archives/edgar/data/0001597264/000110465922130188/tm2233493d1_ex10-2.htm" TargetMode="External"/><Relationship Id="rId191" Type="http://schemas.openxmlformats.org/officeDocument/2006/relationships/hyperlink" Target="https://www.sec.gov/Archives/edgar/data/0001597264/000110465922130188/tm2233493d1_ex10-1.htm" TargetMode="External"/><Relationship Id="rId192" Type="http://schemas.openxmlformats.org/officeDocument/2006/relationships/hyperlink" Target="http://www.sec.gov/Archives/edgar/data/1597264/000155837016004066/bpmc-20151231ex109ea407e.htm" TargetMode="External"/><Relationship Id="rId193" Type="http://schemas.openxmlformats.org/officeDocument/2006/relationships/hyperlink" Target="http://www.sec.gov/Archives/edgar/data/1597264/000155837019000364/ex-10d2.htm" TargetMode="External"/><Relationship Id="rId194" Type="http://schemas.openxmlformats.org/officeDocument/2006/relationships/hyperlink" Target="https://www.sec.gov/Archives/edgar/data/1597264/000110465921153200/tm2136160d1_ex10-4.htm" TargetMode="External"/><Relationship Id="rId195" Type="http://schemas.openxmlformats.org/officeDocument/2006/relationships/hyperlink" Target="https://www.sec.gov/Archives/edgar/data/1597264/000110465922102734/tm2226591d1_ex10-1.htm" TargetMode="External"/><Relationship Id="rId196" Type="http://schemas.openxmlformats.org/officeDocument/2006/relationships/hyperlink" Target="https://www.sec.gov/Archives/edgar/data/1597264/000110465922001275/tm221614d1_ex10-2.htm" TargetMode="External"/><Relationship Id="rId197" Type="http://schemas.openxmlformats.org/officeDocument/2006/relationships/hyperlink" Target="http://www.sec.gov/Archives/edgar/data/1597264/000155837016009951/bpmc-20160930ex1035083d6.htm" TargetMode="External"/><Relationship Id="rId198" Type="http://schemas.openxmlformats.org/officeDocument/2006/relationships/hyperlink" Target="https://www.sec.gov/Archives/edgar/data/1597264/000110465921153200/tm2136160d1_ex10-5.htm" TargetMode="External"/><Relationship Id="rId199" Type="http://schemas.openxmlformats.org/officeDocument/2006/relationships/hyperlink" Target="https://www.sec.gov/Archives/edgar/data/1597264/000110465922102734/tm2226591d1_ex10-5.htm" TargetMode="External"/><Relationship Id="rId200" Type="http://schemas.openxmlformats.org/officeDocument/2006/relationships/hyperlink" Target="http://www.sec.gov/Archives/edgar/data/1597264/000155837017007829/bpmc-20170930ex101a9a4c6.htm" TargetMode="External"/><Relationship Id="rId201" Type="http://schemas.openxmlformats.org/officeDocument/2006/relationships/hyperlink" Target="https://www.sec.gov/Archives/edgar/data/1597264/000110465921153200/tm2136160d1_ex10-8.htm" TargetMode="External"/><Relationship Id="rId202" Type="http://schemas.openxmlformats.org/officeDocument/2006/relationships/hyperlink" Target="https://www.sec.gov/Archives/edgar/data/1597264/000110465922102734/tm2226591d1_ex10-7.htm" TargetMode="External"/><Relationship Id="rId203" Type="http://schemas.openxmlformats.org/officeDocument/2006/relationships/hyperlink" Target="http://www.sec.gov/Archives/edgar/data/1597264/000155837017009050/ex-10d1.htm" TargetMode="External"/><Relationship Id="rId204" Type="http://schemas.openxmlformats.org/officeDocument/2006/relationships/hyperlink" Target="http://www.sec.gov/Archives/edgar/data/1597264/000155837019000364/ex-10d1.htm" TargetMode="External"/><Relationship Id="rId205" Type="http://schemas.openxmlformats.org/officeDocument/2006/relationships/hyperlink" Target="https://www.sec.gov/Archives/edgar/data/1597264/000110465921153200/tm2136160d1_ex10-2.htm" TargetMode="External"/><Relationship Id="rId206" Type="http://schemas.openxmlformats.org/officeDocument/2006/relationships/hyperlink" Target="https://www.sec.gov/Archives/edgar/data/1597264/000110465922102734/tm2226591d1_ex10-2.htm" TargetMode="External"/><Relationship Id="rId207" Type="http://schemas.openxmlformats.org/officeDocument/2006/relationships/hyperlink" Target="http://www.sec.gov/Archives/edgar/data/1597264/000155837018007980/ex-10d1.htm" TargetMode="External"/><Relationship Id="rId208" Type="http://schemas.openxmlformats.org/officeDocument/2006/relationships/hyperlink" Target="https://www.sec.gov/Archives/edgar/data/1597264/000110465921153200/tm2136160d1_ex10-6.htm" TargetMode="External"/><Relationship Id="rId209" Type="http://schemas.openxmlformats.org/officeDocument/2006/relationships/hyperlink" Target="https://www.sec.gov/Archives/edgar/data/1597264/000110465922001275/tm221614d1_ex10-3.htm" TargetMode="External"/><Relationship Id="rId210" Type="http://schemas.openxmlformats.org/officeDocument/2006/relationships/hyperlink" Target="https://www.sec.gov/Archives/edgar/data/1597264/000110465922102734/tm2226591d1_ex10-3.htm" TargetMode="External"/><Relationship Id="rId211" Type="http://schemas.openxmlformats.org/officeDocument/2006/relationships/hyperlink" Target="http://www.sec.gov/Archives/edgar/data/1597264/000155837019001726/ex-10d1.htm" TargetMode="External"/><Relationship Id="rId212" Type="http://schemas.openxmlformats.org/officeDocument/2006/relationships/hyperlink" Target="https://www.sec.gov/Archives/edgar/data/1597264/000110465921153200/tm2136160d1_ex10-11.htm" TargetMode="External"/><Relationship Id="rId213" Type="http://schemas.openxmlformats.org/officeDocument/2006/relationships/hyperlink" Target="https://www.sec.gov/Archives/edgar/data/1597264/000110465922102734/tm2226591d1_ex10-10.htm" TargetMode="External"/><Relationship Id="rId214" Type="http://schemas.openxmlformats.org/officeDocument/2006/relationships/hyperlink" Target="https://www.sec.gov/Archives/edgar/data/1597264/000155837020000784/ex-10d19.htm" TargetMode="External"/><Relationship Id="rId215" Type="http://schemas.openxmlformats.org/officeDocument/2006/relationships/hyperlink" Target="https://www.sec.gov/Archives/edgar/data/1597264/000110465921153200/tm2136160d1_ex10-10.htm" TargetMode="External"/><Relationship Id="rId216" Type="http://schemas.openxmlformats.org/officeDocument/2006/relationships/hyperlink" Target="https://www.sec.gov/Archives/edgar/data/1597264/000110465922102734/tm2226591d1_ex10-9.htm" TargetMode="External"/><Relationship Id="rId217" Type="http://schemas.openxmlformats.org/officeDocument/2006/relationships/hyperlink" Target="https://www.sec.gov/Archives/edgar/data/1597264/000155837020010927/bpmc-20200901xex10d1.htm" TargetMode="External"/><Relationship Id="rId218" Type="http://schemas.openxmlformats.org/officeDocument/2006/relationships/hyperlink" Target="https://www.sec.gov/Archives/edgar/data/1597264/000110465921153200/tm2136160d1_ex10-3.htm" TargetMode="External"/><Relationship Id="rId219" Type="http://schemas.openxmlformats.org/officeDocument/2006/relationships/hyperlink" Target="https://www.sec.gov/Archives/edgar/data/1597264/000110465922102734/tm2226591d1_ex10-4.htm" TargetMode="External"/><Relationship Id="rId220" Type="http://schemas.openxmlformats.org/officeDocument/2006/relationships/hyperlink" Target="https://www.sec.gov/Archives/edgar/data/1597264/000155837021000147/bpmc-20210108xex10d2.htm" TargetMode="External"/><Relationship Id="rId221" Type="http://schemas.openxmlformats.org/officeDocument/2006/relationships/hyperlink" Target="https://www.sec.gov/Archives/edgar/data/1597264/000110465921153200/tm2136160d1_ex10-7.htm" TargetMode="External"/><Relationship Id="rId222" Type="http://schemas.openxmlformats.org/officeDocument/2006/relationships/hyperlink" Target="https://www.sec.gov/Archives/edgar/data/1597264/000110465922102734/tm2226591d1_ex10-6.htm" TargetMode="External"/><Relationship Id="rId223" Type="http://schemas.openxmlformats.org/officeDocument/2006/relationships/hyperlink" Target="https://www.sec.gov/Archives/edgar/data/1597264/000155837021009606/bpmc-20210630xex10d1.htm" TargetMode="External"/><Relationship Id="rId224" Type="http://schemas.openxmlformats.org/officeDocument/2006/relationships/hyperlink" Target="https://www.sec.gov/Archives/edgar/data/1597264/000110465921153200/tm2136160d1_ex10-9.htm" TargetMode="External"/><Relationship Id="rId225" Type="http://schemas.openxmlformats.org/officeDocument/2006/relationships/hyperlink" Target="https://www.sec.gov/Archives/edgar/data/1597264/000110465922102734/tm2226591d1_ex10-8.htm" TargetMode="External"/><Relationship Id="rId226" Type="http://schemas.openxmlformats.org/officeDocument/2006/relationships/hyperlink" Target="https://www.sec.gov/Archives/edgar/data/1597264/000110465922005729/tm223965d1_ex10-1.htm" TargetMode="External"/><Relationship Id="rId227" Type="http://schemas.openxmlformats.org/officeDocument/2006/relationships/hyperlink" Target="https://www.sec.gov/Archives/edgar/data/1597264/000110465922102734/tm2226591d1_ex10-11.htm" TargetMode="External"/><Relationship Id="rId229" Type="http://schemas.openxmlformats.org/officeDocument/2006/relationships/hyperlink" Target="http://www.sec.gov/Archives/edgar/data/1597264/000155837016006732/bpmc-20160331ex1025287b1.htm" TargetMode="External"/><Relationship Id="rId230" Type="http://schemas.openxmlformats.org/officeDocument/2006/relationships/hyperlink" Target="http://www.sec.gov/Archives/edgar/data/1597264/000155837016007817/bpmc-20160630ex10190ad0c.htm" TargetMode="External"/><Relationship Id="rId231" Type="http://schemas.openxmlformats.org/officeDocument/2006/relationships/hyperlink" Target="http://www.sec.gov/Archives/edgar/data/1597264/000155837016009951/bpmc-20160930ex101983993.htm" TargetMode="External"/><Relationship Id="rId232" Type="http://schemas.openxmlformats.org/officeDocument/2006/relationships/hyperlink" Target="http://www.sec.gov/Archives/edgar/data/1597264/000155837019001094/bpmc-20181231ex1026a2f80.htm" TargetMode="External"/><Relationship Id="rId233" Type="http://schemas.openxmlformats.org/officeDocument/2006/relationships/hyperlink" Target="http://www.sec.gov/Archives/edgar/data/1597264/000155837019006016/ex-10d1.htm" TargetMode="External"/><Relationship Id="rId234" Type="http://schemas.openxmlformats.org/officeDocument/2006/relationships/hyperlink" Target="http://www.sec.gov/Archives/edgar/data/1597264/000155837019009888/ex-10d2.htm" TargetMode="External"/><Relationship Id="rId236" Type="http://schemas.openxmlformats.org/officeDocument/2006/relationships/hyperlink" Target="http://www.sec.gov/Archives/edgar/data/1597264/000155837019011670/ex-10d1.htm" TargetMode="External"/><Relationship Id="rId237" Type="http://schemas.openxmlformats.org/officeDocument/2006/relationships/hyperlink" Target="https://www.sec.gov/Archives/edgar/data/1597264/000155837020005307/bpmc-20200331xex10d1.htm" TargetMode="External"/><Relationship Id="rId238" Type="http://schemas.openxmlformats.org/officeDocument/2006/relationships/hyperlink" Target="https://www.sec.gov/Archives/edgar/data/1597264/000155837021001141/bpmc-20201231xex10d32.htm" TargetMode="External"/><Relationship Id="rId239" Type="http://schemas.openxmlformats.org/officeDocument/2006/relationships/hyperlink" Target="https://www.sec.gov/Archives/edgar/data/1597264/000155837022006801/bpmc-20220331xex10d2.htm" TargetMode="External"/><Relationship Id="rId240" Type="http://schemas.openxmlformats.org/officeDocument/2006/relationships/hyperlink" Target="https://www.sec.gov/Archives/edgar/data/1597264/000155837020008810/bpmc-20200630ex1011ade78.htm" TargetMode="External"/><Relationship Id="rId241" Type="http://schemas.openxmlformats.org/officeDocument/2006/relationships/hyperlink" Target="http://www.sec.gov/Archives/edgar/data/1597264/000155837018006090/bpmc-20180630ex101d33531.htm" TargetMode="External"/><Relationship Id="rId242" Type="http://schemas.openxmlformats.org/officeDocument/2006/relationships/hyperlink" Target="http://www.sec.gov/Archives/edgar/data/1597264/000155837019009888/ex-10d1.htm" TargetMode="External"/><Relationship Id="rId243" Type="http://schemas.openxmlformats.org/officeDocument/2006/relationships/hyperlink" Target="https://www.sec.gov/Archives/edgar/data/1597264/000155837022001316/bpmc-20211231xex10d54.htm" TargetMode="External"/><Relationship Id="rId244" Type="http://schemas.openxmlformats.org/officeDocument/2006/relationships/hyperlink" Target="http://www.sec.gov/Archives/edgar/data/1597264/000104746915002608/a2223883zex-10_11.htm" TargetMode="External"/><Relationship Id="rId245" Type="http://schemas.openxmlformats.org/officeDocument/2006/relationships/hyperlink" Target="http://www.sec.gov/Archives/edgar/data/1597264/000104746915002608/a2223883zex-10_12.htm" TargetMode="External"/><Relationship Id="rId246" Type="http://schemas.openxmlformats.org/officeDocument/2006/relationships/hyperlink" Target="http://www.sec.gov/Archives/edgar/data/1597264/000155837016004066/bpmc-20151231ex101559e57.htm" TargetMode="External"/><Relationship Id="rId247" Type="http://schemas.openxmlformats.org/officeDocument/2006/relationships/hyperlink" Target="https://www.sec.gov/Archives/edgar/data/1597264/000155837022011648/bpmc-20220630xex10d1.htm" TargetMode="External"/><Relationship Id="rId248" Type="http://schemas.openxmlformats.org/officeDocument/2006/relationships/hyperlink" Target="https://www.sec.gov/Archives/edgar/data/1597264/000155837022011648/bpmc-20220630xex10d2.htm" TargetMode="External"/><Relationship Id="rId249" Type="http://schemas.openxmlformats.org/officeDocument/2006/relationships/hyperlink" Target="https://www.sec.gov/Archives/edgar/data/1597264/000155837022011648/bpmc-20220630xex10d3.htm" TargetMode="External"/><Relationship Id="rId250" Type="http://schemas.openxmlformats.org/officeDocument/2006/relationships/hyperlink" Target="https://www.sec.gov/Archives/edgar/data/1597264/000110465922074754/tm2219327d2_ex10-1.htm" TargetMode="External"/><Relationship Id="rId251" Type="http://schemas.openxmlformats.org/officeDocument/2006/relationships/hyperlink" Target="https://www.sec.gov/Archives/edgar/data/1597264/000155837022006801/bpmc-2022033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2023-02-16T16:58:14Z</dcterms:created>
  <dcterms:modified xsi:type="dcterms:W3CDTF">2023-02-16T16:58:14Z</dcterms:modified>
</cp:coreProperties>
</file>