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Hurley Ariel</w:t>
              </w:r>
            </w:hyperlink>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(Last)</w:t>
            </w:r>
          </w:p>
        </w:tc>
        <w:tc>
          <w:tcPr>
            <w:tcW w:w="900" w:type="dxa"/>
            <w:vAlign w:val="bottom"/>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23"/>
        <w:spacing w:after="0"/>
        <w:rPr>
          <w:sz w:val="20"/>
          <w:szCs w:val="20"/>
          <w:color w:val="auto"/>
        </w:rPr>
      </w:pPr>
      <w:r>
        <w:rPr>
          <w:rFonts w:ascii="Arial" w:cs="Arial" w:eastAsia="Arial" w:hAnsi="Arial"/>
          <w:sz w:val="18"/>
          <w:szCs w:val="18"/>
          <w:color w:val="0000FF"/>
        </w:rPr>
        <w:t>Principal Accounting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8"/>
                <w:szCs w:val="18"/>
                <w:color w:val="0000FF"/>
                <w:w w:val="88"/>
              </w:rPr>
              <w:t>03/01/2020</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7,168</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10,237</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03/01/2020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7,337</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03/01/2030</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7,337</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7,337</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transaction involved the Reporting Person's receipt of a grant of 7,168 restricted stock units under Issuer's 2015 Stock Option and Incentive Plan. The Reporting Person has reported prior awards of restricted stock units in Table II of Form 4. The total reported in Column 5 includes the 7,168 newly awarded restricted stock units, and 3,069 previously reported restricted stock units, 768 of which vested on March 1, 2020.</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vests with respect to 1/48th of the shares underlying the option on April 1, 2020 and as to an additional 1/48th of the shares underlying the option each month thereafter.</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03/03/2020</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2020-03-03T18:05:35Z</dcterms:created>
  <dcterms:modified xsi:type="dcterms:W3CDTF">2020-03-03T18:05:35Z</dcterms:modified>
</cp:coreProperties>
</file>