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2316480</wp:posOffset>
            </wp:positionH>
            <wp:positionV relativeFrom="paragraph">
              <wp:posOffset>210820</wp:posOffset>
            </wp:positionV>
            <wp:extent cx="15436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2316480</wp:posOffset>
            </wp:positionH>
            <wp:positionV relativeFrom="paragraph">
              <wp:posOffset>229870</wp:posOffset>
            </wp:positionV>
            <wp:extent cx="15436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26,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2316480</wp:posOffset>
            </wp:positionH>
            <wp:positionV relativeFrom="paragraph">
              <wp:posOffset>223520</wp:posOffset>
            </wp:positionV>
            <wp:extent cx="1543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2316480</wp:posOffset>
            </wp:positionH>
            <wp:positionV relativeFrom="paragraph">
              <wp:posOffset>210820</wp:posOffset>
            </wp:positionV>
            <wp:extent cx="1543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ectPr>
          <w:pgSz w:w="11900" w:h="16838" w:orient="portrait"/>
          <w:cols w:equalWidth="0" w:num="1">
            <w:col w:w="9720"/>
          </w:cols>
          <w:pgMar w:left="760" w:top="206" w:right="1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160" w:space="720"/>
            <w:col w:w="2840" w:space="720"/>
            <w:col w:w="2280"/>
          </w:cols>
          <w:pgMar w:left="760" w:top="206" w:right="1419" w:bottom="1440" w:gutter="0" w:footer="0" w:header="0"/>
          <w:type w:val="continuous"/>
        </w:sectPr>
      </w:pPr>
    </w:p>
    <w:p>
      <w:pPr>
        <w:spacing w:after="0" w:line="223"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9" w:lineRule="exact"/>
        <w:rPr>
          <w:sz w:val="24"/>
          <w:szCs w:val="24"/>
          <w:color w:val="auto"/>
        </w:rPr>
      </w:pPr>
    </w:p>
    <w:p>
      <w:pPr>
        <w:jc w:val="center"/>
        <w:ind w:right="20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0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180" w:space="720"/>
            <w:col w:w="2820"/>
          </w:cols>
          <w:pgMar w:left="760" w:top="206" w:right="141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2316480</wp:posOffset>
            </wp:positionH>
            <wp:positionV relativeFrom="paragraph">
              <wp:posOffset>220980</wp:posOffset>
            </wp:positionV>
            <wp:extent cx="15436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4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60" w:hanging="320"/>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960" w:hanging="320"/>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960" w:hanging="320"/>
        <w:spacing w:after="0"/>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0" w:lineRule="exact"/>
        <w:rPr>
          <w:rFonts w:ascii="Arial" w:cs="Arial" w:eastAsia="Arial" w:hAnsi="Arial"/>
          <w:sz w:val="17"/>
          <w:szCs w:val="17"/>
          <w:color w:val="auto"/>
        </w:rPr>
      </w:pPr>
    </w:p>
    <w:p>
      <w:pPr>
        <w:ind w:left="960" w:hanging="320"/>
        <w:spacing w:after="0"/>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22" w:lineRule="exact"/>
        <w:rPr>
          <w:sz w:val="24"/>
          <w:szCs w:val="24"/>
          <w:color w:val="auto"/>
        </w:rPr>
      </w:pPr>
    </w:p>
    <w:p>
      <w:pPr>
        <w:ind w:right="4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75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0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416560</wp:posOffset>
            </wp:positionV>
            <wp:extent cx="618299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2995" cy="17145"/>
                    </a:xfrm>
                    <a:prstGeom prst="rect">
                      <a:avLst/>
                    </a:prstGeom>
                    <a:noFill/>
                  </pic:spPr>
                </pic:pic>
              </a:graphicData>
            </a:graphic>
          </wp:anchor>
        </w:drawing>
      </w:r>
    </w:p>
    <w:p>
      <w:pPr>
        <w:sectPr>
          <w:pgSz w:w="11900" w:h="16838" w:orient="portrait"/>
          <w:cols w:equalWidth="0" w:num="1">
            <w:col w:w="9720"/>
          </w:cols>
          <w:pgMar w:left="760" w:top="206" w:right="141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September 26, 2018, Blueprint Medicines Corporation issued a press release announcing the presentation and publication of two clinical cases demonstrating proof-of-concept for BLU-667 in combination with osimertinib (Tagrisso®) in treatment-resistant, EGFR-mutant non-small cell lung cancer. A copy of the press release is furnished as Exhibit 99.1 to this Current Report on Form 8-K.</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information in Item 7.01 of this Current Report on Form 8-K, including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60" w:type="dxa"/>
            <w:vAlign w:val="bottom"/>
          </w:tcPr>
          <w:p>
            <w:pPr>
              <w:spacing w:after="0"/>
              <w:rPr>
                <w:sz w:val="20"/>
                <w:szCs w:val="20"/>
                <w:color w:val="auto"/>
              </w:rPr>
            </w:pPr>
          </w:p>
        </w:tc>
        <w:tc>
          <w:tcPr>
            <w:tcW w:w="7900" w:type="dxa"/>
            <w:vAlign w:val="bottom"/>
            <w:gridSpan w:val="2"/>
          </w:tcPr>
          <w:p>
            <w:pPr>
              <w:ind w:left="2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0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60" w:type="dxa"/>
            <w:vAlign w:val="bottom"/>
          </w:tcPr>
          <w:p>
            <w:pPr>
              <w:spacing w:after="0"/>
              <w:rPr>
                <w:sz w:val="24"/>
                <w:szCs w:val="24"/>
                <w:color w:val="auto"/>
              </w:rPr>
            </w:pPr>
          </w:p>
        </w:tc>
        <w:tc>
          <w:tcPr>
            <w:tcW w:w="79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20" w:type="dxa"/>
            <w:vAlign w:val="bottom"/>
          </w:tcPr>
          <w:p>
            <w:pPr>
              <w:spacing w:after="0"/>
              <w:rPr>
                <w:sz w:val="14"/>
                <w:szCs w:val="14"/>
                <w:color w:val="auto"/>
              </w:rPr>
            </w:pPr>
          </w:p>
        </w:tc>
        <w:tc>
          <w:tcPr>
            <w:tcW w:w="900" w:type="dxa"/>
            <w:vAlign w:val="bottom"/>
            <w:tcBorders>
              <w:top w:val="single" w:sz="8" w:color="auto"/>
            </w:tcBorders>
          </w:tcPr>
          <w:p>
            <w:pPr>
              <w:ind w:left="40"/>
              <w:spacing w:after="0" w:line="170" w:lineRule="exact"/>
              <w:rPr>
                <w:sz w:val="20"/>
                <w:szCs w:val="20"/>
                <w:color w:val="auto"/>
              </w:rPr>
            </w:pPr>
            <w:r>
              <w:rPr>
                <w:rFonts w:ascii="Arial" w:cs="Arial" w:eastAsia="Arial" w:hAnsi="Arial"/>
                <w:sz w:val="18"/>
                <w:szCs w:val="18"/>
                <w:color w:val="auto"/>
              </w:rPr>
              <w:t>99.1</w:t>
            </w:r>
          </w:p>
        </w:tc>
        <w:tc>
          <w:tcPr>
            <w:tcW w:w="1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80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issued by Blueprint Medicines Corporation on September 26, 2018</w:t>
              </w:r>
            </w:hyperlink>
          </w:p>
        </w:tc>
        <w:tc>
          <w:tcPr>
            <w:tcW w:w="2100" w:type="dxa"/>
            <w:vAlign w:val="bottom"/>
            <w:tcBorders>
              <w:top w:val="single" w:sz="8" w:color="auto"/>
            </w:tcBorders>
          </w:tcPr>
          <w:p>
            <w:pPr>
              <w:spacing w:after="0"/>
              <w:rPr>
                <w:sz w:val="14"/>
                <w:szCs w:val="14"/>
                <w:color w:val="auto"/>
              </w:rPr>
            </w:pPr>
          </w:p>
        </w:tc>
      </w:tr>
      <w:tr>
        <w:trPr>
          <w:trHeight w:val="88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60" w:type="dxa"/>
            <w:vAlign w:val="bottom"/>
            <w:gridSpan w:val="2"/>
          </w:tcPr>
          <w:p>
            <w:pPr>
              <w:jc w:val="right"/>
              <w:ind w:right="2296"/>
              <w:spacing w:after="0"/>
              <w:rPr>
                <w:sz w:val="20"/>
                <w:szCs w:val="20"/>
                <w:color w:val="auto"/>
              </w:rPr>
            </w:pPr>
            <w:r>
              <w:rPr>
                <w:rFonts w:ascii="Arial" w:cs="Arial" w:eastAsia="Arial" w:hAnsi="Arial"/>
                <w:sz w:val="18"/>
                <w:szCs w:val="18"/>
                <w:color w:val="auto"/>
              </w:rPr>
              <w:t>2</w:t>
            </w:r>
          </w:p>
        </w:tc>
        <w:tc>
          <w:tcPr>
            <w:tcW w:w="210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5880" w:type="dxa"/>
            <w:vAlign w:val="bottom"/>
            <w:gridSpan w:val="2"/>
          </w:tcPr>
          <w:p>
            <w:pPr>
              <w:ind w:left="1500"/>
              <w:spacing w:after="0"/>
              <w:rPr>
                <w:sz w:val="20"/>
                <w:szCs w:val="20"/>
                <w:color w:val="auto"/>
              </w:rPr>
            </w:pPr>
            <w:r>
              <w:rPr>
                <w:rFonts w:ascii="Arial" w:cs="Arial" w:eastAsia="Arial" w:hAnsi="Arial"/>
                <w:sz w:val="18"/>
                <w:szCs w:val="18"/>
                <w:b w:val="1"/>
                <w:bCs w:val="1"/>
                <w:color w:val="auto"/>
              </w:rPr>
              <w:t>BLUEPRINT MEDICINES CORPORATION</w:t>
            </w:r>
          </w:p>
        </w:tc>
      </w:tr>
      <w:tr>
        <w:trPr>
          <w:trHeight w:val="648"/>
        </w:trPr>
        <w:tc>
          <w:tcPr>
            <w:tcW w:w="3180" w:type="dxa"/>
            <w:vAlign w:val="bottom"/>
          </w:tcPr>
          <w:p>
            <w:pPr>
              <w:spacing w:after="0"/>
              <w:rPr>
                <w:sz w:val="20"/>
                <w:szCs w:val="20"/>
                <w:color w:val="auto"/>
              </w:rPr>
            </w:pPr>
            <w:r>
              <w:rPr>
                <w:rFonts w:ascii="Arial" w:cs="Arial" w:eastAsia="Arial" w:hAnsi="Arial"/>
                <w:sz w:val="18"/>
                <w:szCs w:val="18"/>
                <w:color w:val="auto"/>
              </w:rPr>
              <w:t>Date: September 26, 2018</w:t>
            </w:r>
          </w:p>
        </w:tc>
        <w:tc>
          <w:tcPr>
            <w:tcW w:w="5880" w:type="dxa"/>
            <w:vAlign w:val="bottom"/>
            <w:gridSpan w:val="2"/>
          </w:tcPr>
          <w:p>
            <w:pPr>
              <w:ind w:left="1500"/>
              <w:spacing w:after="0"/>
              <w:rPr>
                <w:sz w:val="20"/>
                <w:szCs w:val="20"/>
                <w:color w:val="auto"/>
              </w:rPr>
            </w:pPr>
            <w:r>
              <w:rPr>
                <w:rFonts w:ascii="Arial" w:cs="Arial" w:eastAsia="Arial" w:hAnsi="Arial"/>
                <w:sz w:val="18"/>
                <w:szCs w:val="18"/>
                <w:color w:val="auto"/>
              </w:rPr>
              <w:t>By: /s/ Tracey L. McCain</w:t>
            </w:r>
          </w:p>
        </w:tc>
      </w:tr>
      <w:tr>
        <w:trPr>
          <w:trHeight w:val="195"/>
        </w:trPr>
        <w:tc>
          <w:tcPr>
            <w:tcW w:w="3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Tracey L. McCain</w:t>
            </w:r>
          </w:p>
        </w:tc>
      </w:tr>
      <w:tr>
        <w:trPr>
          <w:trHeight w:val="230"/>
        </w:trPr>
        <w:tc>
          <w:tcPr>
            <w:tcW w:w="3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Chief Legal Officer</w:t>
            </w:r>
          </w:p>
        </w:tc>
      </w:tr>
      <w:tr>
        <w:trPr>
          <w:trHeight w:val="864"/>
        </w:trPr>
        <w:tc>
          <w:tcPr>
            <w:tcW w:w="3180" w:type="dxa"/>
            <w:vAlign w:val="bottom"/>
          </w:tcPr>
          <w:p>
            <w:pPr>
              <w:spacing w:after="0"/>
              <w:rPr>
                <w:sz w:val="24"/>
                <w:szCs w:val="24"/>
                <w:color w:val="auto"/>
              </w:rPr>
            </w:pP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4080" w:type="dxa"/>
            <w:vAlign w:val="bottom"/>
          </w:tcPr>
          <w:p>
            <w:pPr>
              <w:spacing w:after="0"/>
              <w:rPr>
                <w:sz w:val="24"/>
                <w:szCs w:val="24"/>
                <w:color w:val="auto"/>
              </w:rPr>
            </w:pPr>
          </w:p>
        </w:tc>
      </w:tr>
      <w:tr>
        <w:trPr>
          <w:trHeight w:val="129"/>
        </w:trPr>
        <w:tc>
          <w:tcPr>
            <w:tcW w:w="31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40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3" w:name="page4"/>
    <w:bookmarkEnd w:id="3"/>
    <w:p>
      <w:pPr>
        <w:jc w:val="right"/>
        <w:ind w:right="13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635</wp:posOffset>
            </wp:positionV>
            <wp:extent cx="1680845" cy="565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08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1640" w:right="40"/>
        <w:spacing w:after="0" w:line="220" w:lineRule="auto"/>
        <w:rPr>
          <w:sz w:val="20"/>
          <w:szCs w:val="20"/>
          <w:color w:val="auto"/>
        </w:rPr>
      </w:pPr>
      <w:r>
        <w:rPr>
          <w:rFonts w:ascii="Arial" w:cs="Arial" w:eastAsia="Arial" w:hAnsi="Arial"/>
          <w:sz w:val="20"/>
          <w:szCs w:val="20"/>
          <w:b w:val="1"/>
          <w:bCs w:val="1"/>
          <w:color w:val="auto"/>
        </w:rPr>
        <w:t>Blueprint Medicines Announces Proof-of-Concept Data Showing Combination of BLU-667 and Osimertinib Overcame Treatment Resistance in Two Patients with EGFR-Mutant, Non-Small Cell Lung Cancer and an Acquired RET Fusion</w:t>
      </w:r>
    </w:p>
    <w:p>
      <w:pPr>
        <w:spacing w:after="0" w:line="130" w:lineRule="exact"/>
        <w:rPr>
          <w:sz w:val="20"/>
          <w:szCs w:val="20"/>
          <w:color w:val="auto"/>
        </w:rPr>
      </w:pPr>
    </w:p>
    <w:p>
      <w:pPr>
        <w:jc w:val="center"/>
        <w:ind w:left="2600" w:right="439" w:hanging="2106"/>
        <w:spacing w:after="0" w:line="229" w:lineRule="auto"/>
        <w:tabs>
          <w:tab w:leader="none" w:pos="679"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Data presented at Late-Breaking Clinical Session of IASLC World Conference on Lung Cancer, and simultaneously published in Cancer Discovery --</w:t>
      </w:r>
    </w:p>
    <w:p>
      <w:pPr>
        <w:spacing w:after="0" w:line="128" w:lineRule="exact"/>
        <w:rPr>
          <w:sz w:val="20"/>
          <w:szCs w:val="20"/>
          <w:color w:val="auto"/>
        </w:rPr>
      </w:pPr>
    </w:p>
    <w:p>
      <w:pPr>
        <w:ind w:left="160" w:right="179"/>
        <w:spacing w:after="0" w:line="228" w:lineRule="auto"/>
        <w:rPr>
          <w:sz w:val="20"/>
          <w:szCs w:val="20"/>
          <w:color w:val="auto"/>
        </w:rPr>
      </w:pPr>
      <w:r>
        <w:rPr>
          <w:rFonts w:ascii="Arial" w:cs="Arial" w:eastAsia="Arial" w:hAnsi="Arial"/>
          <w:sz w:val="18"/>
          <w:szCs w:val="18"/>
          <w:color w:val="auto"/>
        </w:rPr>
        <w:t xml:space="preserve">CAMBRIDGE, Mass., September 26, 2018 – Blueprint Medicines Corporation (NASDAQ: BPMC), a leader in discovering and developing targeted kinase medicines for patients with genomically defined diseases, today announced the presentation and publication of two clinical cases demonstrating proof-of-concept for BLU-667 in combination with osimertinib (Tagrisso®) in treatment-resistant, EGFR-mutant non-small cell lung cancer (NSCLC). In both cases, the combined agents overcame resistance to standard treatment due to an acquired RET fusion, resulting in significant tumor reductions. The data are being presented today in a late-breaking oral presentation at the International Association for the Study of Lung Cancer 19th World Conference on Lung Cancer (WCLC) and published online in </w:t>
      </w:r>
      <w:r>
        <w:rPr>
          <w:rFonts w:ascii="Arial" w:cs="Arial" w:eastAsia="Arial" w:hAnsi="Arial"/>
          <w:sz w:val="18"/>
          <w:szCs w:val="18"/>
          <w:i w:val="1"/>
          <w:iCs w:val="1"/>
          <w:u w:val="single" w:color="auto"/>
          <w:color w:val="0000EE"/>
        </w:rPr>
        <w:t>Cancer Discovery</w:t>
      </w:r>
      <w:r>
        <w:rPr>
          <w:rFonts w:ascii="Arial" w:cs="Arial" w:eastAsia="Arial" w:hAnsi="Arial"/>
          <w:sz w:val="18"/>
          <w:szCs w:val="18"/>
          <w:color w:val="auto"/>
        </w:rPr>
        <w:t>.</w:t>
      </w:r>
    </w:p>
    <w:p>
      <w:pPr>
        <w:spacing w:after="0" w:line="129" w:lineRule="exact"/>
        <w:rPr>
          <w:sz w:val="20"/>
          <w:szCs w:val="20"/>
          <w:color w:val="auto"/>
        </w:rPr>
      </w:pPr>
    </w:p>
    <w:p>
      <w:pPr>
        <w:ind w:left="160" w:right="219"/>
        <w:spacing w:after="0" w:line="228" w:lineRule="auto"/>
        <w:rPr>
          <w:sz w:val="20"/>
          <w:szCs w:val="20"/>
          <w:color w:val="auto"/>
        </w:rPr>
      </w:pPr>
      <w:r>
        <w:rPr>
          <w:rFonts w:ascii="Arial" w:cs="Arial" w:eastAsia="Arial" w:hAnsi="Arial"/>
          <w:sz w:val="18"/>
          <w:szCs w:val="18"/>
          <w:color w:val="auto"/>
        </w:rPr>
        <w:t>“The combination of two highly selective agents ― BLU-667 and osimertinib ― has the potential to become an important new tool to overcome treatment resistance in a subset of patients with EGFR-mutant, non-small cell lung cancer,” said Lecia V. Sequist, M.D., Ph.D., medical oncologist, Massachusetts General Hospital Cancer Center and Associate Professor of Medicine, Harvard Medical School, and senior author of the oral presentation and paper. “We found that two pre-treated patients with advanced disease, who acquired RET fusions resulting in resistance to standard therapy, each showed a meaningful response only eight weeks after initiating the combination regimen. These results are highly encouraging and support further study of BLU-667 in combination with osimertinib in additional patients.”</w:t>
      </w:r>
    </w:p>
    <w:p>
      <w:pPr>
        <w:spacing w:after="0" w:line="129" w:lineRule="exact"/>
        <w:rPr>
          <w:sz w:val="20"/>
          <w:szCs w:val="20"/>
          <w:color w:val="auto"/>
        </w:rPr>
      </w:pPr>
    </w:p>
    <w:p>
      <w:pPr>
        <w:jc w:val="both"/>
        <w:ind w:left="160" w:right="319"/>
        <w:spacing w:after="0" w:line="244" w:lineRule="auto"/>
        <w:rPr>
          <w:sz w:val="20"/>
          <w:szCs w:val="20"/>
          <w:color w:val="auto"/>
        </w:rPr>
      </w:pPr>
      <w:r>
        <w:rPr>
          <w:rFonts w:ascii="Arial" w:cs="Arial" w:eastAsia="Arial" w:hAnsi="Arial"/>
          <w:sz w:val="18"/>
          <w:szCs w:val="18"/>
          <w:color w:val="auto"/>
        </w:rPr>
        <w:t>BLU-667 is an investigational precision therapy designed to potently and selectively inhibit RET alterations including resistance mutations. It is currently being evaluated in the global Phase 1 ARROW clinical trial in patients with RET-altered NSCLC, medullary thyroid cancer (MTC) and other solid tumors.</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Data Highlights</w:t>
      </w:r>
    </w:p>
    <w:p>
      <w:pPr>
        <w:ind w:left="160" w:right="179"/>
        <w:spacing w:after="0" w:line="213" w:lineRule="auto"/>
        <w:rPr>
          <w:sz w:val="20"/>
          <w:szCs w:val="20"/>
          <w:color w:val="auto"/>
        </w:rPr>
      </w:pPr>
      <w:r>
        <w:rPr>
          <w:rFonts w:ascii="Arial" w:cs="Arial" w:eastAsia="Arial" w:hAnsi="Arial"/>
          <w:sz w:val="20"/>
          <w:szCs w:val="20"/>
          <w:color w:val="auto"/>
        </w:rPr>
        <w:t xml:space="preserve">The WCLC presentation and </w:t>
      </w:r>
      <w:r>
        <w:rPr>
          <w:rFonts w:ascii="Arial" w:cs="Arial" w:eastAsia="Arial" w:hAnsi="Arial"/>
          <w:sz w:val="20"/>
          <w:szCs w:val="20"/>
          <w:i w:val="1"/>
          <w:iCs w:val="1"/>
          <w:color w:val="auto"/>
        </w:rPr>
        <w:t>Cancer Discovery</w:t>
      </w:r>
      <w:r>
        <w:rPr>
          <w:rFonts w:ascii="Arial" w:cs="Arial" w:eastAsia="Arial" w:hAnsi="Arial"/>
          <w:sz w:val="20"/>
          <w:szCs w:val="20"/>
          <w:color w:val="auto"/>
        </w:rPr>
        <w:t xml:space="preserve"> article included preclinical data and two clinical cases highlighting the potential of combining BLU-667 and osimertinib to overcome treatment resistance in EGFR-mutant NSCLC.</w:t>
      </w:r>
    </w:p>
    <w:p>
      <w:pPr>
        <w:spacing w:after="0" w:line="128" w:lineRule="exact"/>
        <w:rPr>
          <w:sz w:val="20"/>
          <w:szCs w:val="20"/>
          <w:color w:val="auto"/>
        </w:rPr>
      </w:pPr>
    </w:p>
    <w:p>
      <w:pPr>
        <w:ind w:left="160" w:right="279"/>
        <w:spacing w:after="0" w:line="217" w:lineRule="auto"/>
        <w:rPr>
          <w:sz w:val="20"/>
          <w:szCs w:val="20"/>
          <w:color w:val="auto"/>
        </w:rPr>
      </w:pPr>
      <w:r>
        <w:rPr>
          <w:rFonts w:ascii="Arial" w:cs="Arial" w:eastAsia="Arial" w:hAnsi="Arial"/>
          <w:sz w:val="19"/>
          <w:szCs w:val="19"/>
          <w:color w:val="auto"/>
        </w:rPr>
        <w:t>The clinical cases included two patients treated with BLU-667 and osimertinib under investigator-sponsored protocols. The patients had advanced EGFR-mutant NSCLC that progressed on standard targeted therapy, with an acquired RET fusion identified via lung biopsy. Radiographic scans after eight weeks showed both patients experienced a partial response (both pending confirmation), with each achieving a 78 percent reduction in target tumors per Response Evaluation Criteria in Solid Tumors (RECIST) version 1.1. The combination was well tolerated, and all reported adverse events were Grade 1 or 2. Both patients continue to receive treatment as of September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238760</wp:posOffset>
            </wp:positionV>
            <wp:extent cx="55486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 w:name="page5"/>
    <w:bookmarkEnd w:id="4"/>
    <w:p>
      <w:pPr>
        <w:ind w:left="160" w:right="199"/>
        <w:spacing w:after="0" w:line="219" w:lineRule="auto"/>
        <w:rPr>
          <w:sz w:val="20"/>
          <w:szCs w:val="20"/>
          <w:color w:val="auto"/>
        </w:rPr>
      </w:pPr>
      <w:r>
        <w:rPr>
          <w:rFonts w:ascii="Arial" w:cs="Arial" w:eastAsia="Arial" w:hAnsi="Arial"/>
          <w:sz w:val="20"/>
          <w:szCs w:val="20"/>
          <w:color w:val="auto"/>
        </w:rPr>
        <w:t>Based on these data, Blueprint Medicines plans to explore opportunities to evaluate the combination of BLU-667 and osimertinib in additional patients with treatment-resistant, EGFR-mutant NSCLC harboring a RET fusion.</w:t>
      </w:r>
    </w:p>
    <w:p>
      <w:pPr>
        <w:spacing w:after="0" w:line="128" w:lineRule="exact"/>
        <w:rPr>
          <w:sz w:val="20"/>
          <w:szCs w:val="20"/>
          <w:color w:val="auto"/>
        </w:rPr>
      </w:pPr>
    </w:p>
    <w:p>
      <w:pPr>
        <w:ind w:left="160" w:right="539"/>
        <w:spacing w:after="0" w:line="230" w:lineRule="auto"/>
        <w:rPr>
          <w:sz w:val="20"/>
          <w:szCs w:val="20"/>
          <w:color w:val="auto"/>
        </w:rPr>
      </w:pPr>
      <w:r>
        <w:rPr>
          <w:rFonts w:ascii="Arial" w:cs="Arial" w:eastAsia="Arial" w:hAnsi="Arial"/>
          <w:sz w:val="19"/>
          <w:szCs w:val="19"/>
          <w:color w:val="auto"/>
        </w:rPr>
        <w:t xml:space="preserve">The paper, titled, “Landscape of acquired resistance to osimertinib in EGFR-mutant NSCLC and clinical validation of combined EGFR and RET inhibition with osimertinib and BLU-667 for acquired RET fusion,” will be published online in </w:t>
      </w:r>
      <w:r>
        <w:rPr>
          <w:rFonts w:ascii="Arial" w:cs="Arial" w:eastAsia="Arial" w:hAnsi="Arial"/>
          <w:sz w:val="19"/>
          <w:szCs w:val="19"/>
          <w:i w:val="1"/>
          <w:iCs w:val="1"/>
          <w:color w:val="auto"/>
        </w:rPr>
        <w:t>Cancer Discovery</w:t>
      </w:r>
      <w:r>
        <w:rPr>
          <w:rFonts w:ascii="Arial" w:cs="Arial" w:eastAsia="Arial" w:hAnsi="Arial"/>
          <w:sz w:val="19"/>
          <w:szCs w:val="19"/>
          <w:color w:val="auto"/>
        </w:rPr>
        <w:t xml:space="preserve"> at 1:30 p.m. ET on September 26, 2018.</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About RET-Altered Solid Tumors</w:t>
      </w:r>
    </w:p>
    <w:p>
      <w:pPr>
        <w:ind w:left="160" w:right="379"/>
        <w:spacing w:after="0" w:line="229" w:lineRule="auto"/>
        <w:rPr>
          <w:sz w:val="20"/>
          <w:szCs w:val="20"/>
          <w:color w:val="auto"/>
        </w:rPr>
      </w:pPr>
      <w:r>
        <w:rPr>
          <w:rFonts w:ascii="Arial" w:cs="Arial" w:eastAsia="Arial" w:hAnsi="Arial"/>
          <w:sz w:val="18"/>
          <w:szCs w:val="18"/>
          <w:color w:val="auto"/>
        </w:rPr>
        <w:t>RET activating fusions and mutations are a key disease driver in many cancer types, including NSCLC and MTC. RET fusions are implicated in approximately 1 to 2 percent of patients with NSCLC, while RET mutations are implicated in approximately 60 percent of patients with MTC. In addition, oncogenic RET alterations are observed at low frequencies in colorectal, breast, pancreatic and other cancers, and RET fusions have been observed in patients with treatment-resistant, EGFR-mutant NSCLC.</w:t>
      </w:r>
    </w:p>
    <w:p>
      <w:pPr>
        <w:spacing w:after="0" w:line="131" w:lineRule="exact"/>
        <w:rPr>
          <w:sz w:val="20"/>
          <w:szCs w:val="20"/>
          <w:color w:val="auto"/>
        </w:rPr>
      </w:pPr>
    </w:p>
    <w:p>
      <w:pPr>
        <w:ind w:left="160" w:right="159"/>
        <w:spacing w:after="0" w:line="221" w:lineRule="auto"/>
        <w:rPr>
          <w:sz w:val="20"/>
          <w:szCs w:val="20"/>
          <w:color w:val="auto"/>
        </w:rPr>
      </w:pPr>
      <w:r>
        <w:rPr>
          <w:rFonts w:ascii="Arial" w:cs="Arial" w:eastAsia="Arial" w:hAnsi="Arial"/>
          <w:sz w:val="19"/>
          <w:szCs w:val="19"/>
          <w:color w:val="auto"/>
        </w:rPr>
        <w:t>Currently, there are no approved therapies that selectively target RET-driven cancers, though there are several approved multi-kinase inhibitors with RET activity being evaluated in clinical trials. Thus far, clinical activity attributable to RET inhibition has been uncertain for these inhibitors, likely due to insufficient inhibition of RET and off-target toxicities. There is a need for precision therapies that provide durable clinical benefit by selectively targeting RET alterations and resistance mutations.</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About BLU-667</w:t>
      </w:r>
    </w:p>
    <w:p>
      <w:pPr>
        <w:ind w:left="160" w:right="339"/>
        <w:spacing w:after="0" w:line="225" w:lineRule="auto"/>
        <w:rPr>
          <w:sz w:val="20"/>
          <w:szCs w:val="20"/>
          <w:color w:val="auto"/>
        </w:rPr>
      </w:pPr>
      <w:r>
        <w:rPr>
          <w:rFonts w:ascii="Arial" w:cs="Arial" w:eastAsia="Arial" w:hAnsi="Arial"/>
          <w:sz w:val="18"/>
          <w:szCs w:val="18"/>
          <w:color w:val="auto"/>
        </w:rPr>
        <w:t>BLU-667 is an investigational, once-daily oral precision therapy specifically designed for highly potent and selective targeting of oncogenic RET fusions, mutations and resistance mutations. In preclinical studies, BLU-667 consistently demonstrated sub-nanomolar potency against the most common RET fusions, activating mutations and resistance mutations. In addition, BLU-667 demonstrated markedly improved selectivity for RET compared to approved multi-kinase inhibitors, including more than 80-fold improved potency for RET versus VEGFR2. By suppressing primary and secondary mutants, BLU-667 has the potential to overcome and prevent the emergence of clinical resistance. This approach is expected to enable durable clinical responses across the range of RET alterations, with a favorable safety profile.</w:t>
      </w:r>
    </w:p>
    <w:p>
      <w:pPr>
        <w:spacing w:after="0" w:line="133" w:lineRule="exact"/>
        <w:rPr>
          <w:sz w:val="20"/>
          <w:szCs w:val="20"/>
          <w:color w:val="auto"/>
        </w:rPr>
      </w:pPr>
    </w:p>
    <w:p>
      <w:pPr>
        <w:ind w:left="160" w:right="299"/>
        <w:spacing w:after="0" w:line="228" w:lineRule="auto"/>
        <w:rPr>
          <w:sz w:val="20"/>
          <w:szCs w:val="20"/>
          <w:color w:val="auto"/>
        </w:rPr>
      </w:pPr>
      <w:r>
        <w:rPr>
          <w:rFonts w:ascii="Arial" w:cs="Arial" w:eastAsia="Arial" w:hAnsi="Arial"/>
          <w:sz w:val="18"/>
          <w:szCs w:val="18"/>
          <w:color w:val="auto"/>
        </w:rPr>
        <w:t>In April 2018, Blueprint Medicines presented proof-of-concept data from its ongoing Phase 1 ARROW clinical trial of BLU-667 in patients with RET-altered NSCLC, MTC and other advanced solid tumors at the American Association for Cancer Research (AACR) Annual Meeting. The data showed broad and robust clinical activity across multiple tumor types and RET genotypes, including in patients whose disease had progressed on prior multi-kinase therapy. Radiographic tumor reductions were observed in 84 percent of patients with RET-altered solid tumors and measurable target lesions. The data also showed that BLU-667 was generally well-tolerated, and most adverse events reported by investigators were Grade 1. Global enrollment in the dose expansion portion of the Phase 1 ARROW clinical trial is ongoing.</w:t>
      </w:r>
    </w:p>
    <w:p>
      <w:pPr>
        <w:spacing w:after="0" w:line="129" w:lineRule="exact"/>
        <w:rPr>
          <w:sz w:val="20"/>
          <w:szCs w:val="20"/>
          <w:color w:val="auto"/>
        </w:rPr>
      </w:pPr>
    </w:p>
    <w:p>
      <w:pPr>
        <w:ind w:left="160" w:right="539"/>
        <w:spacing w:after="0" w:line="244" w:lineRule="auto"/>
        <w:rPr>
          <w:sz w:val="20"/>
          <w:szCs w:val="20"/>
          <w:color w:val="auto"/>
        </w:rPr>
      </w:pPr>
      <w:r>
        <w:rPr>
          <w:rFonts w:ascii="Arial" w:cs="Arial" w:eastAsia="Arial" w:hAnsi="Arial"/>
          <w:sz w:val="18"/>
          <w:szCs w:val="18"/>
          <w:color w:val="auto"/>
        </w:rPr>
        <w:t xml:space="preserve">Patients and physicians interested in the ARROW clinical trial can contact the Blueprint Medicines study director at arrow@blueprintmedicines.com or 1-617-714-6707. Additional details are also available at </w:t>
      </w:r>
      <w:r>
        <w:rPr>
          <w:rFonts w:ascii="Arial" w:cs="Arial" w:eastAsia="Arial" w:hAnsi="Arial"/>
          <w:sz w:val="18"/>
          <w:szCs w:val="18"/>
          <w:u w:val="single" w:color="auto"/>
          <w:color w:val="0000EE"/>
        </w:rPr>
        <w:t>www.arrowtrial.com</w:t>
      </w:r>
      <w:r>
        <w:rPr>
          <w:rFonts w:ascii="Arial" w:cs="Arial" w:eastAsia="Arial" w:hAnsi="Arial"/>
          <w:sz w:val="18"/>
          <w:szCs w:val="18"/>
          <w:color w:val="0000EE"/>
        </w:rPr>
        <w:t xml:space="preserve"> </w:t>
      </w:r>
      <w:r>
        <w:rPr>
          <w:rFonts w:ascii="Arial" w:cs="Arial" w:eastAsia="Arial" w:hAnsi="Arial"/>
          <w:sz w:val="18"/>
          <w:szCs w:val="18"/>
          <w:color w:val="000000"/>
        </w:rPr>
        <w:t>or</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www.clinicaltrials.gov</w:t>
      </w:r>
      <w:r>
        <w:rPr>
          <w:rFonts w:ascii="Arial" w:cs="Arial" w:eastAsia="Arial" w:hAnsi="Arial"/>
          <w:sz w:val="18"/>
          <w:szCs w:val="18"/>
          <w:color w:val="0000EE"/>
        </w:rPr>
        <w:t xml:space="preserve"> </w:t>
      </w:r>
      <w:r>
        <w:rPr>
          <w:rFonts w:ascii="Arial" w:cs="Arial" w:eastAsia="Arial" w:hAnsi="Arial"/>
          <w:sz w:val="18"/>
          <w:szCs w:val="18"/>
          <w:color w:val="000000"/>
        </w:rPr>
        <w:t>(ClinicalTrials.gov Identifier: NCT03037385).</w:t>
      </w:r>
    </w:p>
    <w:p>
      <w:pPr>
        <w:spacing w:after="0" w:line="125" w:lineRule="exact"/>
        <w:rPr>
          <w:sz w:val="20"/>
          <w:szCs w:val="20"/>
          <w:color w:val="auto"/>
        </w:rPr>
      </w:pPr>
    </w:p>
    <w:p>
      <w:pPr>
        <w:ind w:left="160" w:right="239"/>
        <w:spacing w:after="0" w:line="237" w:lineRule="auto"/>
        <w:rPr>
          <w:sz w:val="20"/>
          <w:szCs w:val="20"/>
          <w:color w:val="auto"/>
        </w:rPr>
      </w:pPr>
      <w:r>
        <w:rPr>
          <w:rFonts w:ascii="Arial" w:cs="Arial" w:eastAsia="Arial" w:hAnsi="Arial"/>
          <w:sz w:val="18"/>
          <w:szCs w:val="18"/>
          <w:color w:val="auto"/>
        </w:rPr>
        <w:t>BLU-667 was discovered by Blueprint Medicine’s research team based on its proprietary compound library. The company is developing BLU-667 for the treatment of people with RET-altered NSCLC, MTC and other solid tumors. Blueprint Medicines has an exclusive collaboration and license agreement with CStone Pharmaceuticals for the development and commercialization of BLU-667 and certain other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117475</wp:posOffset>
            </wp:positionV>
            <wp:extent cx="55486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 w:name="page6"/>
    <w:bookmarkEnd w:id="5"/>
    <w:p>
      <w:pPr>
        <w:ind w:left="160" w:right="159"/>
        <w:spacing w:after="0" w:line="230" w:lineRule="auto"/>
        <w:rPr>
          <w:sz w:val="20"/>
          <w:szCs w:val="20"/>
          <w:color w:val="auto"/>
        </w:rPr>
      </w:pPr>
      <w:r>
        <w:rPr>
          <w:rFonts w:ascii="Arial" w:cs="Arial" w:eastAsia="Arial" w:hAnsi="Arial"/>
          <w:sz w:val="20"/>
          <w:szCs w:val="20"/>
          <w:color w:val="auto"/>
        </w:rPr>
        <w:t xml:space="preserve">candidates in Mainland China, Hong Kong, Macau and Taiwan. Blueprint Medicines retains development and </w:t>
      </w:r>
      <w:r>
        <w:rPr>
          <w:rFonts w:ascii="Arial" w:cs="Arial" w:eastAsia="Arial" w:hAnsi="Arial"/>
          <w:sz w:val="20"/>
          <w:szCs w:val="20"/>
          <w:color w:val="auto"/>
        </w:rPr>
        <w:t>commercial rights for BLU-667 in the rest of the world.</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About Blueprint Medicines</w:t>
      </w:r>
    </w:p>
    <w:p>
      <w:pPr>
        <w:ind w:left="160" w:right="139"/>
        <w:spacing w:after="0"/>
        <w:rPr>
          <w:sz w:val="20"/>
          <w:szCs w:val="20"/>
          <w:color w:val="auto"/>
        </w:rPr>
      </w:pPr>
      <w:r>
        <w:rPr>
          <w:rFonts w:ascii="Arial" w:cs="Arial" w:eastAsia="Arial" w:hAnsi="Arial"/>
          <w:sz w:val="19"/>
          <w:szCs w:val="19"/>
          <w:color w:val="4D4D4D"/>
        </w:rPr>
        <w:t xml:space="preserve">Blueprint Medicines is developing a new generation of targeted and potent kinase medicines to improve the lives of patients with genomically defined diseases. Its approach is rooted in a deep understanding of the genetic blueprint of cancer and other disease driven by the abnormal activation of kinases. Blueprint Medicines is advancing multiple programs in clinical development for subsets of patients with gastrointestinal stromal tumors, hepatocellular carcinoma, systemic mastocytosis, non-small cell lung cancer, medullary thyroid cancer and other advanced solid tumors, as well as multiple programs in research and preclinical development. For more information, please visit </w:t>
      </w:r>
      <w:r>
        <w:rPr>
          <w:rFonts w:ascii="Arial" w:cs="Arial" w:eastAsia="Arial" w:hAnsi="Arial"/>
          <w:sz w:val="19"/>
          <w:szCs w:val="19"/>
          <w:u w:val="single" w:color="auto"/>
          <w:color w:val="337AB7"/>
        </w:rPr>
        <w:t>www.blueprintmedicines.com</w:t>
      </w:r>
      <w:r>
        <w:rPr>
          <w:rFonts w:ascii="Arial" w:cs="Arial" w:eastAsia="Arial" w:hAnsi="Arial"/>
          <w:sz w:val="19"/>
          <w:szCs w:val="19"/>
          <w:color w:val="4D4D4D"/>
        </w:rPr>
        <w:t>.</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Cautionary Note Regarding Forward-Looking Statements</w:t>
      </w:r>
    </w:p>
    <w:p>
      <w:pPr>
        <w:ind w:left="160" w:right="159"/>
        <w:spacing w:after="0" w:line="219"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plans and timelines for the clinical development of BLU-667, including plans to explore opportunities to evaluate the combination of BLU-667 and osimertinib in additional patients with treatment-resistant, EGFR-mutant NSCLC harboring</w:t>
      </w:r>
    </w:p>
    <w:p>
      <w:pPr>
        <w:spacing w:after="0" w:line="1" w:lineRule="exact"/>
        <w:rPr>
          <w:sz w:val="20"/>
          <w:szCs w:val="20"/>
          <w:color w:val="auto"/>
        </w:rPr>
      </w:pPr>
    </w:p>
    <w:p>
      <w:pPr>
        <w:ind w:left="160" w:right="159"/>
        <w:spacing w:after="0" w:line="221" w:lineRule="auto"/>
        <w:rPr>
          <w:sz w:val="20"/>
          <w:szCs w:val="20"/>
          <w:color w:val="auto"/>
        </w:rPr>
      </w:pPr>
      <w:r>
        <w:rPr>
          <w:rFonts w:ascii="Arial" w:cs="Arial" w:eastAsia="Arial" w:hAnsi="Arial"/>
          <w:sz w:val="18"/>
          <w:szCs w:val="18"/>
          <w:color w:val="auto"/>
        </w:rPr>
        <w:t>a RET fusion; expectations regarding the potential benefits of BLU-667 in treating patients with RET-altered cancers, including patients with treatment-resistant, EGFR-mutant NSCLC; expectations regarding the potential benefits of treatment with BLU-667 in combination with other therapies, including osimertinib;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including avapritinib, BLU-554, BLU-667 and BLU-782; Blueprint Medicines’ advancement of multiple early-stage efforts; Blueprint Medicines’ ability to successfully demonstrate the safety and efficacy of its drug candidates;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including companion diagnostic tests for BLU-554 for FGFR4-driven hepatocellular carcinoma, avapritinib for PDGFRα D842V-driven gastrointestinal stromal tumors and advanced systemic mastocytosis and BLU-667 for RET-driven non-small cell lung cancer; the success of Blueprint Medicines’ current and future collaborations, including its cancer immunotherapy collaboration with F. Hoffmann-La Roche Ltd and Hoffmann-La Roche Inc. and its collaboration with CStone Pharmaceuticals. These and other risks and uncertainties are described in greater detail in the section entitled “Risk Factors” in Blueprint Medicines’ Quarterly Report on Form 10-Q for the quarter ended June 30, 2018, as filed with the Securities and Exchange Commission (SEC) on August 1, 2018,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119380</wp:posOffset>
            </wp:positionV>
            <wp:extent cx="55486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 w:name="page7"/>
    <w:bookmarkEnd w:id="6"/>
    <w:p>
      <w:pPr>
        <w:ind w:left="160" w:right="459"/>
        <w:spacing w:after="0" w:line="230" w:lineRule="auto"/>
        <w:rPr>
          <w:sz w:val="20"/>
          <w:szCs w:val="20"/>
          <w:color w:val="auto"/>
        </w:rPr>
      </w:pPr>
      <w:r>
        <w:rPr>
          <w:rFonts w:ascii="Arial" w:cs="Arial" w:eastAsia="Arial" w:hAnsi="Arial"/>
          <w:sz w:val="20"/>
          <w:szCs w:val="20"/>
          <w:color w:val="auto"/>
        </w:rPr>
        <w:t>Except as required by law, Blueprint Medicines explicitly disclaims any obligation to update any forward-looking statements.</w:t>
      </w:r>
    </w:p>
    <w:p>
      <w:pPr>
        <w:spacing w:after="0" w:line="317" w:lineRule="exact"/>
        <w:rPr>
          <w:sz w:val="20"/>
          <w:szCs w:val="20"/>
          <w:color w:val="auto"/>
        </w:rPr>
      </w:pPr>
    </w:p>
    <w:p>
      <w:pPr>
        <w:ind w:left="160" w:right="379"/>
        <w:spacing w:after="0" w:line="229" w:lineRule="auto"/>
        <w:rPr>
          <w:sz w:val="20"/>
          <w:szCs w:val="20"/>
          <w:color w:val="auto"/>
        </w:rPr>
      </w:pPr>
      <w:r>
        <w:rPr>
          <w:rFonts w:ascii="Arial" w:cs="Arial" w:eastAsia="Arial" w:hAnsi="Arial"/>
          <w:sz w:val="20"/>
          <w:szCs w:val="20"/>
          <w:color w:val="auto"/>
        </w:rPr>
        <w:t>Tagrisso® is a registered trademark of AstraZeneca plc. All other trademarks and trade names in this press release are the property of Blueprint Medicines Corporation.</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Investor Relations Contact</w:t>
      </w:r>
    </w:p>
    <w:p>
      <w:pPr>
        <w:ind w:left="160"/>
        <w:spacing w:after="0" w:line="197" w:lineRule="auto"/>
        <w:rPr>
          <w:sz w:val="20"/>
          <w:szCs w:val="20"/>
          <w:color w:val="auto"/>
        </w:rPr>
      </w:pPr>
      <w:r>
        <w:rPr>
          <w:rFonts w:ascii="Arial" w:cs="Arial" w:eastAsia="Arial" w:hAnsi="Arial"/>
          <w:sz w:val="20"/>
          <w:szCs w:val="20"/>
          <w:color w:val="auto"/>
        </w:rPr>
        <w:t>Kristin Hodous</w:t>
      </w:r>
    </w:p>
    <w:p>
      <w:pPr>
        <w:ind w:left="160"/>
        <w:spacing w:after="0" w:line="197" w:lineRule="auto"/>
        <w:rPr>
          <w:sz w:val="20"/>
          <w:szCs w:val="20"/>
          <w:color w:val="auto"/>
        </w:rPr>
      </w:pPr>
      <w:r>
        <w:rPr>
          <w:rFonts w:ascii="Arial" w:cs="Arial" w:eastAsia="Arial" w:hAnsi="Arial"/>
          <w:sz w:val="20"/>
          <w:szCs w:val="20"/>
          <w:color w:val="auto"/>
        </w:rPr>
        <w:t>617-714-6674</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20"/>
          <w:szCs w:val="20"/>
          <w:color w:val="auto"/>
        </w:rPr>
        <w:t>KHodous@blueprintmedicines.com</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Media Relations Contact</w:t>
      </w:r>
    </w:p>
    <w:p>
      <w:pPr>
        <w:ind w:left="160"/>
        <w:spacing w:after="0" w:line="197" w:lineRule="auto"/>
        <w:rPr>
          <w:sz w:val="20"/>
          <w:szCs w:val="20"/>
          <w:color w:val="auto"/>
        </w:rPr>
      </w:pPr>
      <w:r>
        <w:rPr>
          <w:rFonts w:ascii="Arial" w:cs="Arial" w:eastAsia="Arial" w:hAnsi="Arial"/>
          <w:sz w:val="20"/>
          <w:szCs w:val="20"/>
          <w:color w:val="auto"/>
        </w:rPr>
        <w:t>Andrew Law</w:t>
      </w:r>
    </w:p>
    <w:p>
      <w:pPr>
        <w:ind w:left="160"/>
        <w:spacing w:after="0" w:line="197" w:lineRule="auto"/>
        <w:rPr>
          <w:sz w:val="20"/>
          <w:szCs w:val="20"/>
          <w:color w:val="auto"/>
        </w:rPr>
      </w:pPr>
      <w:r>
        <w:rPr>
          <w:rFonts w:ascii="Arial" w:cs="Arial" w:eastAsia="Arial" w:hAnsi="Arial"/>
          <w:sz w:val="20"/>
          <w:szCs w:val="20"/>
          <w:color w:val="auto"/>
        </w:rPr>
        <w:t>617-844-8205</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20"/>
          <w:szCs w:val="20"/>
          <w:color w:val="auto"/>
        </w:rPr>
        <w:t>ALaw@blueprintmedicines.com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480695</wp:posOffset>
            </wp:positionV>
            <wp:extent cx="55486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2019-12-28T19:19:31Z</dcterms:created>
  <dcterms:modified xsi:type="dcterms:W3CDTF">2019-12-28T19:19:31Z</dcterms:modified>
</cp:coreProperties>
</file>