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60" w:type="dxa"/>
            <w:vAlign w:val="bottom"/>
            <w:gridSpan w:val="2"/>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Hurley Ariel</w:t>
              </w:r>
            </w:hyperlink>
          </w:p>
        </w:tc>
        <w:tc>
          <w:tcPr>
            <w:tcW w:w="8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Borders>
              <w:top w:val="single" w:sz="8" w:color="0000EE"/>
            </w:tcBorders>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080" w:type="dxa"/>
            <w:vAlign w:val="bottom"/>
            <w:tcBorders>
              <w:top w:val="single" w:sz="8" w:color="0000EE"/>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84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2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Arial" w:cs="Arial" w:eastAsia="Arial" w:hAnsi="Arial"/>
                <w:sz w:val="13"/>
                <w:szCs w:val="13"/>
                <w:color w:val="auto"/>
              </w:rPr>
              <w:t>(Last)</w:t>
            </w:r>
          </w:p>
        </w:tc>
        <w:tc>
          <w:tcPr>
            <w:tcW w:w="840" w:type="dxa"/>
            <w:vAlign w:val="bottom"/>
          </w:tcPr>
          <w:p>
            <w:pPr>
              <w:ind w:left="6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BLUEPRINT MEDICINES CORPORATION</w:t>
            </w:r>
          </w:p>
        </w:tc>
        <w:tc>
          <w:tcPr>
            <w:tcW w:w="2380" w:type="dxa"/>
            <w:vAlign w:val="bottom"/>
            <w:gridSpan w:val="3"/>
          </w:tcPr>
          <w:p>
            <w:pPr>
              <w:ind w:left="160"/>
              <w:spacing w:after="0"/>
              <w:rPr>
                <w:sz w:val="20"/>
                <w:szCs w:val="20"/>
                <w:color w:val="auto"/>
              </w:rPr>
            </w:pPr>
            <w:r>
              <w:rPr>
                <w:rFonts w:ascii="Arial" w:cs="Arial" w:eastAsia="Arial" w:hAnsi="Arial"/>
                <w:sz w:val="17"/>
                <w:szCs w:val="17"/>
                <w:color w:val="0000FF"/>
              </w:rPr>
              <w:t>03/09/2020</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565"/>
        <w:spacing w:after="0"/>
        <w:rPr>
          <w:sz w:val="20"/>
          <w:szCs w:val="20"/>
          <w:color w:val="auto"/>
        </w:rPr>
      </w:pPr>
      <w:r>
        <w:rPr>
          <w:rFonts w:ascii="Arial" w:cs="Arial" w:eastAsia="Arial" w:hAnsi="Arial"/>
          <w:sz w:val="17"/>
          <w:szCs w:val="17"/>
          <w:color w:val="0000FF"/>
        </w:rPr>
        <w:t>Principal Accounting Officer</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3"/>
          </w:tcPr>
          <w:p>
            <w:pPr>
              <w:jc w:val="right"/>
              <w:ind w:right="15"/>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CAMBRIDGE  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02139</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78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03/09/2020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253</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51.94</w:t>
            </w:r>
          </w:p>
        </w:tc>
        <w:tc>
          <w:tcPr>
            <w:tcW w:w="120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9,984</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500" w:firstLine="7"/>
        <w:spacing w:after="0" w:line="308"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sale reported on this Form 4 represents shares required to be sold by the Reporting Person to cover tax withholding obligations in connection with the vesting of restricted stock units.The sale occurred automatically to satisfy the tax withholding obligations to be funded by a "sell to cover" transaction and does not represent a discretionary trade by the Reporting Person.</w:t>
      </w:r>
    </w:p>
    <w:p>
      <w:pPr>
        <w:spacing w:after="0" w:line="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7"/>
              </w:rPr>
              <w:t>/s/ Christopher Frankenfield,</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03/11/2020</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8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8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69740"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2020-03-11T15:33:24Z</dcterms:created>
  <dcterms:modified xsi:type="dcterms:W3CDTF">2020-03-11T15:33:24Z</dcterms:modified>
</cp:coreProperties>
</file>