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50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9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gridSpan w:val="3"/>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80" w:type="dxa"/>
            <w:vAlign w:val="bottom"/>
            <w:gridSpan w:val="20"/>
          </w:tcPr>
          <w:p>
            <w:pPr>
              <w:jc w:val="cente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gridSpan w:val="5"/>
            <w:vMerge w:val="restart"/>
          </w:tcPr>
          <w:p>
            <w:pPr>
              <w:jc w:val="center"/>
              <w:ind w:left="324"/>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80" w:type="dxa"/>
            <w:vAlign w:val="bottom"/>
            <w:gridSpan w:val="20"/>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280" w:type="dxa"/>
            <w:vAlign w:val="bottom"/>
            <w:gridSpan w:val="20"/>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720" w:type="dxa"/>
            <w:vAlign w:val="bottom"/>
            <w:gridSpan w:val="19"/>
            <w:vMerge w:val="restart"/>
          </w:tcPr>
          <w:p>
            <w:pPr>
              <w:jc w:val="center"/>
              <w:ind w:left="54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380" w:type="dxa"/>
            <w:vAlign w:val="bottom"/>
            <w:gridSpan w:val="3"/>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920" w:type="dxa"/>
            <w:vAlign w:val="bottom"/>
          </w:tcPr>
          <w:p>
            <w:pPr>
              <w:spacing w:after="0"/>
              <w:rPr>
                <w:sz w:val="6"/>
                <w:szCs w:val="6"/>
                <w:color w:val="auto"/>
              </w:rPr>
            </w:pPr>
          </w:p>
        </w:tc>
        <w:tc>
          <w:tcPr>
            <w:tcW w:w="5720" w:type="dxa"/>
            <w:vAlign w:val="bottom"/>
            <w:gridSpan w:val="19"/>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720" w:type="dxa"/>
            <w:vAlign w:val="bottom"/>
            <w:gridSpan w:val="19"/>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11"/>
          </w:tcPr>
          <w:p>
            <w:pPr>
              <w:jc w:val="center"/>
              <w:ind w:right="137"/>
              <w:spacing w:after="0"/>
              <w:rPr>
                <w:sz w:val="20"/>
                <w:szCs w:val="20"/>
                <w:color w:val="auto"/>
              </w:rPr>
            </w:pPr>
            <w:r>
              <w:rPr>
                <w:rFonts w:ascii="Arial" w:cs="Arial" w:eastAsia="Arial" w:hAnsi="Arial"/>
                <w:sz w:val="13"/>
                <w:szCs w:val="13"/>
                <w:color w:val="auto"/>
              </w:rPr>
              <w:t>or Section 30(h) of the Investment Company Act of 1940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3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7"/>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Dable Habib J</w:t>
              </w:r>
            </w:hyperlink>
          </w:p>
        </w:tc>
        <w:tc>
          <w:tcPr>
            <w:tcW w:w="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11"/>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7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6" w:lineRule="exact"/>
              <w:rPr>
                <w:sz w:val="20"/>
                <w:szCs w:val="20"/>
                <w:color w:val="auto"/>
              </w:rPr>
            </w:pPr>
            <w:r>
              <w:rPr>
                <w:rFonts w:ascii="Arial" w:cs="Arial" w:eastAsia="Arial" w:hAnsi="Arial"/>
                <w:sz w:val="16"/>
                <w:szCs w:val="16"/>
                <w:color w:val="0000FF"/>
              </w:rPr>
              <w:t>X</w:t>
            </w:r>
          </w:p>
        </w:tc>
        <w:tc>
          <w:tcPr>
            <w:tcW w:w="1160" w:type="dxa"/>
            <w:vAlign w:val="bottom"/>
            <w:gridSpan w:val="4"/>
            <w:vMerge w:val="restart"/>
          </w:tcPr>
          <w:p>
            <w:pPr>
              <w:ind w:left="120"/>
              <w:spacing w:after="0" w:line="146" w:lineRule="exact"/>
              <w:rPr>
                <w:sz w:val="20"/>
                <w:szCs w:val="20"/>
                <w:color w:val="auto"/>
              </w:rPr>
            </w:pPr>
            <w:r>
              <w:rPr>
                <w:rFonts w:ascii="Arial" w:cs="Arial" w:eastAsia="Arial" w:hAnsi="Arial"/>
                <w:sz w:val="13"/>
                <w:szCs w:val="13"/>
                <w:color w:val="auto"/>
              </w:rPr>
              <w:t>Director</w:t>
            </w:r>
          </w:p>
        </w:tc>
        <w:tc>
          <w:tcPr>
            <w:tcW w:w="280" w:type="dxa"/>
            <w:vAlign w:val="bottom"/>
          </w:tcPr>
          <w:p>
            <w:pPr>
              <w:spacing w:after="0" w:line="20" w:lineRule="exact"/>
              <w:rPr>
                <w:sz w:val="1"/>
                <w:szCs w:val="1"/>
                <w:color w:val="auto"/>
              </w:rPr>
            </w:pPr>
          </w:p>
        </w:tc>
        <w:tc>
          <w:tcPr>
            <w:tcW w:w="1500" w:type="dxa"/>
            <w:vAlign w:val="bottom"/>
            <w:gridSpan w:val="6"/>
            <w:vMerge w:val="restart"/>
          </w:tcPr>
          <w:p>
            <w:pPr>
              <w:ind w:left="2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1520" w:type="dxa"/>
            <w:vAlign w:val="bottom"/>
            <w:gridSpan w:val="7"/>
          </w:tcPr>
          <w:p>
            <w:pPr>
              <w:ind w:left="160"/>
              <w:spacing w:after="0"/>
              <w:rPr>
                <w:sz w:val="20"/>
                <w:szCs w:val="20"/>
                <w:color w:val="auto"/>
              </w:rPr>
            </w:pPr>
            <w:r>
              <w:rPr>
                <w:rFonts w:ascii="Arial" w:cs="Arial" w:eastAsia="Arial" w:hAnsi="Arial"/>
                <w:sz w:val="17"/>
                <w:szCs w:val="17"/>
                <w:color w:val="0000FF"/>
              </w:rPr>
              <w:t>06/21/2023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below)</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2"/>
            <w:vMerge w:val="restart"/>
          </w:tcPr>
          <w:p>
            <w:pPr>
              <w:jc w:val="center"/>
              <w:ind w:right="117"/>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12"/>
            <w:vMerge w:val="continue"/>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line="185" w:lineRule="exact"/>
              <w:rPr>
                <w:sz w:val="20"/>
                <w:szCs w:val="20"/>
                <w:color w:val="auto"/>
              </w:rPr>
            </w:pPr>
            <w:r>
              <w:rPr>
                <w:rFonts w:ascii="Arial" w:cs="Arial" w:eastAsia="Arial" w:hAnsi="Arial"/>
                <w:sz w:val="17"/>
                <w:szCs w:val="17"/>
                <w:color w:val="0000FF"/>
              </w:rPr>
              <w:t>45 S</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12"/>
          </w:tcPr>
          <w:p>
            <w:pPr>
              <w:spacing w:after="0" w:line="19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restart"/>
          </w:tcPr>
          <w:p>
            <w:pPr>
              <w:spacing w:after="0" w:line="166" w:lineRule="exact"/>
              <w:rPr>
                <w:sz w:val="20"/>
                <w:szCs w:val="20"/>
                <w:color w:val="auto"/>
              </w:rPr>
            </w:pPr>
            <w:r>
              <w:rPr>
                <w:rFonts w:ascii="Arial" w:cs="Arial" w:eastAsia="Arial" w:hAnsi="Arial"/>
                <w:sz w:val="17"/>
                <w:szCs w:val="17"/>
                <w:color w:val="0000FF"/>
              </w:rPr>
              <w:t>CAMBRIDGE   MA</w:t>
            </w:r>
          </w:p>
        </w:tc>
        <w:tc>
          <w:tcPr>
            <w:tcW w:w="1280" w:type="dxa"/>
            <w:vAlign w:val="bottom"/>
            <w:vMerge w:val="restart"/>
          </w:tcPr>
          <w:p>
            <w:pPr>
              <w:ind w:left="160"/>
              <w:spacing w:after="0" w:line="166" w:lineRule="exact"/>
              <w:rPr>
                <w:sz w:val="20"/>
                <w:szCs w:val="20"/>
                <w:color w:val="auto"/>
              </w:rPr>
            </w:pPr>
            <w:r>
              <w:rPr>
                <w:rFonts w:ascii="Arial" w:cs="Arial" w:eastAsia="Arial" w:hAnsi="Arial"/>
                <w:sz w:val="17"/>
                <w:szCs w:val="17"/>
                <w:color w:val="0000FF"/>
              </w:rPr>
              <w:t>02139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0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2"/>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4"/>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4"/>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4"/>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7"/>
          </w:tcPr>
          <w:p>
            <w:pPr>
              <w:ind w:left="8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40" w:type="dxa"/>
            <w:vAlign w:val="bottom"/>
            <w:gridSpan w:val="7"/>
          </w:tcPr>
          <w:p>
            <w:pPr>
              <w:ind w:left="86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9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2"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w w:val="93"/>
              </w:rPr>
              <w:t>(A) or</w:t>
            </w: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7"/>
          </w:tcPr>
          <w:p>
            <w:pPr>
              <w:ind w:left="940"/>
              <w:spacing w:after="0"/>
              <w:rPr>
                <w:sz w:val="20"/>
                <w:szCs w:val="20"/>
                <w:color w:val="auto"/>
              </w:rPr>
            </w:pPr>
            <w:r>
              <w:rPr>
                <w:rFonts w:ascii="Arial" w:cs="Arial" w:eastAsia="Arial" w:hAnsi="Arial"/>
                <w:sz w:val="17"/>
                <w:szCs w:val="17"/>
                <w:color w:val="0000FF"/>
              </w:rPr>
              <w:t>06/21/2023</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rPr>
              <w:t>2,600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w w:val="89"/>
              </w:rPr>
              <w:t>6,500</w:t>
            </w: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280" w:type="dxa"/>
            <w:vAlign w:val="bottom"/>
            <w:tcBorders>
              <w:top w:val="single" w:sz="8" w:color="2C2C2C"/>
            </w:tcBorders>
            <w:gridSpan w:val="2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20" w:type="dxa"/>
            <w:vAlign w:val="bottom"/>
            <w:gridSpan w:val="1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5"/>
              </w:rPr>
              <w:t>(A)(D)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5"/>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2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63.66</w:t>
            </w:r>
          </w:p>
        </w:tc>
        <w:tc>
          <w:tcPr>
            <w:tcW w:w="180" w:type="dxa"/>
            <w:vAlign w:val="bottom"/>
          </w:tcPr>
          <w:p>
            <w:pPr>
              <w:spacing w:after="0"/>
              <w:rPr>
                <w:sz w:val="17"/>
                <w:szCs w:val="17"/>
                <w:color w:val="auto"/>
              </w:rPr>
            </w:pPr>
          </w:p>
        </w:tc>
        <w:tc>
          <w:tcPr>
            <w:tcW w:w="920" w:type="dxa"/>
            <w:vAlign w:val="bottom"/>
          </w:tcPr>
          <w:p>
            <w:pPr>
              <w:jc w:val="right"/>
              <w:ind w:right="14"/>
              <w:spacing w:after="0"/>
              <w:rPr>
                <w:sz w:val="20"/>
                <w:szCs w:val="20"/>
                <w:color w:val="auto"/>
              </w:rPr>
            </w:pPr>
            <w:r>
              <w:rPr>
                <w:rFonts w:ascii="Arial" w:cs="Arial" w:eastAsia="Arial" w:hAnsi="Arial"/>
                <w:sz w:val="13"/>
                <w:szCs w:val="13"/>
                <w:color w:val="0000FF"/>
              </w:rPr>
              <w:t>06/21/2023</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5,300</w:t>
            </w: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rPr>
              <w:t>(2)</w:t>
            </w:r>
          </w:p>
        </w:tc>
        <w:tc>
          <w:tcPr>
            <w:tcW w:w="820" w:type="dxa"/>
            <w:vAlign w:val="bottom"/>
            <w:gridSpan w:val="3"/>
          </w:tcPr>
          <w:p>
            <w:pPr>
              <w:ind w:left="120"/>
              <w:spacing w:after="0"/>
              <w:rPr>
                <w:sz w:val="20"/>
                <w:szCs w:val="20"/>
                <w:color w:val="auto"/>
              </w:rPr>
            </w:pPr>
            <w:r>
              <w:rPr>
                <w:rFonts w:ascii="Arial" w:cs="Arial" w:eastAsia="Arial" w:hAnsi="Arial"/>
                <w:sz w:val="13"/>
                <w:szCs w:val="13"/>
                <w:color w:val="0000FF"/>
              </w:rPr>
              <w:t>06/21/2033</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ind w:left="40"/>
              <w:spacing w:after="0"/>
              <w:rPr>
                <w:sz w:val="20"/>
                <w:szCs w:val="20"/>
                <w:color w:val="auto"/>
              </w:rPr>
            </w:pPr>
            <w:r>
              <w:rPr>
                <w:rFonts w:ascii="Arial" w:cs="Arial" w:eastAsia="Arial" w:hAnsi="Arial"/>
                <w:sz w:val="17"/>
                <w:szCs w:val="17"/>
                <w:color w:val="0000FF"/>
              </w:rPr>
              <w:t>5,300</w:t>
            </w:r>
          </w:p>
        </w:tc>
        <w:tc>
          <w:tcPr>
            <w:tcW w:w="20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60"/>
              <w:spacing w:after="0"/>
              <w:rPr>
                <w:sz w:val="20"/>
                <w:szCs w:val="20"/>
                <w:color w:val="auto"/>
              </w:rPr>
            </w:pPr>
            <w:r>
              <w:rPr>
                <w:rFonts w:ascii="Arial" w:cs="Arial" w:eastAsia="Arial" w:hAnsi="Arial"/>
                <w:sz w:val="13"/>
                <w:szCs w:val="13"/>
                <w:color w:val="0000FF"/>
                <w:w w:val="98"/>
              </w:rPr>
              <w:t>5,300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2"/>
          </w:tcPr>
          <w:p>
            <w:pPr>
              <w:ind w:left="60"/>
              <w:spacing w:after="0" w:line="93"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line="93" w:lineRule="exact"/>
              <w:rPr>
                <w:sz w:val="20"/>
                <w:szCs w:val="20"/>
                <w:color w:val="auto"/>
              </w:rPr>
            </w:pPr>
            <w:r>
              <w:rPr>
                <w:rFonts w:ascii="Arial" w:cs="Arial" w:eastAsia="Arial" w:hAnsi="Arial"/>
                <w:sz w:val="10"/>
                <w:szCs w:val="10"/>
                <w:color w:val="0000FF"/>
              </w:rPr>
              <w:t>Stock</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-5925820</wp:posOffset>
            </wp:positionV>
            <wp:extent cx="7045325" cy="6080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0807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160" w:firstLine="5"/>
        <w:spacing w:after="0" w:line="29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 involved the Reporting Person's receipt of a grant of restricted stock units. The restricted stock units vest with respect to 100% of the shares underlying the restricted stock units on the earlier of (i) June 21, 2024 and (ii) the next annual meeting of the Issuer's stockholders. Each restricted stock unit represents a contingent right to receive one share of the Issuer's common stock.</w:t>
      </w: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with respect to 100% of the shares underlying the option on the earlier of (i) June 21, 2024 and (ii) the next annual meeting of the Issuer's stockholders.</w:t>
      </w:r>
    </w:p>
    <w:p>
      <w:pPr>
        <w:spacing w:after="0" w:line="5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Melissa Masse</w:t>
            </w:r>
          </w:p>
        </w:tc>
        <w:tc>
          <w:tcPr>
            <w:tcW w:w="780" w:type="dxa"/>
            <w:vAlign w:val="bottom"/>
          </w:tcPr>
          <w:p>
            <w:pPr>
              <w:spacing w:after="0"/>
              <w:rPr>
                <w:sz w:val="20"/>
                <w:szCs w:val="20"/>
                <w:color w:val="auto"/>
              </w:rPr>
            </w:pPr>
            <w:r>
              <w:rPr>
                <w:rFonts w:ascii="Arial" w:cs="Arial" w:eastAsia="Arial" w:hAnsi="Arial"/>
                <w:sz w:val="17"/>
                <w:szCs w:val="17"/>
                <w:color w:val="0000FF"/>
                <w:w w:val="89"/>
              </w:rPr>
              <w:t>06/23/2023</w:t>
            </w: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21"/>
          <w:szCs w:val="21"/>
          <w:b w:val="1"/>
          <w:bCs w:val="1"/>
          <w:color w:val="auto"/>
        </w:rPr>
        <w:t>LIMITED POWER OF ATTORNEY</w:t>
      </w:r>
    </w:p>
    <w:p>
      <w:pPr>
        <w:spacing w:after="0" w:line="210" w:lineRule="exact"/>
        <w:rPr>
          <w:sz w:val="20"/>
          <w:szCs w:val="20"/>
          <w:color w:val="auto"/>
        </w:rPr>
      </w:pPr>
    </w:p>
    <w:p>
      <w:pPr>
        <w:ind w:right="140" w:firstLine="631"/>
        <w:spacing w:after="0" w:line="286" w:lineRule="auto"/>
        <w:rPr>
          <w:sz w:val="20"/>
          <w:szCs w:val="20"/>
          <w:color w:val="auto"/>
        </w:rPr>
      </w:pPr>
      <w:r>
        <w:rPr>
          <w:rFonts w:ascii="Arial" w:cs="Arial" w:eastAsia="Arial" w:hAnsi="Arial"/>
          <w:sz w:val="20"/>
          <w:szCs w:val="20"/>
          <w:color w:val="auto"/>
        </w:rPr>
        <w:t>The undersigned hereby constitutes and appoints each of Tracey McCain, Ariel Hurley and Michael Landsittel, and each of them individually, and with full power of substitution, the undersigned’s true and lawful attorney-in-fact to:</w:t>
      </w:r>
    </w:p>
    <w:p>
      <w:pPr>
        <w:spacing w:after="0" w:line="136" w:lineRule="exact"/>
        <w:rPr>
          <w:sz w:val="20"/>
          <w:szCs w:val="20"/>
          <w:color w:val="auto"/>
        </w:rPr>
      </w:pPr>
    </w:p>
    <w:p>
      <w:pPr>
        <w:ind w:right="60" w:firstLine="637"/>
        <w:spacing w:after="0" w:line="256" w:lineRule="auto"/>
        <w:tabs>
          <w:tab w:leader="none" w:pos="1455"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7" w:lineRule="exact"/>
        <w:rPr>
          <w:rFonts w:ascii="Arial" w:cs="Arial" w:eastAsia="Arial" w:hAnsi="Arial"/>
          <w:sz w:val="20"/>
          <w:szCs w:val="20"/>
          <w:color w:val="auto"/>
        </w:rPr>
      </w:pPr>
    </w:p>
    <w:p>
      <w:pPr>
        <w:ind w:right="200" w:firstLine="637"/>
        <w:spacing w:after="0" w:line="243" w:lineRule="auto"/>
        <w:tabs>
          <w:tab w:leader="none" w:pos="1455" w:val="left"/>
        </w:tabs>
        <w:numPr>
          <w:ilvl w:val="0"/>
          <w:numId w:val="3"/>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9" w:lineRule="exact"/>
        <w:rPr>
          <w:rFonts w:ascii="Arial" w:cs="Arial" w:eastAsia="Arial" w:hAnsi="Arial"/>
          <w:sz w:val="21"/>
          <w:szCs w:val="21"/>
          <w:color w:val="auto"/>
        </w:rPr>
      </w:pPr>
    </w:p>
    <w:p>
      <w:pPr>
        <w:ind w:firstLine="637"/>
        <w:spacing w:after="0" w:line="278" w:lineRule="auto"/>
        <w:tabs>
          <w:tab w:leader="none" w:pos="1452"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45" w:lineRule="exact"/>
        <w:rPr>
          <w:sz w:val="20"/>
          <w:szCs w:val="20"/>
          <w:color w:val="auto"/>
        </w:rPr>
      </w:pPr>
    </w:p>
    <w:p>
      <w:pPr>
        <w:ind w:right="20" w:firstLine="605"/>
        <w:spacing w:after="0" w:line="273" w:lineRule="auto"/>
        <w:rPr>
          <w:sz w:val="20"/>
          <w:szCs w:val="20"/>
          <w:color w:val="auto"/>
        </w:rPr>
      </w:pPr>
      <w:r>
        <w:rPr>
          <w:rFonts w:ascii="Arial" w:cs="Arial" w:eastAsia="Arial" w:hAnsi="Arial"/>
          <w:sz w:val="19"/>
          <w:szCs w:val="19"/>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2" w:lineRule="exact"/>
        <w:rPr>
          <w:sz w:val="20"/>
          <w:szCs w:val="20"/>
          <w:color w:val="auto"/>
        </w:rPr>
      </w:pPr>
    </w:p>
    <w:p>
      <w:pPr>
        <w:ind w:right="20" w:firstLine="605"/>
        <w:spacing w:after="0" w:line="256" w:lineRule="auto"/>
        <w:rPr>
          <w:sz w:val="20"/>
          <w:szCs w:val="20"/>
          <w:color w:val="auto"/>
        </w:rPr>
      </w:pPr>
      <w:r>
        <w:rPr>
          <w:rFonts w:ascii="Arial" w:cs="Arial" w:eastAsia="Arial" w:hAnsi="Arial"/>
          <w:sz w:val="20"/>
          <w:szCs w:val="20"/>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68" w:lineRule="exact"/>
        <w:rPr>
          <w:sz w:val="20"/>
          <w:szCs w:val="20"/>
          <w:color w:val="auto"/>
        </w:rPr>
      </w:pPr>
    </w:p>
    <w:p>
      <w:pPr>
        <w:ind w:right="100" w:firstLine="605"/>
        <w:spacing w:after="0" w:line="248"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556895</wp:posOffset>
            </wp:positionV>
            <wp:extent cx="6965950" cy="92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6965950" cy="92075"/>
                    </a:xfrm>
                    <a:prstGeom prst="rect">
                      <a:avLst/>
                    </a:prstGeom>
                    <a:noFill/>
                  </pic:spPr>
                </pic:pic>
              </a:graphicData>
            </a:graphic>
          </wp:anchor>
        </w:drawing>
      </w:r>
    </w:p>
    <w:p>
      <w:pPr>
        <w:sectPr>
          <w:pgSz w:w="11900" w:h="16838" w:orient="portrait"/>
          <w:cols w:equalWidth="0" w:num="1">
            <w:col w:w="10920"/>
          </w:cols>
          <w:pgMar w:left="460" w:top="114" w:right="519" w:bottom="1440" w:gutter="0" w:footer="0" w:header="0"/>
        </w:sectPr>
      </w:pPr>
    </w:p>
    <w:bookmarkStart w:id="2" w:name="page3"/>
    <w:bookmarkEnd w:id="2"/>
    <w:p>
      <w:pPr>
        <w:spacing w:after="0" w:line="261" w:lineRule="auto"/>
        <w:rPr>
          <w:sz w:val="20"/>
          <w:szCs w:val="20"/>
          <w:color w:val="auto"/>
        </w:rPr>
      </w:pPr>
      <w:r>
        <w:rPr>
          <w:rFonts w:ascii="Arial" w:cs="Arial" w:eastAsia="Arial" w:hAnsi="Arial"/>
          <w:sz w:val="21"/>
          <w:szCs w:val="21"/>
          <w:color w:val="auto"/>
        </w:rPr>
        <w:t>holdings of and transactions in securities issued by the Company, unless earlier revoked by the undersigned in a signed writing delivered to the foregoing attorneys-in-fact.</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undersigned has caused this Power of Attorney to be executed as of June 23, 2022.</w:t>
      </w:r>
    </w:p>
    <w:p>
      <w:pPr>
        <w:spacing w:after="0" w:line="200" w:lineRule="exact"/>
        <w:rPr>
          <w:sz w:val="20"/>
          <w:szCs w:val="20"/>
          <w:color w:val="auto"/>
        </w:rPr>
      </w:pPr>
    </w:p>
    <w:p>
      <w:pPr>
        <w:spacing w:after="0" w:line="265" w:lineRule="exact"/>
        <w:rPr>
          <w:sz w:val="20"/>
          <w:szCs w:val="20"/>
          <w:color w:val="auto"/>
        </w:rPr>
      </w:pPr>
    </w:p>
    <w:p>
      <w:pPr>
        <w:ind w:left="5420"/>
        <w:spacing w:after="0"/>
        <w:tabs>
          <w:tab w:leader="none" w:pos="64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Habib Dable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10795</wp:posOffset>
            </wp:positionV>
            <wp:extent cx="2906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6"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Name: Habib Dable</w:t>
      </w:r>
    </w:p>
    <w:sectPr>
      <w:pgSz w:w="11900" w:h="16838" w:orient="portrait"/>
      <w:cols w:equalWidth="0" w:num="1">
        <w:col w:w="10680"/>
      </w:cols>
      <w:pgMar w:left="460" w:top="118"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8" Type="http://schemas.openxmlformats.org/officeDocument/2006/relationships/hyperlink" Target="http://www.sec.gov/cgi-bin/browse-edgar?action=getcompany&amp;CIK=0001690773" TargetMode="External"/><Relationship Id="rId9"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2023-06-23T18:07:19Z</dcterms:created>
  <dcterms:modified xsi:type="dcterms:W3CDTF">2023-06-23T18:07:19Z</dcterms:modified>
</cp:coreProperties>
</file>