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2247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2247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McCain Tracey 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EVP AND CHIEF LEGAL OFFICER</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03/01/2024</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12,500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65,692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03/01/2024</w:t>
            </w:r>
          </w:p>
        </w:tc>
        <w:tc>
          <w:tcPr>
            <w:tcW w:w="1140" w:type="dxa"/>
            <w:vAlign w:val="bottom"/>
          </w:tcPr>
          <w:p>
            <w:pPr>
              <w:spacing w:after="0"/>
              <w:rPr>
                <w:sz w:val="16"/>
                <w:szCs w:val="16"/>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03/01/2034</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12,500 restricted stock units under the Issuer's 2015 Stock Option and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1/48th of the shares underlying the option on April 1, 2024 and as to an additional 1/48th of the shares underlying the option each month thereafter.</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03/06/2024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27,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Tracey McCain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Tracey McCain</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8360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2024-03-06T15:38:43Z</dcterms:created>
  <dcterms:modified xsi:type="dcterms:W3CDTF">2024-03-06T15:38:43Z</dcterms:modified>
</cp:coreProperties>
</file>