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10"/>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4"/>
          </w:tcPr>
          <w:p>
            <w:pPr>
              <w:ind w:left="5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60" w:type="dxa"/>
            <w:vAlign w:val="bottom"/>
          </w:tcPr>
          <w:p>
            <w:pPr>
              <w:spacing w:after="0"/>
              <w:rPr>
                <w:sz w:val="20"/>
                <w:szCs w:val="20"/>
                <w:color w:val="auto"/>
              </w:rPr>
            </w:pPr>
            <w:r>
              <w:rPr>
                <w:rFonts w:ascii="Arial" w:cs="Arial" w:eastAsia="Arial" w:hAnsi="Arial"/>
                <w:sz w:val="18"/>
                <w:szCs w:val="18"/>
                <w:color w:val="0000FF"/>
              </w:rPr>
              <w:t>02210</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4"/>
                <w:szCs w:val="14"/>
                <w:color w:val="auto"/>
                <w:w w:val="94"/>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4"/>
          </w:tcPr>
          <w:p>
            <w:pPr>
              <w:jc w:val="center"/>
              <w:ind w:left="2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11/16/2015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23,785</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20.78</w:t>
            </w:r>
            <w:r>
              <w:rPr>
                <w:rFonts w:ascii="Arial" w:cs="Arial" w:eastAsia="Arial" w:hAnsi="Arial"/>
                <w:sz w:val="22"/>
                <w:szCs w:val="22"/>
                <w:color w:val="008000"/>
                <w:w w:val="84"/>
                <w:vertAlign w:val="superscript"/>
              </w:rPr>
              <w:t>(1)</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1,173,496</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11/16/2015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1,820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21.41</w:t>
            </w:r>
            <w:r>
              <w:rPr>
                <w:rFonts w:ascii="Arial" w:cs="Arial" w:eastAsia="Arial" w:hAnsi="Arial"/>
                <w:sz w:val="22"/>
                <w:szCs w:val="22"/>
                <w:color w:val="008000"/>
                <w:w w:val="84"/>
                <w:vertAlign w:val="superscript"/>
              </w:rPr>
              <w:t>(2)</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1,171,676</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11/16/2015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93"/>
              </w:rPr>
              <w:t>300</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22.02</w:t>
            </w:r>
          </w:p>
        </w:tc>
        <w:tc>
          <w:tcPr>
            <w:tcW w:w="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1,171,376</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560" w:type="dxa"/>
            <w:vAlign w:val="bottom"/>
            <w:gridSpan w:val="2"/>
          </w:tcPr>
          <w:p>
            <w:pPr>
              <w:jc w:val="right"/>
              <w:ind w:right="98"/>
              <w:spacing w:after="0"/>
              <w:rPr>
                <w:sz w:val="20"/>
                <w:szCs w:val="20"/>
                <w:color w:val="auto"/>
              </w:rPr>
            </w:pPr>
            <w:r>
              <w:rPr>
                <w:rFonts w:ascii="Arial" w:cs="Arial" w:eastAsia="Arial" w:hAnsi="Arial"/>
                <w:sz w:val="18"/>
                <w:szCs w:val="18"/>
                <w:color w:val="0000FF"/>
              </w:rPr>
              <w:t>11/16/2015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2,779</w:t>
            </w:r>
          </w:p>
        </w:tc>
        <w:tc>
          <w:tcPr>
            <w:tcW w:w="540" w:type="dxa"/>
            <w:vAlign w:val="bottom"/>
          </w:tcPr>
          <w:p>
            <w:pPr>
              <w:ind w:left="20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20.77</w:t>
            </w:r>
            <w:r>
              <w:rPr>
                <w:rFonts w:ascii="Arial" w:cs="Arial" w:eastAsia="Arial" w:hAnsi="Arial"/>
                <w:sz w:val="22"/>
                <w:szCs w:val="22"/>
                <w:color w:val="008000"/>
                <w:w w:val="84"/>
                <w:vertAlign w:val="superscript"/>
              </w:rPr>
              <w:t>(3)</w:t>
            </w:r>
          </w:p>
        </w:tc>
        <w:tc>
          <w:tcPr>
            <w:tcW w:w="1280" w:type="dxa"/>
            <w:vAlign w:val="bottom"/>
            <w:gridSpan w:val="3"/>
          </w:tcPr>
          <w:p>
            <w:pPr>
              <w:jc w:val="center"/>
              <w:spacing w:after="0"/>
              <w:rPr>
                <w:sz w:val="20"/>
                <w:szCs w:val="20"/>
                <w:color w:val="auto"/>
              </w:rPr>
            </w:pPr>
            <w:r>
              <w:rPr>
                <w:rFonts w:ascii="Arial" w:cs="Arial" w:eastAsia="Arial" w:hAnsi="Arial"/>
                <w:sz w:val="18"/>
                <w:szCs w:val="18"/>
                <w:color w:val="0000FF"/>
                <w:w w:val="89"/>
              </w:rPr>
              <w:t>1,168,597</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79"/>
              </w:rPr>
              <w:t>the</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jc w:val="center"/>
              <w:ind w:left="50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8"/>
              <w:spacing w:after="0" w:line="135" w:lineRule="exact"/>
              <w:rPr>
                <w:sz w:val="20"/>
                <w:szCs w:val="20"/>
                <w:color w:val="auto"/>
              </w:rPr>
            </w:pPr>
            <w:r>
              <w:rPr>
                <w:rFonts w:ascii="Arial" w:cs="Arial" w:eastAsia="Arial" w:hAnsi="Arial"/>
                <w:sz w:val="12"/>
                <w:szCs w:val="12"/>
                <w:b w:val="1"/>
                <w:bCs w:val="1"/>
                <w:color w:val="auto"/>
                <w:w w:val="93"/>
              </w:rPr>
              <w:t>8)</w:t>
            </w: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78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17805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4Code.  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6Exercisable.DateExercisableDate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7Title.Title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12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1420" w:type="dxa"/>
            <w:vAlign w:val="bottom"/>
            <w:gridSpan w:val="12"/>
          </w:tcPr>
          <w:p>
            <w:pPr>
              <w:ind w:left="40"/>
              <w:spacing w:after="0" w:line="68" w:lineRule="exact"/>
              <w:rPr>
                <w:sz w:val="20"/>
                <w:szCs w:val="20"/>
                <w:color w:val="auto"/>
              </w:rPr>
            </w:pPr>
            <w:r>
              <w:rPr>
                <w:rFonts w:ascii="Arial" w:cs="Arial" w:eastAsia="Arial" w:hAnsi="Arial"/>
                <w:sz w:val="7"/>
                <w:szCs w:val="7"/>
                <w:color w:val="008000"/>
              </w:rPr>
              <w:t>1. The price reported for this transaction is the weighted average price of multiple trades at prices ranging from $20.00 to $20.99. FMR LLC hereby undertakes to provide upon request by the Commission staff,</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40" w:type="dxa"/>
            <w:vAlign w:val="bottom"/>
          </w:tcPr>
          <w:p>
            <w:pPr>
              <w:spacing w:after="0"/>
              <w:rPr>
                <w:sz w:val="5"/>
                <w:szCs w:val="5"/>
                <w:color w:val="auto"/>
              </w:rPr>
            </w:pPr>
          </w:p>
        </w:tc>
        <w:tc>
          <w:tcPr>
            <w:tcW w:w="11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2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820" w:type="dxa"/>
            <w:vAlign w:val="bottom"/>
          </w:tcPr>
          <w:p>
            <w:pPr>
              <w:ind w:left="12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8140" w:type="dxa"/>
            <w:vAlign w:val="bottom"/>
            <w:gridSpan w:val="8"/>
          </w:tcPr>
          <w:p>
            <w:pPr>
              <w:ind w:left="40"/>
              <w:spacing w:after="0" w:line="81" w:lineRule="exact"/>
              <w:rPr>
                <w:sz w:val="20"/>
                <w:szCs w:val="20"/>
                <w:color w:val="auto"/>
              </w:rPr>
            </w:pPr>
            <w:r>
              <w:rPr>
                <w:rFonts w:ascii="Arial" w:cs="Arial" w:eastAsia="Arial" w:hAnsi="Arial"/>
                <w:sz w:val="9"/>
                <w:szCs w:val="9"/>
                <w:color w:val="008000"/>
              </w:rPr>
              <w:t>the issuer, or a security holder of the issuer full information regarding the number of shares and prices at which the transaction was effected.</w:t>
            </w:r>
          </w:p>
        </w:tc>
        <w:tc>
          <w:tcPr>
            <w:tcW w:w="740" w:type="dxa"/>
            <w:vAlign w:val="bottom"/>
          </w:tcPr>
          <w:p>
            <w:pPr>
              <w:spacing w:after="0"/>
              <w:rPr>
                <w:sz w:val="7"/>
                <w:szCs w:val="7"/>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Following</w:t>
            </w: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tcPr>
          <w:p>
            <w:pPr>
              <w:spacing w:after="0"/>
              <w:rPr>
                <w:sz w:val="6"/>
                <w:szCs w:val="6"/>
                <w:color w:val="auto"/>
              </w:rPr>
            </w:pPr>
          </w:p>
        </w:tc>
        <w:tc>
          <w:tcPr>
            <w:tcW w:w="760" w:type="dxa"/>
            <w:vAlign w:val="bottom"/>
          </w:tcPr>
          <w:p>
            <w:pPr>
              <w:ind w:left="20"/>
              <w:spacing w:after="0" w:line="79" w:lineRule="exact"/>
              <w:rPr>
                <w:sz w:val="20"/>
                <w:szCs w:val="20"/>
                <w:color w:val="auto"/>
              </w:rPr>
            </w:pPr>
            <w:r>
              <w:rPr>
                <w:rFonts w:ascii="Arial" w:cs="Arial" w:eastAsia="Arial" w:hAnsi="Arial"/>
                <w:sz w:val="9"/>
                <w:szCs w:val="9"/>
                <w:b w:val="1"/>
                <w:bCs w:val="1"/>
                <w:color w:val="auto"/>
              </w:rPr>
              <w:t>Security</w:t>
            </w: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(A) or</w:t>
            </w:r>
          </w:p>
        </w:tc>
        <w:tc>
          <w:tcPr>
            <w:tcW w:w="1540" w:type="dxa"/>
            <w:vAlign w:val="bottom"/>
          </w:tcPr>
          <w:p>
            <w:pPr>
              <w:spacing w:after="0"/>
              <w:rPr>
                <w:sz w:val="6"/>
                <w:szCs w:val="6"/>
                <w:color w:val="auto"/>
              </w:rPr>
            </w:pPr>
          </w:p>
        </w:tc>
        <w:tc>
          <w:tcPr>
            <w:tcW w:w="1120" w:type="dxa"/>
            <w:vAlign w:val="bottom"/>
          </w:tcPr>
          <w:p>
            <w:pPr>
              <w:ind w:left="100"/>
              <w:spacing w:after="0" w:line="79"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1"/>
          <w:szCs w:val="11"/>
          <w:color w:val="008000"/>
        </w:rPr>
        <w:t>2. The price reported for this transaction is the weighted average price of multiple trades</w:t>
      </w:r>
      <w:r>
        <w:rPr>
          <w:rFonts w:ascii="Arial" w:cs="Arial" w:eastAsia="Arial" w:hAnsi="Arial"/>
          <w:sz w:val="10"/>
          <w:szCs w:val="10"/>
          <w:b w:val="1"/>
          <w:bCs w:val="1"/>
          <w:color w:val="000000"/>
        </w:rPr>
        <w:t>Dis</w:t>
      </w:r>
      <w:r>
        <w:rPr>
          <w:rFonts w:ascii="Arial" w:cs="Arial" w:eastAsia="Arial" w:hAnsi="Arial"/>
          <w:sz w:val="11"/>
          <w:szCs w:val="11"/>
          <w:color w:val="008000"/>
        </w:rPr>
        <w:t>atprices</w:t>
      </w:r>
      <w:r>
        <w:rPr>
          <w:rFonts w:ascii="Arial" w:cs="Arial" w:eastAsia="Arial" w:hAnsi="Arial"/>
          <w:sz w:val="10"/>
          <w:szCs w:val="10"/>
          <w:b w:val="1"/>
          <w:bCs w:val="1"/>
          <w:color w:val="000000"/>
        </w:rPr>
        <w:t>osd</w:t>
      </w:r>
      <w:r>
        <w:rPr>
          <w:rFonts w:ascii="Arial" w:cs="Arial" w:eastAsia="Arial" w:hAnsi="Arial"/>
          <w:sz w:val="11"/>
          <w:szCs w:val="11"/>
          <w:color w:val="008000"/>
        </w:rPr>
        <w:t xml:space="preserve"> ranging from $21.01 to $21.82. FMR</w:t>
      </w:r>
      <w:r>
        <w:rPr>
          <w:rFonts w:ascii="Arial" w:cs="Arial" w:eastAsia="Arial" w:hAnsi="Arial"/>
          <w:sz w:val="10"/>
          <w:szCs w:val="10"/>
          <w:b w:val="1"/>
          <w:bCs w:val="1"/>
          <w:color w:val="000000"/>
        </w:rPr>
        <w:t>and 4)</w:t>
      </w:r>
      <w:r>
        <w:rPr>
          <w:rFonts w:ascii="Arial" w:cs="Arial" w:eastAsia="Arial" w:hAnsi="Arial"/>
          <w:sz w:val="11"/>
          <w:szCs w:val="11"/>
          <w:color w:val="008000"/>
        </w:rPr>
        <w:t>LLC hereby undertakes to provide</w:t>
      </w:r>
      <w:r>
        <w:rPr>
          <w:rFonts w:ascii="Arial" w:cs="Arial" w:eastAsia="Arial" w:hAnsi="Arial"/>
          <w:sz w:val="10"/>
          <w:szCs w:val="10"/>
          <w:b w:val="1"/>
          <w:bCs w:val="1"/>
          <w:color w:val="000000"/>
        </w:rPr>
        <w:t>Reported</w:t>
      </w:r>
      <w:r>
        <w:rPr>
          <w:rFonts w:ascii="Arial" w:cs="Arial" w:eastAsia="Arial" w:hAnsi="Arial"/>
          <w:sz w:val="11"/>
          <w:szCs w:val="11"/>
          <w:color w:val="008000"/>
        </w:rPr>
        <w:t>upon request by the Commission staff,</w:t>
      </w:r>
    </w:p>
    <w:tbl>
      <w:tblPr>
        <w:tblLayout w:type="fixed"/>
        <w:tblInd w:w="40" w:type="dxa"/>
        <w:tblCellMar>
          <w:top w:w="0" w:type="dxa"/>
          <w:left w:w="0" w:type="dxa"/>
          <w:bottom w:w="0" w:type="dxa"/>
          <w:right w:w="0" w:type="dxa"/>
        </w:tblCellMar>
      </w:tblPr>
      <w:tr>
        <w:trPr>
          <w:trHeight w:val="119"/>
        </w:trPr>
        <w:tc>
          <w:tcPr>
            <w:tcW w:w="8240" w:type="dxa"/>
            <w:vAlign w:val="bottom"/>
          </w:tcPr>
          <w:p>
            <w:pPr>
              <w:ind w:left="4740"/>
              <w:spacing w:after="0" w:line="119"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ind w:left="660"/>
              <w:spacing w:after="0" w:line="119" w:lineRule="exact"/>
              <w:rPr>
                <w:sz w:val="20"/>
                <w:szCs w:val="20"/>
                <w:color w:val="auto"/>
              </w:rPr>
            </w:pPr>
            <w:r>
              <w:rPr>
                <w:rFonts w:ascii="Arial" w:cs="Arial" w:eastAsia="Arial" w:hAnsi="Arial"/>
                <w:sz w:val="12"/>
                <w:szCs w:val="12"/>
                <w:b w:val="1"/>
                <w:bCs w:val="1"/>
                <w:color w:val="auto"/>
                <w:w w:val="99"/>
              </w:rPr>
              <w:t>Transaction(s)</w:t>
            </w:r>
          </w:p>
        </w:tc>
        <w:tc>
          <w:tcPr>
            <w:tcW w:w="0" w:type="dxa"/>
            <w:vAlign w:val="bottom"/>
          </w:tcPr>
          <w:p>
            <w:pPr>
              <w:spacing w:after="0"/>
              <w:rPr>
                <w:sz w:val="1"/>
                <w:szCs w:val="1"/>
                <w:color w:val="auto"/>
              </w:rPr>
            </w:pPr>
          </w:p>
        </w:tc>
      </w:tr>
      <w:tr>
        <w:trPr>
          <w:trHeight w:val="27"/>
        </w:trPr>
        <w:tc>
          <w:tcPr>
            <w:tcW w:w="8240" w:type="dxa"/>
            <w:vAlign w:val="bottom"/>
          </w:tcPr>
          <w:p>
            <w:pPr>
              <w:spacing w:after="0" w:line="27" w:lineRule="exact"/>
              <w:rPr>
                <w:sz w:val="20"/>
                <w:szCs w:val="20"/>
                <w:color w:val="auto"/>
              </w:rPr>
            </w:pPr>
            <w:r>
              <w:rPr>
                <w:rFonts w:ascii="Arial" w:cs="Arial" w:eastAsia="Arial" w:hAnsi="Arial"/>
                <w:sz w:val="3"/>
                <w:szCs w:val="3"/>
                <w:color w:val="008000"/>
              </w:rPr>
              <w:t>the issuer, or a security holder of the issuer full information regarding the number of shares and prices at which the transaction was effected.</w:t>
            </w:r>
          </w:p>
        </w:tc>
        <w:tc>
          <w:tcPr>
            <w:tcW w:w="1500" w:type="dxa"/>
            <w:vAlign w:val="bottom"/>
            <w:vMerge w:val="restart"/>
          </w:tcPr>
          <w:p>
            <w:pPr>
              <w:ind w:left="660"/>
              <w:spacing w:after="0" w:line="11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82"/>
        </w:trPr>
        <w:tc>
          <w:tcPr>
            <w:tcW w:w="8240" w:type="dxa"/>
            <w:vAlign w:val="bottom"/>
          </w:tcPr>
          <w:p>
            <w:pPr>
              <w:ind w:left="4740"/>
              <w:spacing w:after="0" w:line="82" w:lineRule="exact"/>
              <w:rPr>
                <w:sz w:val="20"/>
                <w:szCs w:val="20"/>
                <w:color w:val="auto"/>
              </w:rPr>
            </w:pPr>
            <w:r>
              <w:rPr>
                <w:rFonts w:ascii="Arial" w:cs="Arial" w:eastAsia="Arial" w:hAnsi="Arial"/>
                <w:sz w:val="9"/>
                <w:szCs w:val="9"/>
                <w:b w:val="1"/>
                <w:bCs w:val="1"/>
                <w:color w:val="auto"/>
              </w:rPr>
              <w:t>(Instr. 3, 4</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780" w:right="60" w:hanging="4739"/>
        <w:spacing w:after="0"/>
        <w:rPr>
          <w:sz w:val="20"/>
          <w:szCs w:val="20"/>
          <w:color w:val="auto"/>
        </w:rPr>
      </w:pPr>
      <w:r>
        <w:rPr>
          <w:rFonts w:ascii="Arial" w:cs="Arial" w:eastAsia="Arial" w:hAnsi="Arial"/>
          <w:sz w:val="11"/>
          <w:szCs w:val="11"/>
          <w:color w:val="008000"/>
        </w:rPr>
        <w:t xml:space="preserve">3. The price reported for this transaction is the weighted average price of multiple trades at prices ranging from $20.08 to $20.90. FMR LLC hereby undertakes to provide upon request by the Commission staff, </w:t>
      </w:r>
      <w:r>
        <w:rPr>
          <w:rFonts w:ascii="Arial" w:cs="Arial" w:eastAsia="Arial" w:hAnsi="Arial"/>
          <w:sz w:val="10"/>
          <w:szCs w:val="10"/>
          <w:b w:val="1"/>
          <w:bCs w:val="1"/>
          <w:color w:val="000000"/>
        </w:rPr>
        <w:t>and 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issuer, or a security holder of the issuer full information regarding the number of shares and prices at which the transaction was effected.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7580"/>
        <w:spacing w:after="0" w:line="181" w:lineRule="auto"/>
        <w:rPr>
          <w:sz w:val="20"/>
          <w:szCs w:val="20"/>
          <w:color w:val="auto"/>
        </w:rPr>
      </w:pPr>
      <w:r>
        <w:rPr>
          <w:rFonts w:ascii="Arial" w:cs="Arial" w:eastAsia="Arial" w:hAnsi="Arial"/>
          <w:sz w:val="8"/>
          <w:szCs w:val="8"/>
          <w:b w:val="1"/>
          <w:bCs w:val="1"/>
          <w:color w:val="auto"/>
        </w:rPr>
        <w:t>Amount</w:t>
      </w:r>
    </w:p>
    <w:p>
      <w:pPr>
        <w:ind w:left="7580" w:right="40" w:hanging="7535"/>
        <w:spacing w:after="0"/>
        <w:rPr>
          <w:sz w:val="20"/>
          <w:szCs w:val="20"/>
          <w:color w:val="auto"/>
        </w:rPr>
      </w:pPr>
      <w:r>
        <w:rPr>
          <w:rFonts w:ascii="Arial" w:cs="Arial" w:eastAsia="Arial" w:hAnsi="Arial"/>
          <w:sz w:val="12"/>
          <w:szCs w:val="12"/>
          <w:color w:val="008000"/>
        </w:rPr>
        <w:t xml:space="preserve">Remark 1: Edward C. Johnson 3d is a Director and the Chairman of FMR LLC and Abigail P. Johnson is a Director, the Vice Chairman, the Chief Executive Officer and the President of FMR LLC. Members of </w:t>
      </w:r>
      <w:r>
        <w:rPr>
          <w:rFonts w:ascii="Arial" w:cs="Arial" w:eastAsia="Arial" w:hAnsi="Arial"/>
          <w:sz w:val="11"/>
          <w:szCs w:val="11"/>
          <w:b w:val="1"/>
          <w:bCs w:val="1"/>
          <w:color w:val="000000"/>
        </w:rPr>
        <w:t>or</w:t>
      </w:r>
    </w:p>
    <w:p>
      <w:pPr>
        <w:ind w:left="40"/>
        <w:spacing w:after="0" w:line="195" w:lineRule="auto"/>
        <w:rPr>
          <w:sz w:val="20"/>
          <w:szCs w:val="20"/>
          <w:color w:val="auto"/>
        </w:rPr>
      </w:pPr>
      <w:r>
        <w:rPr>
          <w:rFonts w:ascii="Arial" w:cs="Arial" w:eastAsia="Arial" w:hAnsi="Arial"/>
          <w:sz w:val="8"/>
          <w:szCs w:val="8"/>
          <w:color w:val="008000"/>
        </w:rPr>
        <w:t>the family of Edward C. Johnson 3d, including Abigail P. Johnson, are the predominant owners, directly or through trusts, of Series B voting common shares of FMR LLC, representing 49% of the voting</w:t>
      </w:r>
    </w:p>
    <w:p>
      <w:pPr>
        <w:ind w:left="7580"/>
        <w:spacing w:after="0" w:line="195" w:lineRule="auto"/>
        <w:rPr>
          <w:sz w:val="20"/>
          <w:szCs w:val="20"/>
          <w:color w:val="auto"/>
        </w:rPr>
      </w:pPr>
      <w:r>
        <w:rPr>
          <w:rFonts w:ascii="Arial" w:cs="Arial" w:eastAsia="Arial" w:hAnsi="Arial"/>
          <w:sz w:val="9"/>
          <w:szCs w:val="9"/>
          <w:b w:val="1"/>
          <w:bCs w:val="1"/>
          <w:color w:val="auto"/>
        </w:rPr>
        <w:t>Number</w:t>
      </w:r>
    </w:p>
    <w:p>
      <w:pPr>
        <w:ind w:left="40"/>
        <w:spacing w:after="0" w:line="213" w:lineRule="auto"/>
        <w:rPr>
          <w:sz w:val="20"/>
          <w:szCs w:val="20"/>
          <w:color w:val="auto"/>
        </w:rPr>
      </w:pPr>
      <w:r>
        <w:rPr>
          <w:rFonts w:ascii="Arial" w:cs="Arial" w:eastAsia="Arial" w:hAnsi="Arial"/>
          <w:sz w:val="5"/>
          <w:szCs w:val="5"/>
          <w:color w:val="008000"/>
        </w:rPr>
        <w:t>power of FMR LLC. The Johnson family group and all other Series B shareholders have entered into a shareholders' voting agreement under which all Series B voting common shares will be voted in</w:t>
      </w:r>
    </w:p>
    <w:p>
      <w:pPr>
        <w:ind w:left="5560"/>
        <w:spacing w:after="0" w:line="185" w:lineRule="auto"/>
        <w:tabs>
          <w:tab w:leader="none" w:pos="6360" w:val="left"/>
          <w:tab w:leader="none" w:pos="7560" w:val="left"/>
        </w:tabs>
        <w:rPr>
          <w:sz w:val="20"/>
          <w:szCs w:val="20"/>
          <w:color w:val="auto"/>
        </w:rPr>
      </w:pPr>
      <w:r>
        <w:rPr>
          <w:rFonts w:ascii="Arial" w:cs="Arial" w:eastAsia="Arial" w:hAnsi="Arial"/>
          <w:sz w:val="11"/>
          <w:szCs w:val="11"/>
          <w:b w:val="1"/>
          <w:bCs w:val="1"/>
          <w:color w:val="auto"/>
        </w:rPr>
        <w:t>Date</w:t>
      </w:r>
      <w:r>
        <w:rPr>
          <w:sz w:val="20"/>
          <w:szCs w:val="20"/>
          <w:color w:val="auto"/>
        </w:rPr>
        <w:tab/>
      </w:r>
      <w:r>
        <w:rPr>
          <w:rFonts w:ascii="Arial" w:cs="Arial" w:eastAsia="Arial" w:hAnsi="Arial"/>
          <w:sz w:val="11"/>
          <w:szCs w:val="11"/>
          <w:b w:val="1"/>
          <w:bCs w:val="1"/>
          <w:color w:val="auto"/>
        </w:rPr>
        <w:t>Expiration</w:t>
      </w:r>
      <w:r>
        <w:rPr>
          <w:sz w:val="20"/>
          <w:szCs w:val="20"/>
          <w:color w:val="auto"/>
        </w:rPr>
        <w:tab/>
      </w:r>
      <w:r>
        <w:rPr>
          <w:rFonts w:ascii="Arial" w:cs="Arial" w:eastAsia="Arial" w:hAnsi="Arial"/>
          <w:sz w:val="11"/>
          <w:szCs w:val="11"/>
          <w:b w:val="1"/>
          <w:bCs w:val="1"/>
          <w:color w:val="auto"/>
        </w:rPr>
        <w:t>of</w:t>
      </w:r>
    </w:p>
    <w:p>
      <w:pPr>
        <w:ind w:left="40" w:right="180"/>
        <w:spacing w:after="0" w:line="238" w:lineRule="auto"/>
        <w:rPr>
          <w:sz w:val="20"/>
          <w:szCs w:val="20"/>
          <w:color w:val="auto"/>
        </w:rPr>
      </w:pPr>
      <w:r>
        <w:rPr>
          <w:rFonts w:ascii="Arial" w:cs="Arial" w:eastAsia="Arial" w:hAnsi="Arial"/>
          <w:sz w:val="10"/>
          <w:szCs w:val="10"/>
          <w:color w:val="008000"/>
        </w:rPr>
        <w:t>accordance with the majority vote of Series B voting common shares. Accordingly,</w:t>
      </w:r>
      <w:r>
        <w:rPr>
          <w:rFonts w:ascii="Arial" w:cs="Arial" w:eastAsia="Arial" w:hAnsi="Arial"/>
          <w:sz w:val="16"/>
          <w:szCs w:val="16"/>
          <w:b w:val="1"/>
          <w:bCs w:val="1"/>
          <w:color w:val="000000"/>
          <w:vertAlign w:val="subscript"/>
        </w:rPr>
        <w:t>CodeV</w:t>
      </w:r>
      <w:r>
        <w:rPr>
          <w:rFonts w:ascii="Arial" w:cs="Arial" w:eastAsia="Arial" w:hAnsi="Arial"/>
          <w:sz w:val="10"/>
          <w:szCs w:val="10"/>
          <w:color w:val="008000"/>
        </w:rPr>
        <w:t xml:space="preserve"> through</w:t>
      </w:r>
      <w:r>
        <w:rPr>
          <w:rFonts w:ascii="Arial" w:cs="Arial" w:eastAsia="Arial" w:hAnsi="Arial"/>
          <w:sz w:val="16"/>
          <w:szCs w:val="16"/>
          <w:b w:val="1"/>
          <w:bCs w:val="1"/>
          <w:color w:val="000000"/>
          <w:vertAlign w:val="subscript"/>
        </w:rPr>
        <w:t>(A)</w:t>
      </w:r>
      <w:r>
        <w:rPr>
          <w:rFonts w:ascii="Arial" w:cs="Arial" w:eastAsia="Arial" w:hAnsi="Arial"/>
          <w:sz w:val="10"/>
          <w:szCs w:val="10"/>
          <w:color w:val="008000"/>
        </w:rPr>
        <w:t xml:space="preserve"> their</w:t>
      </w:r>
      <w:r>
        <w:rPr>
          <w:rFonts w:ascii="Arial" w:cs="Arial" w:eastAsia="Arial" w:hAnsi="Arial"/>
          <w:sz w:val="16"/>
          <w:szCs w:val="16"/>
          <w:b w:val="1"/>
          <w:bCs w:val="1"/>
          <w:color w:val="000000"/>
          <w:vertAlign w:val="subscript"/>
        </w:rPr>
        <w:t>(D)</w:t>
      </w:r>
      <w:r>
        <w:rPr>
          <w:rFonts w:ascii="Arial" w:cs="Arial" w:eastAsia="Arial" w:hAnsi="Arial"/>
          <w:sz w:val="10"/>
          <w:szCs w:val="10"/>
          <w:color w:val="008000"/>
        </w:rPr>
        <w:t>ownership</w:t>
      </w:r>
      <w:r>
        <w:rPr>
          <w:rFonts w:ascii="Arial" w:cs="Arial" w:eastAsia="Arial" w:hAnsi="Arial"/>
          <w:sz w:val="16"/>
          <w:szCs w:val="16"/>
          <w:b w:val="1"/>
          <w:bCs w:val="1"/>
          <w:color w:val="000000"/>
          <w:vertAlign w:val="subscript"/>
        </w:rPr>
        <w:t>Exercisable</w:t>
      </w:r>
      <w:r>
        <w:rPr>
          <w:rFonts w:ascii="Arial" w:cs="Arial" w:eastAsia="Arial" w:hAnsi="Arial"/>
          <w:sz w:val="10"/>
          <w:szCs w:val="10"/>
          <w:color w:val="008000"/>
        </w:rPr>
        <w:t>ofvoting</w:t>
      </w:r>
      <w:r>
        <w:rPr>
          <w:rFonts w:ascii="Arial" w:cs="Arial" w:eastAsia="Arial" w:hAnsi="Arial"/>
          <w:sz w:val="16"/>
          <w:szCs w:val="16"/>
          <w:b w:val="1"/>
          <w:bCs w:val="1"/>
          <w:color w:val="000000"/>
          <w:vertAlign w:val="subscript"/>
        </w:rPr>
        <w:t>Date</w:t>
      </w:r>
      <w:r>
        <w:rPr>
          <w:rFonts w:ascii="Arial" w:cs="Arial" w:eastAsia="Arial" w:hAnsi="Arial"/>
          <w:sz w:val="10"/>
          <w:szCs w:val="10"/>
          <w:color w:val="008000"/>
        </w:rPr>
        <w:t>common shares</w:t>
      </w:r>
      <w:r>
        <w:rPr>
          <w:rFonts w:ascii="Arial" w:cs="Arial" w:eastAsia="Arial" w:hAnsi="Arial"/>
          <w:sz w:val="16"/>
          <w:szCs w:val="16"/>
          <w:b w:val="1"/>
          <w:bCs w:val="1"/>
          <w:color w:val="000000"/>
          <w:vertAlign w:val="subscript"/>
        </w:rPr>
        <w:t>Title</w:t>
      </w:r>
      <w:r>
        <w:rPr>
          <w:rFonts w:ascii="Arial" w:cs="Arial" w:eastAsia="Arial" w:hAnsi="Arial"/>
          <w:sz w:val="10"/>
          <w:szCs w:val="10"/>
          <w:color w:val="008000"/>
        </w:rPr>
        <w:t>and the</w:t>
      </w:r>
      <w:r>
        <w:rPr>
          <w:rFonts w:ascii="Arial" w:cs="Arial" w:eastAsia="Arial" w:hAnsi="Arial"/>
          <w:sz w:val="16"/>
          <w:szCs w:val="16"/>
          <w:b w:val="1"/>
          <w:bCs w:val="1"/>
          <w:color w:val="000000"/>
          <w:vertAlign w:val="subscript"/>
        </w:rPr>
        <w:t>Shares</w:t>
      </w:r>
      <w:r>
        <w:rPr>
          <w:rFonts w:ascii="Arial" w:cs="Arial" w:eastAsia="Arial" w:hAnsi="Arial"/>
          <w:sz w:val="10"/>
          <w:szCs w:val="10"/>
          <w:color w:val="008000"/>
        </w:rPr>
        <w:t>execution of the shareholders' voting agreement, members of the Johnson family may be deemed, under the Investment Company Act of 1940, to form a controlling group with respect to FMR LLC. The address of Edward C. Johnson 3d and Abigail P. Johnson is c/o FMR</w:t>
      </w:r>
    </w:p>
    <w:p>
      <w:pPr>
        <w:spacing w:after="0" w:line="1" w:lineRule="exact"/>
        <w:rPr>
          <w:sz w:val="20"/>
          <w:szCs w:val="20"/>
          <w:color w:val="auto"/>
        </w:rPr>
      </w:pPr>
    </w:p>
    <w:p>
      <w:pPr>
        <w:ind w:left="40" w:right="580"/>
        <w:spacing w:after="0" w:line="230" w:lineRule="auto"/>
        <w:rPr>
          <w:sz w:val="20"/>
          <w:szCs w:val="20"/>
          <w:color w:val="auto"/>
        </w:rPr>
      </w:pPr>
      <w:r>
        <w:rPr>
          <w:rFonts w:ascii="Arial" w:cs="Arial" w:eastAsia="Arial" w:hAnsi="Arial"/>
          <w:sz w:val="14"/>
          <w:szCs w:val="14"/>
          <w:color w:val="008000"/>
        </w:rPr>
        <w:t>LLC, 245 Summer Street, Boston, MA 02110. Remark 2: The filing of this statement shall not be deemed to be an admission that, for purposes of Section 16 of the Securities Exchange Act of 1934 or otherwise, the undersigned are the beneficial owners of any securities reported herein.</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Marc R. Bryant,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5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8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11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7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9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2019-12-09T03:24:22Z</dcterms:created>
  <dcterms:modified xsi:type="dcterms:W3CDTF">2019-12-09T03:24:22Z</dcterms:modified>
</cp:coreProperties>
</file>