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58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581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Murray Christopher 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346"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12/07/2023</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0000FF"/>
              </w:rPr>
              <w:t>CHIEF TECHNICAL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12/07/2023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29,495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12/07/2023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24,495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12/07/2023</w:t>
            </w:r>
          </w:p>
        </w:tc>
        <w:tc>
          <w:tcPr>
            <w:tcW w:w="1100" w:type="dxa"/>
            <w:vAlign w:val="bottom"/>
          </w:tcPr>
          <w:p>
            <w:pPr>
              <w:spacing w:after="0"/>
              <w:rPr>
                <w:sz w:val="16"/>
                <w:szCs w:val="16"/>
                <w:color w:val="auto"/>
              </w:rPr>
            </w:pPr>
          </w:p>
        </w:tc>
        <w:tc>
          <w:tcPr>
            <w:tcW w:w="6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w:t>
            </w:r>
          </w:p>
        </w:tc>
        <w:tc>
          <w:tcPr>
            <w:tcW w:w="760" w:type="dxa"/>
            <w:vAlign w:val="bottom"/>
            <w:gridSpan w:val="2"/>
          </w:tcPr>
          <w:p>
            <w:pPr>
              <w:jc w:val="center"/>
              <w:ind w:right="23"/>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03/01/2030</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13,000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June 5, 2023 in accordance with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1, 2020. This option vested with respect to 1/48th of the shares underlying the option on April 1, 2020 and as to an additional 1/48th of the shares underlying the option each month thereafter.</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2"/>
          <w:szCs w:val="32"/>
          <w:color w:val="0000FF"/>
          <w:vertAlign w:val="subscript"/>
        </w:rPr>
        <w:t>12/11/2023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8" w:lineRule="exact"/>
        <w:rPr>
          <w:sz w:val="20"/>
          <w:szCs w:val="20"/>
          <w:color w:val="auto"/>
        </w:rPr>
      </w:pPr>
    </w:p>
    <w:p>
      <w:pPr>
        <w:ind w:firstLine="627"/>
        <w:spacing w:after="0" w:line="239"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34"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91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Christopher Murray</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2023-12-11T16:15:18Z</dcterms:created>
  <dcterms:modified xsi:type="dcterms:W3CDTF">2023-12-11T16:15:18Z</dcterms:modified>
</cp:coreProperties>
</file>