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3914140</wp:posOffset>
            </wp:positionH>
            <wp:positionV relativeFrom="paragraph">
              <wp:posOffset>-19050</wp:posOffset>
            </wp:positionV>
            <wp:extent cx="200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91"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December 31,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4271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5"/>
          </w:tcPr>
          <w:p>
            <w:pPr>
              <w:jc w:val="center"/>
              <w:ind w:right="620"/>
              <w:spacing w:after="0"/>
              <w:rPr>
                <w:sz w:val="20"/>
                <w:szCs w:val="20"/>
                <w:color w:val="auto"/>
              </w:rPr>
            </w:pPr>
            <w:r>
              <w:rPr>
                <w:rFonts w:ascii="Arial" w:cs="Arial" w:eastAsia="Arial" w:hAnsi="Arial"/>
                <w:sz w:val="18"/>
                <w:szCs w:val="18"/>
                <w:color w:val="auto"/>
                <w:w w:val="93"/>
              </w:rPr>
              <w:t>CUSIP N</w:t>
            </w:r>
            <w:r>
              <w:rPr>
                <w:rFonts w:ascii="Arial" w:cs="Arial" w:eastAsia="Arial" w:hAnsi="Arial"/>
                <w:sz w:val="12"/>
                <w:szCs w:val="12"/>
                <w:color w:val="auto"/>
                <w:w w:val="93"/>
              </w:rPr>
              <w:t>O</w:t>
            </w:r>
            <w:r>
              <w:rPr>
                <w:rFonts w:ascii="Arial" w:cs="Arial" w:eastAsia="Arial" w:hAnsi="Arial"/>
                <w:sz w:val="18"/>
                <w:szCs w:val="18"/>
                <w:color w:val="auto"/>
                <w:w w:val="93"/>
              </w:rPr>
              <w:t>. 09627Y109</w:t>
            </w:r>
          </w:p>
        </w:tc>
        <w:tc>
          <w:tcPr>
            <w:tcW w:w="680" w:type="dxa"/>
            <w:vAlign w:val="bottom"/>
          </w:tcPr>
          <w:p>
            <w:pPr>
              <w:spacing w:after="0"/>
              <w:rPr>
                <w:sz w:val="22"/>
                <w:szCs w:val="22"/>
                <w:color w:val="auto"/>
              </w:rPr>
            </w:pPr>
          </w:p>
        </w:tc>
        <w:tc>
          <w:tcPr>
            <w:tcW w:w="42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2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2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color w:val="auto"/>
                <w:w w:val="98"/>
              </w:rPr>
              <w:t>NAME OF REPORTING PERSON</w:t>
            </w: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7"/>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Partner Fund Management, L.P.</w:t>
            </w: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7"/>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7"/>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gridSpan w:val="3"/>
          </w:tcPr>
          <w:p>
            <w:pPr>
              <w:jc w:val="center"/>
              <w:ind w:right="76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gridSpan w:val="3"/>
            <w:vMerge w:val="restart"/>
          </w:tcPr>
          <w:p>
            <w:pPr>
              <w:jc w:val="center"/>
              <w:ind w:right="76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3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799,951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gridSpan w:val="3"/>
            <w:vMerge w:val="restart"/>
          </w:tcPr>
          <w:p>
            <w:pPr>
              <w:jc w:val="center"/>
              <w:ind w:right="76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20" w:type="dxa"/>
            <w:vAlign w:val="bottom"/>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gridSpan w:val="3"/>
            <w:vMerge w:val="restart"/>
          </w:tcPr>
          <w:p>
            <w:pPr>
              <w:jc w:val="center"/>
              <w:ind w:right="76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3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7"/>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7"/>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vMerge w:val="restart"/>
          </w:tcPr>
          <w:p>
            <w:pPr>
              <w:ind w:left="740"/>
              <w:spacing w:after="0"/>
              <w:rPr>
                <w:sz w:val="20"/>
                <w:szCs w:val="20"/>
                <w:color w:val="auto"/>
              </w:rPr>
            </w:pPr>
            <w:r>
              <w:rPr>
                <w:rFonts w:ascii="Arial" w:cs="Arial" w:eastAsia="Arial" w:hAnsi="Arial"/>
                <w:sz w:val="18"/>
                <w:szCs w:val="18"/>
                <w:b w:val="1"/>
                <w:bCs w:val="1"/>
                <w:color w:val="auto"/>
                <w:w w:val="92"/>
              </w:rPr>
              <w:t>2.5%</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84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4"/>
          </w:tcPr>
          <w:p>
            <w:pPr>
              <w:ind w:left="740"/>
              <w:spacing w:after="0"/>
              <w:rPr>
                <w:sz w:val="20"/>
                <w:szCs w:val="20"/>
                <w:color w:val="auto"/>
              </w:rPr>
            </w:pPr>
            <w:r>
              <w:rPr>
                <w:rFonts w:ascii="Arial" w:cs="Arial" w:eastAsia="Arial" w:hAnsi="Arial"/>
                <w:sz w:val="18"/>
                <w:szCs w:val="18"/>
                <w:b w:val="1"/>
                <w:bCs w:val="1"/>
                <w:color w:val="auto"/>
              </w:rPr>
              <w:t>IA; PN</w:t>
            </w: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left="660" w:hanging="652"/>
        <w:spacing w:after="0" w:line="194" w:lineRule="auto"/>
        <w:tabs>
          <w:tab w:leader="none" w:pos="66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13G/A are based upon 32,307,556 shares of common stock outstanding according to the prospectus supplement filed by the issuer with the Securities and Exchange Commission on December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CUSIP No. 09627Y109</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2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3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6"/>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3"/>
              </w:rPr>
              <w:t>Partner Fund Management GP, LLC</w:t>
            </w: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3"/>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tcPr>
          <w:p>
            <w:pPr>
              <w:jc w:val="center"/>
              <w:ind w:right="67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42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799,951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ind w:left="6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42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gridSpan w:val="4"/>
          </w:tcPr>
          <w:p>
            <w:pPr>
              <w:spacing w:after="0"/>
              <w:rPr>
                <w:sz w:val="15"/>
                <w:szCs w:val="15"/>
                <w:color w:val="auto"/>
              </w:rPr>
            </w:pPr>
          </w:p>
        </w:tc>
        <w:tc>
          <w:tcPr>
            <w:tcW w:w="4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OO</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CUSIP No. 09627Y109</w:t>
            </w:r>
          </w:p>
        </w:tc>
        <w:tc>
          <w:tcPr>
            <w:tcW w:w="680" w:type="dxa"/>
            <w:vAlign w:val="bottom"/>
          </w:tcPr>
          <w:p>
            <w:pPr>
              <w:spacing w:after="0"/>
              <w:rPr>
                <w:sz w:val="22"/>
                <w:szCs w:val="22"/>
                <w:color w:val="auto"/>
              </w:rPr>
            </w:pPr>
          </w:p>
        </w:tc>
        <w:tc>
          <w:tcPr>
            <w:tcW w:w="42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4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2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w w:val="98"/>
              </w:rPr>
              <w:t>NAME OF REPORTING PERSON</w:t>
            </w: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Partner Investment Management, L.P.</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tcPr>
          <w:p>
            <w:pPr>
              <w:jc w:val="center"/>
              <w:ind w:right="67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3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10,635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20" w:type="dxa"/>
            <w:vAlign w:val="bottom"/>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3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Less than 0.1%</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gridSpan w:val="3"/>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IA; PN</w:t>
            </w: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CUSIP No. 09627Y109</w:t>
            </w:r>
          </w:p>
        </w:tc>
        <w:tc>
          <w:tcPr>
            <w:tcW w:w="680" w:type="dxa"/>
            <w:vAlign w:val="bottom"/>
          </w:tcPr>
          <w:p>
            <w:pPr>
              <w:spacing w:after="0"/>
              <w:rPr>
                <w:sz w:val="22"/>
                <w:szCs w:val="22"/>
                <w:color w:val="auto"/>
              </w:rPr>
            </w:pPr>
          </w:p>
        </w:tc>
        <w:tc>
          <w:tcPr>
            <w:tcW w:w="42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5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2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w w:val="98"/>
              </w:rPr>
              <w:t>NAME OF REPORTING PERSON</w:t>
            </w: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Partner Investment Management GP, LLC</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tcPr>
          <w:p>
            <w:pPr>
              <w:jc w:val="center"/>
              <w:ind w:right="67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3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10,635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20" w:type="dxa"/>
            <w:vAlign w:val="bottom"/>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3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Less than 0.1%</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gridSpan w:val="3"/>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OO</w:t>
            </w: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CUSIP No. 09627Y109</w:t>
            </w:r>
          </w:p>
        </w:tc>
        <w:tc>
          <w:tcPr>
            <w:tcW w:w="680" w:type="dxa"/>
            <w:vAlign w:val="bottom"/>
          </w:tcPr>
          <w:p>
            <w:pPr>
              <w:spacing w:after="0"/>
              <w:rPr>
                <w:sz w:val="22"/>
                <w:szCs w:val="22"/>
                <w:color w:val="auto"/>
              </w:rPr>
            </w:pPr>
          </w:p>
        </w:tc>
        <w:tc>
          <w:tcPr>
            <w:tcW w:w="42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6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2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w w:val="98"/>
              </w:rPr>
              <w:t>NAME OF REPORTING PERSON</w:t>
            </w: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Brian D. Grossman</w:t>
            </w: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U.S. Citizen</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tcPr>
          <w:p>
            <w:pPr>
              <w:jc w:val="center"/>
              <w:ind w:right="67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3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810,586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20" w:type="dxa"/>
            <w:vAlign w:val="bottom"/>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3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gridSpan w:val="3"/>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IN</w:t>
            </w: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CUSIP No. 09627Y109</w:t>
            </w:r>
          </w:p>
        </w:tc>
        <w:tc>
          <w:tcPr>
            <w:tcW w:w="680" w:type="dxa"/>
            <w:vAlign w:val="bottom"/>
          </w:tcPr>
          <w:p>
            <w:pPr>
              <w:spacing w:after="0"/>
              <w:rPr>
                <w:sz w:val="22"/>
                <w:szCs w:val="22"/>
                <w:color w:val="auto"/>
              </w:rPr>
            </w:pPr>
          </w:p>
        </w:tc>
        <w:tc>
          <w:tcPr>
            <w:tcW w:w="42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13G/A</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Page 7 of 13 Pages</w:t>
            </w:r>
          </w:p>
        </w:tc>
        <w:tc>
          <w:tcPr>
            <w:tcW w:w="18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2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1.</w:t>
            </w:r>
          </w:p>
        </w:tc>
        <w:tc>
          <w:tcPr>
            <w:tcW w:w="220" w:type="dxa"/>
            <w:vAlign w:val="bottom"/>
            <w:tcBorders>
              <w:right w:val="single" w:sz="8" w:color="auto"/>
            </w:tcBorders>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w w:val="98"/>
              </w:rPr>
              <w:t>NAME OF REPORTING PERSON</w:t>
            </w: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Christopher M. James</w:t>
            </w: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2.</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3.</w:t>
            </w:r>
          </w:p>
        </w:tc>
        <w:tc>
          <w:tcPr>
            <w:tcW w:w="220" w:type="dxa"/>
            <w:vAlign w:val="bottom"/>
            <w:tcBorders>
              <w:right w:val="single" w:sz="8" w:color="auto"/>
            </w:tcBorders>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4340" w:type="dxa"/>
            <w:vAlign w:val="bottom"/>
            <w:tcBorders>
              <w:bottom w:val="single" w:sz="8" w:color="auto"/>
            </w:tcBorders>
            <w:gridSpan w:val="2"/>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4.</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U.S. Citizen</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8"/>
              </w:rPr>
              <w:t>NUMBER OF</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Borders>
              <w:right w:val="single" w:sz="8" w:color="auto"/>
            </w:tcBorders>
          </w:tcPr>
          <w:p>
            <w:pPr>
              <w:jc w:val="center"/>
              <w:ind w:right="670"/>
              <w:spacing w:after="0" w:line="182"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52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3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810,586 shares</w:t>
            </w: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2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right w:val="single" w:sz="8" w:color="auto"/>
            </w:tcBorders>
            <w:vMerge w:val="restart"/>
          </w:tcPr>
          <w:p>
            <w:pPr>
              <w:jc w:val="center"/>
              <w:ind w:right="670"/>
              <w:spacing w:after="0" w:line="190"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34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right w:val="single" w:sz="8" w:color="auto"/>
            </w:tcBorders>
          </w:tcPr>
          <w:p>
            <w:pPr>
              <w:jc w:val="center"/>
              <w:ind w:right="67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20" w:type="dxa"/>
            <w:vAlign w:val="bottom"/>
          </w:tcPr>
          <w:p>
            <w:pPr>
              <w:ind w:left="74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Borders>
              <w:right w:val="single" w:sz="8" w:color="auto"/>
            </w:tcBorders>
            <w:vMerge w:val="restart"/>
          </w:tcPr>
          <w:p>
            <w:pPr>
              <w:jc w:val="center"/>
              <w:ind w:right="67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520" w:type="dxa"/>
            <w:vAlign w:val="bottom"/>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3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See Row 6 above</w:t>
            </w: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220" w:type="dxa"/>
            <w:vAlign w:val="bottom"/>
            <w:tcBorders>
              <w:right w:val="single" w:sz="8" w:color="auto"/>
            </w:tcBorders>
          </w:tcPr>
          <w:p>
            <w:pPr>
              <w:spacing w:after="0"/>
              <w:rPr>
                <w:sz w:val="23"/>
                <w:szCs w:val="23"/>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3"/>
              </w:rPr>
              <w:t>See Row 6 above</w:t>
            </w:r>
          </w:p>
        </w:tc>
        <w:tc>
          <w:tcPr>
            <w:tcW w:w="6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220" w:type="dxa"/>
            <w:vAlign w:val="bottom"/>
            <w:tcBorders>
              <w:bottom w:val="single" w:sz="8" w:color="auto"/>
              <w:right w:val="single" w:sz="8" w:color="auto"/>
            </w:tcBorders>
          </w:tcPr>
          <w:p>
            <w:pPr>
              <w:spacing w:after="0"/>
              <w:rPr>
                <w:sz w:val="24"/>
                <w:szCs w:val="24"/>
                <w:color w:val="auto"/>
              </w:rPr>
            </w:pPr>
          </w:p>
        </w:tc>
        <w:tc>
          <w:tcPr>
            <w:tcW w:w="7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220" w:type="dxa"/>
            <w:vAlign w:val="bottom"/>
            <w:tcBorders>
              <w:right w:val="single" w:sz="8" w:color="auto"/>
            </w:tcBorders>
          </w:tcPr>
          <w:p>
            <w:pPr>
              <w:spacing w:after="0"/>
              <w:rPr>
                <w:sz w:val="24"/>
                <w:szCs w:val="24"/>
                <w:color w:val="auto"/>
              </w:rPr>
            </w:pPr>
          </w:p>
        </w:tc>
        <w:tc>
          <w:tcPr>
            <w:tcW w:w="71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gridSpan w:val="3"/>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220" w:type="dxa"/>
            <w:vAlign w:val="bottom"/>
            <w:tcBorders>
              <w:right w:val="single" w:sz="8" w:color="auto"/>
            </w:tcBorders>
          </w:tcPr>
          <w:p>
            <w:pPr>
              <w:spacing w:after="0"/>
              <w:rPr>
                <w:sz w:val="23"/>
                <w:szCs w:val="23"/>
                <w:color w:val="auto"/>
              </w:rPr>
            </w:pPr>
          </w:p>
        </w:tc>
        <w:tc>
          <w:tcPr>
            <w:tcW w:w="28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IN</w:t>
            </w: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0" w:type="dxa"/>
            <w:vAlign w:val="bottom"/>
            <w:tcBorders>
              <w:top w:val="single" w:sz="8" w:color="auto"/>
              <w:left w:val="single" w:sz="8" w:color="auto"/>
              <w:right w:val="single" w:sz="8" w:color="auto"/>
            </w:tcBorders>
            <w:gridSpan w:val="2"/>
          </w:tcPr>
          <w:p>
            <w:pPr>
              <w:ind w:left="640"/>
              <w:spacing w:after="0"/>
              <w:rPr>
                <w:sz w:val="20"/>
                <w:szCs w:val="20"/>
                <w:color w:val="auto"/>
              </w:rPr>
            </w:pPr>
            <w:r>
              <w:rPr>
                <w:rFonts w:ascii="Arial" w:cs="Arial" w:eastAsia="Arial" w:hAnsi="Arial"/>
                <w:sz w:val="18"/>
                <w:szCs w:val="18"/>
                <w:color w:val="auto"/>
              </w:rPr>
              <w:t>CUSIP No. 09627Y109</w:t>
            </w:r>
          </w:p>
        </w:tc>
        <w:tc>
          <w:tcPr>
            <w:tcW w:w="2040" w:type="dxa"/>
            <w:vAlign w:val="bottom"/>
          </w:tcPr>
          <w:p>
            <w:pPr>
              <w:spacing w:after="0"/>
              <w:rPr>
                <w:sz w:val="22"/>
                <w:szCs w:val="22"/>
                <w:color w:val="auto"/>
              </w:rPr>
            </w:pPr>
          </w:p>
        </w:tc>
        <w:tc>
          <w:tcPr>
            <w:tcW w:w="28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8 of 13 Pages</w:t>
            </w:r>
          </w:p>
        </w:tc>
      </w:tr>
      <w:tr>
        <w:trPr>
          <w:trHeight w:val="27"/>
        </w:trPr>
        <w:tc>
          <w:tcPr>
            <w:tcW w:w="102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411"/>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02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Issuer</w:t>
            </w:r>
          </w:p>
        </w:tc>
        <w:tc>
          <w:tcPr>
            <w:tcW w:w="28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020" w:type="dxa"/>
            <w:vAlign w:val="bottom"/>
            <w:gridSpan w:val="2"/>
          </w:tcPr>
          <w:p>
            <w:pPr>
              <w:ind w:left="280"/>
              <w:spacing w:after="0"/>
              <w:rPr>
                <w:sz w:val="20"/>
                <w:szCs w:val="20"/>
                <w:color w:val="auto"/>
              </w:rPr>
            </w:pPr>
            <w:r>
              <w:rPr>
                <w:rFonts w:ascii="Arial" w:cs="Arial" w:eastAsia="Arial" w:hAnsi="Arial"/>
                <w:sz w:val="18"/>
                <w:szCs w:val="18"/>
                <w:color w:val="auto"/>
              </w:rPr>
              <w:t>Blueprint Medicines Corporation</w:t>
            </w:r>
          </w:p>
        </w:tc>
        <w:tc>
          <w:tcPr>
            <w:tcW w:w="28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020" w:type="dxa"/>
            <w:vAlign w:val="bottom"/>
            <w:gridSpan w:val="2"/>
          </w:tcPr>
          <w:p>
            <w:pPr>
              <w:ind w:left="280"/>
              <w:spacing w:after="0"/>
              <w:rPr>
                <w:sz w:val="20"/>
                <w:szCs w:val="20"/>
                <w:color w:val="auto"/>
              </w:rPr>
            </w:pPr>
            <w:r>
              <w:rPr>
                <w:rFonts w:ascii="Arial" w:cs="Arial" w:eastAsia="Arial" w:hAnsi="Arial"/>
                <w:sz w:val="18"/>
                <w:szCs w:val="18"/>
                <w:b w:val="1"/>
                <w:bCs w:val="1"/>
                <w:color w:val="auto"/>
                <w:w w:val="92"/>
              </w:rPr>
              <w:t>Address of Issuer’s Principal Executive Offices</w:t>
            </w:r>
          </w:p>
        </w:tc>
        <w:tc>
          <w:tcPr>
            <w:tcW w:w="28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6880" w:type="dxa"/>
            <w:vAlign w:val="bottom"/>
            <w:gridSpan w:val="3"/>
          </w:tcPr>
          <w:p>
            <w:pPr>
              <w:ind w:left="280"/>
              <w:spacing w:after="0"/>
              <w:rPr>
                <w:sz w:val="20"/>
                <w:szCs w:val="20"/>
                <w:color w:val="auto"/>
              </w:rPr>
            </w:pPr>
            <w:r>
              <w:rPr>
                <w:rFonts w:ascii="Arial" w:cs="Arial" w:eastAsia="Arial" w:hAnsi="Arial"/>
                <w:sz w:val="18"/>
                <w:szCs w:val="18"/>
                <w:color w:val="auto"/>
              </w:rPr>
              <w:t>38 Sidney Street, Suite 200, Cambridge, Massachusetts 02139</w:t>
            </w:r>
          </w:p>
        </w:tc>
        <w:tc>
          <w:tcPr>
            <w:tcW w:w="352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02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Person Filing</w:t>
            </w:r>
          </w:p>
        </w:tc>
        <w:tc>
          <w:tcPr>
            <w:tcW w:w="28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3"/>
              </w:rPr>
              <w:t>This Schedule 13G/A is being jointly filed by Partner Fund Management, L.P. (“PFM”), Partner Fund Management GP, LLC (“PFM-GP”),</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3"/>
              </w:rPr>
              <w:t>Partner Investment Management, L.P. (“PIM”), Partner Investment Management GP, LLC (“PIM-GP”), Brian D. Grossman (“Grossman”)</w:t>
            </w:r>
          </w:p>
        </w:tc>
      </w:tr>
      <w:tr>
        <w:trPr>
          <w:trHeight w:val="230"/>
        </w:trPr>
        <w:tc>
          <w:tcPr>
            <w:tcW w:w="1020" w:type="dxa"/>
            <w:vAlign w:val="bottom"/>
          </w:tcPr>
          <w:p>
            <w:pPr>
              <w:spacing w:after="0"/>
              <w:rPr>
                <w:sz w:val="20"/>
                <w:szCs w:val="20"/>
                <w:color w:val="auto"/>
              </w:rPr>
            </w:pPr>
          </w:p>
        </w:tc>
        <w:tc>
          <w:tcPr>
            <w:tcW w:w="10400" w:type="dxa"/>
            <w:vAlign w:val="bottom"/>
            <w:gridSpan w:val="4"/>
          </w:tcPr>
          <w:p>
            <w:pPr>
              <w:ind w:left="280"/>
              <w:spacing w:after="0"/>
              <w:rPr>
                <w:sz w:val="20"/>
                <w:szCs w:val="20"/>
                <w:color w:val="auto"/>
              </w:rPr>
            </w:pPr>
            <w:r>
              <w:rPr>
                <w:rFonts w:ascii="Arial" w:cs="Arial" w:eastAsia="Arial" w:hAnsi="Arial"/>
                <w:sz w:val="18"/>
                <w:szCs w:val="18"/>
                <w:color w:val="auto"/>
                <w:w w:val="94"/>
              </w:rPr>
              <w:t>and Christopher M. James (“James” and, collectively with PFM, PFM-GP, PIM, PIM-GP and Grossman, the “Reporting Persons”) with</w:t>
            </w:r>
          </w:p>
        </w:tc>
      </w:tr>
    </w:tbl>
    <w:p>
      <w:pPr>
        <w:ind w:left="1300" w:right="40"/>
        <w:spacing w:after="0" w:line="253" w:lineRule="auto"/>
        <w:rPr>
          <w:sz w:val="20"/>
          <w:szCs w:val="20"/>
          <w:color w:val="auto"/>
        </w:rPr>
      </w:pPr>
      <w:r>
        <w:rPr>
          <w:rFonts w:ascii="Arial" w:cs="Arial" w:eastAsia="Arial" w:hAnsi="Arial"/>
          <w:sz w:val="18"/>
          <w:szCs w:val="18"/>
          <w:color w:val="auto"/>
        </w:rPr>
        <w:t>respect to shares of common stock of the above-named issuer owned by PFM Healthcare Master Fund, L.P., a Cayman Islands limited partnership (“HCM”), PFM Healthcare Opportunities Master Fund, L.P., a Cayman Islands limited partnership (“HCOPP”), PFM Healthcare Principals Fund, L.P., a Delaware limited partnership (“HCP”), PFM Healthcare Emerging Growth Master Fund, L.P., a Cayman Islands limited partnership (“HEGM”), and PFM Oncology Opportunities Master Fund, L.P., a Cayman Islands limited partnership (“ONCOPP” and, collectively with HCM, HCOPP, HCP and HEGM, the “Funds”).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PFM is the investment advisor for HCM, HCOPP, HEGM and ONCOPP. PIM is the investment advisor for HCP. PFM-GP and PIM-GP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are, respectively, the general partners of PFM and PIM. Grossman is the portfolio manager for the health care strategy for the</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Funds. James is the chief investment officer for PIM and PFM and member manager of PFM-GP and PIM-GP.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filing of this statement shall not be construed as an admission that any of the Reporting Persons is the beneficial owner of any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The address of the principal business office of each of the Reporting Persons is c/o Partner Fund Management, L.P., 4 Embarcadero Center,</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Suite 3500, San Francisco, CA 94111.</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5"/>
              </w:rPr>
              <w:t>Each of PFM and PIM is organized as a limited partnership under the laws of the State of Delaware. Each of PFM-GP and PIM-GP is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9"/>
              </w:rPr>
              <w:t>organized as a limited liability company under the laws of the State of Delaware. Each of Grossman and James is a U.S. 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Common stock, $0.001 par value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09627Y109</w:t>
            </w:r>
          </w:p>
        </w:tc>
      </w:tr>
      <w:tr>
        <w:trPr>
          <w:trHeight w:val="675"/>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80" w:type="dxa"/>
            <w:vAlign w:val="bottom"/>
            <w:tcBorders>
              <w:top w:val="single" w:sz="8" w:color="auto"/>
              <w:left w:val="single" w:sz="8" w:color="auto"/>
            </w:tcBorders>
          </w:tcPr>
          <w:p>
            <w:pPr>
              <w:spacing w:after="0"/>
              <w:rPr>
                <w:sz w:val="22"/>
                <w:szCs w:val="22"/>
                <w:color w:val="auto"/>
              </w:rPr>
            </w:pPr>
          </w:p>
        </w:tc>
        <w:tc>
          <w:tcPr>
            <w:tcW w:w="2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09627Y109</w:t>
            </w:r>
          </w:p>
        </w:tc>
        <w:tc>
          <w:tcPr>
            <w:tcW w:w="4900" w:type="dxa"/>
            <w:vAlign w:val="bottom"/>
            <w:tcBorders>
              <w:right w:val="single" w:sz="8" w:color="auto"/>
            </w:tcBorders>
          </w:tcPr>
          <w:p>
            <w:pPr>
              <w:ind w:left="218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9 of 13 Pages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840" w:type="dxa"/>
            <w:vAlign w:val="bottom"/>
            <w:gridSpan w:val="3"/>
          </w:tcPr>
          <w:p>
            <w:pPr>
              <w:ind w:left="72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bl>
    <w:p>
      <w:pPr>
        <w:spacing w:after="0" w:line="169" w:lineRule="exact"/>
        <w:rPr>
          <w:sz w:val="20"/>
          <w:szCs w:val="20"/>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600" w:hanging="1295"/>
        <w:spacing w:after="0" w:line="223" w:lineRule="exact"/>
        <w:tabs>
          <w:tab w:leader="none" w:pos="1952"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3"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960" w:hanging="655"/>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7"/>
        </w:trPr>
        <w:tc>
          <w:tcPr>
            <w:tcW w:w="580" w:type="dxa"/>
            <w:vAlign w:val="bottom"/>
            <w:tcBorders>
              <w:top w:val="single" w:sz="8" w:color="auto"/>
              <w:left w:val="single" w:sz="8" w:color="auto"/>
            </w:tcBorders>
          </w:tcPr>
          <w:p>
            <w:pPr>
              <w:spacing w:after="0"/>
              <w:rPr>
                <w:sz w:val="22"/>
                <w:szCs w:val="22"/>
                <w:color w:val="auto"/>
              </w:rPr>
            </w:pPr>
          </w:p>
        </w:tc>
        <w:tc>
          <w:tcPr>
            <w:tcW w:w="2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No. 09627Y109</w:t>
            </w:r>
          </w:p>
        </w:tc>
        <w:tc>
          <w:tcPr>
            <w:tcW w:w="4900" w:type="dxa"/>
            <w:vAlign w:val="bottom"/>
            <w:tcBorders>
              <w:right w:val="single" w:sz="8" w:color="auto"/>
            </w:tcBorders>
          </w:tcPr>
          <w:p>
            <w:pPr>
              <w:ind w:left="218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10 of 13 Pages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20" w:type="dxa"/>
            <w:vAlign w:val="bottom"/>
          </w:tcPr>
          <w:p>
            <w:pPr>
              <w:ind w:left="720"/>
              <w:spacing w:after="0"/>
              <w:rPr>
                <w:sz w:val="20"/>
                <w:szCs w:val="20"/>
                <w:color w:val="auto"/>
              </w:rPr>
            </w:pPr>
            <w:r>
              <w:rPr>
                <w:rFonts w:ascii="Arial" w:cs="Arial" w:eastAsia="Arial" w:hAnsi="Arial"/>
                <w:sz w:val="18"/>
                <w:szCs w:val="18"/>
                <w:b w:val="1"/>
                <w:bCs w:val="1"/>
                <w:color w:val="auto"/>
              </w:rPr>
              <w:t>Ownership</w:t>
            </w:r>
          </w:p>
        </w:tc>
        <w:tc>
          <w:tcPr>
            <w:tcW w:w="490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202"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Fund Management, L.P. and Partner Fund Management GP,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PFM and PFM-GP may be deemed to beneficially own 799,951 shares of Common Stock.</w:t>
      </w:r>
    </w:p>
    <w:p>
      <w:pPr>
        <w:spacing w:after="0" w:line="225" w:lineRule="exact"/>
        <w:rPr>
          <w:rFonts w:ascii="Arial" w:cs="Arial" w:eastAsia="Arial" w:hAnsi="Arial"/>
          <w:sz w:val="18"/>
          <w:szCs w:val="18"/>
          <w:color w:val="auto"/>
        </w:rPr>
      </w:pPr>
    </w:p>
    <w:p>
      <w:pPr>
        <w:ind w:left="2600" w:right="460" w:hanging="647"/>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PFM and PFM-GP may be deemed to beneficially own constitutes approximately 2.5%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799,951</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799,951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Investment Management, L.P. and Partner Investment Management GP,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PIM and PIM-GP may be deemed to beneficially own 10,635 shares of Common Stock.</w:t>
      </w:r>
    </w:p>
    <w:p>
      <w:pPr>
        <w:spacing w:after="0" w:line="225" w:lineRule="exact"/>
        <w:rPr>
          <w:rFonts w:ascii="Arial" w:cs="Arial" w:eastAsia="Arial" w:hAnsi="Arial"/>
          <w:sz w:val="18"/>
          <w:szCs w:val="18"/>
          <w:color w:val="auto"/>
        </w:rPr>
      </w:pPr>
    </w:p>
    <w:p>
      <w:pPr>
        <w:ind w:left="2600" w:right="20" w:hanging="647"/>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PIM and PIM-GP may be deemed to beneficially own constitutes less than 0.1%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10,635</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7"/>
        </w:trPr>
        <w:tc>
          <w:tcPr>
            <w:tcW w:w="580" w:type="dxa"/>
            <w:vAlign w:val="bottom"/>
            <w:tcBorders>
              <w:top w:val="single" w:sz="8" w:color="auto"/>
              <w:left w:val="single" w:sz="8" w:color="auto"/>
            </w:tcBorders>
          </w:tcPr>
          <w:p>
            <w:pPr>
              <w:spacing w:after="0"/>
              <w:rPr>
                <w:sz w:val="22"/>
                <w:szCs w:val="22"/>
                <w:color w:val="auto"/>
              </w:rPr>
            </w:pPr>
          </w:p>
        </w:tc>
        <w:tc>
          <w:tcPr>
            <w:tcW w:w="20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CUSIP No. 09627Y109</w:t>
            </w:r>
          </w:p>
        </w:tc>
        <w:tc>
          <w:tcPr>
            <w:tcW w:w="420" w:type="dxa"/>
            <w:vAlign w:val="bottom"/>
            <w:tcBorders>
              <w:top w:val="single" w:sz="8" w:color="auto"/>
              <w:right w:val="single" w:sz="8" w:color="auto"/>
            </w:tcBorders>
          </w:tcPr>
          <w:p>
            <w:pPr>
              <w:spacing w:after="0"/>
              <w:rPr>
                <w:sz w:val="22"/>
                <w:szCs w:val="22"/>
                <w:color w:val="auto"/>
              </w:rPr>
            </w:pPr>
          </w:p>
        </w:tc>
        <w:tc>
          <w:tcPr>
            <w:tcW w:w="4900" w:type="dxa"/>
            <w:vAlign w:val="bottom"/>
            <w:tcBorders>
              <w:right w:val="single" w:sz="8" w:color="auto"/>
            </w:tcBorders>
          </w:tcPr>
          <w:p>
            <w:pPr>
              <w:ind w:left="218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11 of 13 Pages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gridSpan w:val="2"/>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426"/>
        </w:trPr>
        <w:tc>
          <w:tcPr>
            <w:tcW w:w="58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Arial" w:cs="Arial" w:eastAsia="Arial" w:hAnsi="Arial"/>
                <w:sz w:val="18"/>
                <w:szCs w:val="18"/>
                <w:color w:val="auto"/>
              </w:rPr>
              <w:t>C.</w:t>
            </w:r>
          </w:p>
        </w:tc>
        <w:tc>
          <w:tcPr>
            <w:tcW w:w="6180" w:type="dxa"/>
            <w:vAlign w:val="bottom"/>
            <w:gridSpan w:val="3"/>
          </w:tcPr>
          <w:p>
            <w:pPr>
              <w:ind w:left="240"/>
              <w:spacing w:after="0"/>
              <w:rPr>
                <w:sz w:val="20"/>
                <w:szCs w:val="20"/>
                <w:color w:val="auto"/>
              </w:rPr>
            </w:pPr>
            <w:r>
              <w:rPr>
                <w:rFonts w:ascii="Arial" w:cs="Arial" w:eastAsia="Arial" w:hAnsi="Arial"/>
                <w:sz w:val="18"/>
                <w:szCs w:val="18"/>
                <w:color w:val="auto"/>
              </w:rPr>
              <w:t>Brian D. Grossman</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840" w:type="dxa"/>
            <w:vAlign w:val="bottom"/>
            <w:gridSpan w:val="3"/>
          </w:tcPr>
          <w:p>
            <w:pPr>
              <w:ind w:left="20"/>
              <w:spacing w:after="0"/>
              <w:rPr>
                <w:sz w:val="20"/>
                <w:szCs w:val="20"/>
                <w:color w:val="auto"/>
              </w:rPr>
            </w:pPr>
            <w:r>
              <w:rPr>
                <w:rFonts w:ascii="Arial" w:cs="Arial" w:eastAsia="Arial" w:hAnsi="Arial"/>
                <w:sz w:val="18"/>
                <w:szCs w:val="18"/>
                <w:color w:val="auto"/>
              </w:rPr>
              <w:t>Grossman may be deemed to beneficially own 810,586 shares of Common Stock.</w:t>
            </w:r>
          </w:p>
        </w:tc>
      </w:tr>
      <w:tr>
        <w:trPr>
          <w:trHeight w:val="41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840" w:type="dxa"/>
            <w:vAlign w:val="bottom"/>
            <w:gridSpan w:val="3"/>
          </w:tcPr>
          <w:p>
            <w:pPr>
              <w:ind w:left="20"/>
              <w:spacing w:after="0"/>
              <w:rPr>
                <w:sz w:val="20"/>
                <w:szCs w:val="20"/>
                <w:color w:val="auto"/>
              </w:rPr>
            </w:pPr>
            <w:r>
              <w:rPr>
                <w:rFonts w:ascii="Arial" w:cs="Arial" w:eastAsia="Arial" w:hAnsi="Arial"/>
                <w:sz w:val="18"/>
                <w:szCs w:val="18"/>
                <w:color w:val="auto"/>
                <w:w w:val="94"/>
              </w:rPr>
              <w:t>The number of shares Grossman may be deemed to beneficially own constitutes approximately 2.5% of the Common</w:t>
            </w:r>
          </w:p>
        </w:tc>
      </w:t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Stock outstanding.</w:t>
            </w:r>
          </w:p>
        </w:tc>
        <w:tc>
          <w:tcPr>
            <w:tcW w:w="35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w:t>
            </w:r>
          </w:p>
        </w:tc>
        <w:tc>
          <w:tcPr>
            <w:tcW w:w="4900" w:type="dxa"/>
            <w:vAlign w:val="bottom"/>
          </w:tcPr>
          <w:p>
            <w:pPr>
              <w:ind w:left="240"/>
              <w:spacing w:after="0"/>
              <w:rPr>
                <w:sz w:val="20"/>
                <w:szCs w:val="20"/>
                <w:color w:val="auto"/>
              </w:rPr>
            </w:pPr>
            <w:r>
              <w:rPr>
                <w:rFonts w:ascii="Arial" w:cs="Arial" w:eastAsia="Arial" w:hAnsi="Arial"/>
                <w:sz w:val="18"/>
                <w:szCs w:val="18"/>
                <w:color w:val="auto"/>
              </w:rPr>
              <w:t>sole power to vote or to direct the vote: 0</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(ii)</w:t>
            </w:r>
          </w:p>
        </w:tc>
        <w:tc>
          <w:tcPr>
            <w:tcW w:w="4900" w:type="dxa"/>
            <w:vAlign w:val="bottom"/>
          </w:tcPr>
          <w:p>
            <w:pPr>
              <w:ind w:left="240"/>
              <w:spacing w:after="0"/>
              <w:rPr>
                <w:sz w:val="20"/>
                <w:szCs w:val="20"/>
                <w:color w:val="auto"/>
              </w:rPr>
            </w:pPr>
            <w:r>
              <w:rPr>
                <w:rFonts w:ascii="Arial" w:cs="Arial" w:eastAsia="Arial" w:hAnsi="Arial"/>
                <w:sz w:val="18"/>
                <w:szCs w:val="18"/>
                <w:color w:val="auto"/>
              </w:rPr>
              <w:t>shared power to vote or to direct the vote: 810,586</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(iii)</w:t>
            </w:r>
          </w:p>
        </w:tc>
        <w:tc>
          <w:tcPr>
            <w:tcW w:w="4900" w:type="dxa"/>
            <w:vAlign w:val="bottom"/>
          </w:tcPr>
          <w:p>
            <w:pPr>
              <w:ind w:left="240"/>
              <w:spacing w:after="0"/>
              <w:rPr>
                <w:sz w:val="20"/>
                <w:szCs w:val="20"/>
                <w:color w:val="auto"/>
              </w:rPr>
            </w:pPr>
            <w:r>
              <w:rPr>
                <w:rFonts w:ascii="Arial" w:cs="Arial" w:eastAsia="Arial" w:hAnsi="Arial"/>
                <w:sz w:val="18"/>
                <w:szCs w:val="18"/>
                <w:color w:val="auto"/>
              </w:rPr>
              <w:t>sole power to dispose or to direct the disposition of: 0</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(iv)</w:t>
            </w:r>
          </w:p>
        </w:tc>
        <w:tc>
          <w:tcPr>
            <w:tcW w:w="4900" w:type="dxa"/>
            <w:vAlign w:val="bottom"/>
          </w:tcPr>
          <w:p>
            <w:pPr>
              <w:ind w:left="240"/>
              <w:spacing w:after="0"/>
              <w:rPr>
                <w:sz w:val="20"/>
                <w:szCs w:val="20"/>
                <w:color w:val="auto"/>
              </w:rPr>
            </w:pPr>
            <w:r>
              <w:rPr>
                <w:rFonts w:ascii="Arial" w:cs="Arial" w:eastAsia="Arial" w:hAnsi="Arial"/>
                <w:sz w:val="18"/>
                <w:szCs w:val="18"/>
                <w:color w:val="auto"/>
                <w:w w:val="92"/>
              </w:rPr>
              <w:t>shared power to dispose or to direct the disposition of: 810,586</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Arial" w:cs="Arial" w:eastAsia="Arial" w:hAnsi="Arial"/>
                <w:sz w:val="18"/>
                <w:szCs w:val="18"/>
                <w:color w:val="auto"/>
              </w:rPr>
              <w:t>D.</w:t>
            </w:r>
          </w:p>
        </w:tc>
        <w:tc>
          <w:tcPr>
            <w:tcW w:w="6180" w:type="dxa"/>
            <w:vAlign w:val="bottom"/>
            <w:gridSpan w:val="3"/>
          </w:tcPr>
          <w:p>
            <w:pPr>
              <w:ind w:left="240"/>
              <w:spacing w:after="0"/>
              <w:rPr>
                <w:sz w:val="20"/>
                <w:szCs w:val="20"/>
                <w:color w:val="auto"/>
              </w:rPr>
            </w:pPr>
            <w:r>
              <w:rPr>
                <w:rFonts w:ascii="Arial" w:cs="Arial" w:eastAsia="Arial" w:hAnsi="Arial"/>
                <w:sz w:val="18"/>
                <w:szCs w:val="18"/>
                <w:color w:val="auto"/>
              </w:rPr>
              <w:t>Christopher M. James</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840" w:type="dxa"/>
            <w:vAlign w:val="bottom"/>
            <w:gridSpan w:val="3"/>
          </w:tcPr>
          <w:p>
            <w:pPr>
              <w:ind w:left="20"/>
              <w:spacing w:after="0"/>
              <w:rPr>
                <w:sz w:val="20"/>
                <w:szCs w:val="20"/>
                <w:color w:val="auto"/>
              </w:rPr>
            </w:pPr>
            <w:r>
              <w:rPr>
                <w:rFonts w:ascii="Arial" w:cs="Arial" w:eastAsia="Arial" w:hAnsi="Arial"/>
                <w:sz w:val="18"/>
                <w:szCs w:val="18"/>
                <w:color w:val="auto"/>
              </w:rPr>
              <w:t>James may be deemed to beneficially own 810,586 shares of Common Stock.</w:t>
            </w:r>
          </w:p>
        </w:tc>
      </w:tr>
      <w:tr>
        <w:trPr>
          <w:trHeight w:val="41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840" w:type="dxa"/>
            <w:vAlign w:val="bottom"/>
            <w:gridSpan w:val="3"/>
          </w:tcPr>
          <w:p>
            <w:pPr>
              <w:ind w:left="20"/>
              <w:spacing w:after="0"/>
              <w:rPr>
                <w:sz w:val="20"/>
                <w:szCs w:val="20"/>
                <w:color w:val="auto"/>
              </w:rPr>
            </w:pPr>
            <w:r>
              <w:rPr>
                <w:rFonts w:ascii="Arial" w:cs="Arial" w:eastAsia="Arial" w:hAnsi="Arial"/>
                <w:sz w:val="18"/>
                <w:szCs w:val="18"/>
                <w:color w:val="auto"/>
                <w:w w:val="92"/>
              </w:rPr>
              <w:t>The number of shares James may be deemed to beneficially own constitutes approximately 2.5% of the Common Stock</w:t>
            </w:r>
          </w:p>
        </w:tc>
      </w:t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outstanding.</w:t>
            </w:r>
          </w:p>
        </w:tc>
        <w:tc>
          <w:tcPr>
            <w:tcW w:w="35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w:t>
            </w:r>
          </w:p>
        </w:tc>
        <w:tc>
          <w:tcPr>
            <w:tcW w:w="4900" w:type="dxa"/>
            <w:vAlign w:val="bottom"/>
          </w:tcPr>
          <w:p>
            <w:pPr>
              <w:ind w:left="240"/>
              <w:spacing w:after="0"/>
              <w:rPr>
                <w:sz w:val="20"/>
                <w:szCs w:val="20"/>
                <w:color w:val="auto"/>
              </w:rPr>
            </w:pPr>
            <w:r>
              <w:rPr>
                <w:rFonts w:ascii="Arial" w:cs="Arial" w:eastAsia="Arial" w:hAnsi="Arial"/>
                <w:sz w:val="18"/>
                <w:szCs w:val="18"/>
                <w:color w:val="auto"/>
              </w:rPr>
              <w:t>sole power to vote or to direct the vote: 0</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(ii)</w:t>
            </w:r>
          </w:p>
        </w:tc>
        <w:tc>
          <w:tcPr>
            <w:tcW w:w="4900" w:type="dxa"/>
            <w:vAlign w:val="bottom"/>
          </w:tcPr>
          <w:p>
            <w:pPr>
              <w:ind w:left="240"/>
              <w:spacing w:after="0"/>
              <w:rPr>
                <w:sz w:val="20"/>
                <w:szCs w:val="20"/>
                <w:color w:val="auto"/>
              </w:rPr>
            </w:pPr>
            <w:r>
              <w:rPr>
                <w:rFonts w:ascii="Arial" w:cs="Arial" w:eastAsia="Arial" w:hAnsi="Arial"/>
                <w:sz w:val="18"/>
                <w:szCs w:val="18"/>
                <w:color w:val="auto"/>
              </w:rPr>
              <w:t>shared power to vote or to direct the vote: 810,586</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(iii)</w:t>
            </w:r>
          </w:p>
        </w:tc>
        <w:tc>
          <w:tcPr>
            <w:tcW w:w="4900" w:type="dxa"/>
            <w:vAlign w:val="bottom"/>
          </w:tcPr>
          <w:p>
            <w:pPr>
              <w:ind w:left="240"/>
              <w:spacing w:after="0"/>
              <w:rPr>
                <w:sz w:val="20"/>
                <w:szCs w:val="20"/>
                <w:color w:val="auto"/>
              </w:rPr>
            </w:pPr>
            <w:r>
              <w:rPr>
                <w:rFonts w:ascii="Arial" w:cs="Arial" w:eastAsia="Arial" w:hAnsi="Arial"/>
                <w:sz w:val="18"/>
                <w:szCs w:val="18"/>
                <w:color w:val="auto"/>
              </w:rPr>
              <w:t>sole power to dispose or to direct the disposition of: 0</w:t>
            </w:r>
          </w:p>
        </w:tc>
        <w:tc>
          <w:tcPr>
            <w:tcW w:w="35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(iv)</w:t>
            </w:r>
          </w:p>
        </w:tc>
        <w:tc>
          <w:tcPr>
            <w:tcW w:w="4900" w:type="dxa"/>
            <w:vAlign w:val="bottom"/>
          </w:tcPr>
          <w:p>
            <w:pPr>
              <w:ind w:left="240"/>
              <w:spacing w:after="0"/>
              <w:rPr>
                <w:sz w:val="20"/>
                <w:szCs w:val="20"/>
                <w:color w:val="auto"/>
              </w:rPr>
            </w:pPr>
            <w:r>
              <w:rPr>
                <w:rFonts w:ascii="Arial" w:cs="Arial" w:eastAsia="Arial" w:hAnsi="Arial"/>
                <w:sz w:val="18"/>
                <w:szCs w:val="18"/>
                <w:color w:val="auto"/>
                <w:w w:val="92"/>
              </w:rPr>
              <w:t>shared power to dispose or to direct the disposition of: 810,586</w:t>
            </w:r>
          </w:p>
        </w:tc>
        <w:tc>
          <w:tcPr>
            <w:tcW w:w="3520" w:type="dxa"/>
            <w:vAlign w:val="bottom"/>
          </w:tcPr>
          <w:p>
            <w:pPr>
              <w:spacing w:after="0"/>
              <w:rPr>
                <w:sz w:val="24"/>
                <w:szCs w:val="24"/>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320" w:type="dxa"/>
            <w:vAlign w:val="bottom"/>
            <w:gridSpan w:val="4"/>
          </w:tcPr>
          <w:p>
            <w:pPr>
              <w:ind w:left="72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5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840" w:type="dxa"/>
            <w:vAlign w:val="bottom"/>
            <w:gridSpan w:val="5"/>
          </w:tcPr>
          <w:p>
            <w:pPr>
              <w:ind w:left="72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30"/>
        </w:trPr>
        <w:tc>
          <w:tcPr>
            <w:tcW w:w="580" w:type="dxa"/>
            <w:vAlign w:val="bottom"/>
          </w:tcPr>
          <w:p>
            <w:pPr>
              <w:spacing w:after="0"/>
              <w:rPr>
                <w:sz w:val="20"/>
                <w:szCs w:val="20"/>
                <w:color w:val="auto"/>
              </w:rPr>
            </w:pPr>
          </w:p>
        </w:tc>
        <w:tc>
          <w:tcPr>
            <w:tcW w:w="7320" w:type="dxa"/>
            <w:vAlign w:val="bottom"/>
            <w:gridSpan w:val="4"/>
          </w:tcPr>
          <w:p>
            <w:pPr>
              <w:ind w:left="720"/>
              <w:spacing w:after="0"/>
              <w:rPr>
                <w:sz w:val="20"/>
                <w:szCs w:val="20"/>
                <w:color w:val="auto"/>
              </w:rPr>
            </w:pPr>
            <w:r>
              <w:rPr>
                <w:rFonts w:ascii="Arial" w:cs="Arial" w:eastAsia="Arial" w:hAnsi="Arial"/>
                <w:sz w:val="18"/>
                <w:szCs w:val="18"/>
                <w:color w:val="auto"/>
              </w:rPr>
              <w:t>than 5 percent of the class of securities, check the following x.</w:t>
            </w:r>
          </w:p>
        </w:tc>
        <w:tc>
          <w:tcPr>
            <w:tcW w:w="352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320" w:type="dxa"/>
            <w:vAlign w:val="bottom"/>
            <w:gridSpan w:val="4"/>
          </w:tcPr>
          <w:p>
            <w:pPr>
              <w:ind w:left="7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35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000" w:type="dxa"/>
            <w:vAlign w:val="bottom"/>
            <w:gridSpan w:val="2"/>
          </w:tcPr>
          <w:p>
            <w:pPr>
              <w:ind w:left="72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840" w:type="dxa"/>
            <w:vAlign w:val="bottom"/>
            <w:gridSpan w:val="5"/>
          </w:tcPr>
          <w:p>
            <w:pPr>
              <w:ind w:left="72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0"/>
        </w:trPr>
        <w:tc>
          <w:tcPr>
            <w:tcW w:w="580" w:type="dxa"/>
            <w:vAlign w:val="bottom"/>
          </w:tcPr>
          <w:p>
            <w:pPr>
              <w:spacing w:after="0"/>
              <w:rPr>
                <w:sz w:val="20"/>
                <w:szCs w:val="20"/>
                <w:color w:val="auto"/>
              </w:rPr>
            </w:pPr>
          </w:p>
        </w:tc>
        <w:tc>
          <w:tcPr>
            <w:tcW w:w="2000" w:type="dxa"/>
            <w:vAlign w:val="bottom"/>
            <w:gridSpan w:val="2"/>
          </w:tcPr>
          <w:p>
            <w:pPr>
              <w:ind w:left="720"/>
              <w:spacing w:after="0"/>
              <w:rPr>
                <w:sz w:val="20"/>
                <w:szCs w:val="20"/>
                <w:color w:val="auto"/>
              </w:rPr>
            </w:pPr>
            <w:r>
              <w:rPr>
                <w:rFonts w:ascii="Arial" w:cs="Arial" w:eastAsia="Arial" w:hAnsi="Arial"/>
                <w:sz w:val="18"/>
                <w:szCs w:val="18"/>
                <w:color w:val="auto"/>
                <w:w w:val="89"/>
              </w:rPr>
              <w:t>See Item 2 above</w:t>
            </w:r>
          </w:p>
        </w:tc>
        <w:tc>
          <w:tcPr>
            <w:tcW w:w="4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320" w:type="dxa"/>
            <w:vAlign w:val="bottom"/>
            <w:gridSpan w:val="4"/>
          </w:tcPr>
          <w:p>
            <w:pPr>
              <w:ind w:left="72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5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000" w:type="dxa"/>
            <w:vAlign w:val="bottom"/>
            <w:gridSpan w:val="2"/>
          </w:tcPr>
          <w:p>
            <w:pPr>
              <w:ind w:left="720"/>
              <w:spacing w:after="0"/>
              <w:rPr>
                <w:sz w:val="20"/>
                <w:szCs w:val="20"/>
                <w:color w:val="auto"/>
              </w:rPr>
            </w:pPr>
            <w:r>
              <w:rPr>
                <w:rFonts w:ascii="Arial" w:cs="Arial" w:eastAsia="Arial" w:hAnsi="Arial"/>
                <w:sz w:val="18"/>
                <w:szCs w:val="18"/>
                <w:color w:val="auto"/>
              </w:rPr>
              <w:t>Not Applicable</w:t>
            </w:r>
          </w:p>
        </w:tc>
        <w:tc>
          <w:tcPr>
            <w:tcW w:w="4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tcBorders>
          </w:tcPr>
          <w:p>
            <w:pPr>
              <w:spacing w:after="0"/>
              <w:rPr>
                <w:sz w:val="22"/>
                <w:szCs w:val="22"/>
                <w:color w:val="auto"/>
              </w:rPr>
            </w:pP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09627Y109</w:t>
            </w:r>
          </w:p>
        </w:tc>
        <w:tc>
          <w:tcPr>
            <w:tcW w:w="1420" w:type="dxa"/>
            <w:vAlign w:val="bottom"/>
          </w:tcPr>
          <w:p>
            <w:pPr>
              <w:spacing w:after="0"/>
              <w:rPr>
                <w:sz w:val="22"/>
                <w:szCs w:val="22"/>
                <w:color w:val="auto"/>
              </w:rPr>
            </w:pPr>
          </w:p>
        </w:tc>
        <w:tc>
          <w:tcPr>
            <w:tcW w:w="3480" w:type="dxa"/>
            <w:vAlign w:val="bottom"/>
            <w:tcBorders>
              <w:right w:val="single" w:sz="8" w:color="auto"/>
            </w:tcBorders>
          </w:tcPr>
          <w:p>
            <w:pPr>
              <w:ind w:left="76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12 of 13 Pages</w:t>
            </w: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411"/>
        </w:trPr>
        <w:tc>
          <w:tcPr>
            <w:tcW w:w="6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800" w:type="dxa"/>
            <w:vAlign w:val="bottom"/>
            <w:gridSpan w:val="2"/>
          </w:tcPr>
          <w:p>
            <w:pPr>
              <w:ind w:left="680"/>
              <w:spacing w:after="0"/>
              <w:rPr>
                <w:sz w:val="20"/>
                <w:szCs w:val="20"/>
                <w:color w:val="auto"/>
              </w:rPr>
            </w:pPr>
            <w:r>
              <w:rPr>
                <w:rFonts w:ascii="Arial" w:cs="Arial" w:eastAsia="Arial" w:hAnsi="Arial"/>
                <w:sz w:val="18"/>
                <w:szCs w:val="18"/>
                <w:b w:val="1"/>
                <w:bCs w:val="1"/>
                <w:color w:val="auto"/>
              </w:rPr>
              <w:t>Notice of Dissolution of Group</w:t>
            </w:r>
          </w:p>
        </w:tc>
        <w:tc>
          <w:tcPr>
            <w:tcW w:w="34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380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c>
          <w:tcPr>
            <w:tcW w:w="34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w w:val="96"/>
              </w:rPr>
              <w:t>Item 10</w:t>
            </w:r>
          </w:p>
        </w:tc>
        <w:tc>
          <w:tcPr>
            <w:tcW w:w="3800" w:type="dxa"/>
            <w:vAlign w:val="bottom"/>
            <w:gridSpan w:val="2"/>
          </w:tcPr>
          <w:p>
            <w:pPr>
              <w:ind w:left="680"/>
              <w:spacing w:after="0"/>
              <w:rPr>
                <w:sz w:val="20"/>
                <w:szCs w:val="20"/>
                <w:color w:val="auto"/>
              </w:rPr>
            </w:pPr>
            <w:r>
              <w:rPr>
                <w:rFonts w:ascii="Arial" w:cs="Arial" w:eastAsia="Arial" w:hAnsi="Arial"/>
                <w:sz w:val="18"/>
                <w:szCs w:val="18"/>
                <w:b w:val="1"/>
                <w:bCs w:val="1"/>
                <w:color w:val="auto"/>
              </w:rPr>
              <w:t>Certification</w:t>
            </w:r>
          </w:p>
        </w:tc>
        <w:tc>
          <w:tcPr>
            <w:tcW w:w="348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jc w:val="both"/>
        <w:ind w:left="1300" w:right="18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7"/>
        </w:trPr>
        <w:tc>
          <w:tcPr>
            <w:tcW w:w="300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CUSIP No. 09627Y109</w:t>
            </w:r>
          </w:p>
        </w:tc>
        <w:tc>
          <w:tcPr>
            <w:tcW w:w="4900" w:type="dxa"/>
            <w:vAlign w:val="bottom"/>
            <w:tcBorders>
              <w:right w:val="single" w:sz="8" w:color="auto"/>
            </w:tcBorders>
          </w:tcPr>
          <w:p>
            <w:pPr>
              <w:ind w:left="2180"/>
              <w:spacing w:after="0"/>
              <w:rPr>
                <w:sz w:val="20"/>
                <w:szCs w:val="20"/>
                <w:color w:val="auto"/>
              </w:rPr>
            </w:pPr>
            <w:r>
              <w:rPr>
                <w:rFonts w:ascii="Arial" w:cs="Arial" w:eastAsia="Arial" w:hAnsi="Arial"/>
                <w:sz w:val="18"/>
                <w:szCs w:val="18"/>
                <w:b w:val="1"/>
                <w:bCs w:val="1"/>
                <w:color w:val="auto"/>
              </w:rPr>
              <w:t>13G/A</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13 of 13 Pages</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PARTNER FUND MANAGEMENT, L.P.</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PARTNER FUND MANAGEMENT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spacing w:after="0"/>
              <w:rPr>
                <w:sz w:val="20"/>
                <w:szCs w:val="20"/>
                <w:color w:val="auto"/>
              </w:rPr>
            </w:pPr>
            <w:r>
              <w:rPr>
                <w:rFonts w:ascii="Arial" w:cs="Arial" w:eastAsia="Arial" w:hAnsi="Arial"/>
                <w:sz w:val="18"/>
                <w:szCs w:val="18"/>
                <w:color w:val="auto"/>
              </w:rPr>
              <w:t>Partner Fund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PARTNER INVESTMENT MANAGEMENT, L.P.</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PARTNER INVESTMENT MANAGEMENT GP,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40" w:type="dxa"/>
            <w:vAlign w:val="bottom"/>
          </w:tcPr>
          <w:p>
            <w:pPr>
              <w:ind w:left="620"/>
              <w:spacing w:after="0"/>
              <w:rPr>
                <w:sz w:val="20"/>
                <w:szCs w:val="20"/>
                <w:color w:val="auto"/>
              </w:rPr>
            </w:pPr>
            <w:r>
              <w:rPr>
                <w:rFonts w:ascii="Arial" w:cs="Arial" w:eastAsia="Arial" w:hAnsi="Arial"/>
                <w:sz w:val="18"/>
                <w:szCs w:val="18"/>
                <w:b w:val="1"/>
                <w:bCs w:val="1"/>
                <w:color w:val="auto"/>
              </w:rPr>
              <w:t>LLC</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spacing w:after="0"/>
              <w:rPr>
                <w:sz w:val="20"/>
                <w:szCs w:val="20"/>
                <w:color w:val="auto"/>
              </w:rPr>
            </w:pPr>
            <w:r>
              <w:rPr>
                <w:rFonts w:ascii="Arial" w:cs="Arial" w:eastAsia="Arial" w:hAnsi="Arial"/>
                <w:sz w:val="18"/>
                <w:szCs w:val="18"/>
                <w:color w:val="auto"/>
              </w:rPr>
              <w:t>Partner Investment Management GP, LLC,</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Darin Sadow, Authorized Signatory</w:t>
            </w:r>
          </w:p>
        </w:tc>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BRIAN D. GROSSMAN</w:t>
            </w:r>
          </w:p>
        </w:tc>
        <w:tc>
          <w:tcPr>
            <w:tcW w:w="6040" w:type="dxa"/>
            <w:vAlign w:val="bottom"/>
            <w:gridSpan w:val="4"/>
          </w:tcPr>
          <w:p>
            <w:pPr>
              <w:ind w:left="580"/>
              <w:spacing w:after="0"/>
              <w:rPr>
                <w:sz w:val="20"/>
                <w:szCs w:val="20"/>
                <w:color w:val="auto"/>
              </w:rPr>
            </w:pPr>
            <w:r>
              <w:rPr>
                <w:rFonts w:ascii="Arial" w:cs="Arial" w:eastAsia="Arial" w:hAnsi="Arial"/>
                <w:sz w:val="18"/>
                <w:szCs w:val="18"/>
                <w:b w:val="1"/>
                <w:bCs w:val="1"/>
                <w:color w:val="auto"/>
              </w:rPr>
              <w:t>CHRISTOPHER M. JAMES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Darin Sadow</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auto"/>
                <w:w w:val="91"/>
              </w:rPr>
              <w:t>Darin Sadow, attorney-in-fact</w:t>
            </w:r>
          </w:p>
        </w:tc>
        <w:tc>
          <w:tcPr>
            <w:tcW w:w="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2"/>
              </w:rPr>
              <w:t>*</w:t>
            </w:r>
          </w:p>
        </w:tc>
        <w:tc>
          <w:tcPr>
            <w:tcW w:w="258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w w:val="90"/>
              </w:rPr>
              <w:t>Darin Sadow, attorney-in-fact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660" w:right="180" w:hanging="652"/>
        <w:spacing w:after="0" w:line="209" w:lineRule="auto"/>
        <w:tabs>
          <w:tab w:leader="none" w:pos="660" w:val="left"/>
        </w:tabs>
        <w:numPr>
          <w:ilvl w:val="0"/>
          <w:numId w:val="5"/>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Darin Sadow is signing on behalf of Brian Grossman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68" w:lineRule="exact"/>
        <w:rPr>
          <w:sz w:val="20"/>
          <w:szCs w:val="20"/>
          <w:color w:val="auto"/>
        </w:rPr>
      </w:pPr>
    </w:p>
    <w:p>
      <w:pPr>
        <w:jc w:val="both"/>
        <w:ind w:left="660" w:hanging="652"/>
        <w:spacing w:after="0" w:line="209" w:lineRule="auto"/>
        <w:tabs>
          <w:tab w:leader="none" w:pos="660" w:val="left"/>
        </w:tabs>
        <w:numPr>
          <w:ilvl w:val="0"/>
          <w:numId w:val="6"/>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Darin Sadow is signing on behalf of Christopher M. James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2019-12-17T07:46:06Z</dcterms:created>
  <dcterms:modified xsi:type="dcterms:W3CDTF">2019-12-17T07:46:06Z</dcterms:modified>
</cp:coreProperties>
</file>