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Borisy Alexis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402" w:lineRule="auto"/>
        <w:rPr>
          <w:sz w:val="20"/>
          <w:szCs w:val="20"/>
          <w:color w:val="auto"/>
        </w:rPr>
      </w:pPr>
      <w:r>
        <w:rPr>
          <w:rFonts w:ascii="Arial" w:cs="Arial" w:eastAsia="Arial" w:hAnsi="Arial"/>
          <w:sz w:val="16"/>
          <w:szCs w:val="16"/>
          <w:color w:val="0000FF"/>
        </w:rPr>
        <w:t>C/O THIRD ROCK VENTURES, LLC 29 NEWBURY STREET, 3RD FLOOR</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02116</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Blueprint Medicines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BPMC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2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tcPr>
          <w:p>
            <w:pPr>
              <w:spacing w:after="0"/>
              <w:rPr>
                <w:sz w:val="10"/>
                <w:szCs w:val="10"/>
                <w:color w:val="auto"/>
              </w:rPr>
            </w:pPr>
          </w:p>
        </w:tc>
        <w:tc>
          <w:tcPr>
            <w:tcW w:w="16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320" w:type="dxa"/>
            <w:vAlign w:val="bottom"/>
            <w:gridSpan w:val="3"/>
          </w:tcPr>
          <w:p>
            <w:pPr>
              <w:ind w:left="80"/>
              <w:spacing w:after="0"/>
              <w:rPr>
                <w:sz w:val="20"/>
                <w:szCs w:val="20"/>
                <w:color w:val="auto"/>
              </w:rPr>
            </w:pPr>
            <w:r>
              <w:rPr>
                <w:rFonts w:ascii="Arial" w:cs="Arial" w:eastAsia="Arial" w:hAnsi="Arial"/>
                <w:sz w:val="18"/>
                <w:szCs w:val="18"/>
                <w:color w:val="0000FF"/>
              </w:rPr>
              <w:t>05/10/2018</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05/10/2018</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ind w:left="320"/>
              <w:spacing w:after="0"/>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780" w:type="dxa"/>
            <w:vAlign w:val="bottom"/>
            <w:gridSpan w:val="3"/>
            <w:vMerge w:val="restart"/>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460" w:type="dxa"/>
            <w:vAlign w:val="bottom"/>
          </w:tcPr>
          <w:p>
            <w:pPr>
              <w:spacing w:after="0"/>
              <w:rPr>
                <w:sz w:val="22"/>
                <w:szCs w:val="22"/>
                <w:color w:val="auto"/>
              </w:rPr>
            </w:pPr>
          </w:p>
        </w:tc>
        <w:tc>
          <w:tcPr>
            <w:tcW w:w="800" w:type="dxa"/>
            <w:vAlign w:val="bottom"/>
            <w:vMerge w:val="restart"/>
          </w:tcPr>
          <w:p>
            <w:pPr>
              <w:jc w:val="center"/>
              <w:ind w:right="440"/>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(2)</w:t>
            </w:r>
          </w:p>
        </w:tc>
        <w:tc>
          <w:tcPr>
            <w:tcW w:w="940" w:type="dxa"/>
            <w:vAlign w:val="bottom"/>
            <w:vMerge w:val="restart"/>
          </w:tcPr>
          <w:p>
            <w:pPr>
              <w:jc w:val="center"/>
              <w:ind w:right="52"/>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(3)</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20"/>
              <w:spacing w:after="0"/>
              <w:rPr>
                <w:sz w:val="20"/>
                <w:szCs w:val="20"/>
                <w:color w:val="auto"/>
              </w:rPr>
            </w:pPr>
            <w:r>
              <w:rPr>
                <w:rFonts w:ascii="Arial" w:cs="Arial" w:eastAsia="Arial" w:hAnsi="Arial"/>
                <w:sz w:val="18"/>
                <w:szCs w:val="18"/>
                <w:color w:val="0000FF"/>
                <w:w w:val="97"/>
              </w:rPr>
              <w:t>05/11/2018</w:t>
            </w: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vMerge w:val="restart"/>
          </w:tcPr>
          <w:p>
            <w:pPr>
              <w:ind w:left="180"/>
              <w:spacing w:after="0"/>
              <w:rPr>
                <w:sz w:val="20"/>
                <w:szCs w:val="20"/>
                <w:color w:val="auto"/>
              </w:rPr>
            </w:pPr>
            <w:r>
              <w:rPr>
                <w:rFonts w:ascii="Arial" w:cs="Arial" w:eastAsia="Arial" w:hAnsi="Arial"/>
                <w:sz w:val="14"/>
                <w:szCs w:val="14"/>
                <w:color w:val="0000FF"/>
              </w:rPr>
              <w:t>S</w:t>
            </w:r>
          </w:p>
        </w:tc>
        <w:tc>
          <w:tcPr>
            <w:tcW w:w="720" w:type="dxa"/>
            <w:vAlign w:val="bottom"/>
            <w:vMerge w:val="restart"/>
          </w:tcPr>
          <w:p>
            <w:pPr>
              <w:ind w:left="320"/>
              <w:spacing w:after="0"/>
              <w:rPr>
                <w:sz w:val="20"/>
                <w:szCs w:val="20"/>
                <w:color w:val="auto"/>
              </w:rPr>
            </w:pPr>
            <w:r>
              <w:rPr>
                <w:rFonts w:ascii="Arial" w:cs="Arial" w:eastAsia="Arial" w:hAnsi="Arial"/>
                <w:sz w:val="35"/>
                <w:szCs w:val="35"/>
                <w:color w:val="0000FF"/>
                <w:vertAlign w:val="subscript"/>
              </w:rPr>
              <w:t>0</w:t>
            </w:r>
            <w:r>
              <w:rPr>
                <w:rFonts w:ascii="Arial" w:cs="Arial" w:eastAsia="Arial" w:hAnsi="Arial"/>
                <w:sz w:val="11"/>
                <w:szCs w:val="11"/>
                <w:color w:val="008000"/>
              </w:rPr>
              <w:t>(4)</w:t>
            </w:r>
          </w:p>
        </w:tc>
        <w:tc>
          <w:tcPr>
            <w:tcW w:w="52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780" w:type="dxa"/>
            <w:vAlign w:val="bottom"/>
            <w:gridSpan w:val="3"/>
            <w:vMerge w:val="restart"/>
          </w:tcPr>
          <w:p>
            <w:pPr>
              <w:ind w:left="18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(4)</w:t>
            </w:r>
          </w:p>
        </w:tc>
        <w:tc>
          <w:tcPr>
            <w:tcW w:w="460" w:type="dxa"/>
            <w:vAlign w:val="bottom"/>
          </w:tcPr>
          <w:p>
            <w:pPr>
              <w:spacing w:after="0"/>
              <w:rPr>
                <w:sz w:val="22"/>
                <w:szCs w:val="22"/>
                <w:color w:val="auto"/>
              </w:rPr>
            </w:pPr>
          </w:p>
        </w:tc>
        <w:tc>
          <w:tcPr>
            <w:tcW w:w="800" w:type="dxa"/>
            <w:vAlign w:val="bottom"/>
            <w:vMerge w:val="restart"/>
          </w:tcPr>
          <w:p>
            <w:pPr>
              <w:jc w:val="center"/>
              <w:ind w:right="440"/>
              <w:spacing w:after="0"/>
              <w:rPr>
                <w:sz w:val="20"/>
                <w:szCs w:val="20"/>
                <w:color w:val="auto"/>
              </w:rPr>
            </w:pPr>
            <w:r>
              <w:rPr>
                <w:rFonts w:ascii="Arial" w:cs="Arial" w:eastAsia="Arial" w:hAnsi="Arial"/>
                <w:sz w:val="35"/>
                <w:szCs w:val="35"/>
                <w:color w:val="0000FF"/>
                <w:w w:val="83"/>
                <w:vertAlign w:val="subscript"/>
              </w:rPr>
              <w:t>0</w:t>
            </w:r>
            <w:r>
              <w:rPr>
                <w:rFonts w:ascii="Arial" w:cs="Arial" w:eastAsia="Arial" w:hAnsi="Arial"/>
                <w:sz w:val="11"/>
                <w:szCs w:val="11"/>
                <w:color w:val="008000"/>
                <w:w w:val="83"/>
              </w:rPr>
              <w:t>(5)</w:t>
            </w:r>
          </w:p>
        </w:tc>
        <w:tc>
          <w:tcPr>
            <w:tcW w:w="940" w:type="dxa"/>
            <w:vAlign w:val="bottom"/>
            <w:vMerge w:val="restart"/>
          </w:tcPr>
          <w:p>
            <w:pPr>
              <w:jc w:val="center"/>
              <w:ind w:right="52"/>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tcBorders>
              <w:top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48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spacing w:after="0"/>
              <w:rPr>
                <w:sz w:val="23"/>
                <w:szCs w:val="23"/>
                <w:color w:val="auto"/>
              </w:rPr>
            </w:pPr>
          </w:p>
        </w:tc>
        <w:tc>
          <w:tcPr>
            <w:tcW w:w="40" w:type="dxa"/>
            <w:vAlign w:val="bottom"/>
            <w:tcBorders>
              <w:top w:val="single" w:sz="8" w:color="2C2C2C"/>
            </w:tcBorders>
          </w:tcPr>
          <w:p>
            <w:pPr>
              <w:spacing w:after="0"/>
              <w:rPr>
                <w:sz w:val="23"/>
                <w:szCs w:val="23"/>
                <w:color w:val="auto"/>
              </w:rPr>
            </w:pPr>
          </w:p>
        </w:tc>
        <w:tc>
          <w:tcPr>
            <w:tcW w:w="1420" w:type="dxa"/>
            <w:vAlign w:val="bottom"/>
            <w:tcBorders>
              <w:top w:val="single" w:sz="8" w:color="2C2C2C"/>
            </w:tcBorders>
            <w:gridSpan w:val="3"/>
          </w:tcPr>
          <w:p>
            <w:pPr>
              <w:jc w:val="center"/>
              <w:ind w:left="34"/>
              <w:spacing w:after="0"/>
              <w:rPr>
                <w:sz w:val="20"/>
                <w:szCs w:val="20"/>
                <w:color w:val="auto"/>
              </w:rPr>
            </w:pPr>
            <w:r>
              <w:rPr>
                <w:rFonts w:ascii="Arial" w:cs="Arial" w:eastAsia="Arial" w:hAnsi="Arial"/>
                <w:sz w:val="18"/>
                <w:szCs w:val="18"/>
                <w:color w:val="0000FF"/>
                <w:w w:val="87"/>
              </w:rPr>
              <w:t>53,249</w:t>
            </w:r>
          </w:p>
        </w:tc>
        <w:tc>
          <w:tcPr>
            <w:tcW w:w="940" w:type="dxa"/>
            <w:vAlign w:val="bottom"/>
            <w:tcBorders>
              <w:top w:val="single" w:sz="8" w:color="2C2C2C"/>
            </w:tcBorders>
          </w:tcPr>
          <w:p>
            <w:pPr>
              <w:jc w:val="center"/>
              <w:ind w:right="32"/>
              <w:spacing w:after="0"/>
              <w:rPr>
                <w:sz w:val="20"/>
                <w:szCs w:val="20"/>
                <w:color w:val="auto"/>
              </w:rPr>
            </w:pPr>
            <w:r>
              <w:rPr>
                <w:rFonts w:ascii="Arial" w:cs="Arial" w:eastAsia="Arial" w:hAnsi="Arial"/>
                <w:sz w:val="18"/>
                <w:szCs w:val="18"/>
                <w:color w:val="0000FF"/>
                <w:w w:val="91"/>
              </w:rPr>
              <w:t>D</w:t>
            </w:r>
          </w:p>
        </w:tc>
        <w:tc>
          <w:tcPr>
            <w:tcW w:w="84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9"/>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74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May 10, 2018, Third Rock Ventures II, L.P. ("TRV II") sold (i) 210,000 shares of Common Stock of the Issuer in multiple transactions at prices ranging from $80.05 to $80.25, inclusive, at a weighted average price per share of $80.0503 and (ii) 200 shares of Common Stock of the Issuer at a price of $81.11 per share.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After the above transaction, TRV II owned 950,653 shares of Common Stock of the Issuer.</w:t>
      </w:r>
    </w:p>
    <w:p>
      <w:pPr>
        <w:spacing w:after="0" w:line="41"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a partner of Third Rock Ventures GP II, L.P., which is the general partner of the TRV II. The reporting person disclaims beneficial ownership over such shares, except to the extent of his pecuniary interest therein, if any, and this report shall not be deemed an admission that he is the beneficial owner of such shares.</w:t>
      </w:r>
    </w:p>
    <w:p>
      <w:pPr>
        <w:spacing w:after="0" w:line="30" w:lineRule="exact"/>
        <w:rPr>
          <w:rFonts w:ascii="Arial" w:cs="Arial" w:eastAsia="Arial" w:hAnsi="Arial"/>
          <w:sz w:val="14"/>
          <w:szCs w:val="14"/>
          <w:color w:val="008000"/>
        </w:rPr>
      </w:pPr>
    </w:p>
    <w:p>
      <w:pPr>
        <w:jc w:val="both"/>
        <w:ind w:left="40" w:right="8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May 11, 2018, TRV II sold (i) 71,778 shares of Common Stock of the Issuer in multiple transactions at prices ranging from $78.03 to $78.73, inclusive, at a weighted average price per share of $78.0398.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After the above transaction, TRV II owned 878,875 shares of Common Stock of the Issuer.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Alexis Borisy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05/14/2018</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9446"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2019-12-23T15:56:36Z</dcterms:created>
  <dcterms:modified xsi:type="dcterms:W3CDTF">2019-12-23T15:56:36Z</dcterms:modified>
</cp:coreProperties>
</file>