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tm2310790d1_8k.htm"/>
      <w:bookmarkStart w:id="1" w:name="kstm2310790d1_8k"/>
      <w:bookmarkEnd w:id="0"/>
      <w:bookmarkEnd w:id="1"/>
      <w:r>
        <w:rPr/>
        <w:t> </w:t>
      </w:r>
    </w:p>
    <w:p>
      <w:pPr>
        <w:pStyle w:val="TextBody"/>
        <w:rPr>
          <w:bdr w:val="single" w:sz="16" w:space="1" w:color="000000"/>
        </w:rPr>
      </w:pPr>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30328__20"/>
      <w:bookmarkEnd w:id="2"/>
      <w:r>
        <w:rPr>
          <w:rFonts w:ascii="Times New Roman;Times;Serif" w:hAnsi="Times New Roman;Times;Serif"/>
          <w:b/>
          <w:i w:val="false"/>
          <w:caps w:val="false"/>
          <w:smallCaps w:val="false"/>
          <w:sz w:val="36"/>
        </w:rPr>
        <w:t>8-K</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March 28, 2023</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3"/>
      <w:bookmarkEnd w:id="4"/>
      <w:r>
        <w:rPr>
          <w:rFonts w:ascii="Times New Roman;Times;Serif" w:hAnsi="Times New Roman;Times;Serif"/>
          <w:b/>
          <w:i w:val="false"/>
          <w:caps w:val="false"/>
          <w:smallCaps w:val="false"/>
          <w:sz w:val="36"/>
        </w:rPr>
        <w:t>Blueprint Medicines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tbl>
      <w:tblPr>
        <w:tblW w:w="6030" w:type="dxa"/>
        <w:jc w:val="left"/>
        <w:tblInd w:w="0" w:type="dxa"/>
        <w:tblCellMar>
          <w:top w:w="0" w:type="dxa"/>
          <w:left w:w="0" w:type="dxa"/>
          <w:bottom w:w="0" w:type="dxa"/>
          <w:right w:w="0" w:type="dxa"/>
        </w:tblCellMar>
      </w:tblPr>
      <w:tblGrid>
        <w:gridCol w:w="2165"/>
        <w:gridCol w:w="60"/>
        <w:gridCol w:w="221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7_edei--EntityFileNumber_c20230328"/>
            <w:bookmarkEnd w:id="6"/>
            <w:r>
              <w:rPr>
                <w:rFonts w:ascii="Times New Roman;Times;Serif" w:hAnsi="Times New Roman;Times;Serif"/>
                <w:b/>
                <w:i w:val="false"/>
                <w:caps w:val="false"/>
                <w:smallCaps w:val="false"/>
                <w:sz w:val="20"/>
              </w:rPr>
              <w:t>001-37359</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45 Sidney Street</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Cambridge, </w:t>
            </w:r>
            <w:bookmarkStart w:id="10" w:name="xdx_90E_edei--EntityAddressStateOrProvin"/>
            <w:bookmarkEnd w:id="10"/>
            <w:r>
              <w:rPr>
                <w:rFonts w:ascii="Times New Roman;Times;Serif" w:hAnsi="Times New Roman;Times;Serif"/>
                <w:b/>
                <w:i w:val="false"/>
                <w:caps w:val="false"/>
                <w:smallCaps w:val="false"/>
                <w:sz w:val="20"/>
              </w:rPr>
              <w:t>Massachusetts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C_edei--EntityAddressPostalZipCode"/>
            <w:bookmarkEnd w:id="11"/>
            <w:r>
              <w:rPr>
                <w:rFonts w:ascii="Times New Roman;Times;Serif" w:hAnsi="Times New Roman;Times;Serif"/>
                <w:b/>
                <w:i w:val="false"/>
                <w:caps w:val="false"/>
                <w:smallCaps w:val="false"/>
                <w:sz w:val="20"/>
              </w:rPr>
              <w:t>02139</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30328__20"/>
      <w:bookmarkEnd w:id="12"/>
      <w:r>
        <w:rPr>
          <w:rFonts w:ascii="Times New Roman;Times;Serif" w:hAnsi="Times New Roman;Times;Serif"/>
          <w:b/>
          <w:i w:val="false"/>
          <w:caps w:val="false"/>
          <w:smallCaps w:val="false"/>
          <w:sz w:val="20"/>
        </w:rPr>
        <w:t xml:space="preserve">617) </w:t>
      </w:r>
      <w:bookmarkStart w:id="13" w:name="xdx_900_edei--LocalPhoneNumber_c20230328"/>
      <w:bookmarkEnd w:id="13"/>
      <w:r>
        <w:rPr>
          <w:rFonts w:ascii="Times New Roman;Times;Serif" w:hAnsi="Times New Roman;Times;Serif"/>
          <w:b/>
          <w:i w:val="false"/>
          <w:caps w:val="false"/>
          <w:smallCaps w:val="false"/>
          <w:sz w:val="20"/>
        </w:rPr>
        <w:t>374-7580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caps w:val="false"/>
                <w:smallCaps w:val="false"/>
              </w:rPr>
            </w:pPr>
            <w:bookmarkStart w:id="14" w:name="xdx_902_edei--WrittenCommunications_c202"/>
            <w:bookmarkEnd w:id="14"/>
            <w:r>
              <w:rPr>
                <w:caps w:val="false"/>
                <w:smallCaps w:val="false"/>
              </w:rPr>
              <w:t>☐</w:t>
            </w:r>
          </w:p>
        </w:tc>
        <w:tc>
          <w:tcPr>
            <w:tcW w:w="9900" w:type="dxa"/>
            <w:tcBorders/>
            <w:shd w:fill="auto" w:val="clear"/>
            <w:vAlign w:val="center"/>
          </w:tcPr>
          <w:p>
            <w:pPr>
              <w:pStyle w:val="TableContents"/>
              <w:spacing w:before="0" w:after="283"/>
              <w:jc w:val="both"/>
              <w:rPr/>
            </w:pPr>
            <w:r>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5" w:name="xdx_902_edei--SolicitingMaterial_c202303"/>
            <w:bookmarkEnd w:id="15"/>
            <w:r>
              <w:rPr/>
              <w:t>☐</w:t>
            </w:r>
          </w:p>
        </w:tc>
        <w:tc>
          <w:tcPr>
            <w:tcW w:w="9900" w:type="dxa"/>
            <w:tcBorders/>
            <w:shd w:fill="auto" w:val="clear"/>
            <w:vAlign w:val="center"/>
          </w:tcPr>
          <w:p>
            <w:pPr>
              <w:pStyle w:val="TableContents"/>
              <w:spacing w:before="0" w:after="283"/>
              <w:jc w:val="both"/>
              <w:rPr/>
            </w:pPr>
            <w:r>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6" w:name="xdx_90E_edei--PreCommencementTenderOffer"/>
            <w:bookmarkEnd w:id="16"/>
            <w:r>
              <w:rPr/>
              <w:t>☐</w:t>
            </w:r>
          </w:p>
        </w:tc>
        <w:tc>
          <w:tcPr>
            <w:tcW w:w="9900" w:type="dxa"/>
            <w:tcBorders/>
            <w:shd w:fill="auto" w:val="clear"/>
            <w:vAlign w:val="center"/>
          </w:tcPr>
          <w:p>
            <w:pPr>
              <w:pStyle w:val="TableContents"/>
              <w:spacing w:before="0" w:after="283"/>
              <w:jc w:val="both"/>
              <w:rPr/>
            </w:pPr>
            <w:r>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bookmarkStart w:id="17" w:name="xdx_909_edei--PreCommencementIssuerTende"/>
            <w:bookmarkEnd w:id="17"/>
            <w:r>
              <w:rPr/>
              <w:t>☐</w:t>
            </w:r>
          </w:p>
        </w:tc>
        <w:tc>
          <w:tcPr>
            <w:tcW w:w="9900"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9_edei--EntityEmergingGrowthCompan"/>
      <w:bookmarkEnd w:id="1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pacing w:before="0" w:after="0"/>
        <w:ind w:left="0" w:right="0" w:hanging="0"/>
        <w:rPr>
          <w:caps w:val="false"/>
          <w:smallCaps w:val="false"/>
        </w:rPr>
      </w:pPr>
      <w:r>
        <w:rPr>
          <w:caps w:val="false"/>
          <w:smallCaps w:val="false"/>
        </w:rPr>
        <w:t> </w:t>
      </w:r>
    </w:p>
    <w:tbl>
      <w:tblPr>
        <w:tblW w:w="7740" w:type="dxa"/>
        <w:jc w:val="left"/>
        <w:tblInd w:w="0" w:type="dxa"/>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8_edei--Security12bTitle_c20230328"/>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A_edei--TradingSymbol_c20230328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4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980"/>
        <w:gridCol w:w="1445"/>
      </w:tblGrid>
      <w:tr>
        <w:trPr/>
        <w:tc>
          <w:tcPr>
            <w:tcW w:w="980" w:type="dxa"/>
            <w:tcBorders/>
            <w:shd w:fill="auto" w:val="clear"/>
            <w:vAlign w:val="center"/>
          </w:tcPr>
          <w:p>
            <w:pPr>
              <w:pStyle w:val="TableContents"/>
              <w:spacing w:before="0" w:after="283"/>
              <w:rPr>
                <w:b/>
              </w:rPr>
            </w:pPr>
            <w:r>
              <w:rPr>
                <w:b/>
              </w:rPr>
              <w:t>Item 8.01</w:t>
            </w:r>
          </w:p>
        </w:tc>
        <w:tc>
          <w:tcPr>
            <w:tcW w:w="1445" w:type="dxa"/>
            <w:tcBorders/>
            <w:shd w:fill="auto" w:val="clear"/>
            <w:vAlign w:val="center"/>
          </w:tcPr>
          <w:p>
            <w:pPr>
              <w:pStyle w:val="TableContents"/>
              <w:spacing w:before="0" w:after="283"/>
              <w:rPr>
                <w:b/>
              </w:rPr>
            </w:pPr>
            <w:r>
              <w:rPr>
                <w:b/>
              </w:rPr>
              <w:t>Other Events.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28, 2023, Blueprint Medicines Corporation (the “Company”) issued a press release announcing that the U.S. Food and Drug Administration lifted its partial clinical hold on the Phase 1/2 VELA trial of BLU-222. </w:t>
      </w:r>
      <w:r>
        <w:rPr>
          <w:rFonts w:ascii="Times New Roman;Times;Serif" w:hAnsi="Times New Roman;Times;Serif"/>
          <w:b w:val="false"/>
          <w:i w:val="false"/>
          <w:caps w:val="false"/>
          <w:smallCaps w:val="false"/>
          <w:sz w:val="20"/>
          <w:highlight w:val="white"/>
        </w:rPr>
        <w:t>A copy of the press release is filed herewith as Exhibit 99.1 to this Current Report on Form 8-K and incorporated herein by reference.</w:t>
      </w:r>
    </w:p>
    <w:p>
      <w:pPr>
        <w:pStyle w:val="TextBody"/>
        <w:spacing w:before="0" w:after="0"/>
        <w:ind w:left="0" w:right="0" w:hanging="0"/>
        <w:rPr>
          <w:caps w:val="false"/>
          <w:smallCaps w:val="false"/>
        </w:rPr>
      </w:pPr>
      <w:r>
        <w:rPr>
          <w:caps w:val="false"/>
          <w:smallCaps w:val="false"/>
        </w:rPr>
        <w:t> </w:t>
      </w:r>
    </w:p>
    <w:tbl>
      <w:tblPr>
        <w:tblW w:w="4540" w:type="dxa"/>
        <w:jc w:val="left"/>
        <w:tblInd w:w="0" w:type="dxa"/>
        <w:tblCellMar>
          <w:top w:w="0" w:type="dxa"/>
          <w:left w:w="0" w:type="dxa"/>
          <w:bottom w:w="0" w:type="dxa"/>
          <w:right w:w="0" w:type="dxa"/>
        </w:tblCellMar>
      </w:tblPr>
      <w:tblGrid>
        <w:gridCol w:w="980"/>
        <w:gridCol w:w="3560"/>
      </w:tblGrid>
      <w:tr>
        <w:trPr/>
        <w:tc>
          <w:tcPr>
            <w:tcW w:w="980" w:type="dxa"/>
            <w:tcBorders/>
            <w:shd w:fill="auto" w:val="clear"/>
            <w:vAlign w:val="center"/>
          </w:tcPr>
          <w:p>
            <w:pPr>
              <w:pStyle w:val="TableContents"/>
              <w:spacing w:before="0" w:after="283"/>
              <w:rPr>
                <w:b/>
              </w:rPr>
            </w:pPr>
            <w:r>
              <w:rPr>
                <w:b/>
              </w:rPr>
              <w:t>Item 9.01</w:t>
            </w:r>
          </w:p>
        </w:tc>
        <w:tc>
          <w:tcPr>
            <w:tcW w:w="3560" w:type="dxa"/>
            <w:tcBorders/>
            <w:shd w:fill="auto" w:val="clear"/>
            <w:vAlign w:val="center"/>
          </w:tcPr>
          <w:p>
            <w:pPr>
              <w:pStyle w:val="TableContents"/>
              <w:spacing w:before="0" w:after="283"/>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1050"/>
        <w:gridCol w:w="60"/>
        <w:gridCol w:w="9095"/>
      </w:tblGrid>
      <w:tr>
        <w:trPr/>
        <w:tc>
          <w:tcPr>
            <w:tcW w:w="1050" w:type="dxa"/>
            <w:tcBorders/>
            <w:shd w:fill="FFFFFF" w:val="clear"/>
            <w:vAlign w:val="center"/>
          </w:tcPr>
          <w:p>
            <w:pPr>
              <w:pStyle w:val="TableContents"/>
              <w:spacing w:before="0" w:after="283"/>
              <w:jc w:val="center"/>
              <w:rPr/>
            </w:pPr>
            <w:r>
              <w:rPr>
                <w:rFonts w:ascii="Times New Roman;Times;Serif" w:hAnsi="Times New Roman;Times;Serif"/>
                <w:b/>
                <w:color w:val="212529"/>
                <w:sz w:val="20"/>
              </w:rPr>
              <w:t>Exhibit No.</w:t>
            </w:r>
            <w:r>
              <w:rPr>
                <w:color w:val="212529"/>
              </w:rPr>
              <w:t> </w:t>
            </w:r>
          </w:p>
        </w:tc>
        <w:tc>
          <w:tcPr>
            <w:tcW w:w="60" w:type="dxa"/>
            <w:tcBorders/>
            <w:shd w:fill="FFFFFF" w:val="clear"/>
            <w:vAlign w:val="center"/>
          </w:tcPr>
          <w:p>
            <w:pPr>
              <w:pStyle w:val="TableContents"/>
              <w:spacing w:before="0" w:after="283"/>
              <w:rPr/>
            </w:pPr>
            <w:r>
              <w:rPr/>
              <w:t> </w:t>
            </w:r>
          </w:p>
        </w:tc>
        <w:tc>
          <w:tcPr>
            <w:tcW w:w="9095" w:type="dxa"/>
            <w:tcBorders/>
            <w:shd w:fill="FFFFFF" w:val="clear"/>
            <w:vAlign w:val="center"/>
          </w:tcPr>
          <w:p>
            <w:pPr>
              <w:pStyle w:val="TableContents"/>
              <w:spacing w:before="0" w:after="283"/>
              <w:rPr/>
            </w:pPr>
            <w:r>
              <w:rPr>
                <w:rFonts w:ascii="Times New Roman;Times;Serif" w:hAnsi="Times New Roman;Times;Serif"/>
                <w:b/>
                <w:color w:val="212529"/>
                <w:sz w:val="20"/>
              </w:rPr>
              <w:t>Description</w:t>
            </w:r>
            <w:r>
              <w:rPr>
                <w:color w:val="212529"/>
              </w:rPr>
              <w:t> </w:t>
            </w:r>
          </w:p>
        </w:tc>
      </w:tr>
      <w:tr>
        <w:trPr/>
        <w:tc>
          <w:tcPr>
            <w:tcW w:w="1050" w:type="dxa"/>
            <w:tcBorders/>
            <w:shd w:fill="FFFFFF" w:val="clear"/>
            <w:vAlign w:val="center"/>
          </w:tcPr>
          <w:p>
            <w:pPr>
              <w:pStyle w:val="TableContents"/>
              <w:spacing w:before="0" w:after="283"/>
              <w:jc w:val="center"/>
              <w:rPr/>
            </w:pPr>
            <w:hyperlink w:anchor="tm2310790d1_ex99-1.htm">
              <w:r>
                <w:rPr>
                  <w:rStyle w:val="InternetLink"/>
                  <w:rFonts w:ascii="Times New Roman;Times;Serif" w:hAnsi="Times New Roman;Times;Serif"/>
                  <w:color w:val="212529"/>
                  <w:sz w:val="20"/>
                </w:rPr>
                <w:t>99.1</w:t>
              </w:r>
            </w:hyperlink>
          </w:p>
        </w:tc>
        <w:tc>
          <w:tcPr>
            <w:tcW w:w="60" w:type="dxa"/>
            <w:tcBorders/>
            <w:shd w:fill="FFFFFF" w:val="clear"/>
            <w:vAlign w:val="center"/>
          </w:tcPr>
          <w:p>
            <w:pPr>
              <w:pStyle w:val="TableContents"/>
              <w:spacing w:before="0" w:after="283"/>
              <w:rPr/>
            </w:pPr>
            <w:r>
              <w:rPr/>
              <w:t> </w:t>
            </w:r>
          </w:p>
        </w:tc>
        <w:tc>
          <w:tcPr>
            <w:tcW w:w="9095" w:type="dxa"/>
            <w:tcBorders/>
            <w:shd w:fill="FFFFFF" w:val="clear"/>
            <w:vAlign w:val="center"/>
          </w:tcPr>
          <w:p>
            <w:pPr>
              <w:pStyle w:val="TableContents"/>
              <w:spacing w:before="0" w:after="283"/>
              <w:rPr/>
            </w:pPr>
            <w:hyperlink w:anchor="tm2310790d1_ex99-1.htm">
              <w:r>
                <w:rPr>
                  <w:rStyle w:val="InternetLink"/>
                  <w:rFonts w:ascii="Times New Roman;Times;Serif" w:hAnsi="Times New Roman;Times;Serif"/>
                  <w:sz w:val="20"/>
                </w:rPr>
                <w:t>Press release issued by Blueprint Medicines Corporation, dated March 28, 2023</w:t>
              </w:r>
            </w:hyperlink>
          </w:p>
        </w:tc>
      </w:tr>
      <w:tr>
        <w:trPr/>
        <w:tc>
          <w:tcPr>
            <w:tcW w:w="1050" w:type="dxa"/>
            <w:tcBorders/>
            <w:shd w:fill="FFFFFF" w:val="clear"/>
            <w:vAlign w:val="center"/>
          </w:tcPr>
          <w:p>
            <w:pPr>
              <w:pStyle w:val="TableContents"/>
              <w:spacing w:before="0" w:after="283"/>
              <w:jc w:val="center"/>
              <w:rPr>
                <w:rFonts w:ascii="Times New Roman;Times;Serif" w:hAnsi="Times New Roman;Times;Serif"/>
                <w:color w:val="212529"/>
                <w:sz w:val="20"/>
              </w:rPr>
            </w:pPr>
            <w:r>
              <w:rPr>
                <w:rFonts w:ascii="Times New Roman;Times;Serif" w:hAnsi="Times New Roman;Times;Serif"/>
                <w:color w:val="212529"/>
                <w:sz w:val="20"/>
              </w:rPr>
              <w:t>104 </w:t>
            </w:r>
          </w:p>
        </w:tc>
        <w:tc>
          <w:tcPr>
            <w:tcW w:w="60" w:type="dxa"/>
            <w:tcBorders/>
            <w:shd w:fill="FFFFFF" w:val="clear"/>
            <w:vAlign w:val="center"/>
          </w:tcPr>
          <w:p>
            <w:pPr>
              <w:pStyle w:val="TableContents"/>
              <w:spacing w:before="0" w:after="283"/>
              <w:rPr/>
            </w:pPr>
            <w:r>
              <w:rPr/>
              <w:t> </w:t>
            </w:r>
          </w:p>
        </w:tc>
        <w:tc>
          <w:tcPr>
            <w:tcW w:w="9095" w:type="dxa"/>
            <w:tcBorders/>
            <w:shd w:fill="FFFFFF" w:val="clear"/>
            <w:vAlign w:val="center"/>
          </w:tcPr>
          <w:p>
            <w:pPr>
              <w:pStyle w:val="TableContents"/>
              <w:spacing w:before="0" w:after="283"/>
              <w:rPr>
                <w:rFonts w:ascii="Times New Roman;Times;Serif" w:hAnsi="Times New Roman;Times;Serif"/>
                <w:color w:val="212529"/>
                <w:sz w:val="20"/>
              </w:rPr>
            </w:pPr>
            <w:r>
              <w:rPr>
                <w:rFonts w:ascii="Times New Roman;Times;Serif" w:hAnsi="Times New Roman;Times;Serif"/>
                <w:color w:val="212529"/>
                <w:sz w:val="20"/>
              </w:rPr>
              <w:t>Cover Page Interactive Data File (embedded within the Inline XBRL document and incorporated as Exhibit 101) </w:t>
            </w:r>
          </w:p>
        </w:tc>
      </w:tr>
    </w:tbl>
    <w:p>
      <w:pPr>
        <w:pStyle w:val="TextBody"/>
        <w:shd w:fill="FFFFFF" w:val="clear"/>
        <w:spacing w:before="0" w:after="0"/>
        <w:ind w:left="0" w:right="0" w:firstLine="720"/>
        <w:rPr>
          <w:caps w:val="false"/>
          <w:smallCaps w:val="false"/>
          <w:color w:val="212529"/>
        </w:rPr>
      </w:pPr>
      <w:r>
        <w:rPr>
          <w:caps w:val="false"/>
          <w:smallCaps w:val="false"/>
          <w:color w:val="212529"/>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634" w:type="dxa"/>
        <w:jc w:val="left"/>
        <w:tblInd w:w="0" w:type="dxa"/>
        <w:tblCellMar>
          <w:top w:w="0" w:type="dxa"/>
          <w:left w:w="0" w:type="dxa"/>
          <w:bottom w:w="0" w:type="dxa"/>
          <w:right w:w="0" w:type="dxa"/>
        </w:tblCellMar>
      </w:tblPr>
      <w:tblGrid>
        <w:gridCol w:w="1805"/>
        <w:gridCol w:w="524"/>
        <w:gridCol w:w="3305"/>
      </w:tblGrid>
      <w:tr>
        <w:trPr/>
        <w:tc>
          <w:tcPr>
            <w:tcW w:w="180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BLUEPRINT MEDICINES CORPORATION</w:t>
            </w:r>
          </w:p>
        </w:tc>
      </w:tr>
      <w:tr>
        <w:trPr/>
        <w:tc>
          <w:tcPr>
            <w:tcW w:w="1805" w:type="dxa"/>
            <w:tcBorders/>
            <w:shd w:fill="auto" w:val="clear"/>
            <w:vAlign w:val="center"/>
          </w:tcPr>
          <w:p>
            <w:pPr>
              <w:pStyle w:val="TableContents"/>
              <w:spacing w:before="0" w:after="283"/>
              <w:rPr/>
            </w:pPr>
            <w:r>
              <w:rPr/>
              <w:t> </w:t>
            </w:r>
          </w:p>
        </w:tc>
        <w:tc>
          <w:tcPr>
            <w:tcW w:w="3829" w:type="dxa"/>
            <w:gridSpan w:val="2"/>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28, 2023</w:t>
            </w:r>
          </w:p>
        </w:tc>
        <w:tc>
          <w:tcPr>
            <w:tcW w:w="5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05" w:type="dxa"/>
            <w:tcBorders>
              <w:bottom w:val="single" w:sz="8" w:space="0" w:color="000000"/>
            </w:tcBorders>
            <w:shd w:fill="auto" w:val="clear"/>
            <w:tcMar>
              <w:bottom w:w="28" w:type="dxa"/>
            </w:tcMar>
            <w:vAlign w:val="center"/>
          </w:tcPr>
          <w:p>
            <w:pPr>
              <w:pStyle w:val="TableContents"/>
              <w:spacing w:before="0" w:after="283"/>
              <w:rPr/>
            </w:pPr>
            <w:r>
              <w:rPr/>
              <w:t>/s/ Kathryn Haviland</w:t>
            </w:r>
          </w:p>
        </w:tc>
      </w:tr>
      <w:tr>
        <w:trPr/>
        <w:tc>
          <w:tcPr>
            <w:tcW w:w="1805" w:type="dxa"/>
            <w:tcBorders/>
            <w:shd w:fill="auto" w:val="clear"/>
            <w:vAlign w:val="center"/>
          </w:tcPr>
          <w:p>
            <w:pPr>
              <w:pStyle w:val="TableContents"/>
              <w:spacing w:before="0" w:after="283"/>
              <w:rPr/>
            </w:pPr>
            <w:r>
              <w:rPr/>
              <w:t> </w:t>
            </w:r>
          </w:p>
        </w:tc>
        <w:tc>
          <w:tcPr>
            <w:tcW w:w="524"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Kathryn Haviland</w:t>
            </w:r>
          </w:p>
        </w:tc>
      </w:tr>
      <w:tr>
        <w:trPr/>
        <w:tc>
          <w:tcPr>
            <w:tcW w:w="1805" w:type="dxa"/>
            <w:tcBorders/>
            <w:shd w:fill="auto" w:val="clear"/>
            <w:vAlign w:val="center"/>
          </w:tcPr>
          <w:p>
            <w:pPr>
              <w:pStyle w:val="TableContents"/>
              <w:spacing w:before="0" w:after="283"/>
              <w:rPr/>
            </w:pPr>
            <w:r>
              <w:rPr/>
              <w:t> </w:t>
            </w:r>
          </w:p>
        </w:tc>
        <w:tc>
          <w:tcPr>
            <w:tcW w:w="524"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spacing w:before="0" w:after="0"/>
        <w:ind w:left="0" w:right="0" w:hanging="0"/>
        <w:jc w:val="center"/>
        <w:rPr>
          <w:caps w:val="false"/>
          <w:smallCaps w:val="false"/>
        </w:rPr>
      </w:pPr>
      <w:bookmarkStart w:id="22" w:name="tm2310790d1_ex99-1.htm"/>
      <w:bookmarkStart w:id="23" w:name="kstm2310790d1_ex991"/>
      <w:bookmarkEnd w:id="22"/>
      <w:bookmarkEnd w:id="23"/>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Blueprint Medicines Announces Lift of Partial Clinical Hold on Phase 1/2 VELA Trial of BLU-222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Mass., March 28, 2023 – Blueprint Medicines Corporation (NASDAQ: BPMC) today announced that the U.S. Food and Drug Administration (FDA) has lifted a partial clinical hold on the Phase 1/2 VELA trial of BLU-222.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2023, Blueprint Medicines announced the FDA placed a partial clinical hold on the VELA trial due to reported visual adverse events, consisting of transient, reversible episodes of light sensitivity and blurred vision, observed in a limited number of patients. Patients already enrolled in the trial have continued receiving study drug. The partial clinical hold is lifted as of March 28, and Blueprint Medicines is working with trial sites to reinitiate patient enrollment.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With a focus on patient safety, we have worked diligently with the FDA over the last several weeks to resolve the partial clinical hold by updating adverse event monitoring and management procedures. We will now collaborate closely with investigators to resume patient enrollment,” said Becker Hewes, M.D., Chief Medical Officer at Blueprint Medicines. “We are confident in the potential of BLU-222 to improve outcomes in patients with cancers vulnerable to CDK2 inhibition, and we look forward to presenting initial dose escalation data from the VELA trial in the second quarter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About Blueprint Medicines</w:t>
      </w:r>
    </w:p>
    <w:p>
      <w:pPr>
        <w:pStyle w:val="TextBody"/>
        <w:spacing w:before="0" w:after="0"/>
        <w:ind w:left="0" w:right="0" w:hanging="0"/>
        <w:rPr>
          <w:caps w:val="false"/>
          <w:smallCaps w:val="false"/>
        </w:rPr>
      </w:pPr>
      <w:r>
        <w:rPr>
          <w:caps w:val="false"/>
          <w:smallCaps w:val="false"/>
        </w:rPr>
        <w:t> </w:t>
      </w:r>
    </w:p>
    <w:p>
      <w:pPr>
        <w:pStyle w:val="TextBody"/>
        <w:shd w:fill="FEFEFE"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 States and Europe, and we are globally advancing multiple programs for systemic mastocytosis, lung cancer, breast cancer and other genomically defined cancers, and cancer immunotherapy. For more information, visit </w:t>
      </w:r>
      <w:r>
        <w:rPr>
          <w:rFonts w:ascii="Times New Roman;Times;Serif" w:hAnsi="Times New Roman;Times;Serif"/>
          <w:b w:val="false"/>
          <w:i w:val="false"/>
          <w:caps w:val="false"/>
          <w:smallCaps w:val="false"/>
          <w:sz w:val="20"/>
          <w:u w:val="single"/>
        </w:rPr>
        <w:t>www.BlueprintMedicines.com</w:t>
      </w:r>
      <w:r>
        <w:rPr>
          <w:rFonts w:ascii="Times New Roman;Times;Serif" w:hAnsi="Times New Roman;Times;Serif"/>
          <w:b w:val="false"/>
          <w:i w:val="false"/>
          <w:caps w:val="false"/>
          <w:smallCaps w:val="false"/>
          <w:color w:val="0A0A0A"/>
          <w:sz w:val="20"/>
        </w:rPr>
        <w:t xml:space="preserve"> and follow us on </w:t>
      </w:r>
      <w:r>
        <w:rPr>
          <w:rFonts w:ascii="Times New Roman;Times;Serif" w:hAnsi="Times New Roman;Times;Serif"/>
          <w:b w:val="false"/>
          <w:i w:val="false"/>
          <w:caps w:val="false"/>
          <w:smallCaps w:val="false"/>
          <w:sz w:val="20"/>
          <w:u w:val="single"/>
        </w:rPr>
        <w:t xml:space="preserve">Twitter </w:t>
      </w:r>
      <w:r>
        <w:rPr>
          <w:rFonts w:ascii="Times New Roman;Times;Serif" w:hAnsi="Times New Roman;Times;Serif"/>
          <w:b w:val="false"/>
          <w:i w:val="false"/>
          <w:caps w:val="false"/>
          <w:smallCaps w:val="false"/>
          <w:color w:val="0A0A0A"/>
          <w:sz w:val="20"/>
        </w:rPr>
        <w:t>(@BlueprintMeds) and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color w:val="0A0A0A"/>
          <w:sz w:val="20"/>
        </w:rPr>
        <w:t>.</w:t>
      </w:r>
    </w:p>
    <w:p>
      <w:pPr>
        <w:pStyle w:val="TextBody"/>
        <w:shd w:fill="FEFEFE" w:val="clear"/>
        <w:spacing w:before="0" w:after="0"/>
        <w:ind w:left="0" w:right="0" w:hanging="0"/>
        <w:rPr>
          <w:caps w:val="false"/>
          <w:smallCaps w:val="false"/>
          <w:color w:val="0A0A0A"/>
        </w:rPr>
      </w:pPr>
      <w:r>
        <w:rPr>
          <w:caps w:val="false"/>
          <w:smallCaps w:val="false"/>
          <w:color w:val="0A0A0A"/>
        </w:rPr>
        <w:t> </w:t>
      </w:r>
    </w:p>
    <w:p>
      <w:pPr>
        <w:pStyle w:val="TextBody"/>
        <w:shd w:fill="FEFEFE" w:val="clear"/>
        <w:spacing w:before="0" w:after="0"/>
        <w:ind w:left="0" w:right="0" w:hanging="0"/>
        <w:rPr>
          <w:rFonts w:ascii="Times New Roman;Times;Serif" w:hAnsi="Times New Roman;Times;Serif"/>
          <w:b/>
          <w:i w:val="false"/>
          <w:caps w:val="false"/>
          <w:smallCaps w:val="false"/>
          <w:color w:val="0A0A0A"/>
          <w:sz w:val="20"/>
        </w:rPr>
      </w:pPr>
      <w:r>
        <w:rPr>
          <w:rFonts w:ascii="Times New Roman;Times;Serif" w:hAnsi="Times New Roman;Times;Serif"/>
          <w:b/>
          <w:i w:val="false"/>
          <w:caps w:val="false"/>
          <w:smallCaps w:val="false"/>
          <w:color w:val="0A0A0A"/>
          <w:sz w:val="20"/>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including, without limitation, statements regarding the continuation of participants in Blueprint Medicines’ VELA trial, Blueprint Medicines’ ability to resume enrollment in the VELA trial, Blueprint Medicines’ expectations regarding the benefit-risk profile of BLU-222, the potential of Blueprint Medicines’ current or future drug candidates in treating patients with cancers vulnerable to CDK2 inhibition, and the anticipated timing of initial clinical data from the VELA trial.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that the partial clinical hold may or may not impact the timing of presentation of initial dose escalation data; the amendments to the trial protocol may impact the timing of the trial or evaluation of the data; preliminary activity and safety data may not be representative of more mature data; the ongoing COVID-19 pandemic may impact Blueprint Medicines’ business, operations, strategy, goals and anticipated milestones, including ongoing and planned research and discovery activities, Blueprint Medicines’ ability to conduct ongoing and planned clinical trials, or the supply of its current or future drug candidates; the risk of delay of any current or planned clinical trials or the development of our current or future drug candidates; risks related to Blueprint Medicines’ ability to successfully demonstrate the safety and efficacy of Blueprint Medicines’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risks related to Blueprint Medicines’ ability to obtain, maintain and enforce patent and other intellectual property protection for its products and current or future drug candidates;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and associated logos are trademarks of Blueprint Medicines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Law</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(617) 844-8205</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Jenna Cohen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(857) 209-3147</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ir@blueprintmedicines.com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1392</Words>
  <CharactersWithSpaces>9542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