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Blueprint Medicines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001-37359</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26-3632015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54"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5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11"/>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4"/>
        </w:trPr>
        <w:tc>
          <w:tcPr>
            <w:tcW w:w="45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09"/>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BPMC</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10"/>
        </w:trPr>
        <w:tc>
          <w:tcPr>
            <w:tcW w:w="4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r>
      <w:tr>
        <w:trPr>
          <w:trHeight w:val="28"/>
        </w:trPr>
        <w:tc>
          <w:tcPr>
            <w:tcW w:w="4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675"/>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02529"/>
        </w:rPr>
        <w:t>Item 8.01 Other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12529"/>
        </w:rPr>
        <w:t>On February 22, 2024, Rigel Pharmaceuticals, Inc. (“</w:t>
      </w:r>
      <w:r>
        <w:rPr>
          <w:rFonts w:ascii="Times New Roman" w:cs="Times New Roman" w:eastAsia="Times New Roman" w:hAnsi="Times New Roman"/>
          <w:sz w:val="18"/>
          <w:szCs w:val="18"/>
          <w:u w:val="single" w:color="auto"/>
          <w:color w:val="212529"/>
        </w:rPr>
        <w:t>Rigel</w:t>
      </w:r>
      <w:r>
        <w:rPr>
          <w:rFonts w:ascii="Times New Roman" w:cs="Times New Roman" w:eastAsia="Times New Roman" w:hAnsi="Times New Roman"/>
          <w:sz w:val="18"/>
          <w:szCs w:val="18"/>
          <w:color w:val="212529"/>
        </w:rPr>
        <w:t>”) entered into an asset purchase agreement (the “</w:t>
      </w:r>
      <w:r>
        <w:rPr>
          <w:rFonts w:ascii="Times New Roman" w:cs="Times New Roman" w:eastAsia="Times New Roman" w:hAnsi="Times New Roman"/>
          <w:sz w:val="18"/>
          <w:szCs w:val="18"/>
          <w:u w:val="single" w:color="auto"/>
          <w:color w:val="212529"/>
        </w:rPr>
        <w:t>Purchase Agreement</w:t>
      </w:r>
      <w:r>
        <w:rPr>
          <w:rFonts w:ascii="Times New Roman" w:cs="Times New Roman" w:eastAsia="Times New Roman" w:hAnsi="Times New Roman"/>
          <w:sz w:val="18"/>
          <w:szCs w:val="18"/>
          <w:color w:val="212529"/>
        </w:rPr>
        <w:t>”) with Blueprint Medicines Corporation (the “</w:t>
      </w:r>
      <w:r>
        <w:rPr>
          <w:rFonts w:ascii="Times New Roman" w:cs="Times New Roman" w:eastAsia="Times New Roman" w:hAnsi="Times New Roman"/>
          <w:sz w:val="18"/>
          <w:szCs w:val="18"/>
          <w:u w:val="single" w:color="auto"/>
          <w:color w:val="212529"/>
        </w:rPr>
        <w:t>Company</w:t>
      </w:r>
      <w:r>
        <w:rPr>
          <w:rFonts w:ascii="Times New Roman" w:cs="Times New Roman" w:eastAsia="Times New Roman" w:hAnsi="Times New Roman"/>
          <w:sz w:val="18"/>
          <w:szCs w:val="18"/>
          <w:color w:val="212529"/>
        </w:rPr>
        <w:t>”) to purchase certain assets from the Company comprising the U.S. rights to research, develop, manufacture and commercialize GAVRETO® (pralsetinib), the Company’s RET inhibitor currently approved for the treatment of RET fusion-positive metastatic non-small cell lung cancer and advanced or metastatic thyroid cancer.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212529"/>
        </w:rPr>
        <w:t>Under the terms of the Purchase Agreement, the Company shall receive a purchase price of $15.0 million, with $10.0 million payable upon the first commercial sale of GAVRETO by Rigel and an additional $5.0 million payable on the first anniversary of the closing date, subject to the completion of certain transition activities. The Company is also eligible to receive up to $102.5 million in future regulatory and commercial milestone payments, in addition to tiered royalties ranging from 10% to 30%. The transition of GAVRETO to Rigel Pharmaceuticals is anticipated to be completed in the third quarter of 2024.</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212529"/>
        </w:rPr>
        <w:t>In addition, on February 22, 2024, the Company entered into a transition agreement (the “</w:t>
      </w:r>
      <w:r>
        <w:rPr>
          <w:rFonts w:ascii="Times New Roman" w:cs="Times New Roman" w:eastAsia="Times New Roman" w:hAnsi="Times New Roman"/>
          <w:sz w:val="18"/>
          <w:szCs w:val="18"/>
          <w:u w:val="single" w:color="auto"/>
          <w:color w:val="212529"/>
        </w:rPr>
        <w:t>Roche Transition Agreement</w:t>
      </w:r>
      <w:r>
        <w:rPr>
          <w:rFonts w:ascii="Times New Roman" w:cs="Times New Roman" w:eastAsia="Times New Roman" w:hAnsi="Times New Roman"/>
          <w:sz w:val="18"/>
          <w:szCs w:val="18"/>
          <w:color w:val="212529"/>
        </w:rPr>
        <w:t>”) related to its collaboration with F. Hoffmann-La Roche Ltd and Genentech, Inc. (collectively, “</w:t>
      </w:r>
      <w:r>
        <w:rPr>
          <w:rFonts w:ascii="Times New Roman" w:cs="Times New Roman" w:eastAsia="Times New Roman" w:hAnsi="Times New Roman"/>
          <w:sz w:val="18"/>
          <w:szCs w:val="18"/>
          <w:u w:val="single" w:color="auto"/>
          <w:color w:val="212529"/>
        </w:rPr>
        <w:t>Roche</w:t>
      </w:r>
      <w:r>
        <w:rPr>
          <w:rFonts w:ascii="Times New Roman" w:cs="Times New Roman" w:eastAsia="Times New Roman" w:hAnsi="Times New Roman"/>
          <w:sz w:val="18"/>
          <w:szCs w:val="18"/>
          <w:color w:val="212529"/>
        </w:rPr>
        <w:t>”) to develop and commercialize GAVRETO globally (excluding Greater China, which includes Mainland China, Hong Kong, Macau and Taiwan). The transition agreement terminates the global collaboration for GAVRETO between Roche and the Company (the “</w:t>
      </w:r>
      <w:r>
        <w:rPr>
          <w:rFonts w:ascii="Times New Roman" w:cs="Times New Roman" w:eastAsia="Times New Roman" w:hAnsi="Times New Roman"/>
          <w:sz w:val="18"/>
          <w:szCs w:val="18"/>
          <w:u w:val="single" w:color="auto"/>
          <w:color w:val="212529"/>
        </w:rPr>
        <w:t>Roche Collaboration</w:t>
      </w:r>
      <w:r>
        <w:rPr>
          <w:rFonts w:ascii="Times New Roman" w:cs="Times New Roman" w:eastAsia="Times New Roman" w:hAnsi="Times New Roman"/>
          <w:sz w:val="18"/>
          <w:szCs w:val="18"/>
          <w:color w:val="212529"/>
        </w:rPr>
        <w:t>”), enables the transition of GAVRETO to Rigel in the United States and, as previously announced at the J.P. Morgan Healthcare Conference on January 8, 2024, the staged discontinuation of global development and marketing in territories outside the United States and Greater China.</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02529"/>
        </w:rPr>
        <w:t>Further, on February 21, 2024, in connection with and effective upon the termination of the Roche Collaboration pursuant to the Roche Transition Agreement described above, Royalty Pharma Investments 2019 ICAV (“</w:t>
      </w:r>
      <w:r>
        <w:rPr>
          <w:rFonts w:ascii="Times New Roman" w:cs="Times New Roman" w:eastAsia="Times New Roman" w:hAnsi="Times New Roman"/>
          <w:sz w:val="18"/>
          <w:szCs w:val="18"/>
          <w:u w:val="single" w:color="auto"/>
          <w:color w:val="202529"/>
        </w:rPr>
        <w:t>Royalty Pharma</w:t>
      </w:r>
      <w:r>
        <w:rPr>
          <w:rFonts w:ascii="Times New Roman" w:cs="Times New Roman" w:eastAsia="Times New Roman" w:hAnsi="Times New Roman"/>
          <w:sz w:val="18"/>
          <w:szCs w:val="18"/>
          <w:color w:val="202529"/>
        </w:rPr>
        <w:t>”) and the Company agreed to terminate the purchase and sale agreement entered into by the parties, pursuant to which the Company sold to Royalty Pharma all of the royalties payable to the Company under the Roche Collaboration with respect to net sales of GAVRETO by Roche in all countries other than Greater China and the United States.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212529"/>
        </w:rPr>
        <w:t>The Company continues to expect the wind-down of the Roche Collaboration for GAVRETO will result in significantly lower year-over-year operating expenses related to GAVRETO and no material impact to the Company’s overall operating expense plans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22, 2024</w:t>
            </w: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Kathryn Haviland</w:t>
            </w:r>
          </w:p>
        </w:tc>
      </w:tr>
      <w:tr>
        <w:trPr>
          <w:trHeight w:val="191"/>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Kathryn Haviland</w:t>
            </w:r>
          </w:p>
        </w:tc>
      </w:tr>
      <w:tr>
        <w:trPr>
          <w:trHeight w:val="234"/>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7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2024-02-22T07:26:04Z</dcterms:created>
  <dcterms:modified xsi:type="dcterms:W3CDTF">2024-02-22T07:26:04Z</dcterms:modified>
</cp:coreProperties>
</file>