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Blueprint Medicines Corporation (the “Company”) held its annual meeting of stockholders on June 23, 2020. The following is a summary of the matters voted on at the meeting.</w:t>
      </w:r>
    </w:p>
    <w:p>
      <w:pPr>
        <w:spacing w:after="0" w:line="62" w:lineRule="exact"/>
        <w:rPr>
          <w:sz w:val="20"/>
          <w:szCs w:val="20"/>
          <w:color w:val="auto"/>
        </w:rPr>
      </w:pPr>
    </w:p>
    <w:p>
      <w:pPr>
        <w:ind w:left="980" w:right="6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Alexis Borisy, Charles A. Rowland, Jr. and Lonnel Coats as Class II directors, each to serve for a three-year term expiring at the 2023 annual meeting of stockholders and until his successor has been duly elected and qualified. The results of the stockholders’ vote with respect to the election of such Class II directors were as follows:</w:t>
      </w:r>
    </w:p>
    <w:p>
      <w:pPr>
        <w:spacing w:after="0" w:line="88"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Votes Withheld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4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Alexis Borisy</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34,067,932</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13,597,478</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3,093,414</w:t>
            </w:r>
          </w:p>
        </w:tc>
      </w:tr>
      <w:tr>
        <w:trPr>
          <w:trHeight w:val="216"/>
        </w:trPr>
        <w:tc>
          <w:tcPr>
            <w:tcW w:w="2480" w:type="dxa"/>
            <w:vAlign w:val="bottom"/>
          </w:tcPr>
          <w:p>
            <w:pPr>
              <w:ind w:left="100"/>
              <w:spacing w:after="0"/>
              <w:rPr>
                <w:sz w:val="20"/>
                <w:szCs w:val="20"/>
                <w:color w:val="auto"/>
              </w:rPr>
            </w:pPr>
            <w:r>
              <w:rPr>
                <w:rFonts w:ascii="Arial" w:cs="Arial" w:eastAsia="Arial" w:hAnsi="Arial"/>
                <w:sz w:val="18"/>
                <w:szCs w:val="18"/>
                <w:color w:val="auto"/>
              </w:rPr>
              <w:t>Charles A. Rowland, Jr.</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33,980,973</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13,684,437</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3,093,414</w:t>
            </w:r>
          </w:p>
        </w:tc>
      </w:tr>
      <w:tr>
        <w:trPr>
          <w:trHeight w:val="216"/>
        </w:trPr>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Lonnel Coats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33,641,615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14,023,795</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3,093,414</w:t>
            </w:r>
          </w:p>
        </w:tc>
      </w:tr>
    </w:tbl>
    <w:p>
      <w:pPr>
        <w:spacing w:after="0" w:line="310" w:lineRule="exact"/>
        <w:rPr>
          <w:sz w:val="20"/>
          <w:szCs w:val="20"/>
          <w:color w:val="auto"/>
        </w:rPr>
      </w:pPr>
    </w:p>
    <w:p>
      <w:pPr>
        <w:ind w:left="980" w:right="22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approved the non-binding, advisory vote on the compensation paid to its named executive officers. The results of the stockholders’ non-binding, advisory vote with respect to compensation paid to the Company’s named executive officers were as follows:</w:t>
      </w:r>
    </w:p>
    <w:p>
      <w:pPr>
        <w:spacing w:after="0" w:line="85"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Votes For</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Votes Against</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Abstaining</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46,685,705</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963,650</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16,055</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3,093,414</w:t>
            </w:r>
          </w:p>
        </w:tc>
      </w:tr>
    </w:tbl>
    <w:p>
      <w:pPr>
        <w:spacing w:after="0" w:line="310" w:lineRule="exact"/>
        <w:rPr>
          <w:sz w:val="20"/>
          <w:szCs w:val="20"/>
          <w:color w:val="auto"/>
        </w:rPr>
      </w:pPr>
    </w:p>
    <w:p>
      <w:pPr>
        <w:ind w:left="980" w:right="16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for the fiscal year ending December 31, 2020. The results of the stockholders’ vote with respect to such ratification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Votes For</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Against</w:t>
            </w:r>
          </w:p>
        </w:tc>
        <w:tc>
          <w:tcPr>
            <w:tcW w:w="436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87"/>
              </w:rPr>
              <w:t>Votes Abstaining</w:t>
            </w:r>
          </w:p>
        </w:tc>
      </w:tr>
      <w:tr>
        <w:trPr>
          <w:trHeight w:val="209"/>
        </w:trPr>
        <w:tc>
          <w:tcPr>
            <w:tcW w:w="284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50,479,444</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261,464</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17,916</w:t>
            </w:r>
          </w:p>
        </w:tc>
        <w:tc>
          <w:tcPr>
            <w:tcW w:w="2820" w:type="dxa"/>
            <w:vAlign w:val="bottom"/>
          </w:tcPr>
          <w:p>
            <w:pPr>
              <w:spacing w:after="0"/>
              <w:rPr>
                <w:sz w:val="18"/>
                <w:szCs w:val="18"/>
                <w:color w:val="auto"/>
              </w:rPr>
            </w:pPr>
          </w:p>
        </w:tc>
      </w:tr>
      <w:tr>
        <w:trPr>
          <w:trHeight w:val="932"/>
        </w:trPr>
        <w:tc>
          <w:tcPr>
            <w:tcW w:w="2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776"/>
        </w:trPr>
        <w:tc>
          <w:tcPr>
            <w:tcW w:w="2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June 26,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40"/>
      </w:cols>
      <w:pgMar w:left="980" w:top="121"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2020-06-26T15:32:39Z</dcterms:created>
  <dcterms:modified xsi:type="dcterms:W3CDTF">2020-06-26T15:32:39Z</dcterms:modified>
</cp:coreProperties>
</file>