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8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8873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07"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Boral Anthony L.</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720" w:type="dxa"/>
            <w:vAlign w:val="bottom"/>
            <w:tcBorders>
              <w:top w:val="single" w:sz="8" w:color="0000EE"/>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17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17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w w:val="98"/>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8"/>
                <w:szCs w:val="18"/>
                <w:color w:val="0000FF"/>
              </w:rPr>
              <w:t>11/06/2017</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38 SIDNEY STREET, SUITE 200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863"/>
        <w:spacing w:after="0"/>
        <w:rPr>
          <w:sz w:val="20"/>
          <w:szCs w:val="20"/>
          <w:color w:val="auto"/>
        </w:rPr>
      </w:pPr>
      <w:r>
        <w:rPr>
          <w:rFonts w:ascii="Arial" w:cs="Arial" w:eastAsia="Arial" w:hAnsi="Arial"/>
          <w:sz w:val="18"/>
          <w:szCs w:val="18"/>
          <w:color w:val="0000FF"/>
        </w:rPr>
        <w:t>Chief Medical Officer</w:t>
      </w:r>
    </w:p>
    <w:p>
      <w:pPr>
        <w:spacing w:after="0" w:line="406" w:lineRule="exact"/>
        <w:rPr>
          <w:sz w:val="20"/>
          <w:szCs w:val="20"/>
          <w:color w:val="auto"/>
        </w:rPr>
      </w:pPr>
    </w:p>
    <w:p>
      <w:pPr>
        <w:sectPr>
          <w:pgSz w:w="11900" w:h="16838" w:orient="portrait"/>
          <w:cols w:equalWidth="0" w:num="2">
            <w:col w:w="7980" w:space="77"/>
            <w:col w:w="3463"/>
          </w:cols>
          <w:pgMar w:left="240" w:top="226" w:right="139" w:bottom="107"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7"/>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9"/>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0" w:type="dxa"/>
            <w:vAlign w:val="bottom"/>
            <w:gridSpan w:val="9"/>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CAMBRIDGE   MA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02139</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60" w:type="dxa"/>
            <w:vAlign w:val="bottom"/>
            <w:gridSpan w:val="7"/>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3"/>
          </w:tcPr>
          <w:p>
            <w:pPr>
              <w:jc w:val="center"/>
              <w:ind w:left="505"/>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05"/>
              <w:spacing w:after="0"/>
              <w:rPr>
                <w:sz w:val="20"/>
                <w:szCs w:val="20"/>
                <w:color w:val="auto"/>
              </w:rPr>
            </w:pPr>
            <w:r>
              <w:rPr>
                <w:rFonts w:ascii="Arial" w:cs="Arial" w:eastAsia="Arial" w:hAnsi="Arial"/>
                <w:sz w:val="18"/>
                <w:szCs w:val="18"/>
                <w:color w:val="0000FF"/>
                <w:w w:val="86"/>
              </w:rPr>
              <w:t>11/06/2017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720" w:type="dxa"/>
            <w:vAlign w:val="bottom"/>
            <w:tcBorders>
              <w:bottom w:val="single" w:sz="8" w:color="2C2C2C"/>
            </w:tcBorders>
          </w:tcPr>
          <w:p>
            <w:pPr>
              <w:jc w:val="center"/>
              <w:ind w:left="125"/>
              <w:spacing w:after="0"/>
              <w:rPr>
                <w:sz w:val="20"/>
                <w:szCs w:val="20"/>
                <w:color w:val="auto"/>
              </w:rPr>
            </w:pPr>
            <w:r>
              <w:rPr>
                <w:rFonts w:ascii="Arial" w:cs="Arial" w:eastAsia="Arial" w:hAnsi="Arial"/>
                <w:sz w:val="18"/>
                <w:szCs w:val="18"/>
                <w:color w:val="0000FF"/>
                <w:w w:val="88"/>
              </w:rPr>
              <w:t>5,000</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jc w:val="center"/>
              <w:ind w:left="85"/>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8.8</w:t>
            </w:r>
          </w:p>
        </w:tc>
        <w:tc>
          <w:tcPr>
            <w:tcW w:w="1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5,000</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05"/>
              <w:spacing w:after="0"/>
              <w:rPr>
                <w:sz w:val="20"/>
                <w:szCs w:val="20"/>
                <w:color w:val="auto"/>
              </w:rPr>
            </w:pPr>
            <w:r>
              <w:rPr>
                <w:rFonts w:ascii="Arial" w:cs="Arial" w:eastAsia="Arial" w:hAnsi="Arial"/>
                <w:sz w:val="18"/>
                <w:szCs w:val="18"/>
                <w:color w:val="0000FF"/>
                <w:w w:val="86"/>
              </w:rPr>
              <w:t>11/06/2017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20" w:type="dxa"/>
            <w:vAlign w:val="bottom"/>
            <w:tcBorders>
              <w:bottom w:val="single" w:sz="8" w:color="2C2C2C"/>
            </w:tcBorders>
          </w:tcPr>
          <w:p>
            <w:pPr>
              <w:jc w:val="center"/>
              <w:ind w:left="125"/>
              <w:spacing w:after="0"/>
              <w:rPr>
                <w:sz w:val="20"/>
                <w:szCs w:val="20"/>
                <w:color w:val="auto"/>
              </w:rPr>
            </w:pPr>
            <w:r>
              <w:rPr>
                <w:rFonts w:ascii="Arial" w:cs="Arial" w:eastAsia="Arial" w:hAnsi="Arial"/>
                <w:sz w:val="18"/>
                <w:szCs w:val="18"/>
                <w:color w:val="0000FF"/>
                <w:w w:val="93"/>
              </w:rPr>
              <w:t>200</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74</w:t>
            </w:r>
            <w:r>
              <w:rPr>
                <w:rFonts w:ascii="Arial" w:cs="Arial" w:eastAsia="Arial" w:hAnsi="Arial"/>
                <w:sz w:val="22"/>
                <w:szCs w:val="22"/>
                <w:color w:val="008000"/>
                <w:w w:val="83"/>
                <w:vertAlign w:val="superscript"/>
              </w:rPr>
              <w:t>(3)</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4,800</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05"/>
              <w:spacing w:after="0"/>
              <w:rPr>
                <w:sz w:val="20"/>
                <w:szCs w:val="20"/>
                <w:color w:val="auto"/>
              </w:rPr>
            </w:pPr>
            <w:r>
              <w:rPr>
                <w:rFonts w:ascii="Arial" w:cs="Arial" w:eastAsia="Arial" w:hAnsi="Arial"/>
                <w:sz w:val="18"/>
                <w:szCs w:val="18"/>
                <w:color w:val="0000FF"/>
                <w:w w:val="86"/>
              </w:rPr>
              <w:t>11/06/2017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20" w:type="dxa"/>
            <w:vAlign w:val="bottom"/>
            <w:tcBorders>
              <w:bottom w:val="single" w:sz="8" w:color="2C2C2C"/>
            </w:tcBorders>
          </w:tcPr>
          <w:p>
            <w:pPr>
              <w:jc w:val="center"/>
              <w:ind w:left="125"/>
              <w:spacing w:after="0"/>
              <w:rPr>
                <w:sz w:val="20"/>
                <w:szCs w:val="20"/>
                <w:color w:val="auto"/>
              </w:rPr>
            </w:pPr>
            <w:r>
              <w:rPr>
                <w:rFonts w:ascii="Arial" w:cs="Arial" w:eastAsia="Arial" w:hAnsi="Arial"/>
                <w:sz w:val="18"/>
                <w:szCs w:val="18"/>
                <w:color w:val="0000FF"/>
                <w:w w:val="93"/>
              </w:rPr>
              <w:t>200</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72.87</w:t>
            </w:r>
            <w:r>
              <w:rPr>
                <w:rFonts w:ascii="Arial" w:cs="Arial" w:eastAsia="Arial" w:hAnsi="Arial"/>
                <w:sz w:val="22"/>
                <w:szCs w:val="22"/>
                <w:color w:val="008000"/>
                <w:w w:val="84"/>
                <w:vertAlign w:val="superscript"/>
              </w:rPr>
              <w:t>(4)</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4,600</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05"/>
              <w:spacing w:after="0"/>
              <w:rPr>
                <w:sz w:val="20"/>
                <w:szCs w:val="20"/>
                <w:color w:val="auto"/>
              </w:rPr>
            </w:pPr>
            <w:r>
              <w:rPr>
                <w:rFonts w:ascii="Arial" w:cs="Arial" w:eastAsia="Arial" w:hAnsi="Arial"/>
                <w:sz w:val="18"/>
                <w:szCs w:val="18"/>
                <w:color w:val="0000FF"/>
                <w:w w:val="86"/>
              </w:rPr>
              <w:t>11/06/2017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20" w:type="dxa"/>
            <w:vAlign w:val="bottom"/>
            <w:tcBorders>
              <w:bottom w:val="single" w:sz="8" w:color="2C2C2C"/>
            </w:tcBorders>
          </w:tcPr>
          <w:p>
            <w:pPr>
              <w:jc w:val="center"/>
              <w:ind w:left="125"/>
              <w:spacing w:after="0"/>
              <w:rPr>
                <w:sz w:val="20"/>
                <w:szCs w:val="20"/>
                <w:color w:val="auto"/>
              </w:rPr>
            </w:pPr>
            <w:r>
              <w:rPr>
                <w:rFonts w:ascii="Arial" w:cs="Arial" w:eastAsia="Arial" w:hAnsi="Arial"/>
                <w:sz w:val="18"/>
                <w:szCs w:val="18"/>
                <w:color w:val="0000FF"/>
                <w:w w:val="93"/>
              </w:rPr>
              <w:t>700</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71.69</w:t>
            </w:r>
            <w:r>
              <w:rPr>
                <w:rFonts w:ascii="Arial" w:cs="Arial" w:eastAsia="Arial" w:hAnsi="Arial"/>
                <w:sz w:val="22"/>
                <w:szCs w:val="22"/>
                <w:color w:val="008000"/>
                <w:w w:val="84"/>
                <w:vertAlign w:val="superscript"/>
              </w:rPr>
              <w:t>(5)</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3,900</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05"/>
              <w:spacing w:after="0"/>
              <w:rPr>
                <w:sz w:val="20"/>
                <w:szCs w:val="20"/>
                <w:color w:val="auto"/>
              </w:rPr>
            </w:pPr>
            <w:r>
              <w:rPr>
                <w:rFonts w:ascii="Arial" w:cs="Arial" w:eastAsia="Arial" w:hAnsi="Arial"/>
                <w:sz w:val="18"/>
                <w:szCs w:val="18"/>
                <w:color w:val="0000FF"/>
                <w:w w:val="86"/>
              </w:rPr>
              <w:t>11/06/2017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20" w:type="dxa"/>
            <w:vAlign w:val="bottom"/>
            <w:tcBorders>
              <w:bottom w:val="single" w:sz="8" w:color="2C2C2C"/>
            </w:tcBorders>
          </w:tcPr>
          <w:p>
            <w:pPr>
              <w:jc w:val="center"/>
              <w:ind w:left="125"/>
              <w:spacing w:after="0"/>
              <w:rPr>
                <w:sz w:val="20"/>
                <w:szCs w:val="20"/>
                <w:color w:val="auto"/>
              </w:rPr>
            </w:pPr>
            <w:r>
              <w:rPr>
                <w:rFonts w:ascii="Arial" w:cs="Arial" w:eastAsia="Arial" w:hAnsi="Arial"/>
                <w:sz w:val="18"/>
                <w:szCs w:val="18"/>
                <w:color w:val="0000FF"/>
                <w:w w:val="88"/>
              </w:rPr>
              <w:t>1,520</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70.29</w:t>
            </w:r>
            <w:r>
              <w:rPr>
                <w:rFonts w:ascii="Arial" w:cs="Arial" w:eastAsia="Arial" w:hAnsi="Arial"/>
                <w:sz w:val="22"/>
                <w:szCs w:val="22"/>
                <w:color w:val="008000"/>
                <w:w w:val="84"/>
                <w:vertAlign w:val="superscript"/>
              </w:rPr>
              <w:t>(6)</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2,380</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05"/>
              <w:spacing w:after="0"/>
              <w:rPr>
                <w:sz w:val="20"/>
                <w:szCs w:val="20"/>
                <w:color w:val="auto"/>
              </w:rPr>
            </w:pPr>
            <w:r>
              <w:rPr>
                <w:rFonts w:ascii="Arial" w:cs="Arial" w:eastAsia="Arial" w:hAnsi="Arial"/>
                <w:sz w:val="18"/>
                <w:szCs w:val="18"/>
                <w:color w:val="0000FF"/>
                <w:w w:val="86"/>
              </w:rPr>
              <w:t>11/06/2017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20" w:type="dxa"/>
            <w:vAlign w:val="bottom"/>
            <w:tcBorders>
              <w:bottom w:val="single" w:sz="8" w:color="2C2C2C"/>
            </w:tcBorders>
          </w:tcPr>
          <w:p>
            <w:pPr>
              <w:jc w:val="center"/>
              <w:ind w:left="125"/>
              <w:spacing w:after="0"/>
              <w:rPr>
                <w:sz w:val="20"/>
                <w:szCs w:val="20"/>
                <w:color w:val="auto"/>
              </w:rPr>
            </w:pPr>
            <w:r>
              <w:rPr>
                <w:rFonts w:ascii="Arial" w:cs="Arial" w:eastAsia="Arial" w:hAnsi="Arial"/>
                <w:sz w:val="18"/>
                <w:szCs w:val="18"/>
                <w:color w:val="0000FF"/>
                <w:w w:val="88"/>
              </w:rPr>
              <w:t>2,380</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69.59</w:t>
            </w:r>
            <w:r>
              <w:rPr>
                <w:rFonts w:ascii="Arial" w:cs="Arial" w:eastAsia="Arial" w:hAnsi="Arial"/>
                <w:sz w:val="22"/>
                <w:szCs w:val="22"/>
                <w:color w:val="008000"/>
                <w:w w:val="84"/>
                <w:vertAlign w:val="superscript"/>
              </w:rPr>
              <w:t>(7)</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79"/>
              </w:rPr>
              <w:t>0</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20" w:type="dxa"/>
            <w:vAlign w:val="bottom"/>
            <w:gridSpan w:val="11"/>
          </w:tcPr>
          <w:p>
            <w:pPr>
              <w:jc w:val="center"/>
              <w:ind w:left="34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26"/>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8.8</w:t>
            </w:r>
          </w:p>
        </w:tc>
        <w:tc>
          <w:tcPr>
            <w:tcW w:w="1080" w:type="dxa"/>
            <w:vAlign w:val="bottom"/>
          </w:tcPr>
          <w:p>
            <w:pPr>
              <w:ind w:left="260"/>
              <w:spacing w:after="0"/>
              <w:rPr>
                <w:sz w:val="20"/>
                <w:szCs w:val="20"/>
                <w:color w:val="auto"/>
              </w:rPr>
            </w:pPr>
            <w:r>
              <w:rPr>
                <w:rFonts w:ascii="Arial" w:cs="Arial" w:eastAsia="Arial" w:hAnsi="Arial"/>
                <w:sz w:val="14"/>
                <w:szCs w:val="14"/>
                <w:color w:val="0000FF"/>
              </w:rPr>
              <w:t>11/06/2017</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line="200"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220" w:type="dxa"/>
            <w:vAlign w:val="bottom"/>
          </w:tcPr>
          <w:p>
            <w:pPr>
              <w:spacing w:after="0"/>
              <w:rPr>
                <w:sz w:val="17"/>
                <w:szCs w:val="17"/>
                <w:color w:val="auto"/>
              </w:rPr>
            </w:pPr>
          </w:p>
        </w:tc>
        <w:tc>
          <w:tcPr>
            <w:tcW w:w="820" w:type="dxa"/>
            <w:vAlign w:val="bottom"/>
          </w:tcPr>
          <w:p>
            <w:pPr>
              <w:ind w:left="400"/>
              <w:spacing w:after="0"/>
              <w:rPr>
                <w:sz w:val="20"/>
                <w:szCs w:val="20"/>
                <w:color w:val="auto"/>
              </w:rPr>
            </w:pPr>
            <w:r>
              <w:rPr>
                <w:rFonts w:ascii="Arial" w:cs="Arial" w:eastAsia="Arial" w:hAnsi="Arial"/>
                <w:sz w:val="14"/>
                <w:szCs w:val="14"/>
                <w:color w:val="0000FF"/>
              </w:rPr>
              <w:t>5,000</w:t>
            </w: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(8)</w:t>
            </w:r>
          </w:p>
        </w:tc>
        <w:tc>
          <w:tcPr>
            <w:tcW w:w="720" w:type="dxa"/>
            <w:vAlign w:val="bottom"/>
          </w:tcPr>
          <w:p>
            <w:pPr>
              <w:ind w:left="40"/>
              <w:spacing w:after="0"/>
              <w:rPr>
                <w:sz w:val="20"/>
                <w:szCs w:val="20"/>
                <w:color w:val="auto"/>
              </w:rPr>
            </w:pPr>
            <w:r>
              <w:rPr>
                <w:rFonts w:ascii="Arial" w:cs="Arial" w:eastAsia="Arial" w:hAnsi="Arial"/>
                <w:sz w:val="14"/>
                <w:szCs w:val="14"/>
                <w:color w:val="0000FF"/>
                <w:w w:val="94"/>
              </w:rPr>
              <w:t>02/10/2025</w:t>
            </w: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5,000</w:t>
            </w:r>
          </w:p>
        </w:tc>
        <w:tc>
          <w:tcPr>
            <w:tcW w:w="18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60" w:type="dxa"/>
            <w:vAlign w:val="bottom"/>
          </w:tcPr>
          <w:p>
            <w:pPr>
              <w:ind w:left="200"/>
              <w:spacing w:after="0"/>
              <w:rPr>
                <w:sz w:val="20"/>
                <w:szCs w:val="20"/>
                <w:color w:val="auto"/>
              </w:rPr>
            </w:pPr>
            <w:r>
              <w:rPr>
                <w:rFonts w:ascii="Arial" w:cs="Arial" w:eastAsia="Arial" w:hAnsi="Arial"/>
                <w:sz w:val="14"/>
                <w:szCs w:val="14"/>
                <w:color w:val="0000FF"/>
                <w:w w:val="86"/>
              </w:rPr>
              <w:t>169,544</w:t>
            </w:r>
          </w:p>
        </w:tc>
        <w:tc>
          <w:tcPr>
            <w:tcW w:w="26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jc w:val="right"/>
              <w:ind w:right="149"/>
              <w:spacing w:after="0" w:line="110"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exercise reported on this Form 4 was effected pursuant to a trading plan adopted on December 17, 2016 pursuant to Rule 10b5-1 under the Securities Exchange Act of 1934, as amended (the "Exchange Act").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trading plan adopted on December 17, 2016 pursuant to Rule 10b5-1 under the Exchange Act.</w:t>
      </w:r>
    </w:p>
    <w:p>
      <w:pPr>
        <w:spacing w:after="0" w:line="41" w:lineRule="exact"/>
        <w:rPr>
          <w:rFonts w:ascii="Arial" w:cs="Arial" w:eastAsia="Arial" w:hAnsi="Arial"/>
          <w:sz w:val="14"/>
          <w:szCs w:val="14"/>
          <w:color w:val="008000"/>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$73.85 to $74.15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(3) through (7)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$72.49 to $73.25 per share.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$71.20 to $72.14 per share.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$70.03 to $70.81 per share.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$68.98 to $69.91 per share.</w:t>
      </w:r>
    </w:p>
    <w:p>
      <w:pPr>
        <w:spacing w:after="0" w:line="41"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option was granted on February 10, 2015. This option vested with respect to 25% of the shares underlying the option on February 9, 2016 and as to an additional 1/48th of the shares underlying the option each month thereafter.</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Christopher Frankenfield,</w:t>
            </w:r>
          </w:p>
        </w:tc>
        <w:tc>
          <w:tcPr>
            <w:tcW w:w="120" w:type="dxa"/>
            <w:vAlign w:val="bottom"/>
          </w:tcPr>
          <w:p>
            <w:pPr>
              <w:spacing w:after="0"/>
              <w:rPr>
                <w:sz w:val="17"/>
                <w:szCs w:val="17"/>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4"/>
              </w:rPr>
              <w:t>11/08/2017</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0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8468"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2019-12-04T02:29:48Z</dcterms:created>
  <dcterms:modified xsi:type="dcterms:W3CDTF">2019-12-04T02:29:48Z</dcterms:modified>
</cp:coreProperties>
</file>