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November 30, 2022, in connection with a periodic review of the amended and restated bylaws of Blueprint Medicines Corporation (the “Company”), the Board of Directors (the “Board”) of the Company adopted amended and restated bylaws of the Company (the “Amended and Restated Bylaws”), effective immediately to, among other things,</w:t>
      </w:r>
    </w:p>
    <w:p>
      <w:pPr>
        <w:spacing w:after="0" w:line="17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new proxy access provisions for qualified stockholders;</w:t>
      </w:r>
    </w:p>
    <w:p>
      <w:pPr>
        <w:spacing w:after="0" w:line="225"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the new Securities and Exchange Commission rules regarding universal proxy cards and certain recent changes to the Delaware General Corporation Law (the “DGCL”);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exclusive forum provision for matters rising under the Securities Act of 1933, as amended, and the Exchange Act of 1934, as amended (the "Exchange Act") to include all federal district courts rather than specifically designating the United States District Court for the District of Massachusetts.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Bylaws, among other things:</w:t>
      </w:r>
    </w:p>
    <w:p>
      <w:pPr>
        <w:spacing w:after="0" w:line="225" w:lineRule="exact"/>
        <w:rPr>
          <w:sz w:val="20"/>
          <w:szCs w:val="20"/>
          <w:color w:val="auto"/>
        </w:rPr>
      </w:pPr>
    </w:p>
    <w:p>
      <w:pPr>
        <w:ind w:left="340" w:hanging="332"/>
        <w:spacing w:after="0" w:line="25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proxy access provisions enabling a stockholder (or a group of up to 20 stockholders) that has held at least 3% of the voting power of the Company’s capital stock for three years or more to include a certain number of director nominees in the Company’s proxy statement. Qualifying stockholders may nominate a number of candidates for director not to exceed the greater of (i) two or (ii) 25% of the number of directors in office as of the last day on which a notice of nomination of a director nominee by a stockholder may be timely delivered pursuant to and in accordance with the Amended and Restated Bylaws.</w:t>
      </w:r>
    </w:p>
    <w:p>
      <w:pPr>
        <w:spacing w:after="0" w:line="183"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procedural mechanics and disclosure requirements in connection with stockholder nominations of directors and submissions of stockholder proposals (other than proposals to be included in the Company’s proxy statement pursuant to Rule 14a-8 under the Securities Exchange Act at stockholder meetings, including without limitation, by:</w:t>
      </w:r>
    </w:p>
    <w:p>
      <w:pPr>
        <w:spacing w:after="0" w:line="176" w:lineRule="exact"/>
        <w:rPr>
          <w:sz w:val="20"/>
          <w:szCs w:val="20"/>
          <w:color w:val="auto"/>
        </w:rPr>
      </w:pPr>
    </w:p>
    <w:p>
      <w:pPr>
        <w:ind w:left="980" w:right="30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additional disclosures from nominating or proposing stockholders, proposed nominees and other persons associated with nominating or proposing stockholders, including questionnaires and, in the case of a proposed nominee, consent to be named in any proxy statement; and</w:t>
      </w:r>
    </w:p>
    <w:p>
      <w:pPr>
        <w:spacing w:after="0" w:line="17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nominating or proposing stockholder, or a qualifying representative thereof, to appear at the applicable meeting to present such proposed business or nominee.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matters relating to Rule 14a-19 under the Exchange Act (the "Universal Proxy Rules") including without limitation:</w:t>
      </w:r>
    </w:p>
    <w:p>
      <w:pPr>
        <w:spacing w:after="0" w:line="22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any nominating stockholder submitting a nomination notice to make a representation as to whether such stockholder intends to solicit proxies in support of director nominees other than the Company’s nominees in accordance with Rule 14a-19 under the Exchange Act and provide reasonable evidence that certain requirements of such rule have been satisfied;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Company a remedy if a stockholder fails to satisfy the Universal Proxy Rule requirements; and</w:t>
      </w:r>
    </w:p>
    <w:p>
      <w:pPr>
        <w:spacing w:after="0" w:line="225" w:lineRule="exact"/>
        <w:rPr>
          <w:rFonts w:ascii="Times New Roman" w:cs="Times New Roman" w:eastAsia="Times New Roman" w:hAnsi="Times New Roman"/>
          <w:sz w:val="18"/>
          <w:szCs w:val="18"/>
          <w:color w:val="auto"/>
        </w:rPr>
      </w:pPr>
    </w:p>
    <w:p>
      <w:pPr>
        <w:jc w:val="both"/>
        <w:ind w:left="980" w:right="22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stockholders intending to use the Universal Proxy Rules to notify the Company of any change in such intent within two business days and to provide reasonable evidence of the satisfaction of the requirements under the Universal Proxy Rules at least five business days before the applicable meeting.</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the number of nominees that a stockholder may nominate shall not exceed the number of directors to be elected at the applicable meeting.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nominating stockholder directly or indirectly soliciting proxies from other stockholders use a proxy card color other than white.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proxies received for disqualified or withdrawn nominees will be treated as abstentions.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powers of the chair of a stockholder meeting including to prescribe rules and regulations for the conduct of the meeting.</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exclusive forum provision to designate the federal district courts as the exclusive forum for matters rising under the Securities Act of 1933, as amended, and the Exchange Act.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various other updates, including ministerial and conforming changes and changes to clarify the Company’s ability to conduct meetings by means of remote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and the description of the revisions to, the Amended and Restated Bylaws does not purport to be complete and is qualified in its entirety by reference to the complete text of the Amended and Restated Bylaws, a copy of which is filed hereto as Exhibit 3.1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90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41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960" w:type="dxa"/>
            <w:vAlign w:val="bottom"/>
          </w:tcPr>
          <w:p>
            <w:pPr>
              <w:spacing w:after="0"/>
              <w:rPr>
                <w:sz w:val="16"/>
                <w:szCs w:val="16"/>
                <w:color w:val="auto"/>
              </w:rPr>
            </w:pPr>
          </w:p>
        </w:tc>
        <w:tc>
          <w:tcPr>
            <w:tcW w:w="4900" w:type="dxa"/>
            <w:vAlign w:val="bottom"/>
            <w:tcBorders>
              <w:bottom w:val="single" w:sz="8" w:color="0000EE"/>
            </w:tcBorders>
          </w:tcPr>
          <w:p>
            <w:pPr>
              <w:ind w:left="20"/>
              <w:spacing w:after="0" w:line="194" w:lineRule="exact"/>
              <w:rPr>
                <w:sz w:val="20"/>
                <w:szCs w:val="20"/>
                <w:color w:val="auto"/>
              </w:rPr>
            </w:pPr>
            <w:r>
              <w:rPr>
                <w:rFonts w:ascii="Times New Roman" w:cs="Times New Roman" w:eastAsia="Times New Roman" w:hAnsi="Times New Roman"/>
                <w:sz w:val="18"/>
                <w:szCs w:val="18"/>
                <w:color w:val="0000EE"/>
                <w:w w:val="99"/>
              </w:rPr>
              <w:t>Amended and Restated Bylaws of Blueprint Medicines Corporation</w:t>
            </w:r>
          </w:p>
        </w:tc>
        <w:tc>
          <w:tcPr>
            <w:tcW w:w="5100" w:type="dxa"/>
            <w:vAlign w:val="bottom"/>
          </w:tcPr>
          <w:p>
            <w:pPr>
              <w:spacing w:after="0"/>
              <w:rPr>
                <w:sz w:val="16"/>
                <w:szCs w:val="16"/>
                <w:color w:val="auto"/>
              </w:rPr>
            </w:pPr>
          </w:p>
        </w:tc>
      </w:tr>
      <w:tr>
        <w:trPr>
          <w:trHeight w:val="23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675"/>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2022</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“Annual Meeting”) shall be held at the hour, date and place within or without the United States which is fixed by the Corporation’s Board of Directors (the “Board of Directors”),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officer.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Meetings of Stockholders.</w:t>
      </w:r>
    </w:p>
    <w:p>
      <w:pPr>
        <w:spacing w:after="0" w:line="225" w:lineRule="exact"/>
        <w:rPr>
          <w:rFonts w:ascii="Times New Roman" w:cs="Times New Roman" w:eastAsia="Times New Roman" w:hAnsi="Times New Roman"/>
          <w:sz w:val="18"/>
          <w:szCs w:val="18"/>
          <w:color w:val="auto"/>
        </w:rPr>
      </w:pPr>
    </w:p>
    <w:p>
      <w:pPr>
        <w:ind w:left="660" w:firstLine="644"/>
        <w:spacing w:after="0" w:line="253" w:lineRule="auto"/>
        <w:tabs>
          <w:tab w:leader="none" w:pos="156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or (iii) by any Eligible Stockholder (as defined in Section 11(a)(1) of this Article I) who has complied with the procedures set forth in Section 11 of this Article I. For the avoidance of doubt, the foregoing clauses (ii) and (iii) shall be the exclusive means for a stockholder to bring nominations or business properly before an Annual Meeting (other than matters properly brought under Rule 14a-8 or Rule 14a-11 (or any successor rules) under the Securities Exchange Act of 1934, as amended (the “Exchange Act”)), and such stockholder must comply with the notice and other procedures set forth in Article I, Sections 2(a)(2), (3) and (4) and 11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4" w:right="20" w:firstLine="644"/>
        <w:spacing w:after="0" w:line="253" w:lineRule="auto"/>
        <w:tabs>
          <w:tab w:leader="none" w:pos="90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stockholder pursuant to clause (ii) of Article I, Section 2(a)(1)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provided, however, that in the event the Annual Meeting is first convened more than thirty (30) days before or more than sixty</w:t>
      </w:r>
    </w:p>
    <w:p>
      <w:pPr>
        <w:ind w:left="4" w:right="60" w:hanging="4"/>
        <w:spacing w:after="0" w:line="251" w:lineRule="auto"/>
        <w:tabs>
          <w:tab w:leader="none" w:pos="3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93" w:lineRule="exact"/>
        <w:rPr>
          <w:rFonts w:ascii="Times New Roman" w:cs="Times New Roman" w:eastAsia="Times New Roman" w:hAnsi="Times New Roman"/>
          <w:sz w:val="18"/>
          <w:szCs w:val="18"/>
          <w:color w:val="auto"/>
        </w:rPr>
      </w:pPr>
    </w:p>
    <w:p>
      <w:pPr>
        <w:ind w:left="644" w:firstLine="652"/>
        <w:spacing w:after="0" w:line="251" w:lineRule="auto"/>
        <w:tabs>
          <w:tab w:leader="none" w:pos="1587"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their affiliates or associates and any Synthetic Equity Interest (as defined below) held or beneficially owned by the nominee or their affiliates or associates, (iv)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required by the Corporation (which questionnaire shall be provided by the Secretary upon written request), (vi) a representation and agreement in the form required by the Corporation (which form shall be provided by the Secretary upon written request) that: (a) such proposed nominee is not and will not become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any Voting Commitment that could limit or interfere with such person’s ability to comply, if elected as a director of the Corporation, with such person’s fiduciary duties under applicable law;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(c) such proposed nominee would, if elected as a director, comply with all applicable rules and regulations of the exchanges upon which shares of the Corporation’s capital stock trade, all of the Corporation’s corporate governance, ethics, conflict of interest, confidentiality, stock ownership and insider trading policies and guidelines applicable generally to the Corporation’s directors, and applicable fiduciary duties and other obligations under state law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(e) such proposed nominee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 (f) such proposed nominee will promptly provide to the Corporation such other information as it may reasonably request; and (g) such proposed nominee will tender his or her resignation as a director if the Board of Directors determines that such proposed nominee failed to comply with the provisions of this Article I, Section 2(a)(2)(A)(vi) in all material respects, provides such proposed nominee of notice of any such determination and, if such non-compliance may be cured, such proposed nominee fails to cure such non-compliance within ten business days after delivery of such notice to such proposed nominee; (vii) such proposed nominee’s irrevocable letter of resignation as a director of the Corporation, effective upon such person’s failure to receive the required vote for re-election at the next meeting of stockholders at which such person would face re-election and upon acceptance of such resignation by the Board, in accordance with Article I, Section 8(b) of these Bylaws; and (vii) any other information relating to such person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429895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7" w:name="page8"/>
    <w:bookmarkEnd w:id="7"/>
    <w:p>
      <w:pPr>
        <w:ind w:left="180" w:right="320" w:firstLine="652"/>
        <w:spacing w:after="0" w:line="266" w:lineRule="auto"/>
        <w:tabs>
          <w:tab w:leader="none" w:pos="11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the text, if any, of any resolutions or Bylaw amendment proposed for adoption, a brief description of the business desired to be brought before the meeting, the reasons for conducting such business at the meeting, and any material interest in such business of each Proposing Person (as defined below);</w:t>
      </w:r>
    </w:p>
    <w:p>
      <w:pPr>
        <w:spacing w:after="0" w:line="175" w:lineRule="exact"/>
        <w:rPr>
          <w:rFonts w:ascii="Times New Roman" w:cs="Times New Roman" w:eastAsia="Times New Roman" w:hAnsi="Times New Roman"/>
          <w:sz w:val="18"/>
          <w:szCs w:val="18"/>
          <w:color w:val="auto"/>
        </w:rPr>
      </w:pPr>
    </w:p>
    <w:p>
      <w:pPr>
        <w:ind w:left="180" w:firstLine="652"/>
        <w:spacing w:after="0" w:line="251" w:lineRule="auto"/>
        <w:tabs>
          <w:tab w:leader="none" w:pos="11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or any of its affiliates, (y) whether or not such Synthetic Equity Interest is required to be, or is capable of being, settled through delivery of such shares and (z) whether or not such Proposing Person, or any of its affiliates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or any of its affiliates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that are separated or separable from the underlying shares of the Corporation, and (e) any performance-related fees (other than an asset based fee) that such Proposing Person or any of its affiliates, directly or indirectly, is entitled to based on any increase or decrease in the value of shares of any class or series of capital stock of the Corporation or any Synthetic Equity Interests, (f)(1) if such Proposing Person is not a natural person, the identity of the natural person or persons associated with such Proposing Person responsible for (i) the formulation of and decision to propose the director nomination or business to be brought before the meeting and (ii) making voting and investment decisions on behalf of the Proposing Person (irrespective of whether such person or persons have “beneficial ownership” for purposes of Rule 13d-3 of the Exchange Act of any securities owned of record or beneficially by the Proposing Person) (such person or persons, the “Responsible Person”), the manner in which such Responsible Person was selected, any fiduciary duties owed by such Responsible Person to the equity holders or other beneficiaries of such Proposing Person and, the qualifications and background of such Responsible Person or (2) if such Proposing Person is a natural person, the qualifications and background of such natural person, (g) any equity interests or any Synthetic Equity Interests in any principal competitor of the Corporation beneficially owned by such Proposing Person or any of their affiliates or associates, (h) any direct or indirect interest of such Proposing Person or any of their affiliates or associates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or any of their affiliates or associates is a party or material participant involving the Corporation or any of its officers or directors, or any affiliate of the Corporation, (j) any material transaction occurring during the prior twelve (12) months between such Proposing Person or any of their affiliates or associates, on the one hand, and the Corporation, any affiliate of the Corporation or any principal competitor of the Corporation, on the other hand, and (k) any other information relating to such Proposing Person or any of their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(k) are referred to, collectively, as “Material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427355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ind w:left="180" w:right="120" w:firstLine="652"/>
        <w:spacing w:after="0" w:line="255" w:lineRule="auto"/>
        <w:tabs>
          <w:tab w:leader="none" w:pos="11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88" w:lineRule="exact"/>
        <w:rPr>
          <w:rFonts w:ascii="Times New Roman" w:cs="Times New Roman" w:eastAsia="Times New Roman" w:hAnsi="Times New Roman"/>
          <w:sz w:val="18"/>
          <w:szCs w:val="18"/>
          <w:color w:val="auto"/>
        </w:rPr>
      </w:pPr>
    </w:p>
    <w:p>
      <w:pPr>
        <w:ind w:left="180" w:firstLine="652"/>
        <w:spacing w:after="0" w:line="252" w:lineRule="auto"/>
        <w:tabs>
          <w:tab w:leader="none" w:pos="11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 that the stockholder is a holder of record of capital stock of the Corporation entitled to vote at such meeting, a representation that such stockholder intends to appear in person or by proxy at the meeting to propose such business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will (a)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of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427355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9" w:name="page10"/>
    <w:bookmarkEnd w:id="9"/>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share in any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90" w:lineRule="exact"/>
        <w:rPr>
          <w:sz w:val="20"/>
          <w:szCs w:val="20"/>
          <w:color w:val="auto"/>
        </w:rPr>
      </w:pPr>
    </w:p>
    <w:p>
      <w:pPr>
        <w:ind w:left="660" w:firstLine="644"/>
        <w:spacing w:after="0" w:line="252" w:lineRule="auto"/>
        <w:tabs>
          <w:tab w:leader="none" w:pos="15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 For the avoidance of doubt, the obligation to update as set forth in this Article I,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 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writing to the Secretary at the principal executive offices of the Corporation no later than two (2) business days after the occurrence of such change.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spacing w:after="0" w:line="191" w:lineRule="exact"/>
        <w:rPr>
          <w:rFonts w:ascii="Times New Roman" w:cs="Times New Roman" w:eastAsia="Times New Roman" w:hAnsi="Times New Roman"/>
          <w:sz w:val="18"/>
          <w:szCs w:val="18"/>
          <w:color w:val="auto"/>
        </w:rPr>
      </w:pPr>
    </w:p>
    <w:p>
      <w:pPr>
        <w:ind w:left="660" w:right="40" w:firstLine="644"/>
        <w:spacing w:after="0" w:line="255" w:lineRule="auto"/>
        <w:tabs>
          <w:tab w:leader="none" w:pos="15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Article I, Section 2(a)(2)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these Bylaws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264" w:hanging="264"/>
        <w:spacing w:after="0"/>
        <w:tabs>
          <w:tab w:leader="none" w:pos="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00" w:firstLine="644"/>
        <w:spacing w:after="0" w:line="253" w:lineRule="auto"/>
        <w:tabs>
          <w:tab w:leader="none" w:pos="9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Sections 2 or 11 of this Article I of these Bylaws shall be eligible for election and to serve as directors and only such business shall be conducted at an Annual Meeting as shall have been brought before the meeting in accordance with the provisions of these Bylaws or in accordance with Rule 14a-8 under the Exchange Act. The Board of Directors or a designated committee thereof shall have the power to determine whether a nomination or any business proposed to be brought before the meeting was made in accordance with the provisions of Sections 2 or 11 of this Article I of these Bylaws. If neither the Board of Directors nor such designated committee makes a determination as to whether any stockholder proposal or nomination was made in accordance with the provisions of Sections 2 or 11 of this Article I of these Bylaws, the presiding officer of the Annual Meeting shall have the power and duty to determine whether the stockholder proposal or nomination was made in accordance with the provisions of Sections 2 or 11 of this Article I of these Bylaws. If the Board of Directors or a designated committee thereof or the presiding officer, as applicable, determines that any stockholder proposal or nomination was not made in accordance with the provisions of Sections 2 or 11 of this Article I of these Bylaws, such proposal or nomination shall be disregarded and shall not be presented for action at the Annual Meeting.</w:t>
      </w:r>
    </w:p>
    <w:p>
      <w:pPr>
        <w:spacing w:after="0" w:line="191" w:lineRule="exact"/>
        <w:rPr>
          <w:rFonts w:ascii="Times New Roman" w:cs="Times New Roman" w:eastAsia="Times New Roman" w:hAnsi="Times New Roman"/>
          <w:sz w:val="18"/>
          <w:szCs w:val="18"/>
          <w:color w:val="auto"/>
        </w:rPr>
      </w:pPr>
    </w:p>
    <w:p>
      <w:pPr>
        <w:ind w:left="4" w:right="140" w:firstLine="644"/>
        <w:spacing w:after="0" w:line="261" w:lineRule="auto"/>
        <w:tabs>
          <w:tab w:leader="none" w:pos="9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Sections 2 or 11 of this Article I of these Bylaws,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9" w:lineRule="exact"/>
        <w:rPr>
          <w:rFonts w:ascii="Times New Roman" w:cs="Times New Roman" w:eastAsia="Times New Roman" w:hAnsi="Times New Roman"/>
          <w:sz w:val="18"/>
          <w:szCs w:val="18"/>
          <w:color w:val="auto"/>
        </w:rPr>
      </w:pPr>
    </w:p>
    <w:p>
      <w:pPr>
        <w:ind w:left="4" w:firstLine="644"/>
        <w:spacing w:after="0" w:line="273" w:lineRule="auto"/>
        <w:tabs>
          <w:tab w:leader="none" w:pos="90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except as provided under Rule 14a-8 under the Exchange Act,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71" w:lineRule="exact"/>
        <w:rPr>
          <w:rFonts w:ascii="Times New Roman" w:cs="Times New Roman" w:eastAsia="Times New Roman" w:hAnsi="Times New Roman"/>
          <w:sz w:val="17"/>
          <w:szCs w:val="17"/>
          <w:color w:val="auto"/>
        </w:rPr>
      </w:pPr>
    </w:p>
    <w:p>
      <w:pPr>
        <w:ind w:left="4" w:right="460" w:firstLine="644"/>
        <w:spacing w:after="0" w:line="266" w:lineRule="auto"/>
        <w:tabs>
          <w:tab w:leader="none" w:pos="9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5" w:lineRule="exact"/>
        <w:rPr>
          <w:rFonts w:ascii="Times New Roman" w:cs="Times New Roman" w:eastAsia="Times New Roman" w:hAnsi="Times New Roman"/>
          <w:sz w:val="18"/>
          <w:szCs w:val="18"/>
          <w:color w:val="auto"/>
        </w:rPr>
      </w:pPr>
    </w:p>
    <w:p>
      <w:pPr>
        <w:ind w:left="4" w:right="60" w:firstLine="644"/>
        <w:spacing w:after="0" w:line="256" w:lineRule="auto"/>
        <w:tabs>
          <w:tab w:leader="none" w:pos="9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other than nominations for election to the Board of Directors at an Annual Meeting in compliance with Section 11 of these Bylaws, as applicable, a stockholder shall also comply with all applicable requirements of the Exchange Act and the rules and regulations thereunder including, but not limited to, Rule 14a-19 of the Exchange Act, with respect to the matters set forth in these Bylaws. If a stockholder fails to comply with any applicable requirements of the Exchange Act, including, but not limited to, Rule 14a-19 promulgated thereunder, such stockholder’s proposed nomination or proposed business made pursuant to this Section 2 shall be deemed to have not been made in compliance with this Bylaw and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ind w:left="660" w:firstLine="644"/>
        <w:spacing w:after="0" w:line="253" w:lineRule="auto"/>
        <w:tabs>
          <w:tab w:leader="none" w:pos="15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notwithstanding the foregoing provisions of this Bylaw, unless otherwise required by law, if any (i) no Proposing Person shall solicit proxies in support of director nominees other than the Corporation’s nominees unless such Proposing Person has complied with Rule 14a-19(b) promulgated under the Exchange Act in connection with the solicitation of such proxies, including the provision to the Corporation of notices required thereunder with Timely Notice, and (ii) if (A) any Proposing Person (x) provides notice pursuant to Rule 14a-19(b) promulgated under the Exchange Act, and (y) subsequently fails to comply with the requirements of Rule 14a-19(a)(2) or Rule 14a-19(a)(3) promulgated under the Exchange Act, including the provision to the Corporation of notices required thereunder with Timely Notice, and (B) no other Proposing Person has provided notice pursuant to, and in compliance with, Rule 14a-19 under the Exchange Act that it intends to solicit proxies in support of the election of such proposed nominee in accordance with Rule 14a-19(b) under the Exchange Act, then the Corporation shall disregard any proxies or votes solicited for the Proposing Person’s nominees under the Exchange Act, then the Corporation shall disregard any proxies or votes solicited for any proposed nominee of such Proposing Person.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spacing w:after="0" w:line="187"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5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56"/>
        <w:spacing w:after="0" w:line="256" w:lineRule="auto"/>
        <w:tabs>
          <w:tab w:leader="none" w:pos="8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187" w:lineRule="exact"/>
        <w:rPr>
          <w:rFonts w:ascii="Times New Roman" w:cs="Times New Roman" w:eastAsia="Times New Roman" w:hAnsi="Times New Roman"/>
          <w:sz w:val="18"/>
          <w:szCs w:val="18"/>
          <w:color w:val="auto"/>
        </w:rPr>
      </w:pPr>
    </w:p>
    <w:p>
      <w:pPr>
        <w:ind w:right="40" w:firstLine="656"/>
        <w:spacing w:after="0" w:line="282"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jc w:val="both"/>
        <w:ind w:right="80" w:firstLine="656"/>
        <w:spacing w:after="0" w:line="261" w:lineRule="auto"/>
        <w:tabs>
          <w:tab w:leader="none" w:pos="8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79" w:lineRule="exact"/>
        <w:rPr>
          <w:rFonts w:ascii="Times New Roman" w:cs="Times New Roman" w:eastAsia="Times New Roman" w:hAnsi="Times New Roman"/>
          <w:sz w:val="18"/>
          <w:szCs w:val="18"/>
          <w:color w:val="auto"/>
        </w:rPr>
      </w:pPr>
    </w:p>
    <w:p>
      <w:pPr>
        <w:ind w:right="20" w:firstLine="656"/>
        <w:spacing w:after="0" w:line="281" w:lineRule="auto"/>
        <w:tabs>
          <w:tab w:leader="none" w:pos="90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64" w:lineRule="exact"/>
        <w:rPr>
          <w:rFonts w:ascii="Times New Roman" w:cs="Times New Roman" w:eastAsia="Times New Roman" w:hAnsi="Times New Roman"/>
          <w:sz w:val="17"/>
          <w:szCs w:val="17"/>
          <w:color w:val="auto"/>
        </w:rPr>
      </w:pPr>
    </w:p>
    <w:p>
      <w:pPr>
        <w:ind w:right="20" w:firstLine="656"/>
        <w:spacing w:after="0" w:line="253" w:lineRule="auto"/>
        <w:tabs>
          <w:tab w:leader="none" w:pos="8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9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shares entitled to vote, present in person or by remote communication, if applicable,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61" w:lineRule="auto"/>
        <w:tabs>
          <w:tab w:leader="none" w:pos="89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w:t>
      </w:r>
    </w:p>
    <w:p>
      <w:pPr>
        <w:ind w:right="60" w:firstLine="8"/>
        <w:spacing w:after="0" w:line="251" w:lineRule="auto"/>
        <w:tabs>
          <w:tab w:leader="none" w:pos="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spacing w:after="0" w:line="192" w:lineRule="exact"/>
        <w:rPr>
          <w:rFonts w:ascii="Times New Roman" w:cs="Times New Roman" w:eastAsia="Times New Roman" w:hAnsi="Times New Roman"/>
          <w:sz w:val="18"/>
          <w:szCs w:val="18"/>
          <w:color w:val="auto"/>
        </w:rPr>
      </w:pPr>
    </w:p>
    <w:p>
      <w:pPr>
        <w:ind w:right="180" w:firstLine="656"/>
        <w:spacing w:after="0" w:line="282" w:lineRule="auto"/>
        <w:tabs>
          <w:tab w:leader="none" w:pos="9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directly or indirectly soliciting proxies from other shareholders must use a proxy card color other than white, which shall be reserved for the exclusive use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Board of Directors may adopt by resolution such rules, regulations, and procedures for the conduct of any meeting of shareholders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shareholders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shareholders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shareholders and proxy holders not physically present at a meeting, whether such meeting is to be held at a designated place or solely by means of remote communication. Unless and to the extent determined by the Board of Directors or the chair of the meeting, the chair of the meeting shall not be obligated to follow any technical, formal, or parliamentary rules or principles of procedure.</w:t>
      </w:r>
    </w:p>
    <w:p>
      <w:pPr>
        <w:spacing w:after="0" w:line="19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165"/>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Proxy Access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5" w:hanging="405"/>
        <w:spacing w:after="0"/>
        <w:tabs>
          <w:tab w:leader="none" w:pos="4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Access Nomination.</w:t>
      </w:r>
    </w:p>
    <w:p>
      <w:pPr>
        <w:spacing w:after="0" w:line="225" w:lineRule="exact"/>
        <w:rPr>
          <w:rFonts w:ascii="Times New Roman" w:cs="Times New Roman" w:eastAsia="Times New Roman" w:hAnsi="Times New Roman"/>
          <w:sz w:val="18"/>
          <w:szCs w:val="18"/>
          <w:color w:val="auto"/>
        </w:rPr>
      </w:pPr>
    </w:p>
    <w:p>
      <w:pPr>
        <w:ind w:left="-575" w:right="60" w:firstLine="980"/>
        <w:spacing w:after="0" w:line="254" w:lineRule="auto"/>
        <w:tabs>
          <w:tab w:leader="none" w:pos="9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of Directors solicits proxies with respect to the election of directors at an Annual Meeting, nominations of individuals for election to the Board of Directors at such Annual Meeting may be made by a stockholder or group of no more than 20 stockholders that satisfies the requirements of this Section 11 (as further qualified by the provisions of this Section 11, any such individual or group, including as the context requires each member thereof, being hereinafter referred to as an “</w:t>
      </w:r>
      <w:r>
        <w:rPr>
          <w:rFonts w:ascii="Times New Roman" w:cs="Times New Roman" w:eastAsia="Times New Roman" w:hAnsi="Times New Roman"/>
          <w:sz w:val="18"/>
          <w:szCs w:val="18"/>
          <w:u w:val="single" w:color="auto"/>
          <w:color w:val="auto"/>
        </w:rPr>
        <w:t>Eligible Stockholder</w:t>
      </w:r>
      <w:r>
        <w:rPr>
          <w:rFonts w:ascii="Times New Roman" w:cs="Times New Roman" w:eastAsia="Times New Roman" w:hAnsi="Times New Roman"/>
          <w:sz w:val="18"/>
          <w:szCs w:val="18"/>
          <w:color w:val="auto"/>
        </w:rPr>
        <w:t>”). The nomination provisions set forth in this Section 11 are separate from, and in addition to, the nomination provisions set forth in Section 2 of this Article I. Subject to the provisions of this Section 11 and to the extent permitted by applicable law, the Corporation shall include in its proxy materials for such Annual Meeting, in addition to any persons nominated for election by, or at the direction of, a majority of the Board of Directors, the name, together with the Required Information (as defined below), of any person nominated for election (each such person being hereinafter referred to as a “Stockholder Nominee”) to the Board of Directors by an Eligible Stockholder pursuant to this Section 11.</w:t>
      </w:r>
    </w:p>
    <w:p>
      <w:pPr>
        <w:spacing w:after="0" w:line="188" w:lineRule="exact"/>
        <w:rPr>
          <w:rFonts w:ascii="Times New Roman" w:cs="Times New Roman" w:eastAsia="Times New Roman" w:hAnsi="Times New Roman"/>
          <w:sz w:val="18"/>
          <w:szCs w:val="18"/>
          <w:color w:val="auto"/>
        </w:rPr>
      </w:pPr>
    </w:p>
    <w:p>
      <w:pPr>
        <w:ind w:left="-575" w:right="120" w:firstLine="980"/>
        <w:spacing w:after="0" w:line="252" w:lineRule="auto"/>
        <w:tabs>
          <w:tab w:leader="none" w:pos="92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 the “</w:t>
      </w:r>
      <w:r>
        <w:rPr>
          <w:rFonts w:ascii="Times New Roman" w:cs="Times New Roman" w:eastAsia="Times New Roman" w:hAnsi="Times New Roman"/>
          <w:sz w:val="18"/>
          <w:szCs w:val="18"/>
          <w:u w:val="single" w:color="auto"/>
          <w:color w:val="auto"/>
        </w:rPr>
        <w:t>Required Information</w:t>
      </w:r>
      <w:r>
        <w:rPr>
          <w:rFonts w:ascii="Times New Roman" w:cs="Times New Roman" w:eastAsia="Times New Roman" w:hAnsi="Times New Roman"/>
          <w:sz w:val="18"/>
          <w:szCs w:val="18"/>
          <w:color w:val="auto"/>
        </w:rPr>
        <w:t>” that the Corporation will include in its proxy materials is (A) the information concerning the Stockholder Nominee and the Eligible Stockholder that is required to be disclosed in the Corporation’s proxy statement by the rules and regulations promulgated under the Exchange Act, by these Bylaws, by the Certificate and/or by the listing standards of each principal U.S. exchange upon which the common stock of the Corporation is listed; and (B) the written statement, if any, consisting of 500 words or fewer delivered by the Eligible Stockholder pursuant to Section 11(d)(4) in support of the Stockholder Nominee’s candidacy that is clearly and specifically identified as the written statement that the Eligible Stockholder requests the Corporation to include in its proxy materials and does not include any references to any other statements or written materials in support of the Stockholder Nominee’s candidacy or any website or other locations where any such statements or written materials may be found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If the Eligible Stockholder has not provided to the Secretary of the Corporation a Statement within the time period specified in this Section 11 for delivering the Notice of Proxy Access Nomination (as defined below), the Eligible Stockholder will be deemed to have not provided the Statement and the Required Information will not include the Statement. Notwithstanding anything to the contrary contained in this Section 11, the Corporation may omit from its proxy materials any information or Statement (or portion thereof) if the Corporation believes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person; or (C) the inclusion of such information in the proxy statement would otherwise violate the Securities and Exchange Commission proxy rules or any other applicable law, rule or regulation.</w:t>
      </w:r>
    </w:p>
    <w:p>
      <w:pPr>
        <w:spacing w:after="0" w:line="196" w:lineRule="exact"/>
        <w:rPr>
          <w:rFonts w:ascii="Times New Roman" w:cs="Times New Roman" w:eastAsia="Times New Roman" w:hAnsi="Times New Roman"/>
          <w:sz w:val="18"/>
          <w:szCs w:val="18"/>
          <w:color w:val="auto"/>
        </w:rPr>
      </w:pPr>
    </w:p>
    <w:p>
      <w:pPr>
        <w:ind w:left="245" w:hanging="245"/>
        <w:spacing w:after="0"/>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Requirements.</w:t>
      </w:r>
    </w:p>
    <w:p>
      <w:pPr>
        <w:spacing w:after="0" w:line="225" w:lineRule="exact"/>
        <w:rPr>
          <w:rFonts w:ascii="Times New Roman" w:cs="Times New Roman" w:eastAsia="Times New Roman" w:hAnsi="Times New Roman"/>
          <w:sz w:val="18"/>
          <w:szCs w:val="18"/>
          <w:color w:val="auto"/>
        </w:rPr>
      </w:pPr>
    </w:p>
    <w:p>
      <w:pPr>
        <w:ind w:left="-575" w:firstLine="980"/>
        <w:spacing w:after="0" w:line="252" w:lineRule="auto"/>
        <w:tabs>
          <w:tab w:leader="none" w:pos="92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nominate a Stockholder Nominee pursuant to this Section 11, an Eligible Stockholder must, in addition to satisfying the other requirements of Section 11, provide to the Secretary of the Corporation, a written notice expressly nominating its Stockholder Nominee(s) and electing to have its Stockholder Nominee(s) included in the Corporation’s proxy materials pursuant to this Section 11 that complies with the requirements set forth in this Section 11 (a “</w:t>
      </w:r>
      <w:r>
        <w:rPr>
          <w:rFonts w:ascii="Times New Roman" w:cs="Times New Roman" w:eastAsia="Times New Roman" w:hAnsi="Times New Roman"/>
          <w:sz w:val="18"/>
          <w:szCs w:val="18"/>
          <w:u w:val="single" w:color="auto"/>
          <w:color w:val="auto"/>
        </w:rPr>
        <w:t>Notice of Proxy Access Nomination</w:t>
      </w:r>
      <w:r>
        <w:rPr>
          <w:rFonts w:ascii="Times New Roman" w:cs="Times New Roman" w:eastAsia="Times New Roman" w:hAnsi="Times New Roman"/>
          <w:sz w:val="18"/>
          <w:szCs w:val="18"/>
          <w:color w:val="auto"/>
        </w:rPr>
        <w:t>”) within the time period set forth below. In order for an Eligible Stockholder to nominate a Stockholder Nominee pursuant to this Section 11, the Eligible Stockholder’s Notice of Proxy Access Nomination must be received by Secretary the at the principal executive offices of the Corporation not later than the close of business on the ninetieth (90th) day nor earlier than the close of business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were held in the preceding year, Notice of Proxy Access Nomination by the Eligible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In no event shall an adjournment, postponement or rescheduling of any previously scheduled meeting of stockholders, or the public announcement thereof, commence a new time period for the giving of a Notice of Proxy Access Nomination under this Section 11. For purposes of this Section 11, “public announcement” shall have the meaning given to such term in Section 2(b)(4) of this 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428625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5"/>
          </w:cols>
          <w:pgMar w:left="895" w:top="904" w:right="359" w:bottom="1440" w:gutter="0" w:footer="0" w:header="0"/>
        </w:sectPr>
      </w:pPr>
    </w:p>
    <w:bookmarkStart w:id="15" w:name="page16"/>
    <w:bookmarkEnd w:id="15"/>
    <w:p>
      <w:pPr>
        <w:ind w:left="-8" w:firstLine="980"/>
        <w:spacing w:after="0" w:line="270" w:lineRule="auto"/>
        <w:tabs>
          <w:tab w:leader="none" w:pos="1489"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nominate a Stockholder Nominee pursuant to this Section 11, an Eligible Stockholder providing the Required Information within the time period specified in Section 11(b)(1) for delivering the Notice of Proxy Access Nomination must further update and supplement such Required Information, if necessary, so that all such information provided or required to be provided by the Required Information shall be true and correct as of the close of business on the record date for purposes of determining the stockholders entitled to vote at such Annual Meeting and as of the date that is ten</w:t>
      </w:r>
    </w:p>
    <w:p>
      <w:pPr>
        <w:spacing w:after="0" w:line="2" w:lineRule="exact"/>
        <w:rPr>
          <w:rFonts w:ascii="Times New Roman" w:cs="Times New Roman" w:eastAsia="Times New Roman" w:hAnsi="Times New Roman"/>
          <w:sz w:val="17"/>
          <w:szCs w:val="17"/>
          <w:color w:val="auto"/>
        </w:rPr>
      </w:pPr>
    </w:p>
    <w:p>
      <w:pPr>
        <w:ind w:left="-8" w:right="100" w:firstLine="8"/>
        <w:spacing w:after="0" w:line="253" w:lineRule="auto"/>
        <w:tabs>
          <w:tab w:leader="none" w:pos="3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such Annual Meeting or any adjournment or postponement thereof, and such update and supplement (or a written notice stating that there is no such update or supplement) must be delivered in writing to the Secretary of the Corporation at the principal executive office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86" w:lineRule="exact"/>
        <w:rPr>
          <w:rFonts w:ascii="Times New Roman" w:cs="Times New Roman" w:eastAsia="Times New Roman" w:hAnsi="Times New Roman"/>
          <w:sz w:val="18"/>
          <w:szCs w:val="18"/>
          <w:color w:val="auto"/>
        </w:rPr>
      </w:pPr>
    </w:p>
    <w:p>
      <w:pPr>
        <w:ind w:left="-8" w:right="20" w:firstLine="980"/>
        <w:spacing w:after="0" w:line="258" w:lineRule="auto"/>
        <w:tabs>
          <w:tab w:leader="none" w:pos="148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information or communications provided by the Eligible Stockholder or the Stockholder Nominee to the Corporation or its stockholders ceases to be true and correct in all material respects or omits a material fact necessary in order to make the statements made, in light of the circumstances under which they were made, not misleading, each Eligible Stockholder or Stockholder Nominee, as the case may be, shall promptly notify the Secretary of the Corporation of any defect in such previously provided information or communications and of the information that is required to correct any such defect.</w:t>
      </w:r>
    </w:p>
    <w:p>
      <w:pPr>
        <w:spacing w:after="0" w:line="183" w:lineRule="exact"/>
        <w:rPr>
          <w:rFonts w:ascii="Times New Roman" w:cs="Times New Roman" w:eastAsia="Times New Roman" w:hAnsi="Times New Roman"/>
          <w:sz w:val="18"/>
          <w:szCs w:val="18"/>
          <w:color w:val="auto"/>
        </w:rPr>
      </w:pPr>
    </w:p>
    <w:p>
      <w:pPr>
        <w:ind w:left="812" w:hanging="245"/>
        <w:spacing w:after="0"/>
        <w:tabs>
          <w:tab w:leader="none" w:pos="8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Stockholder Nominees.</w:t>
      </w:r>
    </w:p>
    <w:p>
      <w:pPr>
        <w:spacing w:after="0" w:line="225" w:lineRule="exact"/>
        <w:rPr>
          <w:rFonts w:ascii="Times New Roman" w:cs="Times New Roman" w:eastAsia="Times New Roman" w:hAnsi="Times New Roman"/>
          <w:sz w:val="18"/>
          <w:szCs w:val="18"/>
          <w:color w:val="auto"/>
        </w:rPr>
      </w:pPr>
    </w:p>
    <w:p>
      <w:pPr>
        <w:ind w:left="-8" w:right="40" w:firstLine="980"/>
        <w:spacing w:after="0" w:line="254" w:lineRule="auto"/>
        <w:tabs>
          <w:tab w:leader="none" w:pos="1485"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Stockholder Nominees (including Stockholder Nominees that were submitted by an Eligible Stockholder for inclusion in the Corporation’s proxy materials pursuant to this Section 11 but were subsequently withdrawn) nominated by all Eligible Stockholders that will be included in the Corporation’s proxy materials with respect to an Annual Meeting shall not exceed the greater of (i) two or (ii) 25% of the number of directors in office as of the last day on which a Notice of Proxy Access Nomination may be timely delivered pursuant to and in accordance with this Section 11 (the “</w:t>
      </w:r>
      <w:r>
        <w:rPr>
          <w:rFonts w:ascii="Times New Roman" w:cs="Times New Roman" w:eastAsia="Times New Roman" w:hAnsi="Times New Roman"/>
          <w:sz w:val="18"/>
          <w:szCs w:val="18"/>
          <w:u w:val="single" w:color="auto"/>
          <w:color w:val="auto"/>
        </w:rPr>
        <w:t>Final Proxy Access Nomination Date</w:t>
      </w:r>
      <w:r>
        <w:rPr>
          <w:rFonts w:ascii="Times New Roman" w:cs="Times New Roman" w:eastAsia="Times New Roman" w:hAnsi="Times New Roman"/>
          <w:sz w:val="18"/>
          <w:szCs w:val="18"/>
          <w:color w:val="auto"/>
        </w:rPr>
        <w:t xml:space="preserve">”), or if such amount is not a whole number, the closest whole number below 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maximum number of Stockholder Nominees that will be included in the Corporation’s proxy materials with respect to an Annual Meeting will be reduced by (i) the number of Stockholder Nominees whom the Board of Directors itself decides to nominate for election at such Annual Meeting and (ii) the number of individuals that the Board of Directors decides to nominate for re-election who were previously elected to the Board of Directors with respect to any of the preceding two Annual Meetings based on a nomination by one or more stockholders pursuant to Section 2 of Article I or this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6" w:name="page17"/>
    <w:bookmarkEnd w:id="16"/>
    <w:p>
      <w:pPr>
        <w:ind w:left="-8" w:firstLine="980"/>
        <w:spacing w:after="0" w:line="251" w:lineRule="auto"/>
        <w:tabs>
          <w:tab w:leader="none" w:pos="147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Eligible Stockholder submitting more than one Stockholder Nominee for inclusion in the Corporation’s proxy materials pursuant to this Section 11 shall rank such Stockholder Nominees based on the order that the Eligible Stockholder desires such Stockholder Nominees to be selected for inclusion in the Corporation’s proxy statement in the event that the total number of Stockholder Nominees submitted by Eligible Stockholders pursuant to this Section 11 exceeds the maximum number of Stockholder Nominees provided for in Section 11(c)(1) (including by operation of Section 2.11(c)(3)). In the event that the number of Stockholder Nominees submitted by Eligible Stockholders pursuant to this Section 11 for an Annual Meeting exceeds the maximum number of Stockholder Nominees provided for in Section 11(c)(1) (including by operation of Section 11(c)(3)), the highest ranking Stockholder Nominee who meets the requirements of this Section 11 from each Eligible Stockholder (with such determination and the determination of whether a stockholder or group of stockholders constitutes an Eligible Stockholder to be based on compliance with the provisions of this Section 11 as of the Final Proxy Access Nomination Date) will be selected for inclusion in the Corporation’s proxy materials until the maximum number is reached, going in order from the largest to the smallest of such Eligible Stockholders based on the number of shares of common stock of the Corporation each Eligible Stockholder disclosed as owned by such Eligible Stockholder in the Notice of Proxy Access Nomination submitted to the Corporation hereunder. If the maximum number of Stockholder Nominees provided for in this Section 11 is not reached after the highest ranking Stockholder Nominee who meets the requirements of this Section 11 from each Eligible Stockholder determined in the manner set forth above has been selected, this selection process will continue as many times as necessary, following the same order each time, until the maximum number of Stockholder Nominees provided for in this Section 11 is reached. The Stockholder Nominees initially selected in accordance with this Section 11(c)(2) will be the only Stockholder Nominees eligible to be nominated or included in the Corporation’s proxy materials pursuant to this Section 11. The Notices of Proxy Access Nomination and nominations of all of the remaining Stockholder Nominees not initially selected pursuant to this Section 11(c)(2) will be deemed to have been withdrawn by each of the applicable stockholders as of the Final Proxy Access Nomination Date, and, following such initial selection, if any one or more of the Stockholder Nominees so selected are</w:t>
      </w:r>
    </w:p>
    <w:p>
      <w:pPr>
        <w:spacing w:after="0" w:line="9" w:lineRule="exact"/>
        <w:rPr>
          <w:rFonts w:ascii="Times New Roman" w:cs="Times New Roman" w:eastAsia="Times New Roman" w:hAnsi="Times New Roman"/>
          <w:sz w:val="18"/>
          <w:szCs w:val="18"/>
          <w:color w:val="auto"/>
        </w:rPr>
      </w:pPr>
    </w:p>
    <w:p>
      <w:pPr>
        <w:ind w:left="-8" w:right="220" w:firstLine="8"/>
        <w:spacing w:after="0" w:line="253" w:lineRule="auto"/>
        <w:tabs>
          <w:tab w:leader="none" w:pos="2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nominated by the Board of Directors or (B) not included in the Corporation’s proxy materials or are not submitted for election for any reason, including, without limitation, a subsequent failure to comply with this Section 11 by the Eligible Stockholder or the Eligible Stockholder’s withdrawal of the nomination, then, in each case, no additional Stockholder Nominees will be included in the Corporation’s proxy materials or otherwise submitted for stockholder election pursuant to this Section 11.</w:t>
      </w:r>
    </w:p>
    <w:p>
      <w:pPr>
        <w:spacing w:after="0" w:line="188" w:lineRule="exact"/>
        <w:rPr>
          <w:rFonts w:ascii="Times New Roman" w:cs="Times New Roman" w:eastAsia="Times New Roman" w:hAnsi="Times New Roman"/>
          <w:sz w:val="18"/>
          <w:szCs w:val="18"/>
          <w:color w:val="auto"/>
        </w:rPr>
      </w:pPr>
    </w:p>
    <w:p>
      <w:pPr>
        <w:ind w:left="-8" w:right="100" w:firstLine="980"/>
        <w:spacing w:after="0" w:line="255" w:lineRule="auto"/>
        <w:tabs>
          <w:tab w:leader="none" w:pos="148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one or more vacancies occur on the Board of Directors after the Final Proxy Access Nomination Date but before the date of the applicable Annual Meeting and the Board of Directors resolves to reduce the size of the Board of Directors in connection therewith, the maximum number of Stockholder Nominees eligible to be nominated or included in the Corporation’s proxy materials pursuant to this Section 11 shall be calculated based on the number of directors in office as so reduced. The Notices of Proxy Access Nomination and nominations of any Stockholder Nominees who cease to be eligible to be nominated or included in the Corporation’s proxy materials pursuant to this Section 11 as a result of the operation of this Section 11(c)(3) will be deemed to have been withdrawn by each of the applicable Eligible Stockholders as of the Final Proxy Access Nomination Date.</w:t>
      </w:r>
    </w:p>
    <w:p>
      <w:pPr>
        <w:spacing w:after="0" w:line="188" w:lineRule="exact"/>
        <w:rPr>
          <w:rFonts w:ascii="Times New Roman" w:cs="Times New Roman" w:eastAsia="Times New Roman" w:hAnsi="Times New Roman"/>
          <w:sz w:val="18"/>
          <w:szCs w:val="18"/>
          <w:color w:val="auto"/>
        </w:rPr>
      </w:pPr>
    </w:p>
    <w:p>
      <w:pPr>
        <w:ind w:left="572" w:hanging="248"/>
        <w:spacing w:after="0"/>
        <w:tabs>
          <w:tab w:leader="none" w:pos="57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Eligibility.</w:t>
      </w:r>
    </w:p>
    <w:p>
      <w:pPr>
        <w:spacing w:after="0" w:line="225" w:lineRule="exact"/>
        <w:rPr>
          <w:rFonts w:ascii="Times New Roman" w:cs="Times New Roman" w:eastAsia="Times New Roman" w:hAnsi="Times New Roman"/>
          <w:sz w:val="18"/>
          <w:szCs w:val="18"/>
          <w:color w:val="auto"/>
        </w:rPr>
      </w:pPr>
    </w:p>
    <w:p>
      <w:pPr>
        <w:ind w:left="-8" w:firstLine="980"/>
        <w:spacing w:after="0" w:line="251" w:lineRule="auto"/>
        <w:tabs>
          <w:tab w:leader="none" w:pos="148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 an Eligible Stockholder shall be deemed to “own” only those outstanding shares of common stock of the Corporation as to which the Eligible Stockholder possesses both (A) the full voting and investment rights pertaining to the shares and (B) the full economic interest in (including the opportunity for profit from and risk of loss on) such shares; provided that the number of shares calculated in accordance with clauses (A) and (B) (x) shall not include any shares (I) borrowed by such Eligible Stockholder for any purposes or purchased by such Eligible Stockholder pursuant to an agreement to resell, (II) sold by such Eligible Stockholder or any of its affiliates in any transaction that has not been settled or closed or (III)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(1) reducing in any manner, to any extent or at any time in the future, such Eligible Stockholder’s or its affiliates’ full right to vote or direct the voting of any such shares by such Eligible Stockholder or any of its affiliates and/or (2) hedging, offsetting or altering to any degree any gain or loss realized or realizable from maintaining the full economic ownership of such shares by such Eligible Stockholder or affiliate, and (y) shall be reduced by the notional amount of shares of common stock of the Corporation subject to any option, warrant, forward contract, swap, contract of sale, other derivative or similar agreement entered into by such Eligible Stockholder or any of its affiliates, whether or not any such instrument is to be settled with shares or with cash, to the extent the number of shares owned by the Eligible Stockholder was not already reduced by such amount pursuant to clause (x)(III) above, and a number of shares of common stock of the Corporation equal to the net “short” position in the common stock of the Corporation held by such Eligible Stockholder’s affiliates, whether through short sales, options, warrants, forward contracts, swaps, contracts of sale, other derivatives or similar agreements or any other agreement or arrangement. An Eligible Stockholder shall “own”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instrument or arrangement which is unconditionally revocable at any time by the Eligible Stockholder. The terms “owned,” “owning” and other variations of the word “own” shall have correlative meanings. Whether outstanding shares of the common stock of the Corporation are “owned” for these purposes shall be determined by the Board of Directors or any committee thereof. For purposes of this Section 11, the term “affiliate” or “affiliates” shall have the meaning ascribed thereto under the General Rules and Regulations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433705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7" w:name="page18"/>
    <w:bookmarkEnd w:id="17"/>
    <w:p>
      <w:pPr>
        <w:ind w:left="-980" w:firstLine="980"/>
        <w:spacing w:after="0" w:line="254" w:lineRule="auto"/>
        <w:tabs>
          <w:tab w:leader="none" w:pos="5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make a nomination pursuant to this Section 11, an Eligible Stockholder must have owned the Required Ownership Percentage (as defined below) of the Corporation’s outstanding common stock (the “</w:t>
      </w:r>
      <w:r>
        <w:rPr>
          <w:rFonts w:ascii="Times New Roman" w:cs="Times New Roman" w:eastAsia="Times New Roman" w:hAnsi="Times New Roman"/>
          <w:sz w:val="18"/>
          <w:szCs w:val="18"/>
          <w:u w:val="single" w:color="auto"/>
          <w:color w:val="auto"/>
        </w:rPr>
        <w:t>Required Shares</w:t>
      </w:r>
      <w:r>
        <w:rPr>
          <w:rFonts w:ascii="Times New Roman" w:cs="Times New Roman" w:eastAsia="Times New Roman" w:hAnsi="Times New Roman"/>
          <w:sz w:val="18"/>
          <w:szCs w:val="18"/>
          <w:color w:val="auto"/>
        </w:rPr>
        <w:t xml:space="preserve">”) continuously for the Minimum Holding Period (as defined below) or longer as of both the date the Notice of Proxy Access Nomination is required to be received by the Corporation in accordance with this Section 11 and the close of business on the record date for determining stockholders entitled to vote at the applicable Annual Meeting, and must continue to own the Required Shares through the applicable meeting date (and any postponement or adjournment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up to, but not more than, twenty (20) individual stockholders who otherwise meet all of the requirements to be an Eligible Stockholder may aggregate their stockholdings in order to meet the Required Ownership Percentage, but not the Minimum Holding Period, of the Required Shares. For purposes of this Section 11, the “Required Ownership Percentage” is 3% or more of the Corporation’s issued and outstanding common stock, and the “Minimum Holding Period” is three (3) years.</w:t>
      </w:r>
    </w:p>
    <w:p>
      <w:pPr>
        <w:spacing w:after="0" w:line="191" w:lineRule="exact"/>
        <w:rPr>
          <w:rFonts w:ascii="Times New Roman" w:cs="Times New Roman" w:eastAsia="Times New Roman" w:hAnsi="Times New Roman"/>
          <w:sz w:val="18"/>
          <w:szCs w:val="18"/>
          <w:color w:val="auto"/>
        </w:rPr>
      </w:pPr>
    </w:p>
    <w:p>
      <w:pPr>
        <w:ind w:left="-980" w:firstLine="980"/>
        <w:spacing w:after="0" w:line="253" w:lineRule="auto"/>
        <w:tabs>
          <w:tab w:leader="none" w:pos="5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Eligible Stockholder consists of a group of more than one stockholder, each provision in this Section 11 that requires the Eligible Stockholder to provide any written statements, representations, undertakings, agreements or other instruments or to meet any other conditions shall be deemed to require each stockholder that is a member of such group to provide such statements, representations, undertakings, agreements or other instruments and to meet such other conditions. In determining the aggregate number of stockholders in a group, a “group of investment companies,” as such term is defined in Section 12(d)(1)(G)(ii) of the Investment Company Act of 1940, as amended, (a “</w:t>
      </w:r>
      <w:r>
        <w:rPr>
          <w:rFonts w:ascii="Times New Roman" w:cs="Times New Roman" w:eastAsia="Times New Roman" w:hAnsi="Times New Roman"/>
          <w:sz w:val="18"/>
          <w:szCs w:val="18"/>
          <w:u w:val="single" w:color="auto"/>
          <w:color w:val="auto"/>
        </w:rPr>
        <w:t>Qualifying Fund Family</w:t>
      </w:r>
      <w:r>
        <w:rPr>
          <w:rFonts w:ascii="Times New Roman" w:cs="Times New Roman" w:eastAsia="Times New Roman" w:hAnsi="Times New Roman"/>
          <w:sz w:val="18"/>
          <w:szCs w:val="18"/>
          <w:color w:val="auto"/>
        </w:rPr>
        <w:t>”) shall be treated as one stockholder. Not later than the deadline for delivery of the Notice of Proxy Access Nomination pursuant to this Section 11, a Qualifying Fund Family whose stock ownership is counted for purposes of determining whether a stockholder or group of stockholders qualifies as an Eligible Stockholder shall provide to the Secretary of the Corporation such documentation as is reasonably satisfactory to the Board of Directors, in its sole discretion, that demonstrates that the funds comprising the Qualifying Fund Family satisfy the definition hereof. When an Eligible Stockholder is comprised of a group, a violation of any provision of these Bylaws by any member of the group shall be deemed a violation by the entire Eligible Stockholder group. No person may be a member of more than one group of persons constituting an Eligible Stockholder with respect to any Annual Meeting.</w:t>
      </w:r>
    </w:p>
    <w:p>
      <w:pPr>
        <w:spacing w:after="0" w:line="191" w:lineRule="exact"/>
        <w:rPr>
          <w:rFonts w:ascii="Times New Roman" w:cs="Times New Roman" w:eastAsia="Times New Roman" w:hAnsi="Times New Roman"/>
          <w:sz w:val="18"/>
          <w:szCs w:val="18"/>
          <w:color w:val="auto"/>
        </w:rPr>
      </w:pPr>
    </w:p>
    <w:p>
      <w:pPr>
        <w:ind w:left="-980" w:right="300" w:firstLine="980"/>
        <w:spacing w:after="0" w:line="261" w:lineRule="auto"/>
        <w:tabs>
          <w:tab w:leader="none" w:pos="5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providing the Notice of Proxy Access Nomination in accordance with Section 11(b)(1) above, in order to nominate a Stockholder Nominee pursuant to this Section 11, an Eligible Stockholder or the Stockholder Nominee, as applicable, must provide the following information in writing to the Secretary of the Corporation within the time period specified in this Section 11 for delivering the Notice of Proxy Access Nomination:</w:t>
      </w:r>
    </w:p>
    <w:p>
      <w:pPr>
        <w:spacing w:after="0" w:line="180" w:lineRule="exact"/>
        <w:rPr>
          <w:sz w:val="20"/>
          <w:szCs w:val="20"/>
          <w:color w:val="auto"/>
        </w:rPr>
      </w:pPr>
    </w:p>
    <w:p>
      <w:pPr>
        <w:ind w:left="-320" w:right="160" w:firstLine="320"/>
        <w:spacing w:after="0" w:line="277" w:lineRule="auto"/>
        <w:tabs>
          <w:tab w:leader="none" w:pos="38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written statements from the record holders of the Required Shares or from the intermediaries through which the Required Shares are or have been held during the Minimum Holding Period verifying that, as of a date within seven (7) business days prior to the date the Notice of Proxy Access Nomination is received by the Secretary of the Corporation, the Eligible Stockholder owns, and has owned continuously for the Minimum Holding Period, the Required Shares, and the Eligible Stockholder’s agreement to provide the updates and supplements (or written notices stating that there are no such updates or supplements) described in Section 11(b)(2) within the time periods set forth therein;</w:t>
      </w:r>
    </w:p>
    <w:p>
      <w:pPr>
        <w:spacing w:after="0" w:line="167" w:lineRule="exact"/>
        <w:rPr>
          <w:rFonts w:ascii="Times New Roman" w:cs="Times New Roman" w:eastAsia="Times New Roman" w:hAnsi="Times New Roman"/>
          <w:sz w:val="17"/>
          <w:szCs w:val="17"/>
          <w:color w:val="auto"/>
        </w:rPr>
      </w:pPr>
    </w:p>
    <w:p>
      <w:pPr>
        <w:ind w:left="-320" w:right="40" w:firstLine="320"/>
        <w:spacing w:after="0" w:line="289" w:lineRule="auto"/>
        <w:tabs>
          <w:tab w:leader="none" w:pos="37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Schedule 14N filed or to be filed with the Securities and Exchange Commission in accordance with Rule 14a-18 of the Exchange Act (and, if not included in such Schedule 14N, the details of any relationship that existed within the past three (3) years and that would have been described pursuant to Item 6(e) of Schedule 14N (or any successor item) if it existed on the date of submission of the Schedule 14N);</w:t>
      </w:r>
    </w:p>
    <w:p>
      <w:pPr>
        <w:spacing w:after="0" w:line="157" w:lineRule="exact"/>
        <w:rPr>
          <w:rFonts w:ascii="Times New Roman" w:cs="Times New Roman" w:eastAsia="Times New Roman" w:hAnsi="Times New Roman"/>
          <w:sz w:val="17"/>
          <w:szCs w:val="17"/>
          <w:color w:val="auto"/>
        </w:rPr>
      </w:pPr>
    </w:p>
    <w:p>
      <w:pPr>
        <w:ind w:left="-320" w:right="220" w:firstLine="320"/>
        <w:spacing w:after="0" w:line="266" w:lineRule="auto"/>
        <w:tabs>
          <w:tab w:leader="none" w:pos="3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Information (with the Statement, if any, clearly and specifically identified as such) and all other information, representations and agreements that are required to be set forth in a stockholder’s notice, or provided to the Corporation in order to nominate an individual for election as a director, pursuant to Section 2 of this 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414655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40"/>
          </w:cols>
          <w:pgMar w:left="1300" w:top="904" w:right="359" w:bottom="1440" w:gutter="0" w:footer="0" w:header="0"/>
        </w:sectPr>
      </w:pPr>
    </w:p>
    <w:bookmarkStart w:id="18" w:name="page19"/>
    <w:bookmarkEnd w:id="18"/>
    <w:p>
      <w:pPr>
        <w:ind w:left="700" w:hanging="380"/>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each Stockholder Nominee to being named in the proxy statement as a nominee and to serving as a director if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w:t>
      </w:r>
    </w:p>
    <w:p>
      <w:pPr>
        <w:spacing w:after="0" w:line="206" w:lineRule="exact"/>
        <w:rPr>
          <w:rFonts w:ascii="Times New Roman" w:cs="Times New Roman" w:eastAsia="Times New Roman" w:hAnsi="Times New Roman"/>
          <w:sz w:val="18"/>
          <w:szCs w:val="18"/>
          <w:color w:val="auto"/>
        </w:rPr>
      </w:pPr>
    </w:p>
    <w:p>
      <w:pPr>
        <w:ind w:right="60" w:firstLine="320"/>
        <w:spacing w:after="0" w:line="261" w:lineRule="auto"/>
        <w:tabs>
          <w:tab w:leader="none" w:pos="7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Notice of Proxy Access Nomination that is submitted by an Eligible Stockholder that is comprised of a group of stockholders, the designation by all of such stockholders of one of such stockholders who is authorized to act on behalf of all of such stockholders with respect to all matters relating to the nomination or inclusion in the Corporation’s proxy materials of the Stockholder Nominee(s) nominated by such Eligible Stockholder, including, without limitation, the withdrawal of such nomination;</w:t>
      </w:r>
    </w:p>
    <w:p>
      <w:pPr>
        <w:spacing w:after="0" w:line="179" w:lineRule="exact"/>
        <w:rPr>
          <w:rFonts w:ascii="Times New Roman" w:cs="Times New Roman" w:eastAsia="Times New Roman" w:hAnsi="Times New Roman"/>
          <w:sz w:val="18"/>
          <w:szCs w:val="18"/>
          <w:color w:val="auto"/>
        </w:rPr>
      </w:pPr>
    </w:p>
    <w:p>
      <w:pPr>
        <w:ind w:right="260" w:firstLine="320"/>
        <w:spacing w:after="0" w:line="261" w:lineRule="auto"/>
        <w:tabs>
          <w:tab w:leader="none" w:pos="7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by each Stockholder Nominee, upon such Stockholder Nominee’s election, to make such acknowledgements, enter into such agreements and provide such information as the Board of Directors requires of all directors at such time, including without limitation, agreeing to be bound by the Corporation’s code of ethics, conflict of interest, confidentiality, stock ownership, insider trading policies and procedures and other similar policies and procedures;</w:t>
      </w:r>
    </w:p>
    <w:p>
      <w:pPr>
        <w:spacing w:after="0" w:line="179" w:lineRule="exact"/>
        <w:rPr>
          <w:rFonts w:ascii="Times New Roman" w:cs="Times New Roman" w:eastAsia="Times New Roman" w:hAnsi="Times New Roman"/>
          <w:sz w:val="18"/>
          <w:szCs w:val="18"/>
          <w:color w:val="auto"/>
        </w:rPr>
      </w:pPr>
    </w:p>
    <w:p>
      <w:pPr>
        <w:ind w:right="40" w:firstLine="320"/>
        <w:spacing w:after="0" w:line="261" w:lineRule="auto"/>
        <w:tabs>
          <w:tab w:leader="none" w:pos="7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irrevocable resignation of the Stockholder Nominee, which shall become effective upon a determination in good faith by the Board of Directors or any committee thereof that the information provided to the Corporation by such individual pursuant to this Section 11 was untrue in any material respect or omitted to state a material fact necessary in order to make the statements made, in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firstLine="320"/>
        <w:spacing w:after="0" w:line="253" w:lineRule="auto"/>
        <w:tabs>
          <w:tab w:leader="none" w:pos="7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(in the form provided by the Secretary of the Corporation upon written request) that the Eligible Stockholder (I) acquired the Required Shares in the ordinary course of business and not with the intent to change or influence control at the Corporation, and that the Eligible Stockholder does not presently have such intent, (II) has not nominated and will not nominate for election to the Board of Directors at the Annual Meeting (or any postponement or adjournment thereof) any person other than the Stockholder Nominee(s) being nominated pursuant to this Section 11, (III)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(IV) will not distribute to any stockholder any form of proxy for the Annual Meeting other than the form of proxy distributed by the Corporation, (V) agrees to comply with all other laws and regulations applicable to any solicitation in connection with the Annual Meeting, including, without limitation, Rule 14a-9 promulgated under the Exchange Act, (VI) meets the requirements set forth in this Section 11, and (VII) has provided and will continue to provide facts, statements and other information in all communications with the Corporation and its stockholders in connection with the nomination hereunder that is or will be true and correct in all material respects and does not and will not omit to state a material fact necessary in order to make the statements made, in light of the circumstances under which they were made, not misleading; and</w:t>
      </w:r>
    </w:p>
    <w:p>
      <w:pPr>
        <w:spacing w:after="0" w:line="187" w:lineRule="exact"/>
        <w:rPr>
          <w:rFonts w:ascii="Times New Roman" w:cs="Times New Roman" w:eastAsia="Times New Roman" w:hAnsi="Times New Roman"/>
          <w:sz w:val="18"/>
          <w:szCs w:val="18"/>
          <w:color w:val="auto"/>
        </w:rPr>
      </w:pPr>
    </w:p>
    <w:p>
      <w:pPr>
        <w:ind w:firstLine="320"/>
        <w:spacing w:after="0" w:line="270" w:lineRule="auto"/>
        <w:tabs>
          <w:tab w:leader="none" w:pos="77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undertaking (in the form provided by the Secretary of the Corporation upon written request) that the Eligible Stockholder agrees to (I) assume all liability stemming from any legal or regulatory violation arising out of the communications with stockholders of the Corporation by the Eligible Stockholder, its affiliates and associates, or their respective agents or representatives, either before or after the furnishing of the Notice of Proxy Access Nomination, or out of the facts, statements or information that the Eligible Stockholder or its Stockholder Nominee(s) has provided or will provide to the Corporation or filed with the Securities and Exchange Commission, (II) indemnify and hold harmless the Corporation and each of its directors, officers, agents, employees, affiliates, control persons or other persons acting on behalf of the Corporation individually against any liability, loss or damages in connection with any threatened or pending action, suit or proceeding, whether legal, administrative or investigative, against the Corporation or any of its directors, officers, agents, employees, affiliates, control persons or other persons acting on behalf of the Corporation arising out of any nomination of a Stockholder Nominee submitted by the Eligible Stockholder pursuant to this Section 11, and (III) promptly provide to the Corporation such additional information as requested pursuant to this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415290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ind w:right="320"/>
        <w:spacing w:after="0" w:line="261" w:lineRule="auto"/>
        <w:rPr>
          <w:sz w:val="20"/>
          <w:szCs w:val="20"/>
          <w:color w:val="auto"/>
        </w:rPr>
      </w:pPr>
      <w:r>
        <w:rPr>
          <w:rFonts w:ascii="Times New Roman" w:cs="Times New Roman" w:eastAsia="Times New Roman" w:hAnsi="Times New Roman"/>
          <w:sz w:val="18"/>
          <w:szCs w:val="18"/>
          <w:color w:val="auto"/>
        </w:rPr>
        <w:t>In connection with Section 11(d)(4)(A), if any intermediary that verifies the Eligible Stockholder’s ownership of the Required Shares for the Minimum Holding Period is not the record holder of such shares, a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participant or an affiliate of a DTC participant, then the Eligible Stockholder will also need to provide a written statement as required by Section 11(d)(4)(A) from the record holder of such shares, a DTC participant or an affiliate of a DTC participant that can verify the holdings of such intermediary.</w:t>
      </w:r>
    </w:p>
    <w:p>
      <w:pPr>
        <w:spacing w:after="0" w:line="180" w:lineRule="exact"/>
        <w:rPr>
          <w:sz w:val="20"/>
          <w:szCs w:val="20"/>
          <w:color w:val="auto"/>
        </w:rPr>
      </w:pPr>
    </w:p>
    <w:p>
      <w:pPr>
        <w:ind w:left="840" w:hanging="508"/>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Nominee Requirements.</w:t>
      </w:r>
    </w:p>
    <w:p>
      <w:pPr>
        <w:spacing w:after="0" w:line="225" w:lineRule="exact"/>
        <w:rPr>
          <w:rFonts w:ascii="Times New Roman" w:cs="Times New Roman" w:eastAsia="Times New Roman" w:hAnsi="Times New Roman"/>
          <w:sz w:val="18"/>
          <w:szCs w:val="18"/>
          <w:color w:val="auto"/>
        </w:rPr>
      </w:pPr>
    </w:p>
    <w:p>
      <w:pPr>
        <w:ind w:firstLine="980"/>
        <w:spacing w:after="0" w:line="251" w:lineRule="auto"/>
        <w:tabs>
          <w:tab w:leader="none" w:pos="14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the Corporation shall not be required to include, pursuant to this Section 11, any Stockholder Nominee in its proxy materials (and no such Stockholder Nominee may be nominated pursuant to this Section 11) for any Annual Meeting of stockholders (A) for which the Secretary of the Corporation receives a notice that the Eligible Stockholder or any other stockholder of the Corporation has nominated one or more persons for election to the Board of Directors pursuant to the advance notice requirements for nominees for director set forth in Section 2 of this Article I, (B) if the Eligible Stockholder who has nominated such Stockholder Nominee has engaged in or is currently engaged in, or has been or is a “participant” in another person’s “solicitation” within the meaning of Rule 14a-1(l) under the Exchange Act, in support of the election of any individual as a director at the Annual Meeting other than its Stockholder Nominee(s) or a nominee of the Board of Directors, (C) if such Stockholder Nominee is or becomes a party to any compensatory, payment or other financial agreement, arrangement or understanding with any person or entity other than the Corporation, or is receiving or will receive any such compensation or other payment from any person or entity other than the Corporation, in each case, in connection with service as a director of the Corporation, (D) who is not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or any committee thereof, (E) who does not meet the audit committee and compensation committee independence requirements under the rules of the primary stock exchange on which the shares of common stock of the Corporation are listed; (F) who is not a “non-employee director” for the purposes of Rule 16b-3 under the Exchange Act (or any successor rule), (G) whose election as a member of the Board of Directors would cause the Corporation to be in violation of these Bylaws, the Certificate, the rules and listing standards of the principal U.S. exchanges upon which the common stock of the Corporation is listed or over-the-counter market on which any securities of the Corporation are traded, or any applicable state or federal law, rule or regulation, (H) who provides any information to the Corporation or its stockholders required or requested pursuant to any provision of these Bylaws that is not accurate, truthful and complete in all material respects, or that otherwise contravenes any of the agreements, representations or undertakings made by the Stockholder Nominee in connection with the nomination, (I) who is or has been, within the past three (3) years, an officer or director of a competitor, as defined in Section 8 of the Clayton Antitrust Act of 1914, (J) who is a defendant in or named subject of a pending criminal proceeding (excluding traffic violations) or has been convicted or has pleaded nolo contendere in such a criminal proceeding within the past ten (10) years, (K) is subject to any order of the type specified in Rule 506(d) of Regulation D promulgated under the Securities Act of 1933, as amended, (L) if such Stockholder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as determined by the Board of Directors or any committee thereof, or (M) if the Eligible Stockholder or applicable Stockholder Nominee fails to comply with its obligations pursuant to this Section 11.</w:t>
      </w:r>
    </w:p>
    <w:p>
      <w:pPr>
        <w:spacing w:after="0" w:line="203" w:lineRule="exact"/>
        <w:rPr>
          <w:rFonts w:ascii="Times New Roman" w:cs="Times New Roman" w:eastAsia="Times New Roman" w:hAnsi="Times New Roman"/>
          <w:sz w:val="18"/>
          <w:szCs w:val="18"/>
          <w:color w:val="auto"/>
        </w:rPr>
      </w:pPr>
    </w:p>
    <w:p>
      <w:pPr>
        <w:ind w:right="240" w:firstLine="980"/>
        <w:spacing w:after="0" w:line="261" w:lineRule="auto"/>
        <w:tabs>
          <w:tab w:leader="none" w:pos="148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Nominee who is included in the Corporation’s proxy materials for a particular Annual Meeting but either (A) withdraws from or becomes ineligible or unavailable for election to the Board of Directors at such Annual Meeting, or (B) does not receive a number of “for” votes equal to at least 25% of the number of shares present and entitled to vote for the election of directors, will be ineligible for nomination or inclusion in the Corporation’s proxy materials as a Stockholder Nominee pursuant to this Section 11 for the next two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 w:name="page21"/>
    <w:bookmarkEnd w:id="20"/>
    <w:p>
      <w:pPr>
        <w:ind w:firstLine="980"/>
        <w:spacing w:after="0" w:line="252" w:lineRule="auto"/>
        <w:tabs>
          <w:tab w:leader="none" w:pos="14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if the Board of Directors or a designated committee thereof determines that any stockholder nomination was not made in accordance with the terms of this Section 11 or that the information provided in a Notice of Proxy Access Nomination does not satisfy the informational requirements of this Section 11 in any material respect, then such nomination shall not be considered at the applicable Annual Meeting. If neither the Board of Directors nor such committee makes a determination as to whether a nomination was made in accordance with the provisions of this Section 11, the presiding officer of the Annual Meeting shall determine whether a nomination was made in accordance with such provisions. If the presiding officer determines that any stockholder nomination was not made in accordance with the terms of this Section 11 or that the information provided in a stockholder’s notice does not satisfy the informational requirements of this Section 11 in any material respect, then such nomination shall not be considered at the applicable Annual Meeting. Additionally, such nomination will not be considered at the Annual Meeting in question if the Eligible Stockholder (or a qualified representative thereof) does not appear at the applicable Annual Meeting to present any nomination of the Stockholder Nominee(s) included in the Corporation’s proxy materials pursuant to this Section 11. For purposes of this Section 11, to be considered a qualified representative of a stockholder, a person must be duly authorized officer, manager or partner of such stockholder or must be authorized by a writing executed by such stockholder or an electronic transmission delivered by such stockholder to act for such stockholder as its proxy at the Annual Meeting and such person must produce such writing or electronic transmission, or a reliable reproduction thereof, at such Annual Meeting. If the Board of Directors, a designated committee thereof or the presiding officer determines that a nomination was made in accordance with the terms of this Section 11, the presiding officer shall so declare at the applicable Annual Meeting and ballots shall be provided for use at such meeting with respect to such Stockholder Nominee.</w:t>
      </w:r>
    </w:p>
    <w:p>
      <w:pPr>
        <w:spacing w:after="0" w:line="194" w:lineRule="exact"/>
        <w:rPr>
          <w:rFonts w:ascii="Times New Roman" w:cs="Times New Roman" w:eastAsia="Times New Roman" w:hAnsi="Times New Roman"/>
          <w:sz w:val="18"/>
          <w:szCs w:val="18"/>
          <w:color w:val="auto"/>
        </w:rPr>
      </w:pPr>
    </w:p>
    <w:p>
      <w:pPr>
        <w:ind w:right="80" w:firstLine="332"/>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11 provides the exclusive method for stockholders to include nominees for director in the Corporation’s proxy materials. A stockholder’s compliance with the procedures set forth in this Section 11 will not also be deemed to constitute compliance with the procedures set forth in, or notice pursuant to, Section 2 of this Article I.</w:t>
      </w:r>
    </w:p>
    <w:p>
      <w:pPr>
        <w:spacing w:after="0" w:line="175" w:lineRule="exact"/>
        <w:rPr>
          <w:rFonts w:ascii="Times New Roman" w:cs="Times New Roman" w:eastAsia="Times New Roman" w:hAnsi="Times New Roman"/>
          <w:sz w:val="18"/>
          <w:szCs w:val="18"/>
          <w:color w:val="auto"/>
        </w:rPr>
      </w:pPr>
    </w:p>
    <w:p>
      <w:pPr>
        <w:ind w:right="800" w:firstLine="332"/>
        <w:spacing w:after="0" w:line="282" w:lineRule="auto"/>
        <w:tabs>
          <w:tab w:leader="none" w:pos="8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Corporation may solicit against, and include in the proxy statement its own statement relating to, any Stockholder Nominee.</w:t>
      </w:r>
    </w:p>
    <w:p>
      <w:pPr>
        <w:spacing w:after="0" w:line="161" w:lineRule="exact"/>
        <w:rPr>
          <w:rFonts w:ascii="Times New Roman" w:cs="Times New Roman" w:eastAsia="Times New Roman" w:hAnsi="Times New Roman"/>
          <w:sz w:val="18"/>
          <w:szCs w:val="18"/>
          <w:color w:val="auto"/>
        </w:rPr>
      </w:pPr>
    </w:p>
    <w:p>
      <w:pPr>
        <w:ind w:right="60" w:firstLine="332"/>
        <w:spacing w:after="0" w:line="255" w:lineRule="auto"/>
        <w:tabs>
          <w:tab w:leader="none" w:pos="8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the Corporation, any Eligible Holder, Stockholder Nominee and any other person so long as made in good faith (without any further requirements). The chairman of any Annual Meeting of stockholders, in addition to making any other determinations that may be appropriate to the conduct of the meeting, shall have the power and duty to determine whether a Stockholder Nominee has been nominated in accordance with the requirements of this Section 11 and, if not so nominated, shall direct and declare at the meeting that such Stockholder Nominee shall not be considered.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giving written notice to the Chairperson of the Board, if one is elected, the President or the Secretary. A resignation shall be effective upon receipt, unless the resignation otherwise provides.</w:t>
      </w:r>
    </w:p>
    <w:p>
      <w:pPr>
        <w:spacing w:after="0" w:line="16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thereof.</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or the President or such other officer designated by the Chairperson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by vote of a majority of the directors then in office, may elect one or more committees, including, without limitation, a Compensation Committee, a Nominating and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Enumeration</w:t>
      </w:r>
      <w:r>
        <w:rPr>
          <w:rFonts w:ascii="Times New Roman" w:cs="Times New Roman" w:eastAsia="Times New Roman" w:hAnsi="Times New Roman"/>
          <w:sz w:val="17"/>
          <w:szCs w:val="17"/>
          <w:color w:val="auto"/>
        </w:rPr>
        <w:t>. The officers of the Corporation shall consist of a President, a Treasurer, a Secretary and such other officers, including, without limitation, a Chairperson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5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Qualification</w:t>
      </w:r>
      <w:r>
        <w:rPr>
          <w:rFonts w:ascii="Times New Roman" w:cs="Times New Roman" w:eastAsia="Times New Roman" w:hAnsi="Times New Roman"/>
          <w:sz w:val="17"/>
          <w:szCs w:val="17"/>
          <w:color w:val="auto"/>
        </w:rPr>
        <w:t>. No officer need be a stockholder or a director. Any person may occupy more than one office of the Corporation at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as otherwise provided by law, the Board of Directors may remove any officer with or without cause by the affirmative vote of a majority of the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 w:name="page24"/>
    <w:bookmarkEnd w:id="2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Chairperson of the Board</w:t>
      </w:r>
      <w:r>
        <w:rPr>
          <w:rFonts w:ascii="Times New Roman" w:cs="Times New Roman" w:eastAsia="Times New Roman" w:hAnsi="Times New Roman"/>
          <w:sz w:val="18"/>
          <w:szCs w:val="18"/>
          <w:color w:val="auto"/>
        </w:rPr>
        <w:t>. The Chairperson of the Board, if one is elected, shall have such powers and shall perform such duties as the Board of Directors may from time to time designate.</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 The Chief Executive Officer shall preside as the chair of the meeting at all meetings of the stockholders; provided that if there is no Chief Executive Officer or the Chief Executive Officer is unable to so preside or is absent, then a director or officer chosen by resolution of the Board of Directors shall act as the chair of the meeting at all meetings of stockholders.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the Chairperson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94"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225" w:lineRule="exact"/>
        <w:rPr>
          <w:sz w:val="20"/>
          <w:szCs w:val="20"/>
          <w:color w:val="auto"/>
        </w:rPr>
      </w:pPr>
    </w:p>
    <w:p>
      <w:pPr>
        <w:ind w:left="-20" w:right="40" w:firstLine="656"/>
        <w:spacing w:after="0" w:line="254" w:lineRule="auto"/>
        <w:tabs>
          <w:tab w:leader="none" w:pos="8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1"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any person who serves or has served the Corporation as a director on the Board of Directors;</w:t>
      </w:r>
    </w:p>
    <w:p>
      <w:pPr>
        <w:spacing w:after="0" w:line="225" w:lineRule="exact"/>
        <w:rPr>
          <w:rFonts w:ascii="Times New Roman" w:cs="Times New Roman" w:eastAsia="Times New Roman" w:hAnsi="Times New Roman"/>
          <w:sz w:val="18"/>
          <w:szCs w:val="18"/>
          <w:color w:val="auto"/>
        </w:rPr>
      </w:pPr>
    </w:p>
    <w:p>
      <w:pPr>
        <w:ind w:left="-20" w:right="360" w:firstLine="656"/>
        <w:spacing w:after="0" w:line="282" w:lineRule="auto"/>
        <w:tabs>
          <w:tab w:leader="none" w:pos="8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161" w:lineRule="exact"/>
        <w:rPr>
          <w:rFonts w:ascii="Times New Roman" w:cs="Times New Roman" w:eastAsia="Times New Roman" w:hAnsi="Times New Roman"/>
          <w:sz w:val="18"/>
          <w:szCs w:val="18"/>
          <w:color w:val="auto"/>
        </w:rPr>
      </w:pPr>
    </w:p>
    <w:p>
      <w:pPr>
        <w:ind w:left="-20" w:firstLine="656"/>
        <w:spacing w:after="0" w:line="256" w:lineRule="auto"/>
        <w:tabs>
          <w:tab w:leader="none" w:pos="8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7" w:lineRule="exact"/>
        <w:rPr>
          <w:rFonts w:ascii="Times New Roman" w:cs="Times New Roman" w:eastAsia="Times New Roman" w:hAnsi="Times New Roman"/>
          <w:sz w:val="18"/>
          <w:szCs w:val="18"/>
          <w:color w:val="auto"/>
        </w:rPr>
      </w:pPr>
    </w:p>
    <w:p>
      <w:pPr>
        <w:ind w:left="880" w:hanging="24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225" w:lineRule="exact"/>
        <w:rPr>
          <w:rFonts w:ascii="Times New Roman" w:cs="Times New Roman" w:eastAsia="Times New Roman" w:hAnsi="Times New Roman"/>
          <w:sz w:val="18"/>
          <w:szCs w:val="18"/>
          <w:color w:val="auto"/>
        </w:rPr>
      </w:pPr>
    </w:p>
    <w:p>
      <w:pPr>
        <w:ind w:left="-20" w:right="140" w:firstLine="656"/>
        <w:spacing w:after="0" w:line="282" w:lineRule="auto"/>
        <w:tabs>
          <w:tab w:leader="none" w:pos="8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161"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any person who serves or has served the Corporation as an officer of the Corporation appointed by the Board of Directors;</w:t>
      </w:r>
    </w:p>
    <w:p>
      <w:pPr>
        <w:spacing w:after="0" w:line="225" w:lineRule="exact"/>
        <w:rPr>
          <w:rFonts w:ascii="Times New Roman" w:cs="Times New Roman" w:eastAsia="Times New Roman" w:hAnsi="Times New Roman"/>
          <w:sz w:val="18"/>
          <w:szCs w:val="18"/>
          <w:color w:val="auto"/>
        </w:rPr>
      </w:pPr>
    </w:p>
    <w:p>
      <w:pPr>
        <w:ind w:left="-20" w:right="860" w:firstLine="656"/>
        <w:spacing w:after="0" w:line="282" w:lineRule="auto"/>
        <w:tabs>
          <w:tab w:leader="none" w:pos="8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1" w:lineRule="exact"/>
        <w:rPr>
          <w:rFonts w:ascii="Times New Roman" w:cs="Times New Roman" w:eastAsia="Times New Roman" w:hAnsi="Times New Roman"/>
          <w:sz w:val="18"/>
          <w:szCs w:val="18"/>
          <w:color w:val="auto"/>
        </w:rPr>
      </w:pPr>
    </w:p>
    <w:p>
      <w:pPr>
        <w:ind w:left="-20" w:right="260" w:firstLine="656"/>
        <w:spacing w:after="0" w:line="258" w:lineRule="auto"/>
        <w:tabs>
          <w:tab w:leader="none" w:pos="8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656"/>
        <w:spacing w:after="0" w:line="261" w:lineRule="auto"/>
        <w:tabs>
          <w:tab w:leader="none" w:pos="8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79" w:lineRule="exact"/>
        <w:rPr>
          <w:rFonts w:ascii="Times New Roman" w:cs="Times New Roman" w:eastAsia="Times New Roman" w:hAnsi="Times New Roman"/>
          <w:sz w:val="18"/>
          <w:szCs w:val="18"/>
          <w:color w:val="auto"/>
        </w:rPr>
      </w:pPr>
    </w:p>
    <w:p>
      <w:pPr>
        <w:ind w:left="640" w:firstLine="644"/>
        <w:spacing w:after="0" w:line="255" w:lineRule="auto"/>
        <w:tabs>
          <w:tab w:leader="none" w:pos="15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6" w:name="page27"/>
    <w:bookmarkEnd w:id="26"/>
    <w:p>
      <w:pPr>
        <w:ind w:left="660" w:firstLine="644"/>
        <w:spacing w:after="0" w:line="253" w:lineRule="auto"/>
        <w:tabs>
          <w:tab w:leader="none" w:pos="15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94" w:lineRule="exact"/>
        <w:rPr>
          <w:rFonts w:ascii="Times New Roman" w:cs="Times New Roman" w:eastAsia="Times New Roman" w:hAnsi="Times New Roman"/>
          <w:sz w:val="18"/>
          <w:szCs w:val="18"/>
          <w:color w:val="auto"/>
        </w:rPr>
      </w:pPr>
    </w:p>
    <w:p>
      <w:pPr>
        <w:ind w:left="660" w:right="160" w:firstLine="644"/>
        <w:spacing w:after="0" w:line="312" w:lineRule="auto"/>
        <w:tabs>
          <w:tab w:leader="none" w:pos="156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 of Rights</w:t>
      </w:r>
      <w:r>
        <w:rPr>
          <w:rFonts w:ascii="Times New Roman" w:cs="Times New Roman" w:eastAsia="Times New Roman" w:hAnsi="Times New Roman"/>
          <w:sz w:val="17"/>
          <w:szCs w:val="17"/>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39" w:lineRule="exact"/>
        <w:rPr>
          <w:rFonts w:ascii="Times New Roman" w:cs="Times New Roman" w:eastAsia="Times New Roman" w:hAnsi="Times New Roman"/>
          <w:sz w:val="17"/>
          <w:szCs w:val="17"/>
          <w:color w:val="auto"/>
        </w:rPr>
      </w:pPr>
    </w:p>
    <w:p>
      <w:pPr>
        <w:ind w:left="660" w:right="40" w:firstLine="644"/>
        <w:spacing w:after="0" w:line="258" w:lineRule="auto"/>
        <w:tabs>
          <w:tab w:leader="none" w:pos="15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4 of this Article V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6" w:firstLine="656"/>
        <w:spacing w:after="0" w:line="254" w:lineRule="auto"/>
        <w:tabs>
          <w:tab w:leader="none" w:pos="2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88" w:lineRule="exact"/>
        <w:rPr>
          <w:rFonts w:ascii="Times New Roman" w:cs="Times New Roman" w:eastAsia="Times New Roman" w:hAnsi="Times New Roman"/>
          <w:sz w:val="18"/>
          <w:szCs w:val="18"/>
          <w:color w:val="auto"/>
        </w:rPr>
      </w:pPr>
    </w:p>
    <w:p>
      <w:pPr>
        <w:ind w:left="-656" w:right="40" w:firstLine="656"/>
        <w:spacing w:after="0" w:line="255" w:lineRule="auto"/>
        <w:tabs>
          <w:tab w:leader="none" w:pos="2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82" w:lineRule="auto"/>
        <w:tabs>
          <w:tab w:leader="none" w:pos="2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6" w:right="60" w:firstLine="656"/>
        <w:spacing w:after="0" w:line="255" w:lineRule="auto"/>
        <w:tabs>
          <w:tab w:leader="none" w:pos="2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ind w:left="-656" w:right="220" w:firstLine="656"/>
        <w:spacing w:after="0" w:line="266" w:lineRule="auto"/>
        <w:tabs>
          <w:tab w:leader="none" w:pos="2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6" w:right="40" w:firstLine="656"/>
        <w:spacing w:after="0" w:line="253" w:lineRule="auto"/>
        <w:tabs>
          <w:tab w:leader="none" w:pos="2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426085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ind w:firstLine="656"/>
        <w:spacing w:after="0" w:line="255" w:lineRule="auto"/>
        <w:tabs>
          <w:tab w:leader="none" w:pos="9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8" w:lineRule="exact"/>
        <w:rPr>
          <w:rFonts w:ascii="Times New Roman" w:cs="Times New Roman" w:eastAsia="Times New Roman" w:hAnsi="Times New Roman"/>
          <w:sz w:val="18"/>
          <w:szCs w:val="18"/>
          <w:color w:val="auto"/>
        </w:rPr>
      </w:pPr>
    </w:p>
    <w:p>
      <w:pPr>
        <w:ind w:right="200" w:firstLine="656"/>
        <w:spacing w:after="0" w:line="282" w:lineRule="auto"/>
        <w:tabs>
          <w:tab w:leader="none" w:pos="8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Chief Executive Officer, the President or the Treasurer or any other officer, employee or agent of the Corporation as the Board of Directors or the executive committee of the Board may authorize.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56"/>
        <w:spacing w:after="0" w:line="282" w:lineRule="auto"/>
        <w:tabs>
          <w:tab w:leader="none" w:pos="8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these Bylaws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ind w:firstLine="656"/>
        <w:spacing w:after="0" w:line="256" w:lineRule="auto"/>
        <w:tabs>
          <w:tab w:leader="none" w:pos="9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Exclusive Jurisdiction of Delaware Courts or the United States Federal District Courts</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any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shall be the sole and exclusive forum for resolving any complaint asserting a cause of action arising under the Securities Act of 1933, as amended, the Exchange Act, or the respective rules and regulations promulgated thereunder. Any person or entity purchasing or otherwise acquiring any interest in shares of capital stock of the Corporation shall be deemed to have notice of and consented to the provisions of this Section 11.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March 12,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May 6,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April 30,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November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o"/>
      <w:numFmt w:val="bullet"/>
      <w:start w:val="1"/>
    </w:lvl>
  </w:abstractNum>
  <w:abstractNum w:abstractNumId="4">
    <w:nsid w:val="628C895D"/>
    <w:multiLevelType w:val="hybridMultilevel"/>
    <w:lvl w:ilvl="0">
      <w:lvlJc w:val="left"/>
      <w:lvlText w:val="(%1)"/>
      <w:numFmt w:val="lowerLetter"/>
      <w:start w:val="1"/>
    </w:lvl>
    <w:lvl w:ilvl="1">
      <w:lvlJc w:val="left"/>
      <w:lvlText w:val="(%2)"/>
      <w:numFmt w:val="decimal"/>
      <w:start w:val="1"/>
    </w:lvl>
  </w:abstractNum>
  <w:abstractNum w:abstractNumId="5">
    <w:nsid w:val="333AB105"/>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abstractNum>
  <w:abstractNum w:abstractNumId="6">
    <w:nsid w:val="721DA317"/>
    <w:multiLevelType w:val="hybridMultilevel"/>
    <w:lvl w:ilvl="0">
      <w:lvlJc w:val="left"/>
      <w:lvlText w:val="(%1)"/>
      <w:numFmt w:val="decimal"/>
      <w:start w:val="60"/>
    </w:lvl>
    <w:lvl w:ilvl="1">
      <w:lvlJc w:val="left"/>
      <w:lvlText w:val="%2"/>
      <w:numFmt w:val="decimal"/>
      <w:start w:val="1"/>
    </w:lvl>
    <w:lvl w:ilvl="2">
      <w:lvlJc w:val="left"/>
      <w:lvlText w:val="(%3)"/>
      <w:numFmt w:val="upperLetter"/>
      <w:start w:val="1"/>
    </w:lvl>
  </w:abstractNum>
  <w:abstractNum w:abstractNumId="7">
    <w:nsid w:val="2443A858"/>
    <w:multiLevelType w:val="hybridMultilevel"/>
    <w:lvl w:ilvl="0">
      <w:lvlJc w:val="left"/>
      <w:lvlText w:val="(%1)"/>
      <w:numFmt w:val="upperLetter"/>
      <w:start w:val="2"/>
    </w:lvl>
  </w:abstractNum>
  <w:abstractNum w:abstractNumId="8">
    <w:nsid w:val="2D1D5AE9"/>
    <w:multiLevelType w:val="hybridMultilevel"/>
    <w:lvl w:ilvl="0">
      <w:lvlJc w:val="left"/>
      <w:lvlText w:val="(%1)"/>
      <w:numFmt w:val="upperLetter"/>
      <w:start w:val="4"/>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lowerLetter"/>
      <w:start w:val="2"/>
    </w:lvl>
    <w:lvl w:ilvl="1">
      <w:lvlJc w:val="left"/>
      <w:lvlText w:val="(%2)"/>
      <w:numFmt w:val="decimal"/>
      <w:start w:val="1"/>
    </w:lvl>
  </w:abstractNum>
  <w:abstractNum w:abstractNumId="11">
    <w:nsid w:val="8EDBDAB"/>
    <w:multiLevelType w:val="hybridMultilevel"/>
    <w:lvl w:ilvl="0">
      <w:lvlJc w:val="left"/>
      <w:lvlText w:val="(%1)"/>
      <w:numFmt w:val="decimal"/>
      <w:start w:val="6"/>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3"/>
    </w:lvl>
  </w:abstractNum>
  <w:abstractNum w:abstractNumId="14">
    <w:nsid w:val="B03E0C6"/>
    <w:multiLevelType w:val="hybridMultilevel"/>
    <w:lvl w:ilvl="0">
      <w:lvlJc w:val="left"/>
      <w:lvlText w:val="%1"/>
      <w:numFmt w:val="lowerLetter"/>
      <w:start w:val="1"/>
    </w:lvl>
    <w:lvl w:ilvl="1">
      <w:lvlJc w:val="left"/>
      <w:lvlText w:val="(%2)"/>
      <w:numFmt w:val="lowerLetter"/>
      <w:start w:val="1"/>
    </w:lvl>
  </w:abstractNum>
  <w:abstractNum w:abstractNumId="15">
    <w:nsid w:val="189A769B"/>
    <w:multiLevelType w:val="hybridMultilevel"/>
    <w:lvl w:ilvl="0">
      <w:lvlJc w:val="left"/>
      <w:lvlText w:val="(%1)"/>
      <w:numFmt w:val="lowerLetter"/>
      <w:start w:val="61"/>
    </w:lvl>
    <w:lvl w:ilvl="1">
      <w:lvlJc w:val="left"/>
      <w:lvlText w:val="(%2)"/>
      <w:numFmt w:val="lowerLetter"/>
      <w:start w:val="2"/>
    </w:lvl>
  </w:abstractNum>
  <w:abstractNum w:abstractNumId="16">
    <w:nsid w:val="54E49EB4"/>
    <w:multiLevelType w:val="hybridMultilevel"/>
    <w:lvl w:ilvl="0">
      <w:lvlJc w:val="left"/>
      <w:lvlText w:val="(%1)"/>
      <w:numFmt w:val="lowerLetter"/>
      <w:start w:val="1"/>
    </w:lvl>
    <w:lvl w:ilvl="1">
      <w:lvlJc w:val="left"/>
      <w:lvlText w:val="(%2)"/>
      <w:numFmt w:val="decimal"/>
      <w:start w:val="1"/>
    </w:lvl>
  </w:abstractNum>
  <w:abstractNum w:abstractNumId="17">
    <w:nsid w:val="71F324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8">
    <w:nsid w:val="2CA88611"/>
    <w:multiLevelType w:val="hybridMultilevel"/>
    <w:lvl w:ilvl="0">
      <w:lvlJc w:val="left"/>
      <w:lvlText w:val="(%1)"/>
      <w:numFmt w:val="decimal"/>
      <w:start w:val="10"/>
    </w:lvl>
    <w:lvl w:ilvl="1">
      <w:lvlJc w:val="left"/>
      <w:lvlText w:val="(%2)"/>
      <w:numFmt w:val="lowerLetter"/>
      <w:start w:val="2"/>
    </w:lvl>
    <w:lvl w:ilvl="2">
      <w:lvlJc w:val="left"/>
      <w:lvlText w:val="(%3)"/>
      <w:numFmt w:val="decimal"/>
      <w:start w:val="3"/>
    </w:lvl>
  </w:abstractNum>
  <w:abstractNum w:abstractNumId="19">
    <w:nsid w:val="836C40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0">
    <w:nsid w:val="2901D8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21">
    <w:nsid w:val="3A95F874"/>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3"/>
    </w:lvl>
  </w:abstractNum>
  <w:abstractNum w:abstractNumId="22">
    <w:nsid w:val="8138641"/>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1)"/>
      <w:numFmt w:val="upperLetter"/>
      <w:start w:val="1"/>
    </w:lvl>
  </w:abstractNum>
  <w:abstractNum w:abstractNumId="25">
    <w:nsid w:val="737B8DDC"/>
    <w:multiLevelType w:val="hybridMultilevel"/>
    <w:lvl w:ilvl="0">
      <w:lvlJc w:val="left"/>
      <w:lvlText w:val="(%1)"/>
      <w:numFmt w:val="upperLetter"/>
      <w:start w:val="4"/>
    </w:lvl>
  </w:abstractNum>
  <w:abstractNum w:abstractNumId="26">
    <w:nsid w:val="6CEAF087"/>
    <w:multiLevelType w:val="hybridMultilevel"/>
    <w:lvl w:ilvl="0">
      <w:lvlJc w:val="left"/>
      <w:lvlText w:val="(%1)"/>
      <w:numFmt w:val="lowerLetter"/>
      <w:start w:val="5"/>
    </w:lvl>
    <w:lvl w:ilvl="1">
      <w:lvlJc w:val="left"/>
      <w:lvlText w:val="(%2)"/>
      <w:numFmt w:val="decimal"/>
      <w:start w:val="1"/>
    </w:lvl>
  </w:abstractNum>
  <w:abstractNum w:abstractNumId="27">
    <w:nsid w:val="22221A70"/>
    <w:multiLevelType w:val="hybridMultilevel"/>
    <w:lvl w:ilvl="0">
      <w:lvlJc w:val="left"/>
      <w:lvlText w:val="%1"/>
      <w:numFmt w:val="lowerLetter"/>
      <w:start w:val="1"/>
    </w:lvl>
    <w:lvl w:ilvl="1">
      <w:lvlJc w:val="left"/>
      <w:lvlText w:val="(%2)"/>
      <w:numFmt w:val="decimal"/>
      <w:start w:val="3"/>
    </w:lvl>
  </w:abstractNum>
  <w:abstractNum w:abstractNumId="28">
    <w:nsid w:val="4516DDE9"/>
    <w:multiLevelType w:val="hybridMultilevel"/>
    <w:lvl w:ilvl="0">
      <w:lvlJc w:val="left"/>
      <w:lvlText w:val="(%1)"/>
      <w:numFmt w:val="lowerLetter"/>
      <w:start w:val="6"/>
    </w:lvl>
    <w:lvl w:ilvl="1">
      <w:lvlJc w:val="left"/>
      <w:lvlText w:val="%2"/>
      <w:numFmt w:val="decimal"/>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lvl w:ilvl="1">
      <w:lvlJc w:val="left"/>
      <w:lvlText w:val="(%2)"/>
      <w:numFmt w:val="decimal"/>
      <w:start w:val="1"/>
    </w:lvl>
  </w:abstractNum>
  <w:abstractNum w:abstractNumId="31">
    <w:nsid w:val="419AC241"/>
    <w:multiLevelType w:val="hybridMultilevel"/>
    <w:lvl w:ilvl="0">
      <w:lvlJc w:val="left"/>
      <w:lvlText w:val="(%1)"/>
      <w:numFmt w:val="decimal"/>
      <w:start w:val="2"/>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Letter"/>
      <w:start w:val="2"/>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2022-12-06T15:25:00Z</dcterms:created>
  <dcterms:modified xsi:type="dcterms:W3CDTF">2022-12-06T15:25:00Z</dcterms:modified>
</cp:coreProperties>
</file>