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Rossi Christina</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500" w:type="dxa"/>
            <w:vAlign w:val="bottom"/>
            <w:tcBorders>
              <w:top w:val="single" w:sz="8" w:color="0000EE"/>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03/01/2020</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26"/>
        <w:spacing w:after="0"/>
        <w:rPr>
          <w:sz w:val="20"/>
          <w:szCs w:val="20"/>
          <w:color w:val="auto"/>
        </w:rPr>
      </w:pPr>
      <w:r>
        <w:rPr>
          <w:rFonts w:ascii="Arial" w:cs="Arial" w:eastAsia="Arial" w:hAnsi="Arial"/>
          <w:sz w:val="17"/>
          <w:szCs w:val="17"/>
          <w:color w:val="0000FF"/>
        </w:rPr>
        <w:t>Chief Commercial Officer</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9"/>
          </w:tcPr>
          <w:p>
            <w:pPr>
              <w:jc w:val="center"/>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03/01/2020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14,250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20,500</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54.13</w:t>
            </w:r>
          </w:p>
        </w:tc>
        <w:tc>
          <w:tcPr>
            <w:tcW w:w="1080" w:type="dxa"/>
            <w:vAlign w:val="bottom"/>
          </w:tcPr>
          <w:p>
            <w:pPr>
              <w:ind w:left="260"/>
              <w:spacing w:after="0"/>
              <w:rPr>
                <w:sz w:val="20"/>
                <w:szCs w:val="20"/>
                <w:color w:val="auto"/>
              </w:rPr>
            </w:pPr>
            <w:r>
              <w:rPr>
                <w:rFonts w:ascii="Arial" w:cs="Arial" w:eastAsia="Arial" w:hAnsi="Arial"/>
                <w:sz w:val="13"/>
                <w:szCs w:val="13"/>
                <w:color w:val="0000FF"/>
              </w:rPr>
              <w:t>03/01/2020</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28,500</w:t>
            </w:r>
          </w:p>
        </w:tc>
        <w:tc>
          <w:tcPr>
            <w:tcW w:w="3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03/01/2030</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1"/>
              <w:spacing w:after="0"/>
              <w:rPr>
                <w:sz w:val="20"/>
                <w:szCs w:val="20"/>
                <w:color w:val="auto"/>
              </w:rPr>
            </w:pPr>
            <w:r>
              <w:rPr>
                <w:rFonts w:ascii="Arial" w:cs="Arial" w:eastAsia="Arial" w:hAnsi="Arial"/>
                <w:sz w:val="17"/>
                <w:szCs w:val="17"/>
                <w:color w:val="0000FF"/>
                <w:w w:val="88"/>
              </w:rPr>
              <w:t>28,500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28,500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involved the Reporting Person's receipt of a grant of 14,250 restricted stock units under Issuer's 2015 Stock Option and Incentive Plan. The Reporting Person has reported prior awards of restricted stock units in Table II of Form 4. The total reported in Column 5 includes the 14,250 newly awarded restricted stock units, 5,125 previously reported restricted stock units, 438 of which vested on March 1, 2020, and 1,125 shares of common stock.</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with respect to 1/48th of the shares underlying the option on April 1, 2020 and as to an additional 1/48th of the shares underlying the option each month thereafter.</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03/03/2020</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6941"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2020-03-03T18:13:07Z</dcterms:created>
  <dcterms:modified xsi:type="dcterms:W3CDTF">2020-03-03T18:13:07Z</dcterms:modified>
</cp:coreProperties>
</file>