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February 13, 2020</w:t>
      </w:r>
    </w:p>
    <w:p>
      <w:pPr>
        <w:spacing w:after="0" w:line="26" w:lineRule="exact"/>
        <w:rPr>
          <w:sz w:val="24"/>
          <w:szCs w:val="24"/>
          <w:color w:val="auto"/>
        </w:rPr>
      </w:pPr>
    </w:p>
    <w:p>
      <w:pPr>
        <w:ind w:left="86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90805</wp:posOffset>
            </wp:positionV>
            <wp:extent cx="1655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1" w:lineRule="exact"/>
        <w:rPr>
          <w:sz w:val="24"/>
          <w:szCs w:val="24"/>
          <w:color w:val="auto"/>
        </w:rPr>
      </w:pPr>
    </w:p>
    <w:tbl>
      <w:tblPr>
        <w:tblLayout w:type="fixed"/>
        <w:tblInd w:w="1400" w:type="dxa"/>
        <w:tblCellMar>
          <w:top w:w="0" w:type="dxa"/>
          <w:left w:w="0" w:type="dxa"/>
          <w:bottom w:w="0" w:type="dxa"/>
          <w:right w:w="0" w:type="dxa"/>
        </w:tblCellMar>
      </w:tblPr>
      <w:tr>
        <w:trPr>
          <w:trHeight w:val="297"/>
        </w:trPr>
        <w:tc>
          <w:tcPr>
            <w:tcW w:w="2500" w:type="dxa"/>
            <w:vAlign w:val="bottom"/>
          </w:tcPr>
          <w:p>
            <w:pPr>
              <w:spacing w:after="0"/>
              <w:rPr>
                <w:sz w:val="24"/>
                <w:szCs w:val="24"/>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25"/>
                <w:szCs w:val="25"/>
                <w:b w:val="1"/>
                <w:bCs w:val="1"/>
                <w:color w:val="auto"/>
                <w:w w:val="98"/>
              </w:rPr>
              <w:t>FORM S-8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760" w:type="dxa"/>
            <w:vAlign w:val="bottom"/>
            <w:gridSpan w:val="3"/>
          </w:tcPr>
          <w:p>
            <w:pPr>
              <w:jc w:val="center"/>
              <w:ind w:left="1740"/>
              <w:spacing w:after="0"/>
              <w:rPr>
                <w:sz w:val="20"/>
                <w:szCs w:val="20"/>
                <w:color w:val="auto"/>
              </w:rPr>
            </w:pPr>
            <w:r>
              <w:rPr>
                <w:rFonts w:ascii="Arial" w:cs="Arial" w:eastAsia="Arial" w:hAnsi="Arial"/>
                <w:sz w:val="25"/>
                <w:szCs w:val="25"/>
                <w:b w:val="1"/>
                <w:bCs w:val="1"/>
                <w:color w:val="auto"/>
              </w:rPr>
              <w:t>REGISTRATION STATEMENT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26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99"/>
              </w:rPr>
              <w:t>UNDER THE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326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95"/>
              </w:rPr>
              <w:t>SECURITIES ACT OF 1933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5760" w:type="dxa"/>
            <w:vAlign w:val="bottom"/>
            <w:gridSpan w:val="3"/>
          </w:tcPr>
          <w:p>
            <w:pPr>
              <w:jc w:val="center"/>
              <w:ind w:left="1760"/>
              <w:spacing w:after="0"/>
              <w:rPr>
                <w:sz w:val="20"/>
                <w:szCs w:val="20"/>
                <w:color w:val="auto"/>
              </w:rPr>
            </w:pPr>
            <w:r>
              <w:rPr>
                <w:rFonts w:ascii="Arial" w:cs="Arial" w:eastAsia="Arial" w:hAnsi="Arial"/>
                <w:sz w:val="25"/>
                <w:szCs w:val="25"/>
                <w:b w:val="1"/>
                <w:bCs w:val="1"/>
                <w:color w:val="auto"/>
                <w:w w:val="92"/>
              </w:rPr>
              <w:t>Blueprint Medicines Corporation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left="1740"/>
              <w:spacing w:after="0"/>
              <w:rPr>
                <w:sz w:val="20"/>
                <w:szCs w:val="20"/>
                <w:color w:val="auto"/>
              </w:rPr>
            </w:pPr>
            <w:r>
              <w:rPr>
                <w:rFonts w:ascii="Arial" w:cs="Arial" w:eastAsia="Arial" w:hAnsi="Arial"/>
                <w:sz w:val="14"/>
                <w:szCs w:val="14"/>
                <w:color w:val="auto"/>
                <w:w w:val="93"/>
              </w:rPr>
              <w:t>(Exact name of registrant as specified in its charter)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57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26-3632015</w:t>
            </w:r>
          </w:p>
        </w:tc>
        <w:tc>
          <w:tcPr>
            <w:tcW w:w="0" w:type="dxa"/>
            <w:vAlign w:val="bottom"/>
          </w:tcPr>
          <w:p>
            <w:pPr>
              <w:spacing w:after="0"/>
              <w:rPr>
                <w:sz w:val="1"/>
                <w:szCs w:val="1"/>
                <w:color w:val="auto"/>
              </w:rPr>
            </w:pPr>
          </w:p>
        </w:tc>
      </w:tr>
      <w:tr>
        <w:trPr>
          <w:trHeight w:val="149"/>
        </w:trPr>
        <w:tc>
          <w:tcPr>
            <w:tcW w:w="5760" w:type="dxa"/>
            <w:vAlign w:val="bottom"/>
            <w:gridSpan w:val="3"/>
          </w:tcPr>
          <w:p>
            <w:pPr>
              <w:jc w:val="center"/>
              <w:ind w:right="3480"/>
              <w:spacing w:after="0" w:line="149" w:lineRule="exact"/>
              <w:rPr>
                <w:sz w:val="20"/>
                <w:szCs w:val="20"/>
                <w:color w:val="auto"/>
              </w:rPr>
            </w:pPr>
            <w:r>
              <w:rPr>
                <w:rFonts w:ascii="Arial" w:cs="Arial" w:eastAsia="Arial" w:hAnsi="Arial"/>
                <w:sz w:val="14"/>
                <w:szCs w:val="14"/>
                <w:color w:val="auto"/>
                <w:w w:val="95"/>
              </w:rPr>
              <w:t>(State or other jurisdiction</w:t>
            </w: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right="3460"/>
              <w:spacing w:after="0"/>
              <w:rPr>
                <w:sz w:val="20"/>
                <w:szCs w:val="20"/>
                <w:color w:val="auto"/>
              </w:rPr>
            </w:pPr>
            <w:r>
              <w:rPr>
                <w:rFonts w:ascii="Arial" w:cs="Arial" w:eastAsia="Arial" w:hAnsi="Arial"/>
                <w:sz w:val="14"/>
                <w:szCs w:val="14"/>
                <w:color w:val="auto"/>
                <w:w w:val="96"/>
              </w:rPr>
              <w:t>of incorporation)</w:t>
            </w:r>
          </w:p>
        </w:tc>
        <w:tc>
          <w:tcPr>
            <w:tcW w:w="1220" w:type="dxa"/>
            <w:vAlign w:val="bottom"/>
          </w:tcPr>
          <w:p>
            <w:pPr>
              <w:jc w:val="center"/>
              <w:ind w:left="8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59"/>
        </w:trPr>
        <w:tc>
          <w:tcPr>
            <w:tcW w:w="576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1"/>
              </w:rPr>
              <w:t>45 Sidney Street</w:t>
            </w:r>
          </w:p>
        </w:tc>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53"/>
        </w:trPr>
        <w:tc>
          <w:tcPr>
            <w:tcW w:w="5760" w:type="dxa"/>
            <w:vAlign w:val="bottom"/>
            <w:gridSpan w:val="3"/>
          </w:tcPr>
          <w:p>
            <w:pPr>
              <w:jc w:val="center"/>
              <w:ind w:right="3460"/>
              <w:spacing w:after="0" w:line="153" w:lineRule="exact"/>
              <w:rPr>
                <w:sz w:val="20"/>
                <w:szCs w:val="20"/>
                <w:color w:val="auto"/>
              </w:rPr>
            </w:pPr>
            <w:r>
              <w:rPr>
                <w:rFonts w:ascii="Arial" w:cs="Arial" w:eastAsia="Arial" w:hAnsi="Arial"/>
                <w:sz w:val="14"/>
                <w:szCs w:val="14"/>
                <w:b w:val="1"/>
                <w:bCs w:val="1"/>
                <w:color w:val="auto"/>
                <w:w w:val="91"/>
              </w:rPr>
              <w:t>Cambridge, Massachusetts</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right="3480"/>
              <w:spacing w:after="0"/>
              <w:rPr>
                <w:sz w:val="20"/>
                <w:szCs w:val="20"/>
                <w:color w:val="auto"/>
              </w:rPr>
            </w:pPr>
            <w:r>
              <w:rPr>
                <w:rFonts w:ascii="Arial" w:cs="Arial" w:eastAsia="Arial" w:hAnsi="Arial"/>
                <w:sz w:val="14"/>
                <w:szCs w:val="14"/>
                <w:color w:val="auto"/>
                <w:w w:val="95"/>
              </w:rPr>
              <w:t>(Address of principal executive offices)</w:t>
            </w:r>
          </w:p>
        </w:tc>
        <w:tc>
          <w:tcPr>
            <w:tcW w:w="1220" w:type="dxa"/>
            <w:vAlign w:val="bottom"/>
          </w:tcPr>
          <w:p>
            <w:pPr>
              <w:jc w:val="center"/>
              <w:ind w:left="8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326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93"/>
              </w:rPr>
              <w:t>2015 Stock Option and Incentive Plan</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2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2015 Employee Stock Purchase Plan</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(Full titles of the plans)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326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94"/>
              </w:rPr>
              <w:t>Jeffrey W. Albers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President and Chief Executive Officer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Blueprint Medicines Corporation</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45 Sidney Street</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2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Cambridge, Massachusetts 02139</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(Name and address of agent for service)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00" w:type="dxa"/>
            <w:vAlign w:val="bottom"/>
            <w:gridSpan w:val="2"/>
          </w:tcPr>
          <w:p>
            <w:pPr>
              <w:jc w:val="center"/>
              <w:ind w:left="2360"/>
              <w:spacing w:after="0"/>
              <w:rPr>
                <w:sz w:val="20"/>
                <w:szCs w:val="20"/>
                <w:color w:val="auto"/>
              </w:rPr>
            </w:pPr>
            <w:r>
              <w:rPr>
                <w:rFonts w:ascii="Arial" w:cs="Arial" w:eastAsia="Arial" w:hAnsi="Arial"/>
                <w:sz w:val="14"/>
                <w:szCs w:val="14"/>
                <w:b w:val="1"/>
                <w:bCs w:val="1"/>
                <w:color w:val="auto"/>
                <w:w w:val="93"/>
              </w:rPr>
              <w:t>(617) 374-7580</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left="1740"/>
              <w:spacing w:after="0"/>
              <w:rPr>
                <w:sz w:val="20"/>
                <w:szCs w:val="20"/>
                <w:color w:val="auto"/>
              </w:rPr>
            </w:pPr>
            <w:r>
              <w:rPr>
                <w:rFonts w:ascii="Arial" w:cs="Arial" w:eastAsia="Arial" w:hAnsi="Arial"/>
                <w:sz w:val="14"/>
                <w:szCs w:val="14"/>
                <w:color w:val="auto"/>
                <w:w w:val="92"/>
              </w:rPr>
              <w:t>(Telephone number, including area code, of agent for service)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60" w:type="dxa"/>
            <w:vAlign w:val="bottom"/>
            <w:gridSpan w:val="3"/>
          </w:tcPr>
          <w:p>
            <w:pPr>
              <w:jc w:val="center"/>
              <w:ind w:left="1740"/>
              <w:spacing w:after="0"/>
              <w:rPr>
                <w:sz w:val="20"/>
                <w:szCs w:val="20"/>
                <w:color w:val="auto"/>
              </w:rPr>
            </w:pPr>
            <w:r>
              <w:rPr>
                <w:rFonts w:ascii="Arial" w:cs="Arial" w:eastAsia="Arial" w:hAnsi="Arial"/>
                <w:sz w:val="14"/>
                <w:szCs w:val="14"/>
                <w:b w:val="1"/>
                <w:bCs w:val="1"/>
                <w:color w:val="auto"/>
                <w:w w:val="89"/>
              </w:rPr>
              <w:t>Please send copies of all communications to:</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Kingsley L. Taft, Esq.</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Danielle M. Lauzon, Esq.</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Goodwin Procter LLP</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Boston, Massachusetts 02210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jc w:val="center"/>
              <w:ind w:left="2400"/>
              <w:spacing w:after="0"/>
              <w:rPr>
                <w:sz w:val="20"/>
                <w:szCs w:val="20"/>
                <w:color w:val="auto"/>
              </w:rPr>
            </w:pPr>
            <w:r>
              <w:rPr>
                <w:rFonts w:ascii="Arial" w:cs="Arial" w:eastAsia="Arial" w:hAnsi="Arial"/>
                <w:sz w:val="14"/>
                <w:szCs w:val="14"/>
                <w:b w:val="1"/>
                <w:bCs w:val="1"/>
                <w:color w:val="auto"/>
                <w:w w:val="93"/>
              </w:rPr>
              <w:t>(617) 570-1000</w:t>
            </w: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59055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76" w:lineRule="exact"/>
        <w:rPr>
          <w:sz w:val="24"/>
          <w:szCs w:val="24"/>
          <w:color w:val="auto"/>
        </w:rPr>
      </w:pPr>
    </w:p>
    <w:p>
      <w:pPr>
        <w:ind w:right="40" w:firstLine="648"/>
        <w:spacing w:after="0" w:line="30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160" w:type="dxa"/>
            <w:vAlign w:val="bottom"/>
          </w:tcPr>
          <w:p>
            <w:pPr>
              <w:jc w:val="center"/>
              <w:ind w:left="1748"/>
              <w:spacing w:after="0"/>
              <w:rPr>
                <w:sz w:val="20"/>
                <w:szCs w:val="20"/>
                <w:color w:val="auto"/>
              </w:rPr>
            </w:pPr>
            <w:r>
              <w:rPr>
                <w:rFonts w:ascii="Arial" w:cs="Arial" w:eastAsia="Arial" w:hAnsi="Arial"/>
                <w:sz w:val="14"/>
                <w:szCs w:val="14"/>
                <w:color w:val="auto"/>
                <w:w w:val="93"/>
              </w:rPr>
              <w:t>Large accelerated filer</w:t>
            </w:r>
          </w:p>
        </w:tc>
        <w:tc>
          <w:tcPr>
            <w:tcW w:w="2280" w:type="dxa"/>
            <w:vAlign w:val="bottom"/>
            <w:gridSpan w:val="4"/>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jc w:val="right"/>
              <w:ind w:right="308"/>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tcPr>
          <w:p>
            <w:pPr>
              <w:jc w:val="center"/>
              <w:ind w:left="1788"/>
              <w:spacing w:after="0"/>
              <w:rPr>
                <w:sz w:val="20"/>
                <w:szCs w:val="20"/>
                <w:color w:val="auto"/>
              </w:rPr>
            </w:pPr>
            <w:r>
              <w:rPr>
                <w:rFonts w:ascii="Arial" w:cs="Arial" w:eastAsia="Arial" w:hAnsi="Arial"/>
                <w:sz w:val="14"/>
                <w:szCs w:val="14"/>
                <w:color w:val="auto"/>
                <w:w w:val="94"/>
              </w:rPr>
              <w:t>Non-accelerated filer</w:t>
            </w:r>
          </w:p>
        </w:tc>
        <w:tc>
          <w:tcPr>
            <w:tcW w:w="2280" w:type="dxa"/>
            <w:vAlign w:val="bottom"/>
            <w:gridSpan w:val="4"/>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jc w:val="right"/>
              <w:spacing w:after="0" w:line="161" w:lineRule="exact"/>
              <w:rPr>
                <w:sz w:val="20"/>
                <w:szCs w:val="20"/>
                <w:color w:val="auto"/>
              </w:rPr>
            </w:pPr>
            <w:r>
              <w:rPr>
                <w:rFonts w:ascii="Arial" w:cs="Arial" w:eastAsia="Arial" w:hAnsi="Arial"/>
                <w:sz w:val="14"/>
                <w:szCs w:val="14"/>
                <w:color w:val="auto"/>
                <w:w w:val="97"/>
              </w:rPr>
              <w:t xml:space="preserve">Smaller reporting company </w:t>
            </w:r>
            <w:r>
              <w:rPr>
                <w:rFonts w:ascii="MS PGothic" w:cs="MS PGothic" w:eastAsia="MS PGothic" w:hAnsi="MS PGothic"/>
                <w:sz w:val="14"/>
                <w:szCs w:val="14"/>
                <w:color w:val="auto"/>
                <w:w w:val="97"/>
              </w:rPr>
              <w:t>☐</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line="161" w:lineRule="exact"/>
              <w:rPr>
                <w:sz w:val="20"/>
                <w:szCs w:val="20"/>
                <w:color w:val="auto"/>
              </w:rPr>
            </w:pPr>
            <w:r>
              <w:rPr>
                <w:rFonts w:ascii="Arial" w:cs="Arial" w:eastAsia="Arial" w:hAnsi="Arial"/>
                <w:sz w:val="14"/>
                <w:szCs w:val="14"/>
                <w:color w:val="auto"/>
                <w:w w:val="97"/>
              </w:rPr>
              <w:t xml:space="preserve">Emerging growth company </w:t>
            </w:r>
            <w:r>
              <w:rPr>
                <w:rFonts w:ascii="MS PGothic" w:cs="MS PGothic" w:eastAsia="MS PGothic" w:hAnsi="MS PGothic"/>
                <w:sz w:val="14"/>
                <w:szCs w:val="14"/>
                <w:color w:val="auto"/>
                <w:w w:val="97"/>
              </w:rPr>
              <w:t>☐</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380" w:type="dxa"/>
            <w:vAlign w:val="bottom"/>
            <w:gridSpan w:val="11"/>
          </w:tcPr>
          <w:p>
            <w:pPr>
              <w:jc w:val="right"/>
              <w:ind w:right="228"/>
              <w:spacing w:after="0"/>
              <w:rPr>
                <w:sz w:val="20"/>
                <w:szCs w:val="20"/>
                <w:color w:val="auto"/>
              </w:rPr>
            </w:pPr>
            <w:r>
              <w:rPr>
                <w:rFonts w:ascii="Arial" w:cs="Arial" w:eastAsia="Arial" w:hAnsi="Arial"/>
                <w:sz w:val="14"/>
                <w:szCs w:val="14"/>
                <w:color w:val="auto"/>
                <w:w w:val="99"/>
              </w:rPr>
              <w:t>If an emerging growth company, indicate by check mark if the registrant has elected not to use the extended transition period for complying with any new or revised</w:t>
            </w:r>
          </w:p>
        </w:tc>
        <w:tc>
          <w:tcPr>
            <w:tcW w:w="0" w:type="dxa"/>
            <w:vAlign w:val="bottom"/>
          </w:tcPr>
          <w:p>
            <w:pPr>
              <w:spacing w:after="0"/>
              <w:rPr>
                <w:sz w:val="1"/>
                <w:szCs w:val="1"/>
                <w:color w:val="auto"/>
              </w:rPr>
            </w:pPr>
          </w:p>
        </w:tc>
      </w:tr>
      <w:tr>
        <w:trPr>
          <w:trHeight w:val="226"/>
        </w:trPr>
        <w:tc>
          <w:tcPr>
            <w:tcW w:w="5460" w:type="dxa"/>
            <w:vAlign w:val="bottom"/>
            <w:gridSpan w:val="6"/>
          </w:tcPr>
          <w:p>
            <w:pPr>
              <w:spacing w:after="0" w:line="161" w:lineRule="exact"/>
              <w:rPr>
                <w:sz w:val="20"/>
                <w:szCs w:val="20"/>
                <w:color w:val="auto"/>
              </w:rPr>
            </w:pPr>
            <w:r>
              <w:rPr>
                <w:rFonts w:ascii="Arial" w:cs="Arial" w:eastAsia="Arial" w:hAnsi="Arial"/>
                <w:sz w:val="14"/>
                <w:szCs w:val="14"/>
                <w:color w:val="auto"/>
                <w:w w:val="93"/>
              </w:rPr>
              <w:t>financial accounting standards provided pursuant to Section 7(a)(2)(B) of the Securities Act.</w:t>
            </w:r>
            <w:r>
              <w:rPr>
                <w:rFonts w:ascii="MS PGothic" w:cs="MS PGothic" w:eastAsia="MS PGothic" w:hAnsi="MS PGothic"/>
                <w:sz w:val="14"/>
                <w:szCs w:val="14"/>
                <w:color w:val="auto"/>
                <w:w w:val="93"/>
              </w:rPr>
              <w: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CALCULATION OF REGISTRATION FEE</w:t>
            </w:r>
          </w:p>
        </w:tc>
        <w:tc>
          <w:tcPr>
            <w:tcW w:w="2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Borders>
              <w:right w:val="single" w:sz="8" w:color="auto"/>
            </w:tcBorders>
            <w:vMerge w:val="restart"/>
          </w:tcPr>
          <w:p>
            <w:pPr>
              <w:jc w:val="center"/>
              <w:ind w:right="288"/>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0"/>
                <w:szCs w:val="10"/>
                <w:color w:val="auto"/>
              </w:rPr>
            </w:pPr>
          </w:p>
        </w:tc>
        <w:tc>
          <w:tcPr>
            <w:tcW w:w="11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6"/>
              </w:rPr>
              <w:t>Proposed</w:t>
            </w:r>
          </w:p>
        </w:tc>
        <w:tc>
          <w:tcPr>
            <w:tcW w:w="220" w:type="dxa"/>
            <w:vAlign w:val="bottom"/>
            <w:tcBorders>
              <w:right w:val="single" w:sz="8" w:color="auto"/>
            </w:tcBorders>
          </w:tcPr>
          <w:p>
            <w:pPr>
              <w:spacing w:after="0"/>
              <w:rPr>
                <w:sz w:val="10"/>
                <w:szCs w:val="10"/>
                <w:color w:val="auto"/>
              </w:rPr>
            </w:pPr>
          </w:p>
        </w:tc>
        <w:tc>
          <w:tcPr>
            <w:tcW w:w="1880" w:type="dxa"/>
            <w:vAlign w:val="bottom"/>
          </w:tcPr>
          <w:p>
            <w:pPr>
              <w:jc w:val="center"/>
              <w:ind w:left="148"/>
              <w:spacing w:after="0" w:line="126" w:lineRule="exact"/>
              <w:rPr>
                <w:sz w:val="20"/>
                <w:szCs w:val="20"/>
                <w:color w:val="auto"/>
              </w:rPr>
            </w:pPr>
            <w:r>
              <w:rPr>
                <w:rFonts w:ascii="Arial" w:cs="Arial" w:eastAsia="Arial" w:hAnsi="Arial"/>
                <w:sz w:val="14"/>
                <w:szCs w:val="14"/>
                <w:b w:val="1"/>
                <w:bCs w:val="1"/>
                <w:color w:val="auto"/>
                <w:w w:val="89"/>
              </w:rPr>
              <w:t>Proposed</w:t>
            </w:r>
          </w:p>
        </w:tc>
        <w:tc>
          <w:tcPr>
            <w:tcW w:w="26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Title of Securities</w:t>
            </w:r>
          </w:p>
        </w:tc>
        <w:tc>
          <w:tcPr>
            <w:tcW w:w="4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Borders>
              <w:right w:val="single" w:sz="8" w:color="auto"/>
            </w:tcBorders>
          </w:tcPr>
          <w:p>
            <w:pPr>
              <w:spacing w:after="0"/>
              <w:rPr>
                <w:sz w:val="12"/>
                <w:szCs w:val="12"/>
                <w:color w:val="auto"/>
              </w:rPr>
            </w:pPr>
          </w:p>
        </w:tc>
        <w:tc>
          <w:tcPr>
            <w:tcW w:w="188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w w:val="99"/>
              </w:rPr>
              <w:t>Maximum</w:t>
            </w:r>
          </w:p>
        </w:tc>
        <w:tc>
          <w:tcPr>
            <w:tcW w:w="260" w:type="dxa"/>
            <w:vAlign w:val="bottom"/>
            <w:tcBorders>
              <w:right w:val="single" w:sz="8" w:color="auto"/>
            </w:tcBorders>
          </w:tcPr>
          <w:p>
            <w:pPr>
              <w:spacing w:after="0"/>
              <w:rPr>
                <w:sz w:val="12"/>
                <w:szCs w:val="12"/>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Borders>
              <w:right w:val="single" w:sz="8" w:color="auto"/>
            </w:tcBorders>
          </w:tcPr>
          <w:p>
            <w:pPr>
              <w:jc w:val="center"/>
              <w:ind w:right="288"/>
              <w:spacing w:after="0" w:line="149" w:lineRule="exact"/>
              <w:rPr>
                <w:sz w:val="20"/>
                <w:szCs w:val="20"/>
                <w:color w:val="auto"/>
              </w:rPr>
            </w:pPr>
            <w:r>
              <w:rPr>
                <w:rFonts w:ascii="Arial" w:cs="Arial" w:eastAsia="Arial" w:hAnsi="Arial"/>
                <w:sz w:val="14"/>
                <w:szCs w:val="14"/>
                <w:b w:val="1"/>
                <w:bCs w:val="1"/>
                <w:color w:val="auto"/>
                <w:w w:val="89"/>
              </w:rPr>
              <w:t>to be</w:t>
            </w:r>
          </w:p>
        </w:tc>
        <w:tc>
          <w:tcPr>
            <w:tcW w:w="3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20" w:type="dxa"/>
            <w:vAlign w:val="bottom"/>
            <w:tcBorders>
              <w:right w:val="single" w:sz="8" w:color="auto"/>
            </w:tcBorders>
          </w:tcPr>
          <w:p>
            <w:pPr>
              <w:spacing w:after="0"/>
              <w:rPr>
                <w:sz w:val="12"/>
                <w:szCs w:val="12"/>
                <w:color w:val="auto"/>
              </w:rPr>
            </w:pPr>
          </w:p>
        </w:tc>
        <w:tc>
          <w:tcPr>
            <w:tcW w:w="18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Aggregate</w:t>
            </w:r>
          </w:p>
        </w:tc>
        <w:tc>
          <w:tcPr>
            <w:tcW w:w="260" w:type="dxa"/>
            <w:vAlign w:val="bottom"/>
            <w:tcBorders>
              <w:right w:val="single" w:sz="8" w:color="auto"/>
            </w:tcBorders>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1"/>
              </w:rPr>
              <w:t>to be Registered</w:t>
            </w:r>
          </w:p>
        </w:tc>
        <w:tc>
          <w:tcPr>
            <w:tcW w:w="4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Offering Price</w:t>
            </w:r>
          </w:p>
        </w:tc>
        <w:tc>
          <w:tcPr>
            <w:tcW w:w="2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42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1,970,888</w:t>
            </w: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$61.40</w:t>
            </w:r>
          </w:p>
        </w:tc>
        <w:tc>
          <w:tcPr>
            <w:tcW w:w="2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8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$121,002,668.76</w:t>
            </w:r>
          </w:p>
        </w:tc>
        <w:tc>
          <w:tcPr>
            <w:tcW w:w="2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$15,706.15</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42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492,722</w:t>
            </w: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$52.19</w:t>
            </w:r>
          </w:p>
        </w:tc>
        <w:tc>
          <w:tcPr>
            <w:tcW w:w="2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$25,715,161.18</w:t>
            </w:r>
          </w:p>
        </w:tc>
        <w:tc>
          <w:tcPr>
            <w:tcW w:w="2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$3,337.83</w:t>
            </w:r>
          </w:p>
        </w:tc>
        <w:tc>
          <w:tcPr>
            <w:tcW w:w="0" w:type="dxa"/>
            <w:vAlign w:val="bottom"/>
          </w:tcPr>
          <w:p>
            <w:pPr>
              <w:spacing w:after="0"/>
              <w:rPr>
                <w:sz w:val="1"/>
                <w:szCs w:val="1"/>
                <w:color w:val="auto"/>
              </w:rPr>
            </w:pPr>
          </w:p>
        </w:tc>
      </w:tr>
      <w:tr>
        <w:trPr>
          <w:trHeight w:val="149"/>
        </w:trPr>
        <w:tc>
          <w:tcPr>
            <w:tcW w:w="31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2,463,610</w:t>
            </w: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$146,717,829.94</w:t>
            </w:r>
          </w:p>
        </w:tc>
        <w:tc>
          <w:tcPr>
            <w:tcW w:w="26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$19,043.98</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640" w:right="100" w:hanging="325"/>
        <w:spacing w:after="0" w:line="231"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22" w:lineRule="exact"/>
        <w:rPr>
          <w:rFonts w:ascii="Arial" w:cs="Arial" w:eastAsia="Arial" w:hAnsi="Arial"/>
          <w:sz w:val="14"/>
          <w:szCs w:val="14"/>
          <w:color w:val="auto"/>
        </w:rPr>
      </w:pPr>
    </w:p>
    <w:p>
      <w:pPr>
        <w:ind w:left="640" w:right="100" w:hanging="325"/>
        <w:spacing w:after="0" w:line="253"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10, 2020.</w:t>
      </w:r>
    </w:p>
    <w:p>
      <w:pPr>
        <w:spacing w:after="0" w:line="11" w:lineRule="exact"/>
        <w:rPr>
          <w:rFonts w:ascii="Arial" w:cs="Arial" w:eastAsia="Arial" w:hAnsi="Arial"/>
          <w:sz w:val="14"/>
          <w:szCs w:val="14"/>
          <w:color w:val="auto"/>
        </w:rPr>
      </w:pPr>
    </w:p>
    <w:p>
      <w:pPr>
        <w:jc w:val="both"/>
        <w:ind w:left="640" w:right="80" w:hanging="325"/>
        <w:spacing w:after="0" w:line="238"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10, 2020, multiplied by 85%, which is the percentage of the price per share applicable to purchasers under the 2015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6122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4" w:right="7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This Registration Statement on Form S-8 relating to the 2015 Stock Option and Incentive Plan (as amended, the “2015 Plan”) and the 2015 Employee Stock Purchase Plan (as amended, the “2015 ESPP”) of Blueprint Medicines Corporation (the “Registrant”) is being filed for the purpose of registering additional securities of the same class as other securities for which a Registration Statement on Form S-8 has previously been filed and is effective. Accordingly, this Registration Statement on Form S-8 incorporates by reference the contents of (i) the </w:t>
      </w:r>
      <w:hyperlink r:id="rId13">
        <w:r>
          <w:rPr>
            <w:rFonts w:ascii="Arial" w:cs="Arial" w:eastAsia="Arial" w:hAnsi="Arial"/>
            <w:sz w:val="16"/>
            <w:szCs w:val="16"/>
            <w:u w:val="single" w:color="auto"/>
            <w:color w:val="0000EE"/>
          </w:rPr>
          <w:t>Registration Statement on Form S-8 (File No. 333-203749)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with the Securities and Exchange Commission (the “SEC”) on April 30, 2015 by the Registrant, relating to the 2015 Plan and the 2015 ESPP, (ii) the </w:t>
      </w:r>
      <w:hyperlink r:id="rId14">
        <w:r>
          <w:rPr>
            <w:rFonts w:ascii="Arial" w:cs="Arial" w:eastAsia="Arial" w:hAnsi="Arial"/>
            <w:sz w:val="16"/>
            <w:szCs w:val="16"/>
            <w:u w:val="single" w:color="auto"/>
            <w:color w:val="0000EE"/>
          </w:rPr>
          <w:t>Registration Statement on Form S-8 (File No. 333-210125)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with the SEC on March 11,</w:t>
      </w:r>
    </w:p>
    <w:p>
      <w:pPr>
        <w:spacing w:after="0" w:line="3" w:lineRule="exact"/>
        <w:rPr>
          <w:sz w:val="20"/>
          <w:szCs w:val="20"/>
          <w:color w:val="auto"/>
        </w:rPr>
      </w:pPr>
    </w:p>
    <w:p>
      <w:pPr>
        <w:ind w:right="180"/>
        <w:spacing w:after="0" w:line="290" w:lineRule="auto"/>
        <w:rPr>
          <w:rFonts w:ascii="Arial" w:cs="Arial" w:eastAsia="Arial" w:hAnsi="Arial"/>
          <w:sz w:val="16"/>
          <w:szCs w:val="16"/>
          <w:color w:val="000000"/>
        </w:rPr>
      </w:pPr>
      <w:hyperlink r:id="rId15">
        <w:r>
          <w:rPr>
            <w:rFonts w:ascii="Arial" w:cs="Arial" w:eastAsia="Arial" w:hAnsi="Arial"/>
            <w:sz w:val="16"/>
            <w:szCs w:val="16"/>
            <w:color w:val="auto"/>
          </w:rPr>
          <w:t xml:space="preserve">2016 by the Registrant, relating to the 2015 Plan and the 2015 ESPP, (iii) the </w:t>
        </w:r>
        <w:r>
          <w:rPr>
            <w:rFonts w:ascii="Arial" w:cs="Arial" w:eastAsia="Arial" w:hAnsi="Arial"/>
            <w:sz w:val="16"/>
            <w:szCs w:val="16"/>
            <w:u w:val="single" w:color="auto"/>
            <w:color w:val="0000EE"/>
          </w:rPr>
          <w:t>Registration Statement on Form S-8 (File No.</w:t>
        </w:r>
      </w:hyperlink>
      <w:r>
        <w:rPr>
          <w:rFonts w:ascii="Arial" w:cs="Arial" w:eastAsia="Arial" w:hAnsi="Arial"/>
          <w:sz w:val="16"/>
          <w:szCs w:val="16"/>
          <w:color w:val="auto"/>
        </w:rPr>
        <w:t xml:space="preserve"> </w:t>
      </w:r>
      <w:hyperlink r:id="rId15">
        <w:r>
          <w:rPr>
            <w:rFonts w:ascii="Arial" w:cs="Arial" w:eastAsia="Arial" w:hAnsi="Arial"/>
            <w:sz w:val="16"/>
            <w:szCs w:val="16"/>
            <w:u w:val="single" w:color="auto"/>
            <w:color w:val="0000EE"/>
          </w:rPr>
          <w:t>333-216575)</w:t>
        </w:r>
        <w:r>
          <w:rPr>
            <w:rFonts w:ascii="Arial" w:cs="Arial" w:eastAsia="Arial" w:hAnsi="Arial"/>
            <w:sz w:val="16"/>
            <w:szCs w:val="16"/>
            <w:color w:val="0000EE"/>
          </w:rPr>
          <w:t xml:space="preserve"> </w:t>
        </w:r>
        <w:r>
          <w:rPr>
            <w:rFonts w:ascii="Arial" w:cs="Arial" w:eastAsia="Arial" w:hAnsi="Arial"/>
            <w:sz w:val="16"/>
            <w:szCs w:val="16"/>
            <w:color w:val="000000"/>
          </w:rPr>
          <w:t>filed with the SEC on March 9, 2017 by the Registrant, relating to the 2015 Plan and the 2015 ESPP, (iv) the</w:t>
        </w:r>
      </w:hyperlink>
      <w:r>
        <w:rPr>
          <w:rFonts w:ascii="Arial" w:cs="Arial" w:eastAsia="Arial" w:hAnsi="Arial"/>
          <w:sz w:val="16"/>
          <w:szCs w:val="16"/>
          <w:color w:val="0000EE"/>
        </w:rPr>
        <w:t xml:space="preserve"> </w:t>
      </w:r>
      <w:hyperlink r:id="rId16">
        <w:r>
          <w:rPr>
            <w:rFonts w:ascii="Arial" w:cs="Arial" w:eastAsia="Arial" w:hAnsi="Arial"/>
            <w:sz w:val="16"/>
            <w:szCs w:val="16"/>
            <w:u w:val="single" w:color="auto"/>
            <w:color w:val="0000EE"/>
          </w:rPr>
          <w:t>Registration Statement on Form S-8 (File No. 333-223131)</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with the SEC on February 21, 2018 by the Registrant,</w:t>
      </w:r>
      <w:r>
        <w:rPr>
          <w:rFonts w:ascii="Arial" w:cs="Arial" w:eastAsia="Arial" w:hAnsi="Arial"/>
          <w:sz w:val="16"/>
          <w:szCs w:val="16"/>
          <w:color w:val="0000EE"/>
        </w:rPr>
        <w:t xml:space="preserve"> </w:t>
      </w:r>
      <w:r>
        <w:rPr>
          <w:rFonts w:ascii="Arial" w:cs="Arial" w:eastAsia="Arial" w:hAnsi="Arial"/>
          <w:sz w:val="16"/>
          <w:szCs w:val="16"/>
          <w:color w:val="000000"/>
        </w:rPr>
        <w:t xml:space="preserve">relating to the 2015 Plan and the 2015 ESPP and (v) the </w:t>
      </w:r>
      <w:hyperlink r:id="rId17">
        <w:r>
          <w:rPr>
            <w:rFonts w:ascii="Arial" w:cs="Arial" w:eastAsia="Arial" w:hAnsi="Arial"/>
            <w:sz w:val="16"/>
            <w:szCs w:val="16"/>
            <w:u w:val="single" w:color="auto"/>
            <w:color w:val="0000EE"/>
          </w:rPr>
          <w:t>Registration Statement on Form S-8 (File No. 333-229885)</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filed with the SEC on February 26, 2019 by the Registrant, relating to the 2015 Plan and the 2015 ESPP, in each case, except for “Item 8. Exhibits” with respect to which the Exhibit Index set forth below is incorporated herein by reference.</w:t>
      </w:r>
    </w:p>
    <w:p>
      <w:pPr>
        <w:spacing w:after="0" w:line="160" w:lineRule="exact"/>
        <w:rPr>
          <w:rFonts w:ascii="Arial" w:cs="Arial" w:eastAsia="Arial" w:hAnsi="Arial"/>
          <w:sz w:val="16"/>
          <w:szCs w:val="16"/>
          <w:color w:val="0000EE"/>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100"/>
          </w:cols>
          <w:pgMar w:left="1420" w:top="121" w:right="1379" w:bottom="1440" w:gutter="0" w:footer="0" w:header="0"/>
        </w:sectPr>
      </w:pPr>
    </w:p>
    <w:p>
      <w:pPr>
        <w:spacing w:after="0" w:line="200" w:lineRule="exact"/>
        <w:rPr>
          <w:rFonts w:ascii="Arial" w:cs="Arial" w:eastAsia="Arial" w:hAnsi="Arial"/>
          <w:sz w:val="16"/>
          <w:szCs w:val="16"/>
          <w:color w:val="0000EE"/>
        </w:rPr>
      </w:pPr>
    </w:p>
    <w:p>
      <w:pPr>
        <w:spacing w:after="0" w:line="251" w:lineRule="exact"/>
        <w:rPr>
          <w:rFonts w:ascii="Arial" w:cs="Arial" w:eastAsia="Arial" w:hAnsi="Arial"/>
          <w:sz w:val="16"/>
          <w:szCs w:val="16"/>
          <w:color w:val="0000EE"/>
        </w:rPr>
      </w:pPr>
    </w:p>
    <w:tbl>
      <w:tblPr>
        <w:tblLayout w:type="fixed"/>
        <w:tblInd w:w="100" w:type="dxa"/>
        <w:tblCellMar>
          <w:top w:w="0" w:type="dxa"/>
          <w:left w:w="0" w:type="dxa"/>
          <w:bottom w:w="0" w:type="dxa"/>
          <w:right w:w="0" w:type="dxa"/>
        </w:tblCellMar>
      </w:tblPr>
      <w:tr>
        <w:trPr>
          <w:trHeight w:val="161"/>
        </w:trPr>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220" w:type="dxa"/>
            <w:vAlign w:val="bottom"/>
            <w:vMerge w:val="restart"/>
          </w:tcPr>
          <w:p>
            <w:pPr>
              <w:ind w:left="86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1905</wp:posOffset>
            </wp:positionH>
            <wp:positionV relativeFrom="paragraph">
              <wp:posOffset>-8890</wp:posOffset>
            </wp:positionV>
            <wp:extent cx="3302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740" w:right="140" w:hanging="742"/>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9">
        <w:r>
          <w:rPr>
            <w:rFonts w:ascii="Arial" w:cs="Arial" w:eastAsia="Arial" w:hAnsi="Arial"/>
            <w:sz w:val="18"/>
            <w:szCs w:val="18"/>
            <w:u w:val="single" w:color="auto"/>
            <w:color w:val="0000EE"/>
          </w:rPr>
          <w:t>Fifth Amended and Restated Certificate of Incorporation of</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the Registrant</w:t>
        </w:r>
      </w:hyperlink>
    </w:p>
    <w:p>
      <w:pPr>
        <w:spacing w:after="0" w:line="78" w:lineRule="exact"/>
        <w:rPr>
          <w:sz w:val="20"/>
          <w:szCs w:val="20"/>
          <w:color w:val="auto"/>
        </w:rPr>
      </w:pPr>
    </w:p>
    <w:p>
      <w:pPr>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20">
        <w:r>
          <w:rPr>
            <w:rFonts w:ascii="Arial" w:cs="Arial" w:eastAsia="Arial" w:hAnsi="Arial"/>
            <w:sz w:val="16"/>
            <w:szCs w:val="16"/>
            <w:u w:val="single" w:color="auto"/>
            <w:color w:val="0000EE"/>
          </w:rPr>
          <w:t>Amended and Restated Bylaws of the Registrant</w:t>
        </w:r>
      </w:hyperlink>
    </w:p>
    <w:p>
      <w:pPr>
        <w:spacing w:after="0" w:line="117" w:lineRule="exact"/>
        <w:rPr>
          <w:sz w:val="20"/>
          <w:szCs w:val="20"/>
          <w:color w:val="auto"/>
        </w:rPr>
      </w:pPr>
    </w:p>
    <w:p>
      <w:pPr>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1">
        <w:r>
          <w:rPr>
            <w:rFonts w:ascii="Arial" w:cs="Arial" w:eastAsia="Arial" w:hAnsi="Arial"/>
            <w:sz w:val="16"/>
            <w:szCs w:val="16"/>
            <w:u w:val="single" w:color="auto"/>
            <w:color w:val="0000EE"/>
          </w:rPr>
          <w:t>Specimen Common Stock Certificate</w:t>
        </w:r>
      </w:hyperlink>
    </w:p>
    <w:p>
      <w:pPr>
        <w:spacing w:after="0" w:line="117" w:lineRule="exact"/>
        <w:rPr>
          <w:sz w:val="20"/>
          <w:szCs w:val="20"/>
          <w:color w:val="auto"/>
        </w:rPr>
      </w:pPr>
    </w:p>
    <w:p>
      <w:pPr>
        <w:jc w:val="both"/>
        <w:ind w:left="740" w:hanging="742"/>
        <w:spacing w:after="0" w:line="264"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2">
        <w:r>
          <w:rPr>
            <w:rFonts w:ascii="Arial" w:cs="Arial" w:eastAsia="Arial" w:hAnsi="Arial"/>
            <w:sz w:val="18"/>
            <w:szCs w:val="18"/>
            <w:u w:val="single" w:color="auto"/>
            <w:color w:val="0000EE"/>
          </w:rPr>
          <w:t>Second Amended and Restated Investors’ Rights Agreement,</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dated as of November 7, 2014, by and among the Registrant</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and the Investors listed therein</w:t>
        </w:r>
      </w:hyperlink>
    </w:p>
    <w:p>
      <w:pPr>
        <w:spacing w:after="0" w:line="73" w:lineRule="exact"/>
        <w:rPr>
          <w:rFonts w:ascii="Arial" w:cs="Arial" w:eastAsia="Arial" w:hAnsi="Arial"/>
          <w:sz w:val="18"/>
          <w:szCs w:val="18"/>
          <w:u w:val="single" w:color="auto"/>
          <w:color w:val="0000EE"/>
        </w:rPr>
      </w:pPr>
    </w:p>
    <w:p>
      <w:pPr>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
        <w:r>
          <w:rPr>
            <w:rFonts w:ascii="Arial" w:cs="Arial" w:eastAsia="Arial" w:hAnsi="Arial"/>
            <w:sz w:val="16"/>
            <w:szCs w:val="16"/>
            <w:u w:val="single" w:color="auto"/>
            <w:color w:val="0000EE"/>
          </w:rPr>
          <w:t>Opinion of Goodwin Procter LLP, counsel to the Registrant</w:t>
        </w:r>
      </w:hyperlink>
    </w:p>
    <w:p>
      <w:pPr>
        <w:spacing w:after="0" w:line="117" w:lineRule="exact"/>
        <w:rPr>
          <w:rFonts w:ascii="Arial" w:cs="Arial" w:eastAsia="Arial" w:hAnsi="Arial"/>
          <w:sz w:val="18"/>
          <w:szCs w:val="18"/>
          <w:u w:val="single" w:color="auto"/>
          <w:color w:val="0000EE"/>
        </w:rPr>
      </w:pPr>
    </w:p>
    <w:p>
      <w:pPr>
        <w:ind w:left="740" w:right="220" w:hanging="74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5">
        <w:r>
          <w:rPr>
            <w:rFonts w:ascii="Arial" w:cs="Arial" w:eastAsia="Arial" w:hAnsi="Arial"/>
            <w:sz w:val="18"/>
            <w:szCs w:val="18"/>
            <w:u w:val="single" w:color="auto"/>
            <w:color w:val="0000EE"/>
          </w:rPr>
          <w:t>Consent of Ernst &amp; Young LLP, an independent registered</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public accounting firm</w:t>
        </w:r>
      </w:hyperlink>
    </w:p>
    <w:p>
      <w:pPr>
        <w:spacing w:after="0" w:line="62" w:lineRule="exact"/>
        <w:rPr>
          <w:sz w:val="20"/>
          <w:szCs w:val="20"/>
          <w:color w:val="auto"/>
        </w:rPr>
      </w:pPr>
    </w:p>
    <w:p>
      <w:pPr>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4">
        <w:r>
          <w:rPr>
            <w:rFonts w:ascii="Arial" w:cs="Arial" w:eastAsia="Arial" w:hAnsi="Arial"/>
            <w:sz w:val="16"/>
            <w:szCs w:val="16"/>
            <w:u w:val="single" w:color="auto"/>
            <w:color w:val="0000EE"/>
          </w:rPr>
          <w:t>Consent of Goodwin Procter LLP (included in Exhibit 5.1)</w:t>
        </w:r>
      </w:hyperlink>
    </w:p>
    <w:p>
      <w:pPr>
        <w:spacing w:after="0" w:line="117" w:lineRule="exact"/>
        <w:rPr>
          <w:sz w:val="20"/>
          <w:szCs w:val="20"/>
          <w:color w:val="auto"/>
        </w:rPr>
      </w:pPr>
    </w:p>
    <w:p>
      <w:pPr>
        <w:ind w:left="740" w:right="260" w:hanging="74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24.1</w:t>
      </w:r>
      <w:r>
        <w:rPr>
          <w:sz w:val="20"/>
          <w:szCs w:val="20"/>
          <w:color w:val="auto"/>
        </w:rPr>
        <w:tab/>
      </w:r>
      <w:hyperlink w:anchor="page3">
        <w:r>
          <w:rPr>
            <w:rFonts w:ascii="Arial" w:cs="Arial" w:eastAsia="Arial" w:hAnsi="Arial"/>
            <w:sz w:val="18"/>
            <w:szCs w:val="18"/>
            <w:u w:val="single" w:color="auto"/>
            <w:color w:val="0000EE"/>
          </w:rPr>
          <w:t>Power of attorney (included on the signature pages of this</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registration statement)</w:t>
        </w:r>
      </w:hyperlink>
    </w:p>
    <w:p>
      <w:pPr>
        <w:spacing w:after="0" w:line="62" w:lineRule="exact"/>
        <w:rPr>
          <w:sz w:val="20"/>
          <w:szCs w:val="20"/>
          <w:color w:val="auto"/>
        </w:rPr>
      </w:pPr>
    </w:p>
    <w:p>
      <w:pPr>
        <w:ind w:left="740" w:right="220" w:hanging="74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23">
        <w:r>
          <w:rPr>
            <w:rFonts w:ascii="Arial" w:cs="Arial" w:eastAsia="Arial" w:hAnsi="Arial"/>
            <w:sz w:val="18"/>
            <w:szCs w:val="18"/>
            <w:u w:val="single" w:color="auto"/>
            <w:color w:val="0000EE"/>
          </w:rPr>
          <w:t>2015 Stock Option and Incentive Plan and forms of award</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agreements thereunder</w:t>
        </w:r>
      </w:hyperlink>
    </w:p>
    <w:p>
      <w:pPr>
        <w:spacing w:after="0" w:line="62" w:lineRule="exact"/>
        <w:rPr>
          <w:sz w:val="20"/>
          <w:szCs w:val="20"/>
          <w:color w:val="auto"/>
        </w:rPr>
      </w:pPr>
    </w:p>
    <w:p>
      <w:pPr>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r:id="rId24">
        <w:r>
          <w:rPr>
            <w:rFonts w:ascii="Arial" w:cs="Arial" w:eastAsia="Arial" w:hAnsi="Arial"/>
            <w:sz w:val="16"/>
            <w:szCs w:val="16"/>
            <w:u w:val="single" w:color="auto"/>
            <w:color w:val="0000EE"/>
          </w:rPr>
          <w:t>2015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440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320" w:type="dxa"/>
            <w:vAlign w:val="bottom"/>
            <w:gridSpan w:val="6"/>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9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6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71"/>
        </w:trPr>
        <w:tc>
          <w:tcPr>
            <w:tcW w:w="5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10-Q</w:t>
            </w:r>
          </w:p>
        </w:tc>
        <w:tc>
          <w:tcPr>
            <w:tcW w:w="6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001-37359</w:t>
            </w:r>
          </w:p>
        </w:tc>
        <w:tc>
          <w:tcPr>
            <w:tcW w:w="6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512"/>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10-Q  001-37359</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324"/>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April 20, 2015</w:t>
            </w:r>
          </w:p>
        </w:tc>
        <w:tc>
          <w:tcPr>
            <w:tcW w:w="0" w:type="dxa"/>
            <w:vAlign w:val="bottom"/>
          </w:tcPr>
          <w:p>
            <w:pPr>
              <w:spacing w:after="0"/>
              <w:rPr>
                <w:sz w:val="1"/>
                <w:szCs w:val="1"/>
                <w:color w:val="auto"/>
              </w:rPr>
            </w:pP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756"/>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10-K  001-37359</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c>
          <w:tcPr>
            <w:tcW w:w="0" w:type="dxa"/>
            <w:vAlign w:val="bottom"/>
          </w:tcPr>
          <w:p>
            <w:pPr>
              <w:spacing w:after="0"/>
              <w:rPr>
                <w:sz w:val="1"/>
                <w:szCs w:val="1"/>
                <w:color w:val="auto"/>
              </w:rPr>
            </w:pPr>
          </w:p>
        </w:tc>
      </w:tr>
      <w:tr>
        <w:trPr>
          <w:trHeight w:val="54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February 13,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160" w:space="200"/>
            <w:col w:w="3740"/>
          </w:cols>
          <w:pgMar w:left="1420" w:top="121" w:right="1379" w:bottom="1440" w:gutter="0" w:footer="0" w:header="0"/>
          <w:type w:val="continuous"/>
        </w:sectPr>
      </w:pPr>
    </w:p>
    <w:p>
      <w:pPr>
        <w:spacing w:after="0" w:line="1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13th day of February, 2020.</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3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Jeffrey W.</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Albers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-130810</wp:posOffset>
            </wp:positionV>
            <wp:extent cx="2375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7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Jeffrey W. Albers</w:t>
            </w:r>
          </w:p>
        </w:tc>
        <w:tc>
          <w:tcPr>
            <w:tcW w:w="24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Landsittel</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Michael Landsittel</w:t>
            </w:r>
          </w:p>
        </w:tc>
        <w:tc>
          <w:tcPr>
            <w:tcW w:w="24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1760" w:type="dxa"/>
            <w:vAlign w:val="bottom"/>
          </w:tcPr>
          <w:p>
            <w:pPr>
              <w:spacing w:after="0"/>
              <w:rPr>
                <w:sz w:val="19"/>
                <w:szCs w:val="19"/>
                <w:color w:val="auto"/>
              </w:rPr>
            </w:pPr>
          </w:p>
        </w:tc>
      </w:tr>
      <w:tr>
        <w:trPr>
          <w:trHeight w:val="35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Ariel Hurley</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Vice President, Finance and Controller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Ariel Hurley</w:t>
            </w:r>
          </w:p>
        </w:tc>
        <w:tc>
          <w:tcPr>
            <w:tcW w:w="24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Daniel S. Lynch</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Nicholas Lydon, Ph.D.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Alexis Borisy</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Mark Goldberg,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Charles A. Rowland, Jr.</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George Demetri,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Lonnel Coats</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Lynn Seely,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195"/>
        </w:trPr>
        <w:tc>
          <w:tcPr>
            <w:tcW w:w="3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February 13, 2020</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Securities Being Registered under Registration Statement on Form S-8</w:t>
      </w:r>
    </w:p>
    <w:p>
      <w:pPr>
        <w:spacing w:after="0" w:line="225" w:lineRule="exact"/>
        <w:rPr>
          <w:sz w:val="20"/>
          <w:szCs w:val="20"/>
          <w:color w:val="auto"/>
        </w:rPr>
      </w:pPr>
    </w:p>
    <w:p>
      <w:pPr>
        <w:ind w:left="160" w:right="179"/>
        <w:spacing w:after="0" w:line="297"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“Registration Statement”) pursuant to the Securities Act of 1933, as amended (the “Securities Act”), on or about the date hereof relating to an aggregate of 2,463,610 shares (the “Shares”) of Common Stock, $0.001 par value per share, of Blueprint Medicines Corporation, a Delaware corporation (the “Company”), that may be issued pursuant to the Company’s 2015 Stock Option and Incentive Plan and 2015 Employee Stock Purchase Plan (collectively, the “Plans”).</w:t>
      </w:r>
    </w:p>
    <w:p>
      <w:pPr>
        <w:spacing w:after="0" w:line="158" w:lineRule="exact"/>
        <w:rPr>
          <w:sz w:val="20"/>
          <w:szCs w:val="20"/>
          <w:color w:val="auto"/>
        </w:rPr>
      </w:pPr>
    </w:p>
    <w:p>
      <w:pPr>
        <w:ind w:left="160" w:right="339"/>
        <w:spacing w:after="0" w:line="286" w:lineRule="auto"/>
        <w:rPr>
          <w:sz w:val="20"/>
          <w:szCs w:val="20"/>
          <w:color w:val="auto"/>
        </w:rPr>
      </w:pPr>
      <w:r>
        <w:rPr>
          <w:rFonts w:ascii="Arial" w:cs="Arial" w:eastAsia="Arial" w:hAnsi="Arial"/>
          <w:sz w:val="17"/>
          <w:szCs w:val="17"/>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left="160" w:right="239"/>
        <w:spacing w:after="0" w:line="342" w:lineRule="auto"/>
        <w:rPr>
          <w:sz w:val="20"/>
          <w:szCs w:val="20"/>
          <w:color w:val="auto"/>
        </w:rPr>
      </w:pPr>
      <w:r>
        <w:rPr>
          <w:rFonts w:ascii="Arial" w:cs="Arial" w:eastAsia="Arial" w:hAnsi="Arial"/>
          <w:sz w:val="16"/>
          <w:szCs w:val="16"/>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24" w:lineRule="exact"/>
        <w:rPr>
          <w:sz w:val="20"/>
          <w:szCs w:val="20"/>
          <w:color w:val="auto"/>
        </w:rPr>
      </w:pPr>
    </w:p>
    <w:p>
      <w:pPr>
        <w:ind w:left="160" w:right="179"/>
        <w:spacing w:after="0" w:line="342" w:lineRule="auto"/>
        <w:rPr>
          <w:sz w:val="20"/>
          <w:szCs w:val="20"/>
          <w:color w:val="auto"/>
        </w:rPr>
      </w:pPr>
      <w:r>
        <w:rPr>
          <w:rFonts w:ascii="Arial" w:cs="Arial" w:eastAsia="Arial" w:hAnsi="Arial"/>
          <w:sz w:val="16"/>
          <w:szCs w:val="16"/>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24" w:lineRule="exact"/>
        <w:rPr>
          <w:sz w:val="20"/>
          <w:szCs w:val="20"/>
          <w:color w:val="auto"/>
        </w:rPr>
      </w:pPr>
    </w:p>
    <w:p>
      <w:pPr>
        <w:ind w:left="160" w:right="159"/>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1403985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20"/>
          <w:szCs w:val="20"/>
          <w:b w:val="1"/>
          <w:bCs w:val="1"/>
          <w:color w:val="auto"/>
        </w:rPr>
        <w:t>Exhibit 23.1</w:t>
      </w:r>
    </w:p>
    <w:p>
      <w:pPr>
        <w:jc w:val="center"/>
        <w:spacing w:after="0"/>
        <w:rPr>
          <w:sz w:val="20"/>
          <w:szCs w:val="20"/>
          <w:color w:val="auto"/>
        </w:rPr>
      </w:pPr>
      <w:r>
        <w:rPr>
          <w:rFonts w:ascii="Arial" w:cs="Arial" w:eastAsia="Arial" w:hAnsi="Arial"/>
          <w:sz w:val="19"/>
          <w:szCs w:val="19"/>
          <w:color w:val="auto"/>
        </w:rPr>
        <w:t>Consent of Independent Registered Public Accounting Firm</w:t>
      </w:r>
    </w:p>
    <w:p>
      <w:pPr>
        <w:spacing w:after="0" w:line="117" w:lineRule="exact"/>
        <w:rPr>
          <w:sz w:val="20"/>
          <w:szCs w:val="20"/>
          <w:color w:val="auto"/>
        </w:rPr>
      </w:pPr>
    </w:p>
    <w:p>
      <w:pPr>
        <w:ind w:left="800" w:right="299"/>
        <w:spacing w:after="0" w:line="228"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2015 Stock Option and Incentive Plan and the 2015 Employee Stock Purchase Plan of Blueprint Medicines Corporation of our reports dated February 13, 2020, with respect to the consolidated financial statements of Blueprint Medicines Corporation and the effectiveness of internal control over financial reporting of Blueprint Medicines Corporation included in its Annual Report (Form 10-K) for the year ended December 31, 2019, filed with the Securities and Exchange Commission.</w:t>
      </w:r>
    </w:p>
    <w:p>
      <w:pPr>
        <w:spacing w:after="0" w:line="115" w:lineRule="exact"/>
        <w:rPr>
          <w:sz w:val="20"/>
          <w:szCs w:val="20"/>
          <w:color w:val="auto"/>
        </w:rPr>
      </w:pPr>
    </w:p>
    <w:p>
      <w:pPr>
        <w:jc w:val="right"/>
        <w:ind w:right="139"/>
        <w:spacing w:after="0"/>
        <w:rPr>
          <w:sz w:val="20"/>
          <w:szCs w:val="20"/>
          <w:color w:val="auto"/>
        </w:rPr>
      </w:pPr>
      <w:r>
        <w:rPr>
          <w:rFonts w:ascii="Arial" w:cs="Arial" w:eastAsia="Arial" w:hAnsi="Arial"/>
          <w:sz w:val="19"/>
          <w:szCs w:val="19"/>
          <w:color w:val="auto"/>
        </w:rPr>
        <w:t>/s/ Ernst &amp; Young LLP</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Boston, Massachusetts</w:t>
      </w:r>
    </w:p>
    <w:p>
      <w:pPr>
        <w:ind w:left="800"/>
        <w:spacing w:after="0"/>
        <w:rPr>
          <w:sz w:val="20"/>
          <w:szCs w:val="20"/>
          <w:color w:val="auto"/>
        </w:rPr>
      </w:pPr>
      <w:r>
        <w:rPr>
          <w:rFonts w:ascii="Arial" w:cs="Arial" w:eastAsia="Arial" w:hAnsi="Arial"/>
          <w:sz w:val="19"/>
          <w:szCs w:val="19"/>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457200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13" Type="http://schemas.openxmlformats.org/officeDocument/2006/relationships/hyperlink" Target="http://www.sec.gov/Archives/edgar/data/1597264/000110465915032381/a15-10041_1s8.htm" TargetMode="External"/><Relationship Id="rId14" Type="http://schemas.openxmlformats.org/officeDocument/2006/relationships/hyperlink" Target="http://www.sec.gov/Archives/edgar/data/1597264/000155837016004067/bpmc-20160311xs8.htm" TargetMode="External"/><Relationship Id="rId15" Type="http://schemas.openxmlformats.org/officeDocument/2006/relationships/hyperlink" Target="http://www.sec.gov/Archives/edgar/data/1597264/000155837017001552/bpmc_currentfolios8.htm" TargetMode="External"/><Relationship Id="rId16" Type="http://schemas.openxmlformats.org/officeDocument/2006/relationships/hyperlink" Target="http://www.sec.gov/Archives/edgar/data/1597264/000155837018000868/s-8.htm" TargetMode="External"/><Relationship Id="rId17" Type="http://schemas.openxmlformats.org/officeDocument/2006/relationships/hyperlink" Target="http://www.sec.gov/Archives/edgar/data/1597264/000155837019001099/s-8.htm" TargetMode="External"/><Relationship Id="rId19" Type="http://schemas.openxmlformats.org/officeDocument/2006/relationships/hyperlink" Target="http://www.sec.gov/Archives/edgar/data/1597264/000155837015002529/bpmc-20150930ex3100367a3.htm" TargetMode="External"/><Relationship Id="rId20" Type="http://schemas.openxmlformats.org/officeDocument/2006/relationships/hyperlink" Target="http://www.sec.gov/Archives/edgar/data/1597264/000155837015002529/bpmc-20150930ex32d28c430.htm" TargetMode="External"/><Relationship Id="rId21" Type="http://schemas.openxmlformats.org/officeDocument/2006/relationships/hyperlink" Target="http://www.sec.gov/Archives/edgar/data/1597264/000104746915003668/a2224211zex-4_1.htm" TargetMode="External"/><Relationship Id="rId22" Type="http://schemas.openxmlformats.org/officeDocument/2006/relationships/hyperlink" Target="http://www.sec.gov/Archives/edgar/data/1597264/000104746915002608/a2223883zex-4_4.htm" TargetMode="External"/><Relationship Id="rId23" Type="http://schemas.openxmlformats.org/officeDocument/2006/relationships/hyperlink" Target="http://www.sec.gov/Archives/edgar/data/1597264/000155837020000784/ex-10d2.htm" TargetMode="External"/><Relationship Id="rId24" Type="http://schemas.openxmlformats.org/officeDocument/2006/relationships/hyperlink" Target="http://www.sec.gov/Archives/edgar/data/1597264/000155837020000784/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2020-02-13T17:03:35Z</dcterms:created>
  <dcterms:modified xsi:type="dcterms:W3CDTF">2020-02-13T17:03:35Z</dcterms:modified>
</cp:coreProperties>
</file>