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STARR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60"/>
        <w:spacing w:after="0" w:line="402" w:lineRule="auto"/>
        <w:rPr>
          <w:sz w:val="20"/>
          <w:szCs w:val="20"/>
          <w:color w:val="auto"/>
        </w:rPr>
      </w:pPr>
      <w:r>
        <w:rPr>
          <w:rFonts w:ascii="Arial" w:cs="Arial" w:eastAsia="Arial" w:hAnsi="Arial"/>
          <w:sz w:val="16"/>
          <w:szCs w:val="16"/>
          <w:color w:val="0000FF"/>
        </w:rPr>
        <w:t>C/O THIRD ROCK VENTURES, LLC, 29 NEWBURY STREET, 3RD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Blueprint Medicines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BPMC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320" w:type="dxa"/>
            <w:vAlign w:val="bottom"/>
            <w:gridSpan w:val="3"/>
          </w:tcPr>
          <w:p>
            <w:pPr>
              <w:ind w:left="80"/>
              <w:spacing w:after="0"/>
              <w:rPr>
                <w:sz w:val="20"/>
                <w:szCs w:val="20"/>
                <w:color w:val="auto"/>
              </w:rPr>
            </w:pPr>
            <w:r>
              <w:rPr>
                <w:rFonts w:ascii="Arial" w:cs="Arial" w:eastAsia="Arial" w:hAnsi="Arial"/>
                <w:sz w:val="18"/>
                <w:szCs w:val="18"/>
                <w:color w:val="0000FF"/>
              </w:rPr>
              <w:t>12/19/2016</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12/19/2016</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ind w:left="140"/>
              <w:spacing w:after="0"/>
              <w:rPr>
                <w:sz w:val="20"/>
                <w:szCs w:val="20"/>
                <w:color w:val="auto"/>
              </w:rPr>
            </w:pPr>
            <w:r>
              <w:rPr>
                <w:rFonts w:ascii="Arial" w:cs="Arial" w:eastAsia="Arial" w:hAnsi="Arial"/>
                <w:sz w:val="18"/>
                <w:szCs w:val="18"/>
                <w:color w:val="0000FF"/>
                <w:w w:val="95"/>
              </w:rPr>
              <w:t>106,489</w:t>
            </w:r>
          </w:p>
        </w:tc>
        <w:tc>
          <w:tcPr>
            <w:tcW w:w="500" w:type="dxa"/>
            <w:vAlign w:val="bottom"/>
          </w:tcPr>
          <w:p>
            <w:pPr>
              <w:ind w:left="280"/>
              <w:spacing w:after="0"/>
              <w:rPr>
                <w:sz w:val="20"/>
                <w:szCs w:val="20"/>
                <w:color w:val="auto"/>
              </w:rPr>
            </w:pPr>
            <w:r>
              <w:rPr>
                <w:rFonts w:ascii="Arial" w:cs="Arial" w:eastAsia="Arial" w:hAnsi="Arial"/>
                <w:sz w:val="18"/>
                <w:szCs w:val="18"/>
                <w:color w:val="0000FF"/>
              </w:rPr>
              <w:t>D</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28.194</w:t>
            </w:r>
          </w:p>
        </w:tc>
        <w:tc>
          <w:tcPr>
            <w:tcW w:w="520" w:type="dxa"/>
            <w:vAlign w:val="bottom"/>
          </w:tcPr>
          <w:p>
            <w:pPr>
              <w:spacing w:after="0"/>
              <w:rPr>
                <w:sz w:val="23"/>
                <w:szCs w:val="23"/>
                <w:color w:val="auto"/>
              </w:rPr>
            </w:pPr>
          </w:p>
        </w:tc>
        <w:tc>
          <w:tcPr>
            <w:tcW w:w="720" w:type="dxa"/>
            <w:vAlign w:val="bottom"/>
          </w:tcPr>
          <w:p>
            <w:pPr>
              <w:jc w:val="right"/>
              <w:ind w:right="537"/>
              <w:spacing w:after="0"/>
              <w:rPr>
                <w:sz w:val="20"/>
                <w:szCs w:val="20"/>
                <w:color w:val="auto"/>
              </w:rPr>
            </w:pPr>
            <w:r>
              <w:rPr>
                <w:rFonts w:ascii="Arial" w:cs="Arial" w:eastAsia="Arial" w:hAnsi="Arial"/>
                <w:sz w:val="18"/>
                <w:szCs w:val="18"/>
                <w:color w:val="0000FF"/>
                <w:w w:val="99"/>
              </w:rPr>
              <w:t>0</w:t>
            </w:r>
          </w:p>
        </w:tc>
        <w:tc>
          <w:tcPr>
            <w:tcW w:w="940" w:type="dxa"/>
            <w:vAlign w:val="bottom"/>
          </w:tcPr>
          <w:p>
            <w:pPr>
              <w:ind w:left="360"/>
              <w:spacing w:after="0"/>
              <w:rPr>
                <w:sz w:val="20"/>
                <w:szCs w:val="20"/>
                <w:color w:val="auto"/>
              </w:rPr>
            </w:pPr>
            <w:r>
              <w:rPr>
                <w:rFonts w:ascii="Arial" w:cs="Arial" w:eastAsia="Arial" w:hAnsi="Arial"/>
                <w:sz w:val="18"/>
                <w:szCs w:val="18"/>
                <w:color w:val="0000FF"/>
              </w:rPr>
              <w:t>D</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60" w:type="dxa"/>
            <w:vAlign w:val="bottom"/>
            <w:gridSpan w:val="3"/>
            <w:vMerge w:val="restart"/>
          </w:tcPr>
          <w:p>
            <w:pPr>
              <w:jc w:val="right"/>
              <w:ind w:right="237"/>
              <w:spacing w:after="0"/>
              <w:rPr>
                <w:sz w:val="20"/>
                <w:szCs w:val="20"/>
                <w:color w:val="auto"/>
              </w:rPr>
            </w:pPr>
            <w:r>
              <w:rPr>
                <w:rFonts w:ascii="Arial" w:cs="Arial" w:eastAsia="Arial" w:hAnsi="Arial"/>
                <w:sz w:val="18"/>
                <w:szCs w:val="18"/>
                <w:color w:val="0000FF"/>
              </w:rPr>
              <w:t>5,453,753</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directly held by Third Rock Ventures II, L.P. ("TRV II"). The general partner of TRV II is Third Rock Ventures GP II, L.P. ("TRV GP II"). The general partner of TRV GP II is TRV GP II, LLC ("TRV GP II LLC"). The individual managers of TRV GP II LLC are Mark Levin ("Levin"), Kevin Starr ("Starr") and Dr. Robert Tepper ("Tepper"). Each of TRV GP II, TRV GP II LLC, Levin, Starr and Tepper disclaims beneficial ownership of the shares except to the extent of its or his pecuniary interest therein, if any, and this report shall not be deemed an admission that it or he is the beneficial owner of such shares.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Kevin Gillis by power of</w:t>
            </w:r>
          </w:p>
        </w:tc>
        <w:tc>
          <w:tcPr>
            <w:tcW w:w="16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12/21/2016</w:t>
            </w:r>
          </w:p>
        </w:tc>
        <w:tc>
          <w:tcPr>
            <w:tcW w:w="0" w:type="dxa"/>
            <w:vAlign w:val="bottom"/>
          </w:tcPr>
          <w:p>
            <w:pPr>
              <w:spacing w:after="0"/>
              <w:rPr>
                <w:sz w:val="1"/>
                <w:szCs w:val="1"/>
                <w:color w:val="auto"/>
              </w:rPr>
            </w:pPr>
          </w:p>
        </w:tc>
      </w:tr>
      <w:tr>
        <w:trPr>
          <w:trHeight w:val="88"/>
        </w:trPr>
        <w:tc>
          <w:tcPr>
            <w:tcW w:w="170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attorney for Kevin Starr</w:t>
            </w:r>
          </w:p>
        </w:tc>
        <w:tc>
          <w:tcPr>
            <w:tcW w:w="44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0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603"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2019-12-23T15:43:26Z</dcterms:created>
  <dcterms:modified xsi:type="dcterms:W3CDTF">2019-12-23T15:43:26Z</dcterms:modified>
</cp:coreProperties>
</file>