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212529"/>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Appointment of Chief Scientific Officer</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On May 17, 2021, Blueprint Medicines Corporation (the “Company”) announced the appointment of Percy H. Carter, MBA, Ph.D., as the Chief Scientific Officer of the Company and the entry into an employment agreement with Dr. Carter that provides for “at will” employment, in each case, effective as of May 19, 2021.</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Dr. Carter brings more than 20 years of global leadership in pharmaceutical companies and industry experience. Prior to joining Blueprint Medicines, Dr. Carter, age 51, served as Chief Scientific Officer at FibroGen, Inc. between September 2020 and May 2021. Between June 2019 and September 2020, he served as Global Head of Discovery Sciences at Janssen Pharmaceuticals, Inc., a division of Johnson &amp; Johnson, where he led more than 700 employees comprising several key research and discovery functions, and drove the synthetic discovery strategy in collaboration with partners across various therapeutic areas. From August 2001 to May 2019, Dr. Carter held roles of increasing responsibility in drug discovery, covering all therapeutic areas, drug platforms and stages of discovery at Bristol-Myers Squibb (“BMS”), including serving as Senior Vice President and Head of Discovery between November 2018 and May 2019. Prior to his experience at BMS, he was Senior Research Scientist in Chemical and Physical Sciences at DuPont Pharmaceuticals, until it was acquired by BMS in 2001. Dr. Carter is an inventor or co-inventor on more than 28 U.S. patents, and has authored or co-authored numerous peer-reviewed publications. Dr. Carter received an A.B. in Chemistry from Dartmouth College and a Ph.D. in Organic Chemistry from Harvard University. In addition, he received an MBA from Massachusetts Institute of Technology.</w:t>
      </w:r>
    </w:p>
    <w:p>
      <w:pPr>
        <w:spacing w:after="0" w:line="17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Pursuant to the terms of his employment agreement, Dr. Carter is entitled to an annual base salary of $550,000. Dr. Carter is also eligible for an annual performance bonus targeted at 45% of his base salary. For the year ending December 31, 2021, Dr. Carter will be eligible to receive a pro-rated bonus based upon the period of time he was employed by the Company. Subject to the terms of the employment agreement, the Company will provide a sign-on bonus of up to $200,000 to Dr. Carter. In addition, the Company will gross-up applicable income taxes incurred in connection with such sign-on bonus. Subject to the terms of the employment agreement, the Company will also reimburse to Dr. Carter or pay to third parties on his behalf all reasonable and documented expenses incurred in connection with Dr. Carter’s relocation to the Cambridge, Massachusetts area, up to a maximum aggregate amount of $150,000. In addition, the Company will gross-up any taxes incurred on eligible relocation expenses reimbursed to Dr. Carter or paid to third parties on his behalf, and following Dr. Carter’s relocation, the Company will also pay him a one-time, lump sum relocation allowance in the amount of $10,000 to use in his discretion to cover expenses related to his relocation to the Cambridge, Massachusetts area. If within specific time periods Dr. Carter either terminates his employment without good reason (as defined in the employment agreement) or is terminated for cause (as defined in the employment agreement), Dr. Carter is obligated to repay all or a portion of any sign-on bonus and associated tax gross-up he received; the aggregate relocation expenses reimbursed to Dr. Carter or paid to third parties on his behalf, and the associated tax gross-up; and the relocation allowance, all subject to the terms of the employment agreement.</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Subject to the terms of the employment agreement, effective June 1, 2021, Dr. Carter will also be granted (i) a non-qualified stock option to purchase 39,200 shares of the Company’s common stock at an exercise price per share equal to the closing price of the Company’s common stock on the date of grant, (ii) 19,600 restricted stock units, and (iii) restricted stock units with an aggregate grant date fair value of $200,000. Each restricted stock unit will entitle Dr. Carter to one share of the Company’s common stock if and when the restricted stock unit vests. The stock option will have a ten-year term and will vest as to 25% of the shares underlying the stock option on the first anniversary of the date of grant and as to an additional 1/48th of the shares underlying the stock option monthly thereafter, subject to Dr. Carter’s continued full employment with the Company through each applicable vesting date. The restricted stock unit award will vest in four equal annual installments beginning on the first anniversary of the date of grant, subject to Dr. Carter’s continued full employment with the Company through each applicable vesting date. Dr. Carter is eligible to participate in the employee benefit plans generally available to full-time employees, subject to the terms of those plans.</w:t>
      </w:r>
    </w:p>
    <w:p>
      <w:pPr>
        <w:spacing w:after="0" w:line="16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Pursuant to the terms of his employment agreement, if Dr. Carter’s employment is terminated by the Company without cause or by Dr. Carter for good reason, and subject to Dr. Carter’s execution of a release of potential claims against the Company, Dr. Carter will be entitled to receive: (i) base salary for 12 months, payable in substantially equal installments according to the Company’s payroll practices and (ii) a monthly cash payment for 12 months for medical and dental benefits or Dr. Carter’s COBRA health continuation period, whichever ends earlier. However, in the event that Dr. Carter’s employment is terminated by the Company without cause, or Dr. Carter terminates his employment with the Company for good reason, in either case within 12 months following the occurrence of a sale event (as defined in his employment agreement), in lieu of the severance payments and benefits described in the preceding sentence and subject to Dr. Carter’s execution of a release of potential claims against the Company, Dr. Carter will be entitled to receive: (i) a lump sum in cash in an amount equal to the sum of 12 months of Dr. Carter’s base salary then in effect plus Dr. Carter’s target annual incentive compensation for the year in which the termination occurs, (ii) a monthly cash payment for 12 months for medical and dental benefits or Dr. Carter’s COBRA health continuation period, whichever ends earlier, and (iii) full and immediate vesting and exercisability of all time-based stock options and other time-based stock-based awards held by Dr. Carter.</w:t>
      </w:r>
    </w:p>
    <w:p>
      <w:pPr>
        <w:sectPr>
          <w:pgSz w:w="11900" w:h="16838" w:orient="portrait"/>
          <w:cols w:equalWidth="0" w:num="1">
            <w:col w:w="9920"/>
          </w:cols>
          <w:pgMar w:left="980" w:top="445" w:right="99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type w:val="continuous"/>
        </w:sectPr>
      </w:pPr>
    </w:p>
    <w:bookmarkStart w:id="2" w:name="page3"/>
    <w:bookmarkEnd w:id="2"/>
    <w:p>
      <w:pPr>
        <w:ind w:right="40" w:firstLine="648"/>
        <w:spacing w:after="0" w:line="254" w:lineRule="auto"/>
        <w:rPr>
          <w:sz w:val="20"/>
          <w:szCs w:val="20"/>
          <w:color w:val="auto"/>
        </w:rPr>
      </w:pPr>
      <w:r>
        <w:rPr>
          <w:rFonts w:ascii="Arial" w:cs="Arial" w:eastAsia="Arial" w:hAnsi="Arial"/>
          <w:sz w:val="18"/>
          <w:szCs w:val="18"/>
          <w:color w:val="auto"/>
        </w:rPr>
        <w:t>In connection with Dr. Carter’s appointment as the Chief Scientific Officer, Dr. Carter will enter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Dr. Carter for some expenses, including attorneys’ fees, judgments, fines and settlement amounts incurred by him in any action or proceeding arising out of his service as one of our officers. Dr. Carter has also previously entered into a confidentiality, assignment and non-competition agreement that contains, among other things, non-competition and non-solicitation provisions that apply during the term of Dr. Carter’s employment and for 12 months thereafter.</w:t>
      </w:r>
    </w:p>
    <w:p>
      <w:pPr>
        <w:spacing w:after="0" w:line="19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Dr. Carter has no family relationship with any of the executive officers or directors of the Company. There are no arrangements or understandings between Dr. Carter and any other person pursuant to which he was appointed as an officer of the Company.</w:t>
      </w:r>
    </w:p>
    <w:p>
      <w:pPr>
        <w:spacing w:after="0" w:line="12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foregoing description of the employment agreement with Dr. Carter is qualified in its entirety by reference to the complete text of such agreement, which the Company intends to file with the Securities and Exchange Commission (“SEC”) as an exhibit to the Company’s Quarterly Report on Form 10-Q for the quarter ending on June 30, 2021. A copy of the Company’s press release announcing Dr. Carter’s appointment as the Chief Scientific Officer is attached as Exhibit 99.1 to this Current Report on Form 8-K.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 Exhibits.</w:t>
            </w:r>
          </w:p>
        </w:tc>
        <w:tc>
          <w:tcPr>
            <w:tcW w:w="5360" w:type="dxa"/>
            <w:vAlign w:val="bottom"/>
          </w:tcPr>
          <w:p>
            <w:pPr>
              <w:spacing w:after="0"/>
              <w:rPr>
                <w:sz w:val="20"/>
                <w:szCs w:val="20"/>
                <w:color w:val="auto"/>
              </w:rPr>
            </w:pPr>
          </w:p>
        </w:tc>
      </w:tr>
      <w:tr>
        <w:trPr>
          <w:trHeight w:val="485"/>
        </w:trPr>
        <w:tc>
          <w:tcPr>
            <w:tcW w:w="14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46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536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Press release issued by Blueprint Medicines Corporation on May 17, 2021</w:t>
              </w:r>
            </w:hyperlink>
          </w:p>
        </w:tc>
      </w:tr>
    </w:tbl>
    <w:p>
      <w:pPr>
        <w:spacing w:after="0" w:line="13" w:lineRule="exact"/>
        <w:rPr>
          <w:sz w:val="20"/>
          <w:szCs w:val="20"/>
          <w:color w:val="auto"/>
        </w:rPr>
      </w:pPr>
    </w:p>
    <w:p>
      <w:pPr>
        <w:ind w:left="4920" w:right="260" w:hanging="4912"/>
        <w:spacing w:after="0" w:line="762" w:lineRule="auto"/>
        <w:tabs>
          <w:tab w:leader="none" w:pos="146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incorporated as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194310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23495</wp:posOffset>
            </wp:positionV>
            <wp:extent cx="2459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066" w:right="1179" w:bottom="1440" w:gutter="0" w:footer="0" w:header="0"/>
        </w:sectPr>
      </w:pPr>
    </w:p>
    <w:bookmarkStart w:id="4" w:name="page5"/>
    <w:bookmarkEnd w:id="4"/>
    <w:p>
      <w:pPr>
        <w:ind w:left="7360"/>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Appoints Percy Carter, MBA, Ph.D., as Chief Scientific Officer</w:t>
      </w:r>
    </w:p>
    <w:p>
      <w:pPr>
        <w:spacing w:after="0" w:line="229" w:lineRule="exact"/>
        <w:rPr>
          <w:sz w:val="20"/>
          <w:szCs w:val="20"/>
          <w:color w:val="auto"/>
        </w:rPr>
      </w:pPr>
    </w:p>
    <w:p>
      <w:pPr>
        <w:ind w:left="200" w:right="359"/>
        <w:spacing w:after="0" w:line="248" w:lineRule="auto"/>
        <w:rPr>
          <w:sz w:val="20"/>
          <w:szCs w:val="20"/>
          <w:color w:val="auto"/>
        </w:rPr>
      </w:pPr>
      <w:r>
        <w:rPr>
          <w:rFonts w:ascii="Arial" w:cs="Arial" w:eastAsia="Arial" w:hAnsi="Arial"/>
          <w:sz w:val="18"/>
          <w:szCs w:val="18"/>
          <w:color w:val="auto"/>
        </w:rPr>
        <w:t>CAMBRIDGE, Mass., May 17, 2021 – Blueprint Medicines Corporation (NASDAQ: BPMC) today announced the appointment of Percy Carter, MBA, Ph.D., as Chief Scientific Officer, effective May 19, 2021. In this role, Dr. Carter will oversee all of the company’s research and preclinical development.</w:t>
      </w:r>
    </w:p>
    <w:p>
      <w:pPr>
        <w:spacing w:after="0" w:line="195" w:lineRule="exact"/>
        <w:rPr>
          <w:sz w:val="20"/>
          <w:szCs w:val="20"/>
          <w:color w:val="auto"/>
        </w:rPr>
      </w:pPr>
    </w:p>
    <w:p>
      <w:pPr>
        <w:ind w:left="200" w:right="339"/>
        <w:spacing w:after="0" w:line="274" w:lineRule="auto"/>
        <w:rPr>
          <w:sz w:val="20"/>
          <w:szCs w:val="20"/>
          <w:color w:val="auto"/>
        </w:rPr>
      </w:pPr>
      <w:r>
        <w:rPr>
          <w:rFonts w:ascii="Arial" w:cs="Arial" w:eastAsia="Arial" w:hAnsi="Arial"/>
          <w:sz w:val="16"/>
          <w:szCs w:val="16"/>
          <w:color w:val="auto"/>
        </w:rPr>
        <w:t>“I am thrilled to welcome Percy to Blueprint Medicines. His proven track record of advancing promising science into the clinic and leading diverse, high-performing research teams will be invaluable as we seek to further advance and expand our precision therapy pipeline,” said Fouad Namouni, M.D., President, Research &amp; Development at Blueprint Medicines. “With a passion for impacting patients’ lives through groundbreaking science, Percy will continue to leverage the significant productivity of our foundational research platform, and set our strategic vision for extending into new areas of biology and treatment modalities. He will play an instrumental role as we work to reproducibly discover new precision medicines that address urgent patient needs, with a focus in oncology and hematology.”</w:t>
      </w:r>
    </w:p>
    <w:p>
      <w:pPr>
        <w:spacing w:after="0" w:line="177" w:lineRule="exact"/>
        <w:rPr>
          <w:sz w:val="20"/>
          <w:szCs w:val="20"/>
          <w:color w:val="auto"/>
        </w:rPr>
      </w:pPr>
    </w:p>
    <w:p>
      <w:pPr>
        <w:jc w:val="both"/>
        <w:ind w:left="200" w:right="339"/>
        <w:spacing w:after="0" w:line="276" w:lineRule="auto"/>
        <w:rPr>
          <w:sz w:val="20"/>
          <w:szCs w:val="20"/>
          <w:color w:val="auto"/>
        </w:rPr>
      </w:pPr>
      <w:r>
        <w:rPr>
          <w:rFonts w:ascii="Arial" w:cs="Arial" w:eastAsia="Arial" w:hAnsi="Arial"/>
          <w:sz w:val="16"/>
          <w:szCs w:val="16"/>
          <w:color w:val="auto"/>
        </w:rPr>
        <w:t>“It is a great privilege to join Blueprint Medicines, a company at the forefront of developing precision therapies with the potential to fundamentally change patient outcomes,” said Dr. Carter. “What sets Blueprint Medicines apart is its ability to design exquisitely selective and potent molecules against some of the most challenging drug targets, and to rapidly translate scientific advancements into innovative therapy options for patients. I look forward to working with Blueprint Medicines’ talented scientists and applying the company’s unique research capabilities to help us define the future of precision therapy and make real its promise for as many patients as possible.”</w:t>
      </w:r>
    </w:p>
    <w:p>
      <w:pPr>
        <w:spacing w:after="0" w:line="216" w:lineRule="exact"/>
        <w:rPr>
          <w:sz w:val="20"/>
          <w:szCs w:val="20"/>
          <w:color w:val="auto"/>
        </w:rPr>
      </w:pPr>
    </w:p>
    <w:p>
      <w:pPr>
        <w:ind w:left="200" w:right="299"/>
        <w:spacing w:after="0" w:line="252" w:lineRule="auto"/>
        <w:rPr>
          <w:sz w:val="20"/>
          <w:szCs w:val="20"/>
          <w:color w:val="auto"/>
        </w:rPr>
      </w:pPr>
      <w:r>
        <w:rPr>
          <w:rFonts w:ascii="Arial" w:cs="Arial" w:eastAsia="Arial" w:hAnsi="Arial"/>
          <w:sz w:val="17"/>
          <w:szCs w:val="17"/>
          <w:color w:val="auto"/>
        </w:rPr>
        <w:t>Dr. Carter brings more than 20 years of global leadership in pharmaceutical companies and industry experience. Prior to joining Blueprint Medicines, he served as Chief Scientific Officer at FibroGen, Inc. He previously served as Global Head of Discovery Sciences at Janssen Pharmaceuticals, Inc., a division of Johnson &amp; Johnson, where he led more than 700 employees comprising several key research and discovery functions, and drove the synthetic discovery strategy in collaboration with partners across various therapeutic areas. From August 2001 to May 2019, Dr. Carter held roles of increasing responsibility in drug discovery, covering all therapeutic areas, drug platforms and stages of discovery at Bristol-Myers Squibb (BMS), including serving as Senior Vice President and Head of Discovery. Prior to his experience at BMS, he was Senior Research Scientist in Chemical and Physical Sciences at DuPont Pharmaceuticals, until it was acquired by BMS in 2001. Dr. Carter is an inventor or co-inventor on more than 28 U.S. patents, and has authored or co-authored numerous peer-reviewed publications. Dr. Carter received an A.B. in Chemistry from Dartmouth College and a Ph.D. in Organic Chemistry from Harvard University. In addition, he received an MBA from Massachusetts Institute of Technology.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left="200" w:right="239"/>
        <w:spacing w:after="0" w:line="254" w:lineRule="auto"/>
        <w:rPr>
          <w:sz w:val="20"/>
          <w:szCs w:val="20"/>
          <w:color w:val="auto"/>
        </w:rPr>
      </w:pPr>
      <w:r>
        <w:rPr>
          <w:rFonts w:ascii="Arial" w:cs="Arial" w:eastAsia="Arial" w:hAnsi="Arial"/>
          <w:sz w:val="17"/>
          <w:szCs w:val="17"/>
          <w:color w:val="auto"/>
        </w:rPr>
        <w:t>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 States and Europe, and we are globally advancing multiple programs for genomically defined cancers, systemic mastocytosis, and cancer immunotherapy. For more information, visit www.BlueprintMedicines.com and follow us on Twitter (@BlueprintMeds) and LinkedIn.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299"/>
        <w:spacing w:after="0" w:line="262"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expectations related to Blueprint Medicines’ ability to build an industry-leading portfolio of precision medicines; expectations regarding Blueprint Medicines’ ability to build on core research and development activities and accelerate its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 w:name="page6"/>
    <w:bookmarkEnd w:id="5"/>
    <w:p>
      <w:pPr>
        <w:ind w:left="200" w:right="259"/>
        <w:spacing w:after="0" w:line="266" w:lineRule="auto"/>
        <w:rPr>
          <w:sz w:val="20"/>
          <w:szCs w:val="20"/>
          <w:color w:val="auto"/>
        </w:rPr>
      </w:pPr>
      <w:r>
        <w:rPr>
          <w:rFonts w:ascii="Arial" w:cs="Arial" w:eastAsia="Arial" w:hAnsi="Arial"/>
          <w:sz w:val="16"/>
          <w:szCs w:val="16"/>
          <w:color w:val="auto"/>
        </w:rPr>
        <w:t>pipeline; the potential benefits of Blueprint Medicines’ current and future approved drugs or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w:t>
      </w:r>
      <w:r>
        <w:rPr>
          <w:rFonts w:ascii="Arial" w:cs="Arial" w:eastAsia="Arial" w:hAnsi="Arial"/>
          <w:sz w:val="16"/>
          <w:szCs w:val="16"/>
          <w:color w:val="0A0A0A"/>
        </w:rPr>
        <w:t>™/AYVAKYT®</w:t>
      </w:r>
      <w:r>
        <w:rPr>
          <w:rFonts w:ascii="Arial" w:cs="Arial" w:eastAsia="Arial" w:hAnsi="Arial"/>
          <w:sz w:val="16"/>
          <w:szCs w:val="16"/>
          <w:color w:val="auto"/>
        </w:rPr>
        <w:t xml:space="preserve"> </w:t>
      </w:r>
      <w:r>
        <w:rPr>
          <w:rFonts w:ascii="Arial" w:cs="Arial" w:eastAsia="Arial" w:hAnsi="Arial"/>
          <w:sz w:val="16"/>
          <w:szCs w:val="16"/>
          <w:color w:val="0A0A0A"/>
        </w:rPr>
        <w:t xml:space="preserve">(avapritinib) </w:t>
      </w:r>
      <w:r>
        <w:rPr>
          <w:rFonts w:ascii="Arial" w:cs="Arial" w:eastAsia="Arial" w:hAnsi="Arial"/>
          <w:sz w:val="16"/>
          <w:szCs w:val="16"/>
          <w:color w:val="000000"/>
        </w:rPr>
        <w:t>and</w:t>
      </w:r>
      <w:r>
        <w:rPr>
          <w:rFonts w:ascii="Arial" w:cs="Arial" w:eastAsia="Arial" w:hAnsi="Arial"/>
          <w:sz w:val="16"/>
          <w:szCs w:val="16"/>
          <w:color w:val="0A0A0A"/>
        </w:rPr>
        <w:t xml:space="preserve"> GAVRETO® (pralsetinib) </w:t>
      </w:r>
      <w:r>
        <w:rPr>
          <w:rFonts w:ascii="Arial" w:cs="Arial" w:eastAsia="Arial" w:hAnsi="Arial"/>
          <w:sz w:val="16"/>
          <w:szCs w:val="16"/>
          <w:color w:val="000000"/>
        </w:rPr>
        <w:t>or obtain marketing approval for AYVAKIT/AYVAKYT in additional</w:t>
      </w:r>
      <w:r>
        <w:rPr>
          <w:rFonts w:ascii="Arial" w:cs="Arial" w:eastAsia="Arial" w:hAnsi="Arial"/>
          <w:sz w:val="16"/>
          <w:szCs w:val="16"/>
          <w:color w:val="0A0A0A"/>
        </w:rPr>
        <w:t xml:space="preserve"> </w:t>
      </w:r>
      <w:r>
        <w:rPr>
          <w:rFonts w:ascii="Arial" w:cs="Arial" w:eastAsia="Arial" w:hAnsi="Arial"/>
          <w:sz w:val="16"/>
          <w:szCs w:val="16"/>
          <w:color w:val="000000"/>
        </w:rPr>
        <w:t>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200" w:right="279"/>
        <w:spacing w:after="0" w:line="261" w:lineRule="auto"/>
        <w:rPr>
          <w:sz w:val="20"/>
          <w:szCs w:val="20"/>
          <w:color w:val="auto"/>
        </w:rPr>
      </w:pPr>
      <w:r>
        <w:rPr>
          <w:rFonts w:ascii="Arial" w:cs="Arial" w:eastAsia="Arial" w:hAnsi="Arial"/>
          <w:sz w:val="18"/>
          <w:szCs w:val="18"/>
          <w:color w:val="auto"/>
        </w:rPr>
        <w:t>Blueprint Medicines, AYVAKIT, AYVAKYT, GAVRETO and associated logos are trademarks of Blueprint Medicines Corporation.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617-844-8205</w:t>
      </w:r>
    </w:p>
    <w:p>
      <w:pPr>
        <w:ind w:left="200"/>
        <w:spacing w:after="0"/>
        <w:rPr>
          <w:sz w:val="20"/>
          <w:szCs w:val="20"/>
          <w:color w:val="auto"/>
        </w:rPr>
      </w:pPr>
      <w:r>
        <w:rPr>
          <w:rFonts w:ascii="Arial" w:cs="Arial" w:eastAsia="Arial" w:hAnsi="Arial"/>
          <w:sz w:val="18"/>
          <w:szCs w:val="18"/>
          <w:color w:val="auto"/>
        </w:rPr>
        <w:t>media@blueprintmedicines.com</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617-714-6674</w:t>
      </w: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2021-05-17T07:33:03Z</dcterms:created>
  <dcterms:modified xsi:type="dcterms:W3CDTF">2021-05-17T07:33:03Z</dcterms:modified>
</cp:coreProperties>
</file>