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11/03/2021</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5"/>
        <w:spacing w:after="0"/>
        <w:rPr>
          <w:sz w:val="20"/>
          <w:szCs w:val="20"/>
          <w:color w:val="auto"/>
        </w:rPr>
      </w:pPr>
      <w:r>
        <w:rPr>
          <w:rFonts w:ascii="Arial" w:cs="Arial" w:eastAsia="Arial" w:hAnsi="Arial"/>
          <w:sz w:val="17"/>
          <w:szCs w:val="17"/>
          <w:color w:val="0000FF"/>
        </w:rPr>
        <w:t>CHIEF COMMERCIAL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11/03/2021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511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110.85</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43,968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amount of securities beneficially owned by the Reporting Person, as reported in Forms 4 filed by the Reporting Person subsequent to the Transaction Date but prior to the date of this Form 4, did not reflect this sell to cover transaction.</w:t>
      </w:r>
    </w:p>
    <w:p>
      <w:pPr>
        <w:spacing w:after="0" w:line="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694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2022-03-23T15:14:11Z</dcterms:created>
  <dcterms:modified xsi:type="dcterms:W3CDTF">2022-03-23T15:14:11Z</dcterms:modified>
</cp:coreProperties>
</file>