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Blueprint Medicines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4,035,404</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4,276,333</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4,276,333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7.03%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4,035,404</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4,276,333</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4,276,333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7.03%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4,035,404</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4,276,333</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4,276,333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7.03%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09627Y109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4,011,302</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4,184,736</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4,184,736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6.88%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Blueprint Medicines Corporation</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45 Sidney Street</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Cambridge, MA 02139</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09627Y109</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901" w:orient="portrait"/>
          <w:cols w:equalWidth="0" w:num="1">
            <w:col w:w="11040"/>
          </w:cols>
          <w:pgMar w:left="400" w:top="405" w:right="459" w:bottom="0" w:gutter="0" w:footer="0" w:header="0"/>
        </w:sectPr>
      </w:pPr>
    </w:p>
    <w:bookmarkStart w:id="6" w:name="page7"/>
    <w:bookmarkEnd w:id="6"/>
    <w:p>
      <w:pPr>
        <w:spacing w:after="0" w:line="65" w:lineRule="exact"/>
        <w:rPr>
          <w:sz w:val="20"/>
          <w:szCs w:val="20"/>
          <w:color w:val="auto"/>
        </w:rPr>
      </w:pPr>
    </w:p>
    <w:p>
      <w:pPr>
        <w:ind w:left="1760" w:hanging="401"/>
        <w:spacing w:after="0"/>
        <w:tabs>
          <w:tab w:leader="none" w:pos="17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6" w:lineRule="exact"/>
        <w:rPr>
          <w:rFonts w:ascii="Times New Roman" w:cs="Times New Roman" w:eastAsia="Times New Roman" w:hAnsi="Times New Roman"/>
          <w:sz w:val="21"/>
          <w:szCs w:val="21"/>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0" w:lineRule="exact"/>
        <w:rPr>
          <w:sz w:val="20"/>
          <w:szCs w:val="20"/>
          <w:color w:val="auto"/>
        </w:rPr>
      </w:pPr>
    </w:p>
    <w:p>
      <w:pPr>
        <w:sectPr>
          <w:pgSz w:w="11900" w:h="16903" w:orient="portrait"/>
          <w:cols w:equalWidth="0" w:num="2">
            <w:col w:w="5900" w:space="720"/>
            <w:col w:w="4320"/>
          </w:cols>
          <w:pgMar w:left="400" w:top="247" w:right="559" w:bottom="0" w:gutter="0" w:footer="0" w:header="0"/>
        </w:sectPr>
      </w:pPr>
    </w:p>
    <w:p>
      <w:pPr>
        <w:ind w:left="2220" w:hanging="456"/>
        <w:spacing w:after="0"/>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20" w:right="80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903" w:orient="portrait"/>
          <w:cols w:equalWidth="0" w:num="2">
            <w:col w:w="6420" w:space="200"/>
            <w:col w:w="4320"/>
          </w:cols>
          <w:pgMar w:left="400" w:top="247" w:right="559" w:bottom="0" w:gutter="0" w:footer="0" w:header="0"/>
          <w:type w:val="continuous"/>
        </w:sectPr>
      </w:pPr>
    </w:p>
    <w:tbl>
      <w:tblPr>
        <w:tblLayout w:type="fixed"/>
        <w:tblInd w:w="0" w:type="dxa"/>
        <w:tblCellMar>
          <w:top w:w="0" w:type="dxa"/>
          <w:left w:w="0" w:type="dxa"/>
          <w:bottom w:w="0" w:type="dxa"/>
          <w:right w:w="0" w:type="dxa"/>
        </w:tblCellMar>
      </w:tblPr>
      <w:tr>
        <w:trPr>
          <w:trHeight w:val="286"/>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5.</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Five Percent or Less of Class.</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39"/>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sale of, such securities. No such client is known to have such right or power with respect to more than five</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w w:val="99"/>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See attached Exhibit A.</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w w:val="98"/>
              </w:rPr>
              <w:t>of or with the effect of changing or influencing the control of the issuer of the securities and were not acquired</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Management Group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30"/>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Group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Date: February 14, 2024</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tc>
      </w:tr>
      <w:tr>
        <w:trPr>
          <w:trHeight w:val="244"/>
        </w:trPr>
        <w:tc>
          <w:tcPr>
            <w:tcW w:w="940" w:type="dxa"/>
            <w:vAlign w:val="bottom"/>
          </w:tcPr>
          <w:p>
            <w:pPr>
              <w:spacing w:after="0"/>
              <w:rPr>
                <w:sz w:val="21"/>
                <w:szCs w:val="21"/>
                <w:color w:val="auto"/>
              </w:rPr>
            </w:pPr>
          </w:p>
        </w:tc>
        <w:tc>
          <w:tcPr>
            <w:tcW w:w="10000" w:type="dxa"/>
            <w:vAlign w:val="bottom"/>
            <w:gridSpan w:val="3"/>
          </w:tcPr>
          <w:p>
            <w:pPr>
              <w:ind w:left="3540"/>
              <w:spacing w:after="0" w:line="244" w:lineRule="exact"/>
              <w:rPr>
                <w:sz w:val="20"/>
                <w:szCs w:val="20"/>
                <w:color w:val="auto"/>
              </w:rPr>
            </w:pPr>
            <w:r>
              <w:rPr>
                <w:rFonts w:ascii="Times New Roman" w:cs="Times New Roman" w:eastAsia="Times New Roman" w:hAnsi="Times New Roman"/>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Times New Roman" w:cs="Times New Roman" w:eastAsia="Times New Roman" w:hAnsi="Times New Roman"/>
                <w:sz w:val="22"/>
                <w:szCs w:val="22"/>
                <w:color w:val="auto"/>
              </w:rPr>
              <w:t>Name: Taisia Lowe</w:t>
            </w:r>
          </w:p>
        </w:tc>
      </w:tr>
    </w:tbl>
    <w:p>
      <w:pPr>
        <w:sectPr>
          <w:pgSz w:w="11900" w:h="16903" w:orient="portrait"/>
          <w:cols w:equalWidth="0" w:num="1">
            <w:col w:w="10940"/>
          </w:cols>
          <w:pgMar w:left="400" w:top="247" w:right="559" w:bottom="0" w:gutter="0" w:footer="0" w:header="0"/>
          <w:type w:val="continuous"/>
        </w:sectPr>
      </w:pPr>
    </w:p>
    <w:bookmarkStart w:id="7" w:name="page8"/>
    <w:bookmarkEnd w:id="7"/>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360680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18" w:lineRule="exact"/>
        <w:rPr>
          <w:sz w:val="20"/>
          <w:szCs w:val="20"/>
          <w:color w:val="auto"/>
        </w:rPr>
      </w:pPr>
    </w:p>
    <w:p>
      <w:pPr>
        <w:ind w:left="60" w:right="219"/>
        <w:spacing w:after="0" w:line="244"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54" w:lineRule="exact"/>
        <w:rPr>
          <w:sz w:val="20"/>
          <w:szCs w:val="20"/>
          <w:color w:val="auto"/>
        </w:rPr>
      </w:pPr>
    </w:p>
    <w:p>
      <w:pPr>
        <w:ind w:left="60" w:right="4399"/>
        <w:spacing w:after="0" w:line="295" w:lineRule="auto"/>
        <w:rPr>
          <w:sz w:val="20"/>
          <w:szCs w:val="20"/>
          <w:color w:val="auto"/>
        </w:rPr>
      </w:pPr>
      <w:r>
        <w:rPr>
          <w:rFonts w:ascii="Times New Roman" w:cs="Times New Roman" w:eastAsia="Times New Roman" w:hAnsi="Times New Roman"/>
          <w:sz w:val="22"/>
          <w:szCs w:val="22"/>
          <w:color w:val="auto"/>
        </w:rPr>
        <w:t>Wellington Group Holdings LLP – HC Wellington Investment Advisors LLP – HC Wellington Management Global Holdings, Ltd. - HC</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287" w:lineRule="exact"/>
        <w:rPr>
          <w:sz w:val="20"/>
          <w:szCs w:val="20"/>
          <w:color w:val="auto"/>
        </w:rPr>
      </w:pPr>
    </w:p>
    <w:p>
      <w:pPr>
        <w:ind w:left="60" w:right="119"/>
        <w:spacing w:after="0" w:line="235"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8" w:lineRule="exact"/>
        <w:rPr>
          <w:sz w:val="20"/>
          <w:szCs w:val="20"/>
          <w:color w:val="auto"/>
        </w:rPr>
      </w:pPr>
    </w:p>
    <w:p>
      <w:pPr>
        <w:ind w:left="60" w:right="11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Blueprint Medicines Corporation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ectPr>
          <w:pgSz w:w="11900" w:h="16838" w:orient="portrait"/>
          <w:cols w:equalWidth="0" w:num="1">
            <w:col w:w="9019"/>
          </w:cols>
          <w:pgMar w:left="1440" w:top="139" w:right="1440" w:bottom="0" w:gutter="0" w:footer="0" w:header="0"/>
        </w:sectPr>
      </w:pPr>
    </w:p>
    <w:bookmarkStart w:id="8" w:name="page9"/>
    <w:bookmarkEnd w:id="8"/>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color w:val="auto"/>
        </w:rPr>
        <w:t>By: Wellington Investment Advisors Holdings LLP</w:t>
      </w:r>
    </w:p>
    <w:p>
      <w:pPr>
        <w:spacing w:after="0" w:line="5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February 14, 2024</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2024-02-08T09:14:10Z</dcterms:created>
  <dcterms:modified xsi:type="dcterms:W3CDTF">2024-02-08T09:14:10Z</dcterms:modified>
</cp:coreProperties>
</file>