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109220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2" w:lineRule="exact"/>
        <w:rPr>
          <w:sz w:val="24"/>
          <w:szCs w:val="24"/>
          <w:color w:val="auto"/>
        </w:rPr>
      </w:pPr>
    </w:p>
    <w:p>
      <w:pPr>
        <w:jc w:val="center"/>
        <w:ind w:left="3580" w:right="980" w:hanging="2955"/>
        <w:spacing w:after="0" w:line="316" w:lineRule="auto"/>
        <w:tabs>
          <w:tab w:leader="none" w:pos="126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260" w:hanging="635"/>
        <w:spacing w:after="0"/>
        <w:tabs>
          <w:tab w:leader="none" w:pos="12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sz w:val="24"/>
          <w:szCs w:val="24"/>
          <w:color w:val="auto"/>
        </w:rPr>
      </w:pPr>
    </w:p>
    <w:p>
      <w:pPr>
        <w:ind w:left="3060"/>
        <w:spacing w:after="0"/>
        <w:tabs>
          <w:tab w:leader="none" w:pos="58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-6985</wp:posOffset>
            </wp:positionV>
            <wp:extent cx="1160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88900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BLUEPRINT MEDICINES CORPORATION</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86360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8" w:lineRule="exact"/>
        <w:rPr>
          <w:sz w:val="24"/>
          <w:szCs w:val="24"/>
          <w:color w:val="auto"/>
        </w:rPr>
      </w:pPr>
    </w:p>
    <w:tbl>
      <w:tblPr>
        <w:tblLayout w:type="fixed"/>
        <w:tblInd w:w="1320" w:type="dxa"/>
        <w:tblCellMar>
          <w:top w:w="0" w:type="dxa"/>
          <w:left w:w="0" w:type="dxa"/>
          <w:bottom w:w="0" w:type="dxa"/>
          <w:right w:w="0" w:type="dxa"/>
        </w:tblCellMar>
      </w:tblPr>
      <w:tr>
        <w:trPr>
          <w:trHeight w:val="193"/>
        </w:trPr>
        <w:tc>
          <w:tcPr>
            <w:tcW w:w="4180" w:type="dxa"/>
            <w:vAlign w:val="bottom"/>
          </w:tcPr>
          <w:p>
            <w:pPr>
              <w:jc w:val="center"/>
              <w:ind w:right="1539"/>
              <w:spacing w:after="0"/>
              <w:rPr>
                <w:sz w:val="20"/>
                <w:szCs w:val="20"/>
                <w:color w:val="auto"/>
              </w:rPr>
            </w:pPr>
            <w:r>
              <w:rPr>
                <w:rFonts w:ascii="Arial" w:cs="Arial" w:eastAsia="Arial" w:hAnsi="Arial"/>
                <w:sz w:val="16"/>
                <w:szCs w:val="16"/>
                <w:b w:val="1"/>
                <w:bCs w:val="1"/>
                <w:color w:val="auto"/>
                <w:w w:val="91"/>
              </w:rPr>
              <w:t>Delaware</w:t>
            </w:r>
          </w:p>
        </w:tc>
        <w:tc>
          <w:tcPr>
            <w:tcW w:w="2840" w:type="dxa"/>
            <w:vAlign w:val="bottom"/>
          </w:tcPr>
          <w:p>
            <w:pPr>
              <w:jc w:val="right"/>
              <w:ind w:right="119"/>
              <w:spacing w:after="0"/>
              <w:rPr>
                <w:sz w:val="20"/>
                <w:szCs w:val="20"/>
                <w:color w:val="auto"/>
              </w:rPr>
            </w:pPr>
            <w:r>
              <w:rPr>
                <w:rFonts w:ascii="Arial" w:cs="Arial" w:eastAsia="Arial" w:hAnsi="Arial"/>
                <w:sz w:val="16"/>
                <w:szCs w:val="16"/>
                <w:b w:val="1"/>
                <w:bCs w:val="1"/>
                <w:color w:val="auto"/>
              </w:rPr>
              <w:t>26-3632015</w:t>
            </w:r>
          </w:p>
        </w:tc>
      </w:tr>
      <w:tr>
        <w:trPr>
          <w:trHeight w:val="189"/>
        </w:trPr>
        <w:tc>
          <w:tcPr>
            <w:tcW w:w="4180" w:type="dxa"/>
            <w:vAlign w:val="bottom"/>
          </w:tcPr>
          <w:p>
            <w:pPr>
              <w:jc w:val="center"/>
              <w:ind w:right="1559"/>
              <w:spacing w:after="0"/>
              <w:rPr>
                <w:sz w:val="20"/>
                <w:szCs w:val="20"/>
                <w:color w:val="auto"/>
              </w:rPr>
            </w:pPr>
            <w:r>
              <w:rPr>
                <w:rFonts w:ascii="Arial" w:cs="Arial" w:eastAsia="Arial" w:hAnsi="Arial"/>
                <w:sz w:val="16"/>
                <w:szCs w:val="16"/>
                <w:i w:val="1"/>
                <w:iCs w:val="1"/>
                <w:color w:val="auto"/>
                <w:w w:val="94"/>
              </w:rPr>
              <w:t>(State or other jurisdiction of</w:t>
            </w:r>
          </w:p>
        </w:tc>
        <w:tc>
          <w:tcPr>
            <w:tcW w:w="2840" w:type="dxa"/>
            <w:vAlign w:val="bottom"/>
          </w:tcPr>
          <w:p>
            <w:pPr>
              <w:jc w:val="center"/>
              <w:ind w:left="1559"/>
              <w:spacing w:after="0"/>
              <w:rPr>
                <w:sz w:val="20"/>
                <w:szCs w:val="20"/>
                <w:color w:val="auto"/>
              </w:rPr>
            </w:pPr>
            <w:r>
              <w:rPr>
                <w:rFonts w:ascii="Arial" w:cs="Arial" w:eastAsia="Arial" w:hAnsi="Arial"/>
                <w:sz w:val="16"/>
                <w:szCs w:val="16"/>
                <w:i w:val="1"/>
                <w:iCs w:val="1"/>
                <w:color w:val="auto"/>
                <w:w w:val="92"/>
              </w:rPr>
              <w:t>(IRS Employer</w:t>
            </w:r>
          </w:p>
        </w:tc>
      </w:tr>
      <w:tr>
        <w:trPr>
          <w:trHeight w:val="206"/>
        </w:trPr>
        <w:tc>
          <w:tcPr>
            <w:tcW w:w="4180" w:type="dxa"/>
            <w:vAlign w:val="bottom"/>
          </w:tcPr>
          <w:p>
            <w:pPr>
              <w:ind w:left="380"/>
              <w:spacing w:after="0"/>
              <w:rPr>
                <w:sz w:val="20"/>
                <w:szCs w:val="20"/>
                <w:color w:val="auto"/>
              </w:rPr>
            </w:pPr>
            <w:r>
              <w:rPr>
                <w:rFonts w:ascii="Arial" w:cs="Arial" w:eastAsia="Arial" w:hAnsi="Arial"/>
                <w:sz w:val="16"/>
                <w:szCs w:val="16"/>
                <w:i w:val="1"/>
                <w:iCs w:val="1"/>
                <w:color w:val="auto"/>
              </w:rPr>
              <w:t>incorporation or organization)</w:t>
            </w:r>
          </w:p>
        </w:tc>
        <w:tc>
          <w:tcPr>
            <w:tcW w:w="2840" w:type="dxa"/>
            <w:vAlign w:val="bottom"/>
          </w:tcPr>
          <w:p>
            <w:pPr>
              <w:jc w:val="center"/>
              <w:ind w:left="1559"/>
              <w:spacing w:after="0"/>
              <w:rPr>
                <w:sz w:val="20"/>
                <w:szCs w:val="20"/>
                <w:color w:val="auto"/>
              </w:rPr>
            </w:pPr>
            <w:r>
              <w:rPr>
                <w:rFonts w:ascii="Arial" w:cs="Arial" w:eastAsia="Arial" w:hAnsi="Arial"/>
                <w:sz w:val="16"/>
                <w:szCs w:val="16"/>
                <w:i w:val="1"/>
                <w:iCs w:val="1"/>
                <w:color w:val="auto"/>
                <w:w w:val="96"/>
              </w:rPr>
              <w:t>Identification No.)</w:t>
            </w:r>
          </w:p>
        </w:tc>
      </w:tr>
      <w:tr>
        <w:trPr>
          <w:trHeight w:val="208"/>
        </w:trPr>
        <w:tc>
          <w:tcPr>
            <w:tcW w:w="4180" w:type="dxa"/>
            <w:vAlign w:val="bottom"/>
          </w:tcPr>
          <w:p>
            <w:pPr>
              <w:jc w:val="center"/>
              <w:ind w:right="1579"/>
              <w:spacing w:after="0"/>
              <w:rPr>
                <w:sz w:val="20"/>
                <w:szCs w:val="20"/>
                <w:color w:val="auto"/>
              </w:rPr>
            </w:pPr>
            <w:r>
              <w:rPr>
                <w:rFonts w:ascii="Arial" w:cs="Arial" w:eastAsia="Arial" w:hAnsi="Arial"/>
                <w:sz w:val="16"/>
                <w:szCs w:val="16"/>
                <w:b w:val="1"/>
                <w:bCs w:val="1"/>
                <w:color w:val="auto"/>
                <w:w w:val="89"/>
              </w:rPr>
              <w:t>45 Sidney Street</w:t>
            </w:r>
          </w:p>
        </w:tc>
        <w:tc>
          <w:tcPr>
            <w:tcW w:w="2840" w:type="dxa"/>
            <w:vAlign w:val="bottom"/>
          </w:tcPr>
          <w:p>
            <w:pPr>
              <w:spacing w:after="0"/>
              <w:rPr>
                <w:sz w:val="18"/>
                <w:szCs w:val="18"/>
                <w:color w:val="auto"/>
              </w:rPr>
            </w:pPr>
          </w:p>
        </w:tc>
      </w:tr>
      <w:tr>
        <w:trPr>
          <w:trHeight w:val="193"/>
        </w:trPr>
        <w:tc>
          <w:tcPr>
            <w:tcW w:w="4180" w:type="dxa"/>
            <w:vAlign w:val="bottom"/>
          </w:tcPr>
          <w:p>
            <w:pPr>
              <w:jc w:val="center"/>
              <w:ind w:right="1559"/>
              <w:spacing w:after="0"/>
              <w:rPr>
                <w:sz w:val="20"/>
                <w:szCs w:val="20"/>
                <w:color w:val="auto"/>
              </w:rPr>
            </w:pPr>
            <w:r>
              <w:rPr>
                <w:rFonts w:ascii="Arial" w:cs="Arial" w:eastAsia="Arial" w:hAnsi="Arial"/>
                <w:sz w:val="16"/>
                <w:szCs w:val="16"/>
                <w:b w:val="1"/>
                <w:bCs w:val="1"/>
                <w:color w:val="auto"/>
                <w:w w:val="97"/>
              </w:rPr>
              <w:t>Cambridge, MA</w:t>
            </w:r>
          </w:p>
        </w:tc>
        <w:tc>
          <w:tcPr>
            <w:tcW w:w="2840" w:type="dxa"/>
            <w:vAlign w:val="bottom"/>
          </w:tcPr>
          <w:p>
            <w:pPr>
              <w:jc w:val="right"/>
              <w:ind w:right="319"/>
              <w:spacing w:after="0"/>
              <w:rPr>
                <w:sz w:val="20"/>
                <w:szCs w:val="20"/>
                <w:color w:val="auto"/>
              </w:rPr>
            </w:pPr>
            <w:r>
              <w:rPr>
                <w:rFonts w:ascii="Arial" w:cs="Arial" w:eastAsia="Arial" w:hAnsi="Arial"/>
                <w:sz w:val="16"/>
                <w:szCs w:val="16"/>
                <w:b w:val="1"/>
                <w:bCs w:val="1"/>
                <w:color w:val="auto"/>
              </w:rPr>
              <w:t>02139</w:t>
            </w:r>
          </w:p>
        </w:tc>
      </w:tr>
      <w:tr>
        <w:trPr>
          <w:trHeight w:val="206"/>
        </w:trPr>
        <w:tc>
          <w:tcPr>
            <w:tcW w:w="4180" w:type="dxa"/>
            <w:vAlign w:val="bottom"/>
          </w:tcPr>
          <w:p>
            <w:pPr>
              <w:jc w:val="center"/>
              <w:ind w:right="155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840" w:type="dxa"/>
            <w:vAlign w:val="bottom"/>
          </w:tcPr>
          <w:p>
            <w:pPr>
              <w:jc w:val="center"/>
              <w:ind w:left="1579"/>
              <w:spacing w:after="0"/>
              <w:rPr>
                <w:sz w:val="20"/>
                <w:szCs w:val="20"/>
                <w:color w:val="auto"/>
              </w:rPr>
            </w:pPr>
            <w:r>
              <w:rPr>
                <w:rFonts w:ascii="Arial" w:cs="Arial" w:eastAsia="Arial" w:hAnsi="Arial"/>
                <w:sz w:val="16"/>
                <w:szCs w:val="16"/>
                <w:i w:val="1"/>
                <w:iCs w:val="1"/>
                <w:color w:val="auto"/>
                <w:w w:val="92"/>
              </w:rPr>
              <w:t>(Zip Code)</w:t>
            </w:r>
          </w:p>
        </w:tc>
      </w:tr>
    </w:tbl>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62"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Title of Class</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Trading Symbols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Name of Exchange on Which Registered</w:t>
            </w:r>
          </w:p>
        </w:tc>
      </w:tr>
      <w:tr>
        <w:trPr>
          <w:trHeight w:val="183"/>
        </w:trPr>
        <w:tc>
          <w:tcPr>
            <w:tcW w:w="342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Common Stock, par value $0.001 per share</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BPMC</w:t>
            </w:r>
          </w:p>
        </w:tc>
        <w:tc>
          <w:tcPr>
            <w:tcW w:w="3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2"/>
              </w:rPr>
              <w:t>Nasdaq Global Select Market</w:t>
            </w:r>
          </w:p>
        </w:tc>
      </w:tr>
    </w:tbl>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5"/>
          <w:szCs w:val="15"/>
          <w:i w:val="1"/>
          <w:iCs w:val="1"/>
          <w:color w:val="auto"/>
        </w:rPr>
        <w:t xml:space="preserve">Securities registered pursuant to Section 12(g) of the Act: </w:t>
      </w: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63" w:lineRule="exact"/>
        <w:rPr>
          <w:sz w:val="24"/>
          <w:szCs w:val="24"/>
          <w:color w:val="auto"/>
        </w:rPr>
      </w:pPr>
    </w:p>
    <w:p>
      <w:pPr>
        <w:ind w:left="320" w:right="1000"/>
        <w:spacing w:after="0" w:line="22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firstLine="324"/>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60" w:firstLine="324"/>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0" w:firstLine="324"/>
        <w:spacing w:after="0" w:line="25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1740"/>
        <w:spacing w:after="0" w:line="184" w:lineRule="exact"/>
        <w:tabs>
          <w:tab w:leader="none" w:pos="69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3" w:lineRule="exact"/>
        <w:rPr>
          <w:sz w:val="24"/>
          <w:szCs w:val="24"/>
          <w:color w:val="auto"/>
        </w:rPr>
      </w:pPr>
    </w:p>
    <w:p>
      <w:pPr>
        <w:ind w:left="1780"/>
        <w:spacing w:after="0" w:line="184" w:lineRule="exact"/>
        <w:tabs>
          <w:tab w:leader="none" w:pos="660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ind w:left="6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 w:lineRule="exact"/>
        <w:rPr>
          <w:sz w:val="24"/>
          <w:szCs w:val="24"/>
          <w:color w:val="auto"/>
        </w:rPr>
      </w:pPr>
    </w:p>
    <w:p>
      <w:pPr>
        <w:ind w:right="200" w:firstLine="324"/>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00" w:firstLine="324"/>
        <w:spacing w:after="0" w:line="19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20" w:firstLine="324"/>
        <w:spacing w:after="0" w:line="251" w:lineRule="auto"/>
        <w:rPr>
          <w:sz w:val="20"/>
          <w:szCs w:val="20"/>
          <w:color w:val="auto"/>
        </w:rPr>
      </w:pPr>
      <w:r>
        <w:rPr>
          <w:rFonts w:ascii="Arial" w:cs="Arial" w:eastAsia="Arial" w:hAnsi="Arial"/>
          <w:sz w:val="16"/>
          <w:szCs w:val="16"/>
          <w:color w:val="auto"/>
        </w:rPr>
        <w:t>As of June 30, 2021, the aggregate market value of the voting and non-voting common equity held by non-affiliates of the registrant, based on the last reported sales price for the registrant’s common stock, par value $0.001 per share, on the Nasdaq Global Select Market on such date, was approximately $5,150,459,010.</w:t>
      </w:r>
    </w:p>
    <w:p>
      <w:pPr>
        <w:spacing w:after="0" w:line="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15, 2022: 59,203,486</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1" w:lineRule="exact"/>
        <w:rPr>
          <w:sz w:val="24"/>
          <w:szCs w:val="24"/>
          <w:color w:val="auto"/>
        </w:rPr>
      </w:pPr>
    </w:p>
    <w:p>
      <w:pPr>
        <w:ind w:right="60" w:firstLine="324"/>
        <w:spacing w:after="0" w:line="260" w:lineRule="auto"/>
        <w:rPr>
          <w:sz w:val="20"/>
          <w:szCs w:val="20"/>
          <w:color w:val="auto"/>
        </w:rPr>
      </w:pPr>
      <w:r>
        <w:rPr>
          <w:rFonts w:ascii="Arial" w:cs="Arial" w:eastAsia="Arial" w:hAnsi="Arial"/>
          <w:sz w:val="16"/>
          <w:szCs w:val="16"/>
          <w:color w:val="auto"/>
        </w:rPr>
        <w:t>Portions of the registrant’s definitive proxy statement for its 2022 Annual Meeting of Stockholders, which the registrant intends to file with the Securities and Exchange Commission pursuant to Regulation 14A within 120 days after the end of the registrant’s fiscal year ended December 31, 2021, are incorporated by reference into Part III of this Annual Report on Form 10-K.</w:t>
      </w:r>
    </w:p>
    <w:p>
      <w:pPr>
        <w:sectPr>
          <w:pgSz w:w="11900" w:h="16838" w:orient="portrait"/>
          <w:cols w:equalWidth="0" w:num="1">
            <w:col w:w="10160"/>
          </w:cols>
          <w:pgMar w:left="840" w:top="665" w:right="899" w:bottom="1440" w:gutter="0" w:footer="0" w:header="0"/>
        </w:sectPr>
      </w:pPr>
    </w:p>
    <w:p>
      <w:pPr>
        <w:spacing w:after="0" w:line="1" w:lineRule="exact"/>
        <w:rPr>
          <w:sz w:val="24"/>
          <w:szCs w:val="24"/>
          <w:color w:val="auto"/>
        </w:rPr>
      </w:pPr>
    </w:p>
    <w:p>
      <w:pPr>
        <w:spacing w:after="0"/>
        <w:tabs>
          <w:tab w:leader="none" w:pos="1220" w:val="left"/>
          <w:tab w:leader="none" w:pos="2900" w:val="left"/>
          <w:tab w:leader="none" w:pos="4140" w:val="left"/>
          <w:tab w:leader="none" w:pos="6220" w:val="left"/>
          <w:tab w:leader="none" w:pos="758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2"/>
          <w:szCs w:val="12"/>
          <w:color w:val="auto"/>
        </w:rPr>
        <w:t>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483870</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2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7"/>
          </w:tcPr>
          <w:p>
            <w:pPr>
              <w:jc w:val="center"/>
              <w:ind w:right="3720"/>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PART I</w:t>
              </w:r>
            </w:hyperlink>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3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vMerge w:val="restart"/>
          </w:tcPr>
          <w:p>
            <w:pPr>
              <w:spacing w:after="0" w:line="202" w:lineRule="exact"/>
              <w:rPr>
                <w:sz w:val="20"/>
                <w:szCs w:val="20"/>
                <w:color w:val="auto"/>
              </w:rPr>
            </w:pPr>
            <w:r>
              <w:rPr>
                <w:rFonts w:ascii="Arial" w:cs="Arial" w:eastAsia="Arial" w:hAnsi="Arial"/>
                <w:sz w:val="18"/>
                <w:szCs w:val="18"/>
                <w:color w:val="auto"/>
              </w:rPr>
              <w:t>Item1A.</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3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0000EE"/>
            </w:tcBorders>
            <w:gridSpan w:val="5"/>
          </w:tcPr>
          <w:p>
            <w:pPr>
              <w:spacing w:after="0" w:line="182"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Unresolved</w:t>
              </w:r>
            </w:hyperlink>
          </w:p>
        </w:tc>
        <w:tc>
          <w:tcPr>
            <w:tcW w:w="5880" w:type="dxa"/>
            <w:vAlign w:val="bottom"/>
            <w:gridSpan w:val="28"/>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Staff Comments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5"/>
              </w:rPr>
            </w:pPr>
            <w:hyperlink w:anchor="page94">
              <w:r>
                <w:rPr>
                  <w:rFonts w:ascii="Arial" w:cs="Arial" w:eastAsia="Arial" w:hAnsi="Arial"/>
                  <w:sz w:val="18"/>
                  <w:szCs w:val="18"/>
                  <w:color w:val="0000EE"/>
                  <w:w w:val="85"/>
                </w:rPr>
                <w:t>Properties</w:t>
              </w:r>
            </w:hyperlink>
          </w:p>
        </w:tc>
        <w:tc>
          <w:tcPr>
            <w:tcW w:w="1320" w:type="dxa"/>
            <w:vAlign w:val="bottom"/>
            <w:tcBorders>
              <w:top w:val="single" w:sz="8" w:color="0000EE"/>
            </w:tcBorders>
            <w:gridSpan w:val="9"/>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0000EE"/>
            </w:tcBorders>
            <w:gridSpan w:val="7"/>
          </w:tcPr>
          <w:p>
            <w:pPr>
              <w:spacing w:after="0" w:line="182"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Legal Proceedings</w:t>
              </w:r>
            </w:hyperlink>
          </w:p>
        </w:tc>
        <w:tc>
          <w:tcPr>
            <w:tcW w:w="5440" w:type="dxa"/>
            <w:vAlign w:val="bottom"/>
            <w:gridSpan w:val="2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33"/>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Mine Safety Disclosures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w:t>
              </w:r>
            </w:hyperlink>
          </w:p>
        </w:tc>
        <w:tc>
          <w:tcPr>
            <w:tcW w:w="372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40" w:type="dxa"/>
            <w:vAlign w:val="bottom"/>
          </w:tcPr>
          <w:p>
            <w:pPr>
              <w:spacing w:after="0"/>
              <w:rPr>
                <w:sz w:val="24"/>
                <w:szCs w:val="24"/>
                <w:color w:val="auto"/>
              </w:rPr>
            </w:pPr>
          </w:p>
        </w:tc>
        <w:tc>
          <w:tcPr>
            <w:tcW w:w="6780" w:type="dxa"/>
            <w:vAlign w:val="bottom"/>
            <w:gridSpan w:val="34"/>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Market for Registrant’s Common Equity, Related Stockholder Matters and Issuer Purchases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5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of Equity Securities</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Reserved</w:t>
              </w:r>
            </w:hyperlink>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vMerge w:val="restart"/>
          </w:tcPr>
          <w:p>
            <w:pPr>
              <w:spacing w:after="0" w:line="202" w:lineRule="exact"/>
              <w:rPr>
                <w:sz w:val="20"/>
                <w:szCs w:val="20"/>
                <w:color w:val="auto"/>
              </w:rPr>
            </w:pPr>
            <w:r>
              <w:rPr>
                <w:rFonts w:ascii="Arial" w:cs="Arial" w:eastAsia="Arial" w:hAnsi="Arial"/>
                <w:sz w:val="18"/>
                <w:szCs w:val="18"/>
                <w:color w:val="auto"/>
              </w:rPr>
              <w:t>Item 7.</w:t>
            </w: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780" w:type="dxa"/>
            <w:vAlign w:val="bottom"/>
            <w:gridSpan w:val="34"/>
          </w:tcPr>
          <w:p>
            <w:pPr>
              <w:spacing w:after="0" w:line="182"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Management’s Discussion and Analysis of Financial Condition and Results of Operations</w:t>
              </w:r>
            </w:hyperlink>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40" w:type="dxa"/>
            <w:vAlign w:val="bottom"/>
          </w:tcPr>
          <w:p>
            <w:pPr>
              <w:spacing w:after="0"/>
              <w:rPr>
                <w:sz w:val="15"/>
                <w:szCs w:val="15"/>
                <w:color w:val="auto"/>
              </w:rPr>
            </w:pPr>
          </w:p>
        </w:tc>
        <w:tc>
          <w:tcPr>
            <w:tcW w:w="64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Quantitative and Qualitative Disclosures About Market Risk</w:t>
              </w:r>
            </w:hyperlink>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40" w:type="dxa"/>
            <w:vAlign w:val="bottom"/>
          </w:tcPr>
          <w:p>
            <w:pPr>
              <w:spacing w:after="0"/>
              <w:rPr>
                <w:sz w:val="15"/>
                <w:szCs w:val="15"/>
                <w:color w:val="auto"/>
              </w:rPr>
            </w:pPr>
          </w:p>
        </w:tc>
        <w:tc>
          <w:tcPr>
            <w:tcW w:w="43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Financial Statements and Supplementary Data</w:t>
              </w:r>
            </w:hyperlink>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40" w:type="dxa"/>
            <w:vAlign w:val="bottom"/>
          </w:tcPr>
          <w:p>
            <w:pPr>
              <w:spacing w:after="0"/>
              <w:rPr>
                <w:sz w:val="15"/>
                <w:szCs w:val="15"/>
                <w:color w:val="auto"/>
              </w:rPr>
            </w:pPr>
          </w:p>
        </w:tc>
        <w:tc>
          <w:tcPr>
            <w:tcW w:w="3320" w:type="dxa"/>
            <w:vAlign w:val="bottom"/>
            <w:tcBorders>
              <w:top w:val="single" w:sz="8" w:color="0000EE"/>
            </w:tcBorders>
            <w:gridSpan w:val="25"/>
          </w:tcPr>
          <w:p>
            <w:pPr>
              <w:spacing w:after="0" w:line="182" w:lineRule="exact"/>
              <w:rPr>
                <w:rFonts w:ascii="Arial" w:cs="Arial" w:eastAsia="Arial" w:hAnsi="Arial"/>
                <w:sz w:val="18"/>
                <w:szCs w:val="18"/>
                <w:color w:val="0000EE"/>
                <w:w w:val="85"/>
              </w:rPr>
            </w:pPr>
            <w:hyperlink w:anchor="page116">
              <w:r>
                <w:rPr>
                  <w:rFonts w:ascii="Arial" w:cs="Arial" w:eastAsia="Arial" w:hAnsi="Arial"/>
                  <w:sz w:val="18"/>
                  <w:szCs w:val="18"/>
                  <w:color w:val="0000EE"/>
                  <w:w w:val="85"/>
                </w:rPr>
                <w:t>Change in and Disagreements with Accountants</w:t>
              </w:r>
            </w:hyperlink>
          </w:p>
        </w:tc>
        <w:tc>
          <w:tcPr>
            <w:tcW w:w="3460" w:type="dxa"/>
            <w:vAlign w:val="bottom"/>
            <w:gridSpan w:val="9"/>
          </w:tcPr>
          <w:p>
            <w:pPr>
              <w:ind w:left="180"/>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on Accounting and Financial Disclosure.</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40" w:type="dxa"/>
            <w:vAlign w:val="bottom"/>
          </w:tcPr>
          <w:p>
            <w:pPr>
              <w:spacing w:after="0"/>
              <w:rPr>
                <w:sz w:val="15"/>
                <w:szCs w:val="15"/>
                <w:color w:val="auto"/>
              </w:rPr>
            </w:pPr>
          </w:p>
        </w:tc>
        <w:tc>
          <w:tcPr>
            <w:tcW w:w="64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2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4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40" w:type="dxa"/>
            <w:vAlign w:val="bottom"/>
          </w:tcPr>
          <w:p>
            <w:pPr>
              <w:spacing w:after="0"/>
              <w:rPr>
                <w:sz w:val="15"/>
                <w:szCs w:val="15"/>
                <w:color w:val="auto"/>
              </w:rPr>
            </w:pPr>
          </w:p>
        </w:tc>
        <w:tc>
          <w:tcPr>
            <w:tcW w:w="4900" w:type="dxa"/>
            <w:vAlign w:val="bottom"/>
            <w:tcBorders>
              <w:bottom w:val="single" w:sz="8" w:color="0000EE"/>
            </w:tcBorders>
            <w:gridSpan w:val="28"/>
          </w:tcPr>
          <w:p>
            <w:pPr>
              <w:spacing w:after="0" w:line="182"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Disclosure Regarding Foreign Jurisdictions that Prevent Inspections</w:t>
              </w:r>
            </w:hyperlink>
          </w:p>
        </w:tc>
        <w:tc>
          <w:tcPr>
            <w:tcW w:w="1880" w:type="dxa"/>
            <w:vAlign w:val="bottom"/>
            <w:gridSpan w:val="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III</w:t>
              </w:r>
            </w:hyperlink>
          </w:p>
        </w:tc>
        <w:tc>
          <w:tcPr>
            <w:tcW w:w="368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3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1360" w:type="dxa"/>
            <w:vAlign w:val="bottom"/>
            <w:gridSpan w:val="3"/>
          </w:tcPr>
          <w:p>
            <w:pPr>
              <w:spacing w:after="0"/>
              <w:rPr>
                <w:sz w:val="15"/>
                <w:szCs w:val="15"/>
                <w:color w:val="auto"/>
              </w:rPr>
            </w:pPr>
          </w:p>
        </w:tc>
        <w:tc>
          <w:tcPr>
            <w:tcW w:w="124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top w:val="single" w:sz="8" w:color="0000EE"/>
            </w:tcBorders>
            <w:gridSpan w:val="12"/>
          </w:tcPr>
          <w:p>
            <w:pPr>
              <w:spacing w:after="0" w:line="182" w:lineRule="exact"/>
              <w:rPr>
                <w:rFonts w:ascii="Arial" w:cs="Arial" w:eastAsia="Arial" w:hAnsi="Arial"/>
                <w:sz w:val="18"/>
                <w:szCs w:val="18"/>
                <w:color w:val="0000EE"/>
                <w:w w:val="99"/>
              </w:rPr>
            </w:pPr>
            <w:hyperlink w:anchor="page119">
              <w:r>
                <w:rPr>
                  <w:rFonts w:ascii="Arial" w:cs="Arial" w:eastAsia="Arial" w:hAnsi="Arial"/>
                  <w:sz w:val="18"/>
                  <w:szCs w:val="18"/>
                  <w:color w:val="0000EE"/>
                  <w:w w:val="99"/>
                </w:rPr>
                <w:t>Security Ownership of</w:t>
              </w:r>
            </w:hyperlink>
          </w:p>
        </w:tc>
        <w:tc>
          <w:tcPr>
            <w:tcW w:w="4980" w:type="dxa"/>
            <w:vAlign w:val="bottom"/>
            <w:gridSpan w:val="21"/>
          </w:tcPr>
          <w:p>
            <w:pPr>
              <w:spacing w:after="0" w:line="182"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Certain Beneficial Owners and Management and Related Stockholder</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auto"/>
              </w:rPr>
              <w:t>Item 13.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Matters</w:t>
              </w:r>
            </w:hyperlink>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0000EE"/>
            </w:tcBorders>
          </w:tcPr>
          <w:p>
            <w:pPr>
              <w:spacing w:after="0" w:line="182"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Certain</w:t>
              </w:r>
            </w:hyperlink>
          </w:p>
        </w:tc>
        <w:tc>
          <w:tcPr>
            <w:tcW w:w="6220" w:type="dxa"/>
            <w:vAlign w:val="bottom"/>
            <w:gridSpan w:val="32"/>
          </w:tcPr>
          <w:p>
            <w:pPr>
              <w:ind w:left="20"/>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Relationships and Related Transactions, and Director Independence</w:t>
              </w:r>
            </w:hyperlink>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Principal Accounting Fees and Services</w:t>
              </w:r>
            </w:hyperlink>
          </w:p>
        </w:tc>
        <w:tc>
          <w:tcPr>
            <w:tcW w:w="2580" w:type="dxa"/>
            <w:vAlign w:val="bottom"/>
            <w:tcBorders>
              <w:top w:val="single" w:sz="8" w:color="0000EE"/>
            </w:tcBorders>
            <w:gridSpan w:val="10"/>
          </w:tcPr>
          <w:p>
            <w:pPr>
              <w:spacing w:after="0"/>
              <w:rPr>
                <w:sz w:val="15"/>
                <w:szCs w:val="15"/>
                <w:color w:val="auto"/>
              </w:rPr>
            </w:pPr>
          </w:p>
        </w:tc>
        <w:tc>
          <w:tcPr>
            <w:tcW w:w="132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8"/>
          </w:tcPr>
          <w:p>
            <w:pPr>
              <w:jc w:val="center"/>
              <w:ind w:right="3700"/>
              <w:spacing w:after="0"/>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PART IV</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33"/>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Exhibits and Financial Statement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26">
              <w:r>
                <w:rPr>
                  <w:rFonts w:ascii="Arial" w:cs="Arial" w:eastAsia="Arial" w:hAnsi="Arial"/>
                  <w:sz w:val="18"/>
                  <w:szCs w:val="18"/>
                  <w:color w:val="0000EE"/>
                </w:rPr>
                <w:t>Form 10-K Summary</w:t>
              </w:r>
            </w:hyperlink>
          </w:p>
        </w:tc>
        <w:tc>
          <w:tcPr>
            <w:tcW w:w="362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GAVRETO® and associated logos are trademarks of Blueprint Medicines Corporation. Other brands, names and trademarks contained in this Annual Report on Form 10-K are the property of their respective owners.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175" w:lineRule="exact"/>
        <w:rPr>
          <w:sz w:val="20"/>
          <w:szCs w:val="20"/>
          <w:color w:val="auto"/>
        </w:rPr>
      </w:pPr>
    </w:p>
    <w:p>
      <w:pPr>
        <w:ind w:left="1380" w:right="339" w:hanging="331"/>
        <w:spacing w:after="0" w:line="270"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limited experience as a commercial company and the marketing and sale of AYVAKIT</w:t>
      </w:r>
      <w:r>
        <w:rPr>
          <w:rFonts w:ascii="Arial" w:cs="Arial" w:eastAsia="Arial" w:hAnsi="Arial"/>
          <w:sz w:val="17"/>
          <w:szCs w:val="17"/>
          <w:i w:val="1"/>
          <w:iCs w:val="1"/>
          <w:color w:val="auto"/>
        </w:rPr>
        <w:t>®</w:t>
      </w:r>
      <w:r>
        <w:rPr>
          <w:rFonts w:ascii="Arial" w:cs="Arial" w:eastAsia="Arial" w:hAnsi="Arial"/>
          <w:sz w:val="17"/>
          <w:szCs w:val="17"/>
          <w:color w:val="auto"/>
        </w:rPr>
        <w:t xml:space="preserve"> (avapritinib) (marketed in Europe under the brand name AYVAKYT</w:t>
      </w:r>
      <w:r>
        <w:rPr>
          <w:rFonts w:ascii="Arial" w:cs="Arial" w:eastAsia="Arial" w:hAnsi="Arial"/>
          <w:sz w:val="17"/>
          <w:szCs w:val="17"/>
          <w:i w:val="1"/>
          <w:iCs w:val="1"/>
          <w:color w:val="auto"/>
        </w:rPr>
        <w:t>®</w:t>
      </w:r>
      <w:r>
        <w:rPr>
          <w:rFonts w:ascii="Arial" w:cs="Arial" w:eastAsia="Arial" w:hAnsi="Arial"/>
          <w:sz w:val="17"/>
          <w:szCs w:val="17"/>
          <w:color w:val="auto"/>
        </w:rPr>
        <w:t>), GAVRETO</w:t>
      </w:r>
      <w:r>
        <w:rPr>
          <w:rFonts w:ascii="Arial" w:cs="Arial" w:eastAsia="Arial" w:hAnsi="Arial"/>
          <w:sz w:val="17"/>
          <w:szCs w:val="17"/>
          <w:i w:val="1"/>
          <w:iCs w:val="1"/>
          <w:color w:val="auto"/>
        </w:rPr>
        <w:t>®</w:t>
      </w:r>
      <w:r>
        <w:rPr>
          <w:rFonts w:ascii="Arial" w:cs="Arial" w:eastAsia="Arial" w:hAnsi="Arial"/>
          <w:sz w:val="17"/>
          <w:szCs w:val="17"/>
          <w:color w:val="auto"/>
        </w:rPr>
        <w:t xml:space="preserve"> (pralsetinib) or any future approved drugs may be unsuccessful or less successful than anticipated.</w:t>
      </w:r>
    </w:p>
    <w:p>
      <w:pPr>
        <w:spacing w:after="0" w:line="163" w:lineRule="exact"/>
        <w:rPr>
          <w:rFonts w:ascii="Arial" w:cs="Arial" w:eastAsia="Arial" w:hAnsi="Arial"/>
          <w:sz w:val="17"/>
          <w:szCs w:val="17"/>
          <w:color w:val="auto"/>
        </w:rPr>
      </w:pPr>
    </w:p>
    <w:p>
      <w:pPr>
        <w:ind w:left="1380" w:right="799" w:hanging="331"/>
        <w:spacing w:after="0" w:line="324"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commercial success of our current and future drugs will depend upon the degree of market acceptance by physicians, patients, third-party payors and others in the medical community.</w:t>
      </w:r>
    </w:p>
    <w:p>
      <w:pPr>
        <w:spacing w:after="0" w:line="124" w:lineRule="exact"/>
        <w:rPr>
          <w:rFonts w:ascii="Arial" w:cs="Arial" w:eastAsia="Arial" w:hAnsi="Arial"/>
          <w:sz w:val="16"/>
          <w:szCs w:val="16"/>
          <w:color w:val="auto"/>
        </w:rPr>
      </w:pPr>
    </w:p>
    <w:p>
      <w:pPr>
        <w:ind w:left="1380" w:right="1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spacing w:after="0" w:line="170" w:lineRule="exact"/>
        <w:rPr>
          <w:rFonts w:ascii="Arial" w:cs="Arial" w:eastAsia="Arial" w:hAnsi="Arial"/>
          <w:sz w:val="18"/>
          <w:szCs w:val="18"/>
          <w:color w:val="auto"/>
        </w:rPr>
      </w:pPr>
    </w:p>
    <w:p>
      <w:pPr>
        <w:jc w:val="both"/>
        <w:ind w:left="1380" w:right="17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commercializing, developing or discovering drugs before or more successfully than we do.</w:t>
      </w:r>
    </w:p>
    <w:p>
      <w:pPr>
        <w:spacing w:after="0" w:line="170" w:lineRule="exact"/>
        <w:rPr>
          <w:rFonts w:ascii="Arial" w:cs="Arial" w:eastAsia="Arial" w:hAnsi="Arial"/>
          <w:sz w:val="18"/>
          <w:szCs w:val="18"/>
          <w:color w:val="auto"/>
        </w:rPr>
      </w:pPr>
    </w:p>
    <w:p>
      <w:pPr>
        <w:ind w:left="1380" w:right="739" w:hanging="331"/>
        <w:spacing w:after="0" w:line="324"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could limit commercialization of any of our approved drugs or drug candidates that we may develop.</w:t>
      </w:r>
    </w:p>
    <w:p>
      <w:pPr>
        <w:spacing w:after="0" w:line="124" w:lineRule="exact"/>
        <w:rPr>
          <w:rFonts w:ascii="Arial" w:cs="Arial" w:eastAsia="Arial" w:hAnsi="Arial"/>
          <w:sz w:val="16"/>
          <w:szCs w:val="16"/>
          <w:color w:val="auto"/>
        </w:rPr>
      </w:pPr>
    </w:p>
    <w:p>
      <w:pPr>
        <w:ind w:left="1380" w:right="219" w:hanging="331"/>
        <w:spacing w:after="0" w:line="243"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170" w:lineRule="exact"/>
        <w:rPr>
          <w:rFonts w:ascii="Arial" w:cs="Arial" w:eastAsia="Arial" w:hAnsi="Arial"/>
          <w:sz w:val="18"/>
          <w:szCs w:val="18"/>
          <w:color w:val="auto"/>
        </w:rPr>
      </w:pPr>
    </w:p>
    <w:p>
      <w:pPr>
        <w:ind w:left="1380" w:right="99" w:hanging="331"/>
        <w:spacing w:after="0" w:line="243"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87" w:lineRule="exact"/>
        <w:rPr>
          <w:rFonts w:ascii="Arial" w:cs="Arial" w:eastAsia="Arial" w:hAnsi="Arial"/>
          <w:sz w:val="18"/>
          <w:szCs w:val="18"/>
          <w:color w:val="auto"/>
        </w:rPr>
      </w:pPr>
    </w:p>
    <w:p>
      <w:pPr>
        <w:ind w:left="1380" w:right="9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drug candidates.</w:t>
      </w:r>
    </w:p>
    <w:p>
      <w:pPr>
        <w:spacing w:after="0" w:line="211" w:lineRule="exact"/>
        <w:rPr>
          <w:rFonts w:ascii="Arial" w:cs="Arial" w:eastAsia="Arial" w:hAnsi="Arial"/>
          <w:sz w:val="18"/>
          <w:szCs w:val="18"/>
          <w:color w:val="auto"/>
        </w:rPr>
      </w:pPr>
    </w:p>
    <w:p>
      <w:pPr>
        <w:jc w:val="both"/>
        <w:ind w:left="1380" w:right="479" w:hanging="331"/>
        <w:spacing w:after="0" w:line="324"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required to comply with comprehensive and ongoing regulatory requirements for any of our current or future approved drugs, including conducting confirmatory clinical trials for any drug that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59"/>
        <w:spacing w:after="0" w:line="270" w:lineRule="auto"/>
        <w:rPr>
          <w:sz w:val="20"/>
          <w:szCs w:val="20"/>
          <w:color w:val="auto"/>
        </w:rPr>
      </w:pPr>
      <w:r>
        <w:rPr>
          <w:rFonts w:ascii="Arial" w:cs="Arial" w:eastAsia="Arial" w:hAnsi="Arial"/>
          <w:sz w:val="17"/>
          <w:szCs w:val="17"/>
          <w:color w:val="auto"/>
        </w:rPr>
        <w:t>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64" w:lineRule="exact"/>
        <w:rPr>
          <w:sz w:val="20"/>
          <w:szCs w:val="20"/>
          <w:color w:val="auto"/>
        </w:rPr>
      </w:pPr>
    </w:p>
    <w:p>
      <w:pPr>
        <w:ind w:left="1380" w:right="99" w:hanging="331"/>
        <w:spacing w:after="0" w:line="248"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81" w:lineRule="exact"/>
        <w:rPr>
          <w:rFonts w:ascii="Arial" w:cs="Arial" w:eastAsia="Arial" w:hAnsi="Arial"/>
          <w:sz w:val="18"/>
          <w:szCs w:val="18"/>
          <w:color w:val="auto"/>
        </w:rPr>
      </w:pPr>
    </w:p>
    <w:p>
      <w:pPr>
        <w:ind w:left="1380" w:right="219" w:hanging="331"/>
        <w:spacing w:after="0" w:line="29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47" w:lineRule="exact"/>
        <w:rPr>
          <w:rFonts w:ascii="Arial" w:cs="Arial" w:eastAsia="Arial" w:hAnsi="Arial"/>
          <w:sz w:val="16"/>
          <w:szCs w:val="16"/>
          <w:color w:val="auto"/>
        </w:rPr>
      </w:pPr>
    </w:p>
    <w:p>
      <w:pPr>
        <w:ind w:left="1380" w:right="99" w:hanging="331"/>
        <w:spacing w:after="0" w:line="243"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rFonts w:ascii="Arial" w:cs="Arial" w:eastAsia="Arial" w:hAnsi="Arial"/>
          <w:sz w:val="18"/>
          <w:szCs w:val="18"/>
          <w:color w:val="auto"/>
        </w:rPr>
      </w:pPr>
    </w:p>
    <w:p>
      <w:pPr>
        <w:ind w:left="1380" w:right="159" w:hanging="331"/>
        <w:spacing w:after="0" w:line="28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5" w:lineRule="exact"/>
        <w:rPr>
          <w:rFonts w:ascii="Arial" w:cs="Arial" w:eastAsia="Arial" w:hAnsi="Arial"/>
          <w:sz w:val="16"/>
          <w:szCs w:val="16"/>
          <w:color w:val="auto"/>
        </w:rPr>
      </w:pPr>
    </w:p>
    <w:p>
      <w:pPr>
        <w:ind w:left="1380" w:right="339" w:hanging="331"/>
        <w:spacing w:after="0" w:line="241"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results of operations and future growth prospects could be materially and adversely affected by the ongoing COVID-19 pandemic.</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left="60" w:right="279" w:firstLine="648"/>
        <w:spacing w:after="0" w:line="276"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“predict,” “project,” “seek,” “should,” “target,” “will,” “would” or the variation or the negative of these words or other comparable terminology, although not all forward-looking statements contain these identifying words.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559" w:hanging="331"/>
        <w:spacing w:after="0" w:line="24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80" w:right="79" w:hanging="331"/>
        <w:spacing w:after="0" w:line="243"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w:t>
      </w:r>
    </w:p>
    <w:p>
      <w:pPr>
        <w:spacing w:after="0" w:line="187"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170"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170" w:lineRule="exact"/>
        <w:rPr>
          <w:rFonts w:ascii="Arial" w:cs="Arial" w:eastAsia="Arial" w:hAnsi="Arial"/>
          <w:sz w:val="18"/>
          <w:szCs w:val="18"/>
          <w:color w:val="auto"/>
        </w:rPr>
      </w:pPr>
    </w:p>
    <w:p>
      <w:pPr>
        <w:jc w:val="both"/>
        <w:ind w:left="1380" w:right="479" w:hanging="331"/>
        <w:spacing w:after="0" w:line="24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211"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81"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170"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170" w:lineRule="exact"/>
        <w:rPr>
          <w:rFonts w:ascii="Arial" w:cs="Arial" w:eastAsia="Arial" w:hAnsi="Arial"/>
          <w:sz w:val="18"/>
          <w:szCs w:val="18"/>
          <w:color w:val="auto"/>
        </w:rPr>
      </w:pPr>
    </w:p>
    <w:p>
      <w:pPr>
        <w:ind w:left="1380" w:right="119" w:hanging="331"/>
        <w:spacing w:after="0" w:line="255"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and our collaboration with Zai Lab to develop and commercialize BLU-701 and BLU-945 as inhibitors of epidermal growth factor receptor (EGFR), as well as our ability to maintain these collaborations and establish additional strategic collaborations;</w:t>
      </w:r>
    </w:p>
    <w:p>
      <w:pPr>
        <w:spacing w:after="0" w:line="179" w:lineRule="exact"/>
        <w:rPr>
          <w:rFonts w:ascii="Arial" w:cs="Arial" w:eastAsia="Arial" w:hAnsi="Arial"/>
          <w:sz w:val="17"/>
          <w:szCs w:val="17"/>
          <w:color w:val="auto"/>
        </w:rPr>
      </w:pPr>
    </w:p>
    <w:p>
      <w:pPr>
        <w:ind w:left="1380" w:right="679" w:hanging="331"/>
        <w:spacing w:after="0" w:line="291"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 to develop and commercialize BLU-782 for fibrodysplasia ossificans progressiva;</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259" w:hanging="331"/>
        <w:spacing w:after="0" w:line="291"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1"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actual or potential benefits of designations granted by the U.S. Food and Drug Administration, or FDA, such as orphan drug, fast track and breakthrough therapy designation or priority review; and</w:t>
      </w:r>
    </w:p>
    <w:p>
      <w:pPr>
        <w:spacing w:after="0" w:line="124" w:lineRule="exact"/>
        <w:rPr>
          <w:rFonts w:ascii="Arial" w:cs="Arial" w:eastAsia="Arial" w:hAnsi="Arial"/>
          <w:sz w:val="16"/>
          <w:szCs w:val="16"/>
          <w:color w:val="auto"/>
        </w:rPr>
      </w:pPr>
    </w:p>
    <w:p>
      <w:pPr>
        <w:ind w:left="1380" w:right="199" w:hanging="331"/>
        <w:spacing w:after="0" w:line="259"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214"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24"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82"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1"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For purposes of this Annual Report on Form 10-K, including the footnotes to our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7"/>
          <w:szCs w:val="17"/>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and other genomically defined cancers, and cancer immunotherapy.</w:t>
      </w:r>
    </w:p>
    <w:p>
      <w:pPr>
        <w:spacing w:after="0" w:line="208"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Systemic Mastocytosis and other Mast Cell Disorders — AYVAKIT®/AYVAKYT® (avapritinib) and BLU-263</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We are developing and commercializing avapritinib for the treatment of advanced SM, and developing avapritinib for the treatment of non-advanced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14"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We are evaluating avapritinib in an ongoing registration-enabling Phase 1 clinical trial in advanced SM, which we refer to as our EXPLORER trial, and an ongoing registration-enabling Phase 2 clinical trial in advanced SM, which we refer to as our PATHFINDER trial. In April 2021, we presented registration-enabling data from the PATHFINDER trial at the virtual American Association for Cancer Research, or AACR, Annual Meeting.</w:t>
      </w:r>
    </w:p>
    <w:p>
      <w:pPr>
        <w:spacing w:after="0" w:line="213"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June 2021, the FDA approved avapritinib under the brand name AYVAKIT for the treatment of adult patients with advanced SM, including aggressive SM or ASM, SM with an associated hematologic neoplasm or SM-AHN, and mast cell leukemia or MCL. In January 2022, the Committee for Medicinal Products for Human Use, or CHMP, of the European Medicines Agency, or EMA, adopted a positive opinion recommending marketing authorization for avapritinib as a monotherapy for the treatment of adult patients with ASM, SM-AHN or MCL, after at least one systemic therapy. Pending the European Commission’s final decision on our Type 2 variation marketing authorisation application, or MAA, we anticipate obtaining regulatory approval from the EMA and launching avapritinib under the brand name AYVAKYT for advanced SM in Europe in the second quarter of 2022.</w:t>
      </w:r>
    </w:p>
    <w:p>
      <w:pPr>
        <w:spacing w:after="0" w:line="208"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In addition, through our distribution agreement with Neopharm Israel Ltd., a marketing authorization application in Israel was submitted in June 2021 for avapritinib for patients with advanced SM and PDGFRA exon 18 mutant gastrointestinal stromal tumors, or GIST. In the future, we plan to pursue the regulatory approval and commercialization of avapritinib in additional global geographies, including through additional potential distribution agreements.</w:t>
      </w:r>
    </w:p>
    <w:p>
      <w:pPr>
        <w:spacing w:after="0" w:line="196" w:lineRule="exact"/>
        <w:rPr>
          <w:sz w:val="20"/>
          <w:szCs w:val="20"/>
          <w:color w:val="auto"/>
        </w:rPr>
      </w:pPr>
    </w:p>
    <w:p>
      <w:pPr>
        <w:ind w:left="60" w:right="599" w:firstLine="648"/>
        <w:spacing w:after="0" w:line="324" w:lineRule="auto"/>
        <w:rPr>
          <w:sz w:val="20"/>
          <w:szCs w:val="20"/>
          <w:color w:val="auto"/>
        </w:rPr>
      </w:pPr>
      <w:r>
        <w:rPr>
          <w:rFonts w:ascii="Arial" w:cs="Arial" w:eastAsia="Arial" w:hAnsi="Arial"/>
          <w:sz w:val="16"/>
          <w:szCs w:val="16"/>
          <w:color w:val="auto"/>
        </w:rPr>
        <w:t>In addition, we are evaluating avapritinib in an ongoing registration-enabling Phase 2 clinical trial in non-advanced SM, which we refer to as our PIONEER trial. In January 2022, we announced that the PIONEER trial was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324" w:lineRule="auto"/>
        <w:rPr>
          <w:sz w:val="20"/>
          <w:szCs w:val="20"/>
          <w:color w:val="auto"/>
        </w:rPr>
      </w:pPr>
      <w:r>
        <w:rPr>
          <w:rFonts w:ascii="Arial" w:cs="Arial" w:eastAsia="Arial" w:hAnsi="Arial"/>
          <w:sz w:val="16"/>
          <w:szCs w:val="16"/>
          <w:color w:val="auto"/>
        </w:rPr>
        <w:t>fully enrolled. We plan to report top-line data for Part 2 of the PIONEER trial in mid-2022 and to submit a supplemental new drug application, or sNDA, to the FDA for avapritinib in non-advanced SM in the second half of 2022.</w:t>
      </w:r>
    </w:p>
    <w:p>
      <w:pPr>
        <w:spacing w:after="0" w:line="165"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3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and potentially patients with other mast cell disorders.</w:t>
      </w:r>
    </w:p>
    <w:p>
      <w:pPr>
        <w:spacing w:after="0" w:line="200" w:lineRule="exact"/>
        <w:rPr>
          <w:sz w:val="20"/>
          <w:szCs w:val="20"/>
          <w:color w:val="auto"/>
        </w:rPr>
      </w:pPr>
    </w:p>
    <w:p>
      <w:pPr>
        <w:ind w:left="60" w:right="359" w:firstLine="648"/>
        <w:spacing w:after="0" w:line="284" w:lineRule="auto"/>
        <w:rPr>
          <w:sz w:val="20"/>
          <w:szCs w:val="20"/>
          <w:color w:val="auto"/>
        </w:rPr>
      </w:pPr>
      <w:r>
        <w:rPr>
          <w:rFonts w:ascii="Arial" w:cs="Arial" w:eastAsia="Arial" w:hAnsi="Arial"/>
          <w:sz w:val="16"/>
          <w:szCs w:val="16"/>
          <w:color w:val="auto"/>
        </w:rPr>
        <w:t>In April 2021, we presented results from a Phase 1 trial of BLU-263 in healthy volunteers at the virtual AACR Annual Meeting, which showed that BLU-263 was well-tolerated at all doses tested. Based on these data, we initiated a Phase 2/3 trial of BLU-263 in patients with non-advanced SM, which we refer to as our HARBOR trial, in the second quarter of 2021. We anticipate presenting initial data from the HARBOR trial in the second half of 2022.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 (pralsetinib)</w:t>
      </w:r>
    </w:p>
    <w:p>
      <w:pPr>
        <w:spacing w:after="0" w:line="23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7"/>
          <w:szCs w:val="17"/>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w:t>
      </w:r>
      <w:r>
        <w:rPr>
          <w:rFonts w:ascii="Arial" w:cs="Arial" w:eastAsia="Arial" w:hAnsi="Arial"/>
          <w:sz w:val="17"/>
          <w:szCs w:val="17"/>
          <w:i w:val="1"/>
          <w:iCs w:val="1"/>
          <w:color w:val="auto"/>
        </w:rPr>
        <w:t>—Collaborations and Licenses Summary</w:t>
      </w:r>
      <w:r>
        <w:rPr>
          <w:rFonts w:ascii="Arial" w:cs="Arial" w:eastAsia="Arial" w:hAnsi="Arial"/>
          <w:sz w:val="17"/>
          <w:szCs w:val="17"/>
          <w:color w:val="auto"/>
        </w:rPr>
        <w:t>” below.</w:t>
      </w:r>
    </w:p>
    <w:p>
      <w:pPr>
        <w:spacing w:after="0" w:line="214"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0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In November 2021, Roche announced that the European Commission granted conditional marketing authorization for GAVRETO as a monotherapy for the treatment of adults with RET fusion-positive advanced NSCLC not previously treated with a RET inhibitor. Roche submitted a Type II variation MAA to the EMA for pralsetinib for RET-altered thyroid cancers in December 2021, as well as marketing applications for pralsetinib for RET-altered NSCLC and thyroid cancers across multiple global geographies in 2021. Marketing applications are planned for pralsetinib for RET-altered NSCLC and thyroid cancers across additional global geographies in 2022.</w:t>
      </w:r>
    </w:p>
    <w:p>
      <w:pPr>
        <w:spacing w:after="0" w:line="202"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In March 2021, China’s National Medical Products Administration, or NMPA, approved GAVRETO for the treatment of RET fusion-positive NSCLC patients previously treated with platinum-based chemotherapy. In April 2021, China’s NMPA accepted CStone’s new drug application, or NDA, with Priority Review designation, for pralsetinib for the treatment of RET-mutant MTC and RET fusion-positive thyroid cancer.</w:t>
      </w:r>
    </w:p>
    <w:p>
      <w:pPr>
        <w:spacing w:after="0" w:line="22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We are currently evaluating pralsetinib in an ongoing registration-enabling Phase 1/2 clinical trial in patients with RET-altered NSCLC, MTC and other advanced solid tumors, which we refer to as the ARROW trial. In addition, Roche is conducting multiple ongoing studies, including a registration-enabling Phase 3 clinical trial in treatment-naïve patients with RET fusion-positive NSCLC, which is referred to as the ACCELERET-Lung trial; and, a registration-enabling Phase 3 clinical trial in patients with locally advanced or metastatic RET-mutated MTC who have not previously received a standard of care multi-kinase inhibitor therapy, which is referred to as the ACCELERET-MTC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59"/>
        <w:spacing w:after="0" w:line="284" w:lineRule="auto"/>
        <w:rPr>
          <w:sz w:val="20"/>
          <w:szCs w:val="20"/>
          <w:color w:val="auto"/>
        </w:rPr>
      </w:pPr>
      <w:r>
        <w:rPr>
          <w:rFonts w:ascii="Arial" w:cs="Arial" w:eastAsia="Arial" w:hAnsi="Arial"/>
          <w:sz w:val="16"/>
          <w:szCs w:val="16"/>
          <w:color w:val="auto"/>
        </w:rPr>
        <w:t>trial. In June 2021, we reported updated data from the ARROW trial in metastatic RET fusion-positive NSCLC and other advanced solid tumors at the 2021 American Society of Clinical Oncology, or ASCO, Annual Meeting. The ARROW trial was fully enrolled in December 2021. Pursuant to our collaboration with Roche, we are co-developing pralsetinib globally in RET-altered solid tumors, including NSCLC, MTC and other thyroid cancers, as well as other solid tumors.</w:t>
      </w:r>
    </w:p>
    <w:p>
      <w:pPr>
        <w:spacing w:after="0" w:line="196"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 / AYVAKYT® (avapritinib)</w:t>
      </w:r>
    </w:p>
    <w:p>
      <w:pPr>
        <w:spacing w:after="0" w:line="23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We are commercializing avapritinib for the treatment of patients with PDGFRA exon 18 mutant GIST, a rare disease that is a sarcoma, or tumor of bone or connective tissue, of the gastrointestinal tract.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09" w:lineRule="exact"/>
        <w:rPr>
          <w:sz w:val="20"/>
          <w:szCs w:val="20"/>
          <w:color w:val="auto"/>
        </w:rPr>
      </w:pPr>
    </w:p>
    <w:p>
      <w:pPr>
        <w:ind w:left="60" w:right="379" w:firstLine="648"/>
        <w:spacing w:after="0" w:line="241" w:lineRule="auto"/>
        <w:rPr>
          <w:sz w:val="20"/>
          <w:szCs w:val="20"/>
          <w:color w:val="auto"/>
        </w:rPr>
      </w:pPr>
      <w:r>
        <w:rPr>
          <w:rFonts w:ascii="Arial" w:cs="Arial" w:eastAsia="Arial" w:hAnsi="Arial"/>
          <w:sz w:val="18"/>
          <w:szCs w:val="18"/>
          <w:color w:val="auto"/>
        </w:rPr>
        <w:t>In March 2021, CStone announced that China’s NMPA approved AYVAKIT for the treatment of adults with unresectable or metastatic GIST harboring a PDGFRA exon 18 mutation, including PDGFRA D842V mutations. AYVAKIT received accelerated approval in April 2021 from the Taiwan Food and Drug Administration, or TFDA, and approval in Hong Kong in December 2021, both for adults with unresectable or metastatic GIST harboring PDGFRA D842V mutations.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EGFR-Mutated NSCLC – BLU-701, BLU-945 and BLU-451</w:t>
      </w:r>
    </w:p>
    <w:p>
      <w:pPr>
        <w:spacing w:after="0" w:line="239"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We are developing three investigational EGFR inhibitors, BLU-701, BLU -945 and BLU-451, which was formerly known as LNG-451, with the goal of addressing the nearly all activating mutations (&gt;90 percent) in EGFR-driven NSCLC. The introduction of EGFR-targeted therapies, including osimertinib, has transformed the care of patients with EGFR-driven NSCLC; however, there is a significant need for new treatment options designed to prevent a broad range of resistance mechanisms before they emerge, with the goal of prolonging patient benefit. In addition, there are no approved targeted therapies for patients with disease progression following osimertinib, and limited treatment options for patients with EGFR exon 20 insertion-positive NSCLC.</w:t>
      </w:r>
    </w:p>
    <w:p>
      <w:pPr>
        <w:spacing w:after="0" w:line="23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BLU-701 and BLU-945 were specifically designed to provide comprehensive coverage of common activating and on-target resistance mutations, spare wild-type EGFR and other kinases to limit off-target toxicities, and treat or prevent CNS metastases, which occur frequently in patients with EGFR-driven NSCLC. We believe these profiles may enable BLU-701 and BLU-945 to become the backbones of a range of combination strategies with the potential to address important medical needs for patients with EGFR-driven NSCLC, including in early line treatment settings. We plan to develop BLU-701 and BLU-945 in combination with each other and other therapies, including osimertinib, as an initial treatment designed to prevent resistance from emerging. In addition, we plan to develop BLU-701 and BLU-945 as monotherapies in certain biomarker-selected patient populations.</w:t>
      </w:r>
    </w:p>
    <w:p>
      <w:pPr>
        <w:spacing w:after="0" w:line="22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In December 2021, we completed our acquisition of Lengo Therapeutics, Inc., along with its lead compound LNG-451, which we now refer to as BLU-451. BLU-451 is an oral precision therapy in development for the treatment of NSCLC in patients with EGFR exon 20 mutations.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BLU-701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BLU-701 is a selective and potent investigational inhibitor of EGFR harboring either the activating L858R or exon 19 deletion mutations combined with the acquired C797S mutation, the most common on-target resistance mutation to osimertinib. In preclinical data presented at the virtual AACR Annual Meeting in April 2021, BLU-701 showed strong and durable inhibition of tumor growth at doses that are EGFR wild-type sparing, and the potential to be used in both first-and second-line settings. BLU-701 indicated significant CNS penetration in preclinical models, with comparable exposure in the plasma and brain, which illustrates its potential to treat or prevent CNS metastases in patients with EGFR-driven tumors. Based on these preclinical data, we initiated a Phase 1/2 trial of BLU-701 in EGFR-mutant NSCLC, which we refer to as our HARMONY trial, in the fourth quarter of 2021. We plan to present initial clinical data from the HARMONY trial in the second half of 2022.</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BLU-945</w:t>
      </w:r>
    </w:p>
    <w:p>
      <w:pPr>
        <w:spacing w:after="0" w:line="25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BLU-945 is a selective and potent investigational inhibitor of EGFR harboring either the activating L858R or exon 19 deletion mutations combined with the acquired T790M and C797S mutations, the most common on-target resistance mutations to first-generation EGFR inhibitors and osimertinib, respectively. In preclinical data presented at the virtual AACR Annual Meeting in April 2021, BLU-945 demonstrated potent antitumor activity in osimertinib-resistant tumor models, as well as activity in an intracranial patient-derived xenograft model. Both preclinical models harbored activating mutations combined with the T790M and C797S mutations. Based on these preclinical data, we initiated a Phase 1/2 trial of BLU-945 in patients with EGFR-driven NSCLC, which we refer to as our SYMPHONY trial, in the second quarter of 2021. We plan to present initial clinical data from the SYMPHONY trial in the second quarter of 2022.</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Combinations with BLU-701 and/or BLU-945</w:t>
      </w:r>
    </w:p>
    <w:p>
      <w:pPr>
        <w:spacing w:after="0" w:line="252"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Based on their differentiated selectivity profiles and potency against on-target EGFR activating and resistant mutants, we believe BLU-701 and BLU-945 have the potential to become backbone therapies for a range of combination strategies for EGFR-positive NSCLC across multiple treatment lines, potentially including combinations of BLU-701 or BLU-945 with other EGFR therapies or treatment modalities, as well as BLU-701 and BLU-945 together. In preclinical data presented at the virtual AACR Annual Meeting in April 2021, the combination of BLU-945 with either gefitinib or osimertinib showed enhanced antitumor activity when compared with either gefitinib or osimertinib alone. At the British Thoracic Oncology Group, or BTOG, Annual Conference in January 2022, we reported preclinical data supporting the development of BLU-701 and BLU-945 combination therapy in EGFR-driven NSCLC. Based on these results, we plan to develop BLU-701 and BLU-945 in combination with each other and other agents.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 Exon 20 Insertion-Positive NSCLC — BLU-451</w:t>
      </w:r>
    </w:p>
    <w:p>
      <w:pPr>
        <w:spacing w:after="0" w:line="239"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BLU-451 is a selective and potent investigational inhibitor under development for the treatment of EGFR exon 20 insertion-positive NSCLC. Based on preclinical data, BLU-451 potently inhibited all common EGFR exon 20 insertion variants with marked selectivity over wild-type EGFR and off-target kinases, and has shown significant CNS penetration. We recently received clearance for an investigational new drug, or IND, application for BLU-451 for EGFR exon 20 insertion-positive NSCLC. In the first quarter of 2022, we plan to initiate a Phase 1/2 trial of BLU-451 in EGFR exon 20 insertion-positive NSCLC, and we expect to present preclinical data for BLU-451 in the second quarter of 2022.</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Cyclin E Aberrant Cancers – BLU-222</w:t>
      </w:r>
    </w:p>
    <w:p>
      <w:pPr>
        <w:spacing w:after="0" w:line="252"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are developing an investigational inhibitor, BLU-222, targeting CDK2 for the treatment of patients with cyclin E aberrant cancers. In subsets of patients across multiple cancer types, aberrant cyclin E, or CCNE1, hyperactivates CDK2, resulting in cell cycle dysregulation and tumor proliferation. Aberrant CCNE1 has been observed as a primary driver of disease, as well as a mechanism of resistance to CDK4/6 inhibitors and other therapies.</w:t>
      </w:r>
    </w:p>
    <w:p>
      <w:pPr>
        <w:spacing w:after="0" w:line="182"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At the virtual AACR Annual Meeting in April 2021, we presented preclinical data showing that selective CDK2 inhibition arrested the cell cycle and blocked tumor proliferation in CCNE1-amplified cell lines, and demonstrated robust and sustained antitumor activity in vivo in models of CCNE1-amplified ovarian, breast and gastric cancer. A selective CDK2 inhibitor also showed improved tolerability compared to a pan-CDK inhibitor and chemotherapy, as measured by animal body weight.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recently received FDA clearance for an IND application for BLU-222 for cyclin E aberrant cancers. We plan to initiate a Phase 1/2 trial of BLU-222 in cyclin E aberrant cancers, which we refer to as our VELA trial, in the first quarter of 2022, and to present preclinical data for BLU-222 in the second quarter of 2022. BLU-222 is being developed as a single agent and in combination with chemotherapy in gynecological cancers, and in combination with hormonal and the approved CDK-4/6 inhibitor ribociclib for hormone-receptor-positive, HER2-negative breast cancer.</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Advanced Cancers – BLU-852</w:t>
      </w:r>
    </w:p>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BLU-852 is a selective and potent investigational inhibitor of MAP4K1, a well-characterized immunokinase involved in the regulation of immune cells. Preclinical data presented at the virtual AACR Annual Meeting in April 2021 show that MAP4K1 inhibition enhanced intratumoral immune cell activation, overcame regulatory T cell, or Treg, mediated T cell suppression, and reduced tumor burden both as a monotherapy and in combination with checkpoint inhibition. These preclinical data support the continued development of BLU-852. Under our ongoing cancer immunotherapy collaboration, we expect Roche to initiate a Phase 1 trial of BLU-852, as a single agent and in combination with atezolizumab, in advanced cancers in 2023.</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Fisogatinib is an investigational, orally available, potent and highly selective inhibitor that targets FGFR4, a kinase that is aberrantly activated in a defined subset of patients with hepatocellular carcinoma, or HCC. Following a strategic evaluation of the evolving HCC treatment landscape and prioritization of resources across our broad precision therapy pipeline, we have decided to deprioritize our clinical development of fisogatinib for the treatment of advanced HCC. We have discontinued further enrollment of the Blueprint Medicines-sponsored clinical trial of fisogatinib as a monotherapy and in combination with sugemalimab, an anti-PD-L1 immunotherapy being developed by CStone. CStone continues to retain development and commercial rights to fisogatinib in the CStone territory, which encompasses Mainland China, Hong Kong, Macau and Taiwan.</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plan to nominate two development candidates from our discovery programs. We also plan to share our vision for our expanded discovery platform at an R&amp;D Day in the second half of 2022.</w:t>
      </w:r>
    </w:p>
    <w:p>
      <w:pPr>
        <w:spacing w:after="0" w:line="60" w:lineRule="exact"/>
        <w:rPr>
          <w:sz w:val="20"/>
          <w:szCs w:val="20"/>
          <w:color w:val="auto"/>
        </w:rPr>
      </w:pPr>
    </w:p>
    <w:p>
      <w:pPr>
        <w:ind w:left="60" w:right="719" w:firstLine="648"/>
        <w:spacing w:after="0" w:line="261" w:lineRule="auto"/>
        <w:rPr>
          <w:sz w:val="20"/>
          <w:szCs w:val="20"/>
          <w:color w:val="auto"/>
        </w:rPr>
      </w:pPr>
      <w:r>
        <w:rPr>
          <w:rFonts w:ascii="Arial" w:cs="Arial" w:eastAsia="Arial" w:hAnsi="Arial"/>
          <w:sz w:val="18"/>
          <w:szCs w:val="18"/>
          <w:color w:val="auto"/>
        </w:rPr>
        <w:t>Under our immunotherapy collaboration with Roche, we are conducting activities for up to two discovery programs, including BLU-852. See “</w:t>
      </w:r>
      <w:r>
        <w:rPr>
          <w:rFonts w:ascii="Arial" w:cs="Arial" w:eastAsia="Arial" w:hAnsi="Arial"/>
          <w:sz w:val="18"/>
          <w:szCs w:val="18"/>
          <w:i w:val="1"/>
          <w:iCs w:val="1"/>
          <w:color w:val="auto"/>
        </w:rPr>
        <w:t>—Collaborations and Licenses Summary</w:t>
      </w:r>
      <w:r>
        <w:rPr>
          <w:rFonts w:ascii="Arial" w:cs="Arial" w:eastAsia="Arial" w:hAnsi="Arial"/>
          <w:sz w:val="18"/>
          <w:szCs w:val="18"/>
          <w:color w:val="auto"/>
        </w:rPr>
        <w:t>” below.</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 Summary</w:t>
      </w:r>
    </w:p>
    <w:p>
      <w:pPr>
        <w:spacing w:after="0" w:line="200" w:lineRule="exact"/>
        <w:rPr>
          <w:sz w:val="20"/>
          <w:szCs w:val="20"/>
          <w:color w:val="auto"/>
        </w:rPr>
      </w:pPr>
    </w:p>
    <w:p>
      <w:pPr>
        <w:spacing w:after="0" w:line="214"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i w:val="1"/>
          <w:iCs w:val="1"/>
          <w:color w:val="auto"/>
        </w:rPr>
        <w:t>Roche—Immunotherapy Collaboration</w:t>
      </w:r>
      <w:r>
        <w:rPr>
          <w:rFonts w:ascii="Arial" w:cs="Arial" w:eastAsia="Arial" w:hAnsi="Arial"/>
          <w:sz w:val="18"/>
          <w:szCs w:val="18"/>
          <w:color w:val="auto"/>
        </w:rPr>
        <w:t>. In March 2016, we entered into a collaboration with Roche to discover,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and commercialize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79" w:firstLine="648"/>
        <w:spacing w:after="0"/>
        <w:rPr>
          <w:sz w:val="20"/>
          <w:szCs w:val="20"/>
          <w:color w:val="auto"/>
        </w:rPr>
      </w:pPr>
      <w:r>
        <w:rPr>
          <w:rFonts w:ascii="Arial" w:cs="Arial" w:eastAsia="Arial" w:hAnsi="Arial"/>
          <w:sz w:val="18"/>
          <w:szCs w:val="18"/>
          <w:i w:val="1"/>
          <w:iCs w:val="1"/>
          <w:color w:val="auto"/>
        </w:rPr>
        <w:t>Roche—Pralsetinib Collaboration</w:t>
      </w:r>
      <w:r>
        <w:rPr>
          <w:rFonts w:ascii="Arial" w:cs="Arial" w:eastAsia="Arial" w:hAnsi="Arial"/>
          <w:sz w:val="18"/>
          <w:szCs w:val="18"/>
          <w:color w:val="auto"/>
        </w:rPr>
        <w:t>. 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392"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CStone</w:t>
      </w:r>
      <w:r>
        <w:rPr>
          <w:rFonts w:ascii="Arial" w:cs="Arial" w:eastAsia="Arial" w:hAnsi="Arial"/>
          <w:sz w:val="18"/>
          <w:szCs w:val="18"/>
          <w:color w:val="auto"/>
        </w:rPr>
        <w:t>. 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as well as back-up forms and certain other forms, in the CStone territory either as a monotherapy or as part of a combination therapy.</w:t>
      </w:r>
    </w:p>
    <w:p>
      <w:pPr>
        <w:spacing w:after="0" w:line="384" w:lineRule="exact"/>
        <w:rPr>
          <w:sz w:val="20"/>
          <w:szCs w:val="20"/>
          <w:color w:val="auto"/>
        </w:rPr>
      </w:pPr>
    </w:p>
    <w:p>
      <w:pPr>
        <w:ind w:left="60" w:right="119" w:firstLine="648"/>
        <w:spacing w:after="0" w:line="238" w:lineRule="auto"/>
        <w:rPr>
          <w:sz w:val="20"/>
          <w:szCs w:val="20"/>
          <w:color w:val="auto"/>
        </w:rPr>
      </w:pPr>
      <w:r>
        <w:rPr>
          <w:rFonts w:ascii="Arial" w:cs="Arial" w:eastAsia="Arial" w:hAnsi="Arial"/>
          <w:sz w:val="18"/>
          <w:szCs w:val="18"/>
          <w:i w:val="1"/>
          <w:iCs w:val="1"/>
          <w:color w:val="auto"/>
        </w:rPr>
        <w:t>Clementia</w:t>
      </w:r>
      <w:r>
        <w:rPr>
          <w:rFonts w:ascii="Arial" w:cs="Arial" w:eastAsia="Arial" w:hAnsi="Arial"/>
          <w:sz w:val="18"/>
          <w:szCs w:val="18"/>
          <w:color w:val="auto"/>
        </w:rPr>
        <w:t>. In October 2019, we entered into a license agreement with Clementia Pharmaceuticals, Inc., or</w:t>
      </w:r>
      <w:r>
        <w:rPr>
          <w:rFonts w:ascii="Arial" w:cs="Arial" w:eastAsia="Arial" w:hAnsi="Arial"/>
          <w:sz w:val="18"/>
          <w:szCs w:val="18"/>
          <w:i w:val="1"/>
          <w:iCs w:val="1"/>
          <w:color w:val="auto"/>
        </w:rPr>
        <w:t xml:space="preserve"> </w:t>
      </w:r>
      <w:r>
        <w:rPr>
          <w:rFonts w:ascii="Arial" w:cs="Arial" w:eastAsia="Arial" w:hAnsi="Arial"/>
          <w:sz w:val="18"/>
          <w:szCs w:val="18"/>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 Clementia initiated patient dosing in a Phase 2 clinical trial of BLU-782, now referred to as IPN60130, in the first quarter of 2022.</w:t>
      </w:r>
    </w:p>
    <w:p>
      <w:pPr>
        <w:spacing w:after="0" w:line="396" w:lineRule="exact"/>
        <w:rPr>
          <w:sz w:val="20"/>
          <w:szCs w:val="20"/>
          <w:color w:val="auto"/>
        </w:rPr>
      </w:pPr>
    </w:p>
    <w:p>
      <w:pPr>
        <w:jc w:val="both"/>
        <w:ind w:left="60" w:right="79" w:firstLine="648"/>
        <w:spacing w:after="0" w:line="270" w:lineRule="auto"/>
        <w:rPr>
          <w:sz w:val="20"/>
          <w:szCs w:val="20"/>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November 2021, we entered into a collaboration with Zai Lab to develop and commercialize BLU-701</w:t>
      </w:r>
      <w:r>
        <w:rPr>
          <w:rFonts w:ascii="Arial" w:cs="Arial" w:eastAsia="Arial" w:hAnsi="Arial"/>
          <w:sz w:val="17"/>
          <w:szCs w:val="17"/>
          <w:i w:val="1"/>
          <w:iCs w:val="1"/>
          <w:color w:val="auto"/>
        </w:rPr>
        <w:t xml:space="preserve"> </w:t>
      </w:r>
      <w:r>
        <w:rPr>
          <w:rFonts w:ascii="Arial" w:cs="Arial" w:eastAsia="Arial" w:hAnsi="Arial"/>
          <w:sz w:val="17"/>
          <w:szCs w:val="17"/>
          <w:color w:val="auto"/>
        </w:rPr>
        <w:t>and BLU-945 for the treatment of EGFR-driven NSCLC in Greater China, including Mainland China, Hong Kong, Macau and Taiwan. The collaboration aims to accelerate and expand global development of BLU-701 and BLU-945.</w:t>
      </w: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Mergers &amp; Acquisitions Summary</w:t>
      </w:r>
    </w:p>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i w:val="1"/>
          <w:iCs w:val="1"/>
          <w:color w:val="auto"/>
        </w:rPr>
        <w:t>Lengo Therapeutics</w:t>
      </w:r>
      <w:r>
        <w:rPr>
          <w:rFonts w:ascii="Arial" w:cs="Arial" w:eastAsia="Arial" w:hAnsi="Arial"/>
          <w:sz w:val="17"/>
          <w:szCs w:val="17"/>
          <w:color w:val="auto"/>
        </w:rPr>
        <w:t>. In December 2021, we completed our acquisition of Lengo Therapeutics, Inc., along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lead compound LNG-451, now known as BLU-451, which is in development for the treatment of NSCLC in patients with EGFR exon 20 insertion mutations. The acquisition also included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37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171450</wp:posOffset>
            </wp:positionV>
            <wp:extent cx="541782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7820" cy="342900"/>
                    </a:xfrm>
                    <a:prstGeom prst="rect">
                      <a:avLst/>
                    </a:prstGeom>
                    <a:noFill/>
                  </pic:spPr>
                </pic:pic>
              </a:graphicData>
            </a:graphic>
          </wp:anchor>
        </w:drawing>
      </w:r>
    </w:p>
    <w:p>
      <w:pPr>
        <w:spacing w:after="0" w:line="250" w:lineRule="exact"/>
        <w:rPr>
          <w:sz w:val="20"/>
          <w:szCs w:val="20"/>
          <w:color w:val="auto"/>
        </w:rPr>
      </w:pPr>
    </w:p>
    <w:tbl>
      <w:tblPr>
        <w:tblLayout w:type="fixed"/>
        <w:tblInd w:w="250" w:type="dxa"/>
        <w:tblCellMar>
          <w:top w:w="0" w:type="dxa"/>
          <w:left w:w="0" w:type="dxa"/>
          <w:bottom w:w="0" w:type="dxa"/>
          <w:right w:w="0" w:type="dxa"/>
        </w:tblCellMar>
      </w:tblPr>
      <w:tr>
        <w:trPr>
          <w:trHeight w:val="225"/>
        </w:trPr>
        <w:tc>
          <w:tcPr>
            <w:tcW w:w="1560" w:type="dxa"/>
            <w:vAlign w:val="bottom"/>
            <w:tcBorders>
              <w:left w:val="single" w:sz="8" w:color="55555A"/>
            </w:tcBorders>
            <w:vMerge w:val="restart"/>
            <w:shd w:val="clear" w:color="auto" w:fill="55555A"/>
          </w:tcPr>
          <w:p>
            <w:pPr>
              <w:ind w:left="120"/>
              <w:spacing w:after="0"/>
              <w:rPr>
                <w:sz w:val="20"/>
                <w:szCs w:val="20"/>
                <w:color w:val="auto"/>
              </w:rPr>
            </w:pPr>
            <w:r>
              <w:rPr>
                <w:rFonts w:ascii="Arial" w:cs="Arial" w:eastAsia="Arial" w:hAnsi="Arial"/>
                <w:sz w:val="16"/>
                <w:szCs w:val="16"/>
                <w:b w:val="1"/>
                <w:bCs w:val="1"/>
                <w:color w:val="FFFFFF"/>
              </w:rPr>
              <w:t>Program</w:t>
            </w:r>
          </w:p>
        </w:tc>
        <w:tc>
          <w:tcPr>
            <w:tcW w:w="1860" w:type="dxa"/>
            <w:vAlign w:val="bottom"/>
            <w:vMerge w:val="restart"/>
            <w:shd w:val="clear" w:color="auto" w:fill="55555A"/>
          </w:tcPr>
          <w:p>
            <w:pPr>
              <w:ind w:left="540"/>
              <w:spacing w:after="0"/>
              <w:rPr>
                <w:sz w:val="20"/>
                <w:szCs w:val="20"/>
                <w:color w:val="auto"/>
              </w:rPr>
            </w:pPr>
            <w:r>
              <w:rPr>
                <w:rFonts w:ascii="Arial" w:cs="Arial" w:eastAsia="Arial" w:hAnsi="Arial"/>
                <w:sz w:val="16"/>
                <w:szCs w:val="16"/>
                <w:b w:val="1"/>
                <w:bCs w:val="1"/>
                <w:color w:val="FFFFFF"/>
              </w:rPr>
              <w:t>Discovery</w:t>
            </w:r>
          </w:p>
        </w:tc>
        <w:tc>
          <w:tcPr>
            <w:tcW w:w="128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rPr>
              <w:t>Early-Stage</w:t>
            </w:r>
          </w:p>
        </w:tc>
        <w:tc>
          <w:tcPr>
            <w:tcW w:w="132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rPr>
              <w:t>Late-Stage</w:t>
            </w:r>
          </w:p>
        </w:tc>
        <w:tc>
          <w:tcPr>
            <w:tcW w:w="128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rPr>
              <w:t>Regulatory</w:t>
            </w:r>
          </w:p>
        </w:tc>
        <w:tc>
          <w:tcPr>
            <w:tcW w:w="1220" w:type="dxa"/>
            <w:vAlign w:val="bottom"/>
            <w:tcBorders>
              <w:right w:val="single" w:sz="8" w:color="55555A"/>
            </w:tcBorders>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Approved</w:t>
            </w:r>
          </w:p>
        </w:tc>
        <w:tc>
          <w:tcPr>
            <w:tcW w:w="0" w:type="dxa"/>
            <w:vAlign w:val="bottom"/>
          </w:tcPr>
          <w:p>
            <w:pPr>
              <w:spacing w:after="0"/>
              <w:rPr>
                <w:sz w:val="1"/>
                <w:szCs w:val="1"/>
                <w:color w:val="auto"/>
              </w:rPr>
            </w:pPr>
          </w:p>
        </w:tc>
      </w:tr>
      <w:tr>
        <w:trPr>
          <w:trHeight w:val="120"/>
        </w:trPr>
        <w:tc>
          <w:tcPr>
            <w:tcW w:w="1560" w:type="dxa"/>
            <w:vAlign w:val="bottom"/>
            <w:tcBorders>
              <w:left w:val="single" w:sz="8" w:color="55555A"/>
            </w:tcBorders>
            <w:vMerge w:val="continue"/>
            <w:shd w:val="clear" w:color="auto" w:fill="55555A"/>
          </w:tcPr>
          <w:p>
            <w:pPr>
              <w:spacing w:after="0"/>
              <w:rPr>
                <w:sz w:val="10"/>
                <w:szCs w:val="10"/>
                <w:color w:val="auto"/>
              </w:rPr>
            </w:pPr>
          </w:p>
        </w:tc>
        <w:tc>
          <w:tcPr>
            <w:tcW w:w="1860" w:type="dxa"/>
            <w:vAlign w:val="bottom"/>
            <w:vMerge w:val="continue"/>
            <w:shd w:val="clear" w:color="auto" w:fill="55555A"/>
          </w:tcPr>
          <w:p>
            <w:pPr>
              <w:spacing w:after="0"/>
              <w:rPr>
                <w:sz w:val="10"/>
                <w:szCs w:val="10"/>
                <w:color w:val="auto"/>
              </w:rPr>
            </w:pPr>
          </w:p>
        </w:tc>
        <w:tc>
          <w:tcPr>
            <w:tcW w:w="128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Development</w:t>
            </w:r>
          </w:p>
        </w:tc>
        <w:tc>
          <w:tcPr>
            <w:tcW w:w="132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Development</w:t>
            </w:r>
          </w:p>
        </w:tc>
        <w:tc>
          <w:tcPr>
            <w:tcW w:w="128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Submission</w:t>
            </w:r>
          </w:p>
        </w:tc>
        <w:tc>
          <w:tcPr>
            <w:tcW w:w="1220" w:type="dxa"/>
            <w:vAlign w:val="bottom"/>
            <w:tcBorders>
              <w:right w:val="single" w:sz="8" w:color="55555A"/>
            </w:tcBorders>
            <w:vMerge w:val="continue"/>
            <w:shd w:val="clear" w:color="auto" w:fill="55555A"/>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60" w:type="dxa"/>
            <w:vAlign w:val="bottom"/>
            <w:tcBorders>
              <w:left w:val="single" w:sz="8" w:color="55555A"/>
            </w:tcBorders>
            <w:shd w:val="clear" w:color="auto" w:fill="55555A"/>
          </w:tcPr>
          <w:p>
            <w:pPr>
              <w:spacing w:after="0"/>
              <w:rPr>
                <w:sz w:val="8"/>
                <w:szCs w:val="8"/>
                <w:color w:val="auto"/>
              </w:rPr>
            </w:pPr>
          </w:p>
        </w:tc>
        <w:tc>
          <w:tcPr>
            <w:tcW w:w="1860" w:type="dxa"/>
            <w:vAlign w:val="bottom"/>
            <w:shd w:val="clear" w:color="auto" w:fill="55555A"/>
          </w:tcPr>
          <w:p>
            <w:pPr>
              <w:spacing w:after="0"/>
              <w:rPr>
                <w:sz w:val="8"/>
                <w:szCs w:val="8"/>
                <w:color w:val="auto"/>
              </w:rPr>
            </w:pPr>
          </w:p>
        </w:tc>
        <w:tc>
          <w:tcPr>
            <w:tcW w:w="1280" w:type="dxa"/>
            <w:vAlign w:val="bottom"/>
            <w:vMerge w:val="continue"/>
            <w:shd w:val="clear" w:color="auto" w:fill="55555A"/>
          </w:tcPr>
          <w:p>
            <w:pPr>
              <w:spacing w:after="0"/>
              <w:rPr>
                <w:sz w:val="8"/>
                <w:szCs w:val="8"/>
                <w:color w:val="auto"/>
              </w:rPr>
            </w:pPr>
          </w:p>
        </w:tc>
        <w:tc>
          <w:tcPr>
            <w:tcW w:w="1320" w:type="dxa"/>
            <w:vAlign w:val="bottom"/>
            <w:vMerge w:val="continue"/>
            <w:shd w:val="clear" w:color="auto" w:fill="55555A"/>
          </w:tcPr>
          <w:p>
            <w:pPr>
              <w:spacing w:after="0"/>
              <w:rPr>
                <w:sz w:val="8"/>
                <w:szCs w:val="8"/>
                <w:color w:val="auto"/>
              </w:rPr>
            </w:pPr>
          </w:p>
        </w:tc>
        <w:tc>
          <w:tcPr>
            <w:tcW w:w="1280" w:type="dxa"/>
            <w:vAlign w:val="bottom"/>
            <w:vMerge w:val="continue"/>
            <w:shd w:val="clear" w:color="auto" w:fill="55555A"/>
          </w:tcPr>
          <w:p>
            <w:pPr>
              <w:spacing w:after="0"/>
              <w:rPr>
                <w:sz w:val="8"/>
                <w:szCs w:val="8"/>
                <w:color w:val="auto"/>
              </w:rPr>
            </w:pPr>
          </w:p>
        </w:tc>
        <w:tc>
          <w:tcPr>
            <w:tcW w:w="1220" w:type="dxa"/>
            <w:vAlign w:val="bottom"/>
            <w:tcBorders>
              <w:right w:val="single" w:sz="8" w:color="55555A"/>
            </w:tcBorders>
            <w:shd w:val="clear" w:color="auto" w:fill="55555A"/>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60" w:type="dxa"/>
            <w:vAlign w:val="bottom"/>
            <w:tcBorders>
              <w:left w:val="single" w:sz="8" w:color="55555A"/>
            </w:tcBorders>
            <w:shd w:val="clear" w:color="auto" w:fill="55555A"/>
          </w:tcPr>
          <w:p>
            <w:pPr>
              <w:spacing w:after="0"/>
              <w:rPr>
                <w:sz w:val="6"/>
                <w:szCs w:val="6"/>
                <w:color w:val="auto"/>
              </w:rPr>
            </w:pPr>
          </w:p>
        </w:tc>
        <w:tc>
          <w:tcPr>
            <w:tcW w:w="1860" w:type="dxa"/>
            <w:vAlign w:val="bottom"/>
            <w:shd w:val="clear" w:color="auto" w:fill="55555A"/>
          </w:tcPr>
          <w:p>
            <w:pPr>
              <w:spacing w:after="0"/>
              <w:rPr>
                <w:sz w:val="6"/>
                <w:szCs w:val="6"/>
                <w:color w:val="auto"/>
              </w:rPr>
            </w:pPr>
          </w:p>
        </w:tc>
        <w:tc>
          <w:tcPr>
            <w:tcW w:w="2600" w:type="dxa"/>
            <w:vAlign w:val="bottom"/>
            <w:gridSpan w:val="2"/>
            <w:shd w:val="clear" w:color="auto" w:fill="55555A"/>
          </w:tcPr>
          <w:p>
            <w:pPr>
              <w:spacing w:after="0"/>
              <w:rPr>
                <w:sz w:val="6"/>
                <w:szCs w:val="6"/>
                <w:color w:val="auto"/>
              </w:rPr>
            </w:pPr>
          </w:p>
        </w:tc>
        <w:tc>
          <w:tcPr>
            <w:tcW w:w="1280" w:type="dxa"/>
            <w:vAlign w:val="bottom"/>
            <w:shd w:val="clear" w:color="auto" w:fill="55555A"/>
          </w:tcPr>
          <w:p>
            <w:pPr>
              <w:spacing w:after="0"/>
              <w:rPr>
                <w:sz w:val="6"/>
                <w:szCs w:val="6"/>
                <w:color w:val="auto"/>
              </w:rPr>
            </w:pPr>
          </w:p>
        </w:tc>
        <w:tc>
          <w:tcPr>
            <w:tcW w:w="1220" w:type="dxa"/>
            <w:vAlign w:val="bottom"/>
            <w:tcBorders>
              <w:right w:val="single" w:sz="8" w:color="55555A"/>
            </w:tcBorders>
            <w:shd w:val="clear" w:color="auto" w:fill="55555A"/>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DDD9D3"/>
          </w:tcPr>
          <w:p>
            <w:pPr>
              <w:spacing w:after="0"/>
              <w:rPr>
                <w:sz w:val="21"/>
                <w:szCs w:val="21"/>
                <w:color w:val="auto"/>
              </w:rPr>
            </w:pPr>
          </w:p>
        </w:tc>
        <w:tc>
          <w:tcPr>
            <w:tcW w:w="1860" w:type="dxa"/>
            <w:vAlign w:val="bottom"/>
            <w:shd w:val="clear" w:color="auto" w:fill="DDD9D3"/>
          </w:tcPr>
          <w:p>
            <w:pPr>
              <w:spacing w:after="0"/>
              <w:rPr>
                <w:sz w:val="21"/>
                <w:szCs w:val="21"/>
                <w:color w:val="auto"/>
              </w:rPr>
            </w:pPr>
          </w:p>
        </w:tc>
        <w:tc>
          <w:tcPr>
            <w:tcW w:w="2600" w:type="dxa"/>
            <w:vAlign w:val="bottom"/>
            <w:gridSpan w:val="2"/>
            <w:shd w:val="clear" w:color="auto" w:fill="DDD9D3"/>
          </w:tcPr>
          <w:p>
            <w:pPr>
              <w:jc w:val="center"/>
              <w:ind w:right="839"/>
              <w:spacing w:after="0"/>
              <w:rPr>
                <w:sz w:val="20"/>
                <w:szCs w:val="20"/>
                <w:color w:val="auto"/>
              </w:rPr>
            </w:pPr>
            <w:r>
              <w:rPr>
                <w:rFonts w:ascii="Arial" w:cs="Arial" w:eastAsia="Arial" w:hAnsi="Arial"/>
                <w:sz w:val="16"/>
                <w:szCs w:val="16"/>
                <w:b w:val="1"/>
                <w:bCs w:val="1"/>
                <w:color w:val="auto"/>
                <w:w w:val="89"/>
              </w:rPr>
              <w:t>Hematologic disorders</w:t>
            </w:r>
          </w:p>
        </w:tc>
        <w:tc>
          <w:tcPr>
            <w:tcW w:w="1280" w:type="dxa"/>
            <w:vAlign w:val="bottom"/>
            <w:shd w:val="clear" w:color="auto" w:fill="DDD9D3"/>
          </w:tcPr>
          <w:p>
            <w:pPr>
              <w:spacing w:after="0"/>
              <w:rPr>
                <w:sz w:val="21"/>
                <w:szCs w:val="21"/>
                <w:color w:val="auto"/>
              </w:rPr>
            </w:pPr>
          </w:p>
        </w:tc>
        <w:tc>
          <w:tcPr>
            <w:tcW w:w="12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AYVAKIT®</w:t>
            </w:r>
          </w:p>
        </w:tc>
        <w:tc>
          <w:tcPr>
            <w:tcW w:w="1860" w:type="dxa"/>
            <w:vAlign w:val="bottom"/>
            <w:shd w:val="clear" w:color="auto" w:fill="006E96"/>
          </w:tcPr>
          <w:p>
            <w:pPr>
              <w:ind w:left="80"/>
              <w:spacing w:after="0"/>
              <w:rPr>
                <w:sz w:val="20"/>
                <w:szCs w:val="20"/>
                <w:color w:val="auto"/>
              </w:rPr>
            </w:pPr>
            <w:r>
              <w:rPr>
                <w:rFonts w:ascii="Arial" w:cs="Arial" w:eastAsia="Arial" w:hAnsi="Arial"/>
                <w:sz w:val="16"/>
                <w:szCs w:val="16"/>
                <w:color w:val="FFFFFF"/>
              </w:rPr>
              <w:t>Advanced SM</w:t>
            </w:r>
            <w:r>
              <w:rPr>
                <w:rFonts w:ascii="Arial" w:cs="Arial" w:eastAsia="Arial" w:hAnsi="Arial"/>
                <w:sz w:val="24"/>
                <w:szCs w:val="24"/>
                <w:color w:val="FFFFFF"/>
                <w:vertAlign w:val="superscript"/>
              </w:rPr>
              <w:t>1,2</w:t>
            </w:r>
          </w:p>
        </w:tc>
        <w:tc>
          <w:tcPr>
            <w:tcW w:w="1280" w:type="dxa"/>
            <w:vAlign w:val="bottom"/>
            <w:shd w:val="clear" w:color="auto" w:fill="006E96"/>
          </w:tcPr>
          <w:p>
            <w:pPr>
              <w:spacing w:after="0"/>
              <w:rPr>
                <w:sz w:val="24"/>
                <w:szCs w:val="24"/>
                <w:color w:val="auto"/>
              </w:rPr>
            </w:pPr>
          </w:p>
        </w:tc>
        <w:tc>
          <w:tcPr>
            <w:tcW w:w="1320" w:type="dxa"/>
            <w:vAlign w:val="bottom"/>
            <w:shd w:val="clear" w:color="auto" w:fill="006E96"/>
          </w:tcPr>
          <w:p>
            <w:pPr>
              <w:spacing w:after="0"/>
              <w:rPr>
                <w:sz w:val="24"/>
                <w:szCs w:val="24"/>
                <w:color w:val="auto"/>
              </w:rPr>
            </w:pPr>
          </w:p>
        </w:tc>
        <w:tc>
          <w:tcPr>
            <w:tcW w:w="1280" w:type="dxa"/>
            <w:vAlign w:val="bottom"/>
            <w:shd w:val="clear" w:color="auto" w:fill="006E96"/>
          </w:tcPr>
          <w:p>
            <w:pPr>
              <w:jc w:val="center"/>
              <w:spacing w:after="0"/>
              <w:rPr>
                <w:sz w:val="20"/>
                <w:szCs w:val="20"/>
                <w:color w:val="auto"/>
              </w:rPr>
            </w:pPr>
            <w:r>
              <w:rPr>
                <w:rFonts w:ascii="Arial" w:cs="Arial" w:eastAsia="Arial" w:hAnsi="Arial"/>
                <w:sz w:val="16"/>
                <w:szCs w:val="16"/>
                <w:color w:val="FFFFFF"/>
              </w:rPr>
              <w:t>MAA</w:t>
            </w:r>
          </w:p>
        </w:tc>
        <w:tc>
          <w:tcPr>
            <w:tcW w:w="1220" w:type="dxa"/>
            <w:vAlign w:val="bottom"/>
            <w:tcBorders>
              <w:right w:val="single" w:sz="8" w:color="55555A"/>
            </w:tcBorders>
            <w:shd w:val="clear" w:color="auto" w:fill="006E96"/>
          </w:tcPr>
          <w:p>
            <w:pPr>
              <w:jc w:val="center"/>
              <w:spacing w:after="0"/>
              <w:rPr>
                <w:sz w:val="20"/>
                <w:szCs w:val="20"/>
                <w:color w:val="auto"/>
              </w:rPr>
            </w:pPr>
            <w:r>
              <w:rPr>
                <w:rFonts w:ascii="Arial" w:cs="Arial" w:eastAsia="Arial" w:hAnsi="Arial"/>
                <w:sz w:val="16"/>
                <w:szCs w:val="16"/>
                <w:color w:val="FFFFFF"/>
                <w:w w:val="89"/>
              </w:rPr>
              <w:t>U.S.</w:t>
            </w:r>
          </w:p>
        </w:tc>
        <w:tc>
          <w:tcPr>
            <w:tcW w:w="0" w:type="dxa"/>
            <w:vAlign w:val="bottom"/>
          </w:tcPr>
          <w:p>
            <w:pPr>
              <w:spacing w:after="0"/>
              <w:rPr>
                <w:sz w:val="1"/>
                <w:szCs w:val="1"/>
                <w:color w:val="auto"/>
              </w:rPr>
            </w:pPr>
          </w:p>
        </w:tc>
      </w:tr>
      <w:tr>
        <w:trPr>
          <w:trHeight w:val="108"/>
        </w:trPr>
        <w:tc>
          <w:tcPr>
            <w:tcW w:w="1560" w:type="dxa"/>
            <w:vAlign w:val="bottom"/>
            <w:tcBorders>
              <w:left w:val="single" w:sz="8" w:color="55555A"/>
            </w:tcBorders>
            <w:vMerge w:val="restart"/>
          </w:tcPr>
          <w:p>
            <w:pPr>
              <w:ind w:left="120"/>
              <w:spacing w:after="0"/>
              <w:rPr>
                <w:sz w:val="20"/>
                <w:szCs w:val="20"/>
                <w:color w:val="auto"/>
              </w:rPr>
            </w:pPr>
            <w:r>
              <w:rPr>
                <w:rFonts w:ascii="Arial" w:cs="Arial" w:eastAsia="Arial" w:hAnsi="Arial"/>
                <w:sz w:val="16"/>
                <w:szCs w:val="16"/>
                <w:b w:val="1"/>
                <w:bCs w:val="1"/>
                <w:color w:val="auto"/>
              </w:rPr>
              <w:t>(avapritinib)</w:t>
            </w:r>
          </w:p>
        </w:tc>
        <w:tc>
          <w:tcPr>
            <w:tcW w:w="1860" w:type="dxa"/>
            <w:vAlign w:val="bottom"/>
            <w:vMerge w:val="restart"/>
            <w:shd w:val="clear" w:color="auto" w:fill="006E96"/>
          </w:tcPr>
          <w:p>
            <w:pPr>
              <w:ind w:left="80"/>
              <w:spacing w:after="0"/>
              <w:rPr>
                <w:sz w:val="20"/>
                <w:szCs w:val="20"/>
                <w:color w:val="auto"/>
              </w:rPr>
            </w:pPr>
            <w:r>
              <w:rPr>
                <w:rFonts w:ascii="Arial" w:cs="Arial" w:eastAsia="Arial" w:hAnsi="Arial"/>
                <w:sz w:val="16"/>
                <w:szCs w:val="16"/>
                <w:color w:val="FFFFFF"/>
              </w:rPr>
              <w:t>Non-advanced SM</w:t>
            </w:r>
            <w:r>
              <w:rPr>
                <w:rFonts w:ascii="Arial" w:cs="Arial" w:eastAsia="Arial" w:hAnsi="Arial"/>
                <w:sz w:val="24"/>
                <w:szCs w:val="24"/>
                <w:color w:val="FFFFFF"/>
                <w:vertAlign w:val="superscript"/>
              </w:rPr>
              <w:t>1</w:t>
            </w:r>
          </w:p>
        </w:tc>
        <w:tc>
          <w:tcPr>
            <w:tcW w:w="1280" w:type="dxa"/>
            <w:vAlign w:val="bottom"/>
            <w:shd w:val="clear" w:color="auto" w:fill="006E96"/>
          </w:tcPr>
          <w:p>
            <w:pPr>
              <w:spacing w:after="0"/>
              <w:rPr>
                <w:sz w:val="9"/>
                <w:szCs w:val="9"/>
                <w:color w:val="auto"/>
              </w:rPr>
            </w:pPr>
          </w:p>
        </w:tc>
        <w:tc>
          <w:tcPr>
            <w:tcW w:w="1320" w:type="dxa"/>
            <w:vAlign w:val="bottom"/>
            <w:shd w:val="clear" w:color="auto" w:fill="006E96"/>
          </w:tcPr>
          <w:p>
            <w:pPr>
              <w:spacing w:after="0"/>
              <w:rPr>
                <w:sz w:val="9"/>
                <w:szCs w:val="9"/>
                <w:color w:val="auto"/>
              </w:rPr>
            </w:pPr>
          </w:p>
        </w:tc>
        <w:tc>
          <w:tcPr>
            <w:tcW w:w="1280" w:type="dxa"/>
            <w:vAlign w:val="bottom"/>
            <w:shd w:val="clear" w:color="auto" w:fill="006E96"/>
          </w:tcPr>
          <w:p>
            <w:pPr>
              <w:spacing w:after="0"/>
              <w:rPr>
                <w:sz w:val="9"/>
                <w:szCs w:val="9"/>
                <w:color w:val="auto"/>
              </w:rPr>
            </w:pPr>
          </w:p>
        </w:tc>
        <w:tc>
          <w:tcPr>
            <w:tcW w:w="1220" w:type="dxa"/>
            <w:vAlign w:val="bottom"/>
            <w:tcBorders>
              <w:right w:val="single" w:sz="8" w:color="55555A"/>
            </w:tcBorders>
            <w:shd w:val="clear" w:color="auto" w:fill="006E9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60" w:type="dxa"/>
            <w:vAlign w:val="bottom"/>
            <w:tcBorders>
              <w:left w:val="single" w:sz="8" w:color="55555A"/>
            </w:tcBorders>
            <w:vMerge w:val="continue"/>
          </w:tcPr>
          <w:p>
            <w:pPr>
              <w:spacing w:after="0"/>
              <w:rPr>
                <w:sz w:val="7"/>
                <w:szCs w:val="7"/>
                <w:color w:val="auto"/>
              </w:rPr>
            </w:pPr>
          </w:p>
        </w:tc>
        <w:tc>
          <w:tcPr>
            <w:tcW w:w="1860" w:type="dxa"/>
            <w:vAlign w:val="bottom"/>
            <w:vMerge w:val="continue"/>
            <w:shd w:val="clear" w:color="auto" w:fill="006E96"/>
          </w:tcPr>
          <w:p>
            <w:pPr>
              <w:spacing w:after="0"/>
              <w:rPr>
                <w:sz w:val="7"/>
                <w:szCs w:val="7"/>
                <w:color w:val="auto"/>
              </w:rPr>
            </w:pPr>
          </w:p>
        </w:tc>
        <w:tc>
          <w:tcPr>
            <w:tcW w:w="1280" w:type="dxa"/>
            <w:vAlign w:val="bottom"/>
            <w:shd w:val="clear" w:color="auto" w:fill="006E96"/>
          </w:tcPr>
          <w:p>
            <w:pPr>
              <w:spacing w:after="0"/>
              <w:rPr>
                <w:sz w:val="7"/>
                <w:szCs w:val="7"/>
                <w:color w:val="auto"/>
              </w:rPr>
            </w:pPr>
          </w:p>
        </w:tc>
        <w:tc>
          <w:tcPr>
            <w:tcW w:w="1320" w:type="dxa"/>
            <w:vAlign w:val="bottom"/>
            <w:shd w:val="clear" w:color="auto" w:fill="006E96"/>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Borders>
              <w:right w:val="single" w:sz="8" w:color="55555A"/>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(KIT)</w:t>
            </w:r>
          </w:p>
        </w:tc>
        <w:tc>
          <w:tcPr>
            <w:tcW w:w="1860" w:type="dxa"/>
            <w:vAlign w:val="bottom"/>
            <w:vMerge w:val="continue"/>
            <w:shd w:val="clear" w:color="auto" w:fill="006E96"/>
          </w:tcPr>
          <w:p>
            <w:pPr>
              <w:spacing w:after="0"/>
              <w:rPr>
                <w:sz w:val="24"/>
                <w:szCs w:val="24"/>
                <w:color w:val="auto"/>
              </w:rPr>
            </w:pPr>
          </w:p>
        </w:tc>
        <w:tc>
          <w:tcPr>
            <w:tcW w:w="1280" w:type="dxa"/>
            <w:vAlign w:val="bottom"/>
            <w:shd w:val="clear" w:color="auto" w:fill="006E96"/>
          </w:tcPr>
          <w:p>
            <w:pPr>
              <w:spacing w:after="0"/>
              <w:rPr>
                <w:sz w:val="24"/>
                <w:szCs w:val="24"/>
                <w:color w:val="auto"/>
              </w:rPr>
            </w:pPr>
          </w:p>
        </w:tc>
        <w:tc>
          <w:tcPr>
            <w:tcW w:w="1320" w:type="dxa"/>
            <w:vAlign w:val="bottom"/>
            <w:shd w:val="clear" w:color="auto" w:fill="006E96"/>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BLU-263</w:t>
            </w:r>
          </w:p>
        </w:tc>
        <w:tc>
          <w:tcPr>
            <w:tcW w:w="1860" w:type="dxa"/>
            <w:vAlign w:val="bottom"/>
            <w:vMerge w:val="restart"/>
            <w:shd w:val="clear" w:color="auto" w:fill="006E96"/>
          </w:tcPr>
          <w:p>
            <w:pPr>
              <w:ind w:left="80"/>
              <w:spacing w:after="0"/>
              <w:rPr>
                <w:sz w:val="20"/>
                <w:szCs w:val="20"/>
                <w:color w:val="auto"/>
              </w:rPr>
            </w:pPr>
            <w:r>
              <w:rPr>
                <w:rFonts w:ascii="Arial" w:cs="Arial" w:eastAsia="Arial" w:hAnsi="Arial"/>
                <w:sz w:val="16"/>
                <w:szCs w:val="16"/>
                <w:color w:val="FFFFFF"/>
              </w:rPr>
              <w:t>Non-advanced SM</w:t>
            </w:r>
          </w:p>
        </w:tc>
        <w:tc>
          <w:tcPr>
            <w:tcW w:w="1280" w:type="dxa"/>
            <w:vAlign w:val="bottom"/>
            <w:shd w:val="clear" w:color="auto" w:fill="006E96"/>
          </w:tcPr>
          <w:p>
            <w:pPr>
              <w:spacing w:after="0"/>
              <w:rPr>
                <w:sz w:val="17"/>
                <w:szCs w:val="17"/>
                <w:color w:val="auto"/>
              </w:rPr>
            </w:pPr>
          </w:p>
        </w:tc>
        <w:tc>
          <w:tcPr>
            <w:tcW w:w="1320" w:type="dxa"/>
            <w:vAlign w:val="bottom"/>
            <w:shd w:val="clear" w:color="auto" w:fill="006E96"/>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60" w:type="dxa"/>
            <w:vAlign w:val="bottom"/>
            <w:tcBorders>
              <w:left w:val="single" w:sz="8" w:color="55555A"/>
            </w:tcBorders>
            <w:vMerge w:val="restart"/>
          </w:tcPr>
          <w:p>
            <w:pPr>
              <w:ind w:left="120"/>
              <w:spacing w:after="0"/>
              <w:rPr>
                <w:sz w:val="20"/>
                <w:szCs w:val="20"/>
                <w:color w:val="auto"/>
              </w:rPr>
            </w:pPr>
            <w:r>
              <w:rPr>
                <w:rFonts w:ascii="Arial" w:cs="Arial" w:eastAsia="Arial" w:hAnsi="Arial"/>
                <w:sz w:val="16"/>
                <w:szCs w:val="16"/>
                <w:b w:val="1"/>
                <w:bCs w:val="1"/>
                <w:color w:val="auto"/>
              </w:rPr>
              <w:t>(KIT)</w:t>
            </w:r>
          </w:p>
        </w:tc>
        <w:tc>
          <w:tcPr>
            <w:tcW w:w="1860" w:type="dxa"/>
            <w:vAlign w:val="bottom"/>
            <w:vMerge w:val="continue"/>
            <w:shd w:val="clear" w:color="auto" w:fill="006E96"/>
          </w:tcPr>
          <w:p>
            <w:pPr>
              <w:spacing w:after="0"/>
              <w:rPr>
                <w:sz w:val="10"/>
                <w:szCs w:val="10"/>
                <w:color w:val="auto"/>
              </w:rPr>
            </w:pPr>
          </w:p>
        </w:tc>
        <w:tc>
          <w:tcPr>
            <w:tcW w:w="1280" w:type="dxa"/>
            <w:vAlign w:val="bottom"/>
            <w:shd w:val="clear" w:color="auto" w:fill="006E96"/>
          </w:tcPr>
          <w:p>
            <w:pPr>
              <w:spacing w:after="0"/>
              <w:rPr>
                <w:sz w:val="10"/>
                <w:szCs w:val="10"/>
                <w:color w:val="auto"/>
              </w:rPr>
            </w:pPr>
          </w:p>
        </w:tc>
        <w:tc>
          <w:tcPr>
            <w:tcW w:w="1320" w:type="dxa"/>
            <w:vAlign w:val="bottom"/>
            <w:shd w:val="clear" w:color="auto" w:fill="006E96"/>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Borders>
              <w:right w:val="single" w:sz="8" w:color="55555A"/>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60" w:type="dxa"/>
            <w:vAlign w:val="bottom"/>
            <w:tcBorders>
              <w:left w:val="single" w:sz="8" w:color="55555A"/>
            </w:tcBorders>
            <w:vMerge w:val="continue"/>
          </w:tcPr>
          <w:p>
            <w:pPr>
              <w:spacing w:after="0"/>
              <w:rPr>
                <w:sz w:val="9"/>
                <w:szCs w:val="9"/>
                <w:color w:val="auto"/>
              </w:rPr>
            </w:pPr>
          </w:p>
        </w:tc>
        <w:tc>
          <w:tcPr>
            <w:tcW w:w="1860" w:type="dxa"/>
            <w:vAlign w:val="bottom"/>
            <w:shd w:val="clear" w:color="auto" w:fill="006E96"/>
          </w:tcPr>
          <w:p>
            <w:pPr>
              <w:spacing w:after="0"/>
              <w:rPr>
                <w:sz w:val="9"/>
                <w:szCs w:val="9"/>
                <w:color w:val="auto"/>
              </w:rPr>
            </w:pPr>
          </w:p>
        </w:tc>
        <w:tc>
          <w:tcPr>
            <w:tcW w:w="1280" w:type="dxa"/>
            <w:vAlign w:val="bottom"/>
            <w:shd w:val="clear" w:color="auto" w:fill="006E96"/>
          </w:tcPr>
          <w:p>
            <w:pPr>
              <w:spacing w:after="0"/>
              <w:rPr>
                <w:sz w:val="9"/>
                <w:szCs w:val="9"/>
                <w:color w:val="auto"/>
              </w:rPr>
            </w:pPr>
          </w:p>
        </w:tc>
        <w:tc>
          <w:tcPr>
            <w:tcW w:w="1320" w:type="dxa"/>
            <w:vAlign w:val="bottom"/>
            <w:shd w:val="clear" w:color="auto" w:fill="006E96"/>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tcBorders>
              <w:right w:val="single" w:sz="8" w:color="55555A"/>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DDD9D3"/>
          </w:tcPr>
          <w:p>
            <w:pPr>
              <w:spacing w:after="0"/>
              <w:rPr>
                <w:sz w:val="21"/>
                <w:szCs w:val="21"/>
                <w:color w:val="auto"/>
              </w:rPr>
            </w:pPr>
          </w:p>
        </w:tc>
        <w:tc>
          <w:tcPr>
            <w:tcW w:w="4460" w:type="dxa"/>
            <w:vAlign w:val="bottom"/>
            <w:gridSpan w:val="3"/>
            <w:shd w:val="clear" w:color="auto" w:fill="DDD9D3"/>
          </w:tcPr>
          <w:p>
            <w:pPr>
              <w:jc w:val="center"/>
              <w:ind w:left="859"/>
              <w:spacing w:after="0"/>
              <w:rPr>
                <w:sz w:val="20"/>
                <w:szCs w:val="20"/>
                <w:color w:val="auto"/>
              </w:rPr>
            </w:pPr>
            <w:r>
              <w:rPr>
                <w:rFonts w:ascii="Arial" w:cs="Arial" w:eastAsia="Arial" w:hAnsi="Arial"/>
                <w:sz w:val="16"/>
                <w:szCs w:val="16"/>
                <w:b w:val="1"/>
                <w:bCs w:val="1"/>
                <w:color w:val="auto"/>
                <w:w w:val="90"/>
              </w:rPr>
              <w:t>Genomically defined cancers</w:t>
            </w:r>
          </w:p>
        </w:tc>
        <w:tc>
          <w:tcPr>
            <w:tcW w:w="1280" w:type="dxa"/>
            <w:vAlign w:val="bottom"/>
            <w:shd w:val="clear" w:color="auto" w:fill="DDD9D3"/>
          </w:tcPr>
          <w:p>
            <w:pPr>
              <w:spacing w:after="0"/>
              <w:rPr>
                <w:sz w:val="21"/>
                <w:szCs w:val="21"/>
                <w:color w:val="auto"/>
              </w:rPr>
            </w:pPr>
          </w:p>
        </w:tc>
        <w:tc>
          <w:tcPr>
            <w:tcW w:w="12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AYVAKIT®</w:t>
            </w:r>
          </w:p>
        </w:tc>
        <w:tc>
          <w:tcPr>
            <w:tcW w:w="1860" w:type="dxa"/>
            <w:vAlign w:val="bottom"/>
            <w:vMerge w:val="restart"/>
            <w:shd w:val="clear" w:color="auto" w:fill="006E96"/>
          </w:tcPr>
          <w:p>
            <w:pPr>
              <w:ind w:left="80"/>
              <w:spacing w:after="0"/>
              <w:rPr>
                <w:sz w:val="20"/>
                <w:szCs w:val="20"/>
                <w:color w:val="auto"/>
              </w:rPr>
            </w:pPr>
            <w:r>
              <w:rPr>
                <w:rFonts w:ascii="Arial" w:cs="Arial" w:eastAsia="Arial" w:hAnsi="Arial"/>
                <w:sz w:val="16"/>
                <w:szCs w:val="16"/>
                <w:color w:val="FFFFFF"/>
              </w:rPr>
              <w:t>PDGFRA GIST</w:t>
            </w:r>
            <w:r>
              <w:rPr>
                <w:rFonts w:ascii="Arial" w:cs="Arial" w:eastAsia="Arial" w:hAnsi="Arial"/>
                <w:sz w:val="24"/>
                <w:szCs w:val="24"/>
                <w:color w:val="FFFFFF"/>
                <w:vertAlign w:val="superscript"/>
              </w:rPr>
              <w:t>1,3,4</w:t>
            </w:r>
          </w:p>
        </w:tc>
        <w:tc>
          <w:tcPr>
            <w:tcW w:w="1280" w:type="dxa"/>
            <w:vAlign w:val="bottom"/>
            <w:shd w:val="clear" w:color="auto" w:fill="006E96"/>
          </w:tcPr>
          <w:p>
            <w:pPr>
              <w:spacing w:after="0"/>
              <w:rPr>
                <w:sz w:val="17"/>
                <w:szCs w:val="17"/>
                <w:color w:val="auto"/>
              </w:rPr>
            </w:pPr>
          </w:p>
        </w:tc>
        <w:tc>
          <w:tcPr>
            <w:tcW w:w="1320" w:type="dxa"/>
            <w:vAlign w:val="bottom"/>
            <w:shd w:val="clear" w:color="auto" w:fill="006E96"/>
          </w:tcPr>
          <w:p>
            <w:pPr>
              <w:spacing w:after="0"/>
              <w:rPr>
                <w:sz w:val="17"/>
                <w:szCs w:val="17"/>
                <w:color w:val="auto"/>
              </w:rPr>
            </w:pPr>
          </w:p>
        </w:tc>
        <w:tc>
          <w:tcPr>
            <w:tcW w:w="1280" w:type="dxa"/>
            <w:vAlign w:val="bottom"/>
            <w:shd w:val="clear" w:color="auto" w:fill="006E96"/>
          </w:tcPr>
          <w:p>
            <w:pPr>
              <w:spacing w:after="0"/>
              <w:rPr>
                <w:sz w:val="17"/>
                <w:szCs w:val="17"/>
                <w:color w:val="auto"/>
              </w:rPr>
            </w:pPr>
          </w:p>
        </w:tc>
        <w:tc>
          <w:tcPr>
            <w:tcW w:w="1220" w:type="dxa"/>
            <w:vAlign w:val="bottom"/>
            <w:tcBorders>
              <w:right w:val="single" w:sz="8" w:color="55555A"/>
            </w:tcBorders>
            <w:shd w:val="clear" w:color="auto" w:fill="006E9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(avapritinib)</w:t>
            </w:r>
          </w:p>
        </w:tc>
        <w:tc>
          <w:tcPr>
            <w:tcW w:w="1860" w:type="dxa"/>
            <w:vAlign w:val="bottom"/>
            <w:vMerge w:val="continue"/>
            <w:shd w:val="clear" w:color="auto" w:fill="006E96"/>
          </w:tcPr>
          <w:p>
            <w:pPr>
              <w:spacing w:after="0"/>
              <w:rPr>
                <w:sz w:val="16"/>
                <w:szCs w:val="16"/>
                <w:color w:val="auto"/>
              </w:rPr>
            </w:pPr>
          </w:p>
        </w:tc>
        <w:tc>
          <w:tcPr>
            <w:tcW w:w="1280" w:type="dxa"/>
            <w:vAlign w:val="bottom"/>
            <w:shd w:val="clear" w:color="auto" w:fill="006E96"/>
          </w:tcPr>
          <w:p>
            <w:pPr>
              <w:spacing w:after="0"/>
              <w:rPr>
                <w:sz w:val="16"/>
                <w:szCs w:val="16"/>
                <w:color w:val="auto"/>
              </w:rPr>
            </w:pPr>
          </w:p>
        </w:tc>
        <w:tc>
          <w:tcPr>
            <w:tcW w:w="1320" w:type="dxa"/>
            <w:vAlign w:val="bottom"/>
            <w:shd w:val="clear" w:color="auto" w:fill="006E96"/>
          </w:tcPr>
          <w:p>
            <w:pPr>
              <w:spacing w:after="0"/>
              <w:rPr>
                <w:sz w:val="16"/>
                <w:szCs w:val="16"/>
                <w:color w:val="auto"/>
              </w:rPr>
            </w:pPr>
          </w:p>
        </w:tc>
        <w:tc>
          <w:tcPr>
            <w:tcW w:w="1280" w:type="dxa"/>
            <w:vAlign w:val="bottom"/>
            <w:shd w:val="clear" w:color="auto" w:fill="006E96"/>
          </w:tcPr>
          <w:p>
            <w:pPr>
              <w:spacing w:after="0"/>
              <w:rPr>
                <w:sz w:val="16"/>
                <w:szCs w:val="16"/>
                <w:color w:val="auto"/>
              </w:rPr>
            </w:pPr>
          </w:p>
        </w:tc>
        <w:tc>
          <w:tcPr>
            <w:tcW w:w="1220" w:type="dxa"/>
            <w:vAlign w:val="bottom"/>
            <w:tcBorders>
              <w:right w:val="single" w:sz="8" w:color="55555A"/>
            </w:tcBorders>
            <w:shd w:val="clear" w:color="auto" w:fill="006E96"/>
          </w:tcPr>
          <w:p>
            <w:pPr>
              <w:jc w:val="center"/>
              <w:spacing w:after="0"/>
              <w:rPr>
                <w:sz w:val="20"/>
                <w:szCs w:val="20"/>
                <w:color w:val="auto"/>
              </w:rPr>
            </w:pPr>
            <w:r>
              <w:rPr>
                <w:rFonts w:ascii="Arial" w:cs="Arial" w:eastAsia="Arial" w:hAnsi="Arial"/>
                <w:sz w:val="16"/>
                <w:szCs w:val="16"/>
                <w:color w:val="FFFFFF"/>
                <w:w w:val="91"/>
              </w:rPr>
              <w:t>U.S., Europe</w:t>
            </w:r>
          </w:p>
        </w:tc>
        <w:tc>
          <w:tcPr>
            <w:tcW w:w="0" w:type="dxa"/>
            <w:vAlign w:val="bottom"/>
          </w:tcPr>
          <w:p>
            <w:pPr>
              <w:spacing w:after="0"/>
              <w:rPr>
                <w:sz w:val="1"/>
                <w:szCs w:val="1"/>
                <w:color w:val="auto"/>
              </w:rPr>
            </w:pPr>
          </w:p>
        </w:tc>
      </w:tr>
      <w:tr>
        <w:trPr>
          <w:trHeight w:val="230"/>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(PDGFRA)</w:t>
            </w:r>
          </w:p>
        </w:tc>
        <w:tc>
          <w:tcPr>
            <w:tcW w:w="1860" w:type="dxa"/>
            <w:vAlign w:val="bottom"/>
            <w:shd w:val="clear" w:color="auto" w:fill="006E96"/>
          </w:tcPr>
          <w:p>
            <w:pPr>
              <w:spacing w:after="0"/>
              <w:rPr>
                <w:sz w:val="19"/>
                <w:szCs w:val="19"/>
                <w:color w:val="auto"/>
              </w:rPr>
            </w:pPr>
          </w:p>
        </w:tc>
        <w:tc>
          <w:tcPr>
            <w:tcW w:w="1280" w:type="dxa"/>
            <w:vAlign w:val="bottom"/>
            <w:shd w:val="clear" w:color="auto" w:fill="006E96"/>
          </w:tcPr>
          <w:p>
            <w:pPr>
              <w:spacing w:after="0"/>
              <w:rPr>
                <w:sz w:val="19"/>
                <w:szCs w:val="19"/>
                <w:color w:val="auto"/>
              </w:rPr>
            </w:pPr>
          </w:p>
        </w:tc>
        <w:tc>
          <w:tcPr>
            <w:tcW w:w="1320" w:type="dxa"/>
            <w:vAlign w:val="bottom"/>
            <w:shd w:val="clear" w:color="auto" w:fill="006E96"/>
          </w:tcPr>
          <w:p>
            <w:pPr>
              <w:spacing w:after="0"/>
              <w:rPr>
                <w:sz w:val="19"/>
                <w:szCs w:val="19"/>
                <w:color w:val="auto"/>
              </w:rPr>
            </w:pPr>
          </w:p>
        </w:tc>
        <w:tc>
          <w:tcPr>
            <w:tcW w:w="1280" w:type="dxa"/>
            <w:vAlign w:val="bottom"/>
            <w:shd w:val="clear" w:color="auto" w:fill="006E96"/>
          </w:tcPr>
          <w:p>
            <w:pPr>
              <w:spacing w:after="0"/>
              <w:rPr>
                <w:sz w:val="19"/>
                <w:szCs w:val="19"/>
                <w:color w:val="auto"/>
              </w:rPr>
            </w:pPr>
          </w:p>
        </w:tc>
        <w:tc>
          <w:tcPr>
            <w:tcW w:w="1220" w:type="dxa"/>
            <w:vAlign w:val="bottom"/>
            <w:tcBorders>
              <w:right w:val="single" w:sz="8" w:color="55555A"/>
            </w:tcBorders>
            <w:shd w:val="clear" w:color="auto" w:fill="006E9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1560" w:type="dxa"/>
            <w:vAlign w:val="bottom"/>
            <w:tcBorders>
              <w:left w:val="single" w:sz="8" w:color="55555A"/>
            </w:tcBorders>
            <w:vMerge w:val="restart"/>
          </w:tcPr>
          <w:p>
            <w:pPr>
              <w:ind w:left="120"/>
              <w:spacing w:after="0"/>
              <w:rPr>
                <w:sz w:val="20"/>
                <w:szCs w:val="20"/>
                <w:color w:val="auto"/>
              </w:rPr>
            </w:pPr>
            <w:r>
              <w:rPr>
                <w:rFonts w:ascii="Arial" w:cs="Arial" w:eastAsia="Arial" w:hAnsi="Arial"/>
                <w:sz w:val="16"/>
                <w:szCs w:val="16"/>
                <w:b w:val="1"/>
                <w:bCs w:val="1"/>
                <w:color w:val="auto"/>
              </w:rPr>
              <w:t>GAVRETO®</w:t>
            </w:r>
          </w:p>
        </w:tc>
        <w:tc>
          <w:tcPr>
            <w:tcW w:w="1860" w:type="dxa"/>
            <w:vAlign w:val="bottom"/>
            <w:shd w:val="clear" w:color="auto" w:fill="006E96"/>
          </w:tcPr>
          <w:p>
            <w:pPr>
              <w:ind w:left="80"/>
              <w:spacing w:after="0"/>
              <w:rPr>
                <w:sz w:val="20"/>
                <w:szCs w:val="20"/>
                <w:color w:val="auto"/>
              </w:rPr>
            </w:pPr>
            <w:r>
              <w:rPr>
                <w:rFonts w:ascii="Arial" w:cs="Arial" w:eastAsia="Arial" w:hAnsi="Arial"/>
                <w:sz w:val="16"/>
                <w:szCs w:val="16"/>
                <w:color w:val="FFFFFF"/>
              </w:rPr>
              <w:t>RET+ NSCLC</w:t>
            </w:r>
            <w:r>
              <w:rPr>
                <w:rFonts w:ascii="Arial" w:cs="Arial" w:eastAsia="Arial" w:hAnsi="Arial"/>
                <w:sz w:val="24"/>
                <w:szCs w:val="24"/>
                <w:color w:val="FFFFFF"/>
                <w:vertAlign w:val="superscript"/>
              </w:rPr>
              <w:t>1,3,5,6</w:t>
            </w:r>
          </w:p>
        </w:tc>
        <w:tc>
          <w:tcPr>
            <w:tcW w:w="1280" w:type="dxa"/>
            <w:vAlign w:val="bottom"/>
            <w:shd w:val="clear" w:color="auto" w:fill="006E96"/>
          </w:tcPr>
          <w:p>
            <w:pPr>
              <w:spacing w:after="0"/>
              <w:rPr>
                <w:sz w:val="24"/>
                <w:szCs w:val="24"/>
                <w:color w:val="auto"/>
              </w:rPr>
            </w:pPr>
          </w:p>
        </w:tc>
        <w:tc>
          <w:tcPr>
            <w:tcW w:w="1320" w:type="dxa"/>
            <w:vAlign w:val="bottom"/>
            <w:shd w:val="clear" w:color="auto" w:fill="006E96"/>
          </w:tcPr>
          <w:p>
            <w:pPr>
              <w:spacing w:after="0"/>
              <w:rPr>
                <w:sz w:val="24"/>
                <w:szCs w:val="24"/>
                <w:color w:val="auto"/>
              </w:rPr>
            </w:pPr>
          </w:p>
        </w:tc>
        <w:tc>
          <w:tcPr>
            <w:tcW w:w="1280" w:type="dxa"/>
            <w:vAlign w:val="bottom"/>
            <w:shd w:val="clear" w:color="auto" w:fill="006E96"/>
          </w:tcPr>
          <w:p>
            <w:pPr>
              <w:spacing w:after="0"/>
              <w:rPr>
                <w:sz w:val="24"/>
                <w:szCs w:val="24"/>
                <w:color w:val="auto"/>
              </w:rPr>
            </w:pPr>
          </w:p>
        </w:tc>
        <w:tc>
          <w:tcPr>
            <w:tcW w:w="1220" w:type="dxa"/>
            <w:vAlign w:val="bottom"/>
            <w:tcBorders>
              <w:right w:val="single" w:sz="8" w:color="55555A"/>
            </w:tcBorders>
            <w:shd w:val="clear" w:color="auto" w:fill="006E96"/>
          </w:tcPr>
          <w:p>
            <w:pPr>
              <w:jc w:val="center"/>
              <w:spacing w:after="0"/>
              <w:rPr>
                <w:sz w:val="20"/>
                <w:szCs w:val="20"/>
                <w:color w:val="auto"/>
              </w:rPr>
            </w:pPr>
            <w:r>
              <w:rPr>
                <w:rFonts w:ascii="Arial" w:cs="Arial" w:eastAsia="Arial" w:hAnsi="Arial"/>
                <w:sz w:val="16"/>
                <w:szCs w:val="16"/>
                <w:color w:val="FFFFFF"/>
                <w:w w:val="91"/>
              </w:rPr>
              <w:t>U.S., Europe</w:t>
            </w:r>
          </w:p>
        </w:tc>
        <w:tc>
          <w:tcPr>
            <w:tcW w:w="0" w:type="dxa"/>
            <w:vAlign w:val="bottom"/>
          </w:tcPr>
          <w:p>
            <w:pPr>
              <w:spacing w:after="0"/>
              <w:rPr>
                <w:sz w:val="1"/>
                <w:szCs w:val="1"/>
                <w:color w:val="auto"/>
              </w:rPr>
            </w:pPr>
          </w:p>
        </w:tc>
      </w:tr>
      <w:tr>
        <w:trPr>
          <w:trHeight w:val="85"/>
        </w:trPr>
        <w:tc>
          <w:tcPr>
            <w:tcW w:w="1560" w:type="dxa"/>
            <w:vAlign w:val="bottom"/>
            <w:tcBorders>
              <w:left w:val="single" w:sz="8" w:color="55555A"/>
            </w:tcBorders>
            <w:vMerge w:val="continue"/>
          </w:tcPr>
          <w:p>
            <w:pPr>
              <w:spacing w:after="0"/>
              <w:rPr>
                <w:sz w:val="7"/>
                <w:szCs w:val="7"/>
                <w:color w:val="auto"/>
              </w:rPr>
            </w:pPr>
          </w:p>
        </w:tc>
        <w:tc>
          <w:tcPr>
            <w:tcW w:w="1860" w:type="dxa"/>
            <w:vAlign w:val="bottom"/>
            <w:vMerge w:val="restart"/>
            <w:shd w:val="clear" w:color="auto" w:fill="006E96"/>
          </w:tcPr>
          <w:p>
            <w:pPr>
              <w:ind w:left="80"/>
              <w:spacing w:after="0" w:line="274" w:lineRule="exact"/>
              <w:rPr>
                <w:sz w:val="20"/>
                <w:szCs w:val="20"/>
                <w:color w:val="auto"/>
              </w:rPr>
            </w:pPr>
            <w:r>
              <w:rPr>
                <w:rFonts w:ascii="Arial" w:cs="Arial" w:eastAsia="Arial" w:hAnsi="Arial"/>
                <w:sz w:val="16"/>
                <w:szCs w:val="16"/>
                <w:color w:val="FFFFFF"/>
                <w:w w:val="90"/>
              </w:rPr>
              <w:t>RET+ thyroid cancer</w:t>
            </w:r>
            <w:r>
              <w:rPr>
                <w:rFonts w:ascii="Arial" w:cs="Arial" w:eastAsia="Arial" w:hAnsi="Arial"/>
                <w:sz w:val="24"/>
                <w:szCs w:val="24"/>
                <w:color w:val="FFFFFF"/>
                <w:w w:val="90"/>
                <w:vertAlign w:val="superscript"/>
              </w:rPr>
              <w:t>1,3,5,7</w:t>
            </w:r>
          </w:p>
        </w:tc>
        <w:tc>
          <w:tcPr>
            <w:tcW w:w="1280" w:type="dxa"/>
            <w:vAlign w:val="bottom"/>
            <w:shd w:val="clear" w:color="auto" w:fill="006E96"/>
          </w:tcPr>
          <w:p>
            <w:pPr>
              <w:spacing w:after="0"/>
              <w:rPr>
                <w:sz w:val="7"/>
                <w:szCs w:val="7"/>
                <w:color w:val="auto"/>
              </w:rPr>
            </w:pPr>
          </w:p>
        </w:tc>
        <w:tc>
          <w:tcPr>
            <w:tcW w:w="1320" w:type="dxa"/>
            <w:vAlign w:val="bottom"/>
            <w:shd w:val="clear" w:color="auto" w:fill="006E96"/>
          </w:tcPr>
          <w:p>
            <w:pPr>
              <w:spacing w:after="0"/>
              <w:rPr>
                <w:sz w:val="7"/>
                <w:szCs w:val="7"/>
                <w:color w:val="auto"/>
              </w:rPr>
            </w:pPr>
          </w:p>
        </w:tc>
        <w:tc>
          <w:tcPr>
            <w:tcW w:w="1280" w:type="dxa"/>
            <w:vAlign w:val="bottom"/>
            <w:shd w:val="clear" w:color="auto" w:fill="006E96"/>
          </w:tcPr>
          <w:p>
            <w:pPr>
              <w:spacing w:after="0"/>
              <w:rPr>
                <w:sz w:val="7"/>
                <w:szCs w:val="7"/>
                <w:color w:val="auto"/>
              </w:rPr>
            </w:pPr>
          </w:p>
        </w:tc>
        <w:tc>
          <w:tcPr>
            <w:tcW w:w="1220" w:type="dxa"/>
            <w:vAlign w:val="bottom"/>
            <w:tcBorders>
              <w:right w:val="single" w:sz="8" w:color="55555A"/>
            </w:tcBorders>
            <w:shd w:val="clear" w:color="auto" w:fill="006E9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(pralsetinib)</w:t>
            </w:r>
          </w:p>
        </w:tc>
        <w:tc>
          <w:tcPr>
            <w:tcW w:w="1860" w:type="dxa"/>
            <w:vAlign w:val="bottom"/>
            <w:vMerge w:val="continue"/>
            <w:shd w:val="clear" w:color="auto" w:fill="006E96"/>
          </w:tcPr>
          <w:p>
            <w:pPr>
              <w:spacing w:after="0"/>
              <w:rPr>
                <w:sz w:val="16"/>
                <w:szCs w:val="16"/>
                <w:color w:val="auto"/>
              </w:rPr>
            </w:pPr>
          </w:p>
        </w:tc>
        <w:tc>
          <w:tcPr>
            <w:tcW w:w="1280" w:type="dxa"/>
            <w:vAlign w:val="bottom"/>
            <w:shd w:val="clear" w:color="auto" w:fill="006E96"/>
          </w:tcPr>
          <w:p>
            <w:pPr>
              <w:spacing w:after="0"/>
              <w:rPr>
                <w:sz w:val="16"/>
                <w:szCs w:val="16"/>
                <w:color w:val="auto"/>
              </w:rPr>
            </w:pPr>
          </w:p>
        </w:tc>
        <w:tc>
          <w:tcPr>
            <w:tcW w:w="1320" w:type="dxa"/>
            <w:vAlign w:val="bottom"/>
            <w:shd w:val="clear" w:color="auto" w:fill="006E96"/>
          </w:tcPr>
          <w:p>
            <w:pPr>
              <w:spacing w:after="0"/>
              <w:rPr>
                <w:sz w:val="16"/>
                <w:szCs w:val="16"/>
                <w:color w:val="auto"/>
              </w:rPr>
            </w:pPr>
          </w:p>
        </w:tc>
        <w:tc>
          <w:tcPr>
            <w:tcW w:w="1280" w:type="dxa"/>
            <w:vAlign w:val="bottom"/>
            <w:shd w:val="clear" w:color="auto" w:fill="006E96"/>
          </w:tcPr>
          <w:p>
            <w:pPr>
              <w:jc w:val="center"/>
              <w:spacing w:after="0"/>
              <w:rPr>
                <w:sz w:val="20"/>
                <w:szCs w:val="20"/>
                <w:color w:val="auto"/>
              </w:rPr>
            </w:pPr>
            <w:r>
              <w:rPr>
                <w:rFonts w:ascii="Arial" w:cs="Arial" w:eastAsia="Arial" w:hAnsi="Arial"/>
                <w:sz w:val="16"/>
                <w:szCs w:val="16"/>
                <w:color w:val="FFFFFF"/>
              </w:rPr>
              <w:t>MAA</w:t>
            </w:r>
          </w:p>
        </w:tc>
        <w:tc>
          <w:tcPr>
            <w:tcW w:w="1220" w:type="dxa"/>
            <w:vAlign w:val="bottom"/>
            <w:tcBorders>
              <w:right w:val="single" w:sz="8" w:color="55555A"/>
            </w:tcBorders>
            <w:shd w:val="clear" w:color="auto" w:fill="006E96"/>
          </w:tcPr>
          <w:p>
            <w:pPr>
              <w:jc w:val="center"/>
              <w:spacing w:after="0"/>
              <w:rPr>
                <w:sz w:val="20"/>
                <w:szCs w:val="20"/>
                <w:color w:val="auto"/>
              </w:rPr>
            </w:pPr>
            <w:r>
              <w:rPr>
                <w:rFonts w:ascii="Arial" w:cs="Arial" w:eastAsia="Arial" w:hAnsi="Arial"/>
                <w:sz w:val="16"/>
                <w:szCs w:val="16"/>
                <w:color w:val="FFFFFF"/>
                <w:w w:val="89"/>
              </w:rPr>
              <w:t>U.S.</w:t>
            </w:r>
          </w:p>
        </w:tc>
        <w:tc>
          <w:tcPr>
            <w:tcW w:w="0" w:type="dxa"/>
            <w:vAlign w:val="bottom"/>
          </w:tcPr>
          <w:p>
            <w:pPr>
              <w:spacing w:after="0"/>
              <w:rPr>
                <w:sz w:val="1"/>
                <w:szCs w:val="1"/>
                <w:color w:val="auto"/>
              </w:rPr>
            </w:pPr>
          </w:p>
        </w:tc>
      </w:tr>
      <w:tr>
        <w:trPr>
          <w:trHeight w:val="122"/>
        </w:trPr>
        <w:tc>
          <w:tcPr>
            <w:tcW w:w="1560" w:type="dxa"/>
            <w:vAlign w:val="bottom"/>
            <w:tcBorders>
              <w:left w:val="single" w:sz="8" w:color="55555A"/>
            </w:tcBorders>
            <w:vMerge w:val="restart"/>
          </w:tcPr>
          <w:p>
            <w:pPr>
              <w:ind w:left="120"/>
              <w:spacing w:after="0"/>
              <w:rPr>
                <w:sz w:val="20"/>
                <w:szCs w:val="20"/>
                <w:color w:val="auto"/>
              </w:rPr>
            </w:pPr>
            <w:r>
              <w:rPr>
                <w:rFonts w:ascii="Arial" w:cs="Arial" w:eastAsia="Arial" w:hAnsi="Arial"/>
                <w:sz w:val="16"/>
                <w:szCs w:val="16"/>
                <w:b w:val="1"/>
                <w:bCs w:val="1"/>
                <w:color w:val="auto"/>
              </w:rPr>
              <w:t>(RET)</w:t>
            </w:r>
          </w:p>
        </w:tc>
        <w:tc>
          <w:tcPr>
            <w:tcW w:w="3140" w:type="dxa"/>
            <w:vAlign w:val="bottom"/>
            <w:gridSpan w:val="2"/>
            <w:vMerge w:val="restart"/>
            <w:shd w:val="clear" w:color="auto" w:fill="006E96"/>
          </w:tcPr>
          <w:p>
            <w:pPr>
              <w:ind w:left="80"/>
              <w:spacing w:after="0"/>
              <w:rPr>
                <w:sz w:val="20"/>
                <w:szCs w:val="20"/>
                <w:color w:val="auto"/>
              </w:rPr>
            </w:pPr>
            <w:r>
              <w:rPr>
                <w:rFonts w:ascii="Arial" w:cs="Arial" w:eastAsia="Arial" w:hAnsi="Arial"/>
                <w:sz w:val="16"/>
                <w:szCs w:val="16"/>
                <w:color w:val="FFFFFF"/>
              </w:rPr>
              <w:t>Other RET+ solid tumors</w:t>
            </w:r>
            <w:r>
              <w:rPr>
                <w:rFonts w:ascii="Arial" w:cs="Arial" w:eastAsia="Arial" w:hAnsi="Arial"/>
                <w:sz w:val="24"/>
                <w:szCs w:val="24"/>
                <w:color w:val="FFFFFF"/>
                <w:vertAlign w:val="superscript"/>
              </w:rPr>
              <w:t>1,3,5</w:t>
            </w:r>
          </w:p>
        </w:tc>
        <w:tc>
          <w:tcPr>
            <w:tcW w:w="1320" w:type="dxa"/>
            <w:vAlign w:val="bottom"/>
            <w:shd w:val="clear" w:color="auto" w:fill="006E96"/>
          </w:tcPr>
          <w:p>
            <w:pPr>
              <w:spacing w:after="0"/>
              <w:rPr>
                <w:sz w:val="10"/>
                <w:szCs w:val="10"/>
                <w:color w:val="auto"/>
              </w:rPr>
            </w:pPr>
          </w:p>
        </w:tc>
        <w:tc>
          <w:tcPr>
            <w:tcW w:w="1280" w:type="dxa"/>
            <w:vAlign w:val="bottom"/>
            <w:shd w:val="clear" w:color="auto" w:fill="006E96"/>
          </w:tcPr>
          <w:p>
            <w:pPr>
              <w:spacing w:after="0"/>
              <w:rPr>
                <w:sz w:val="10"/>
                <w:szCs w:val="10"/>
                <w:color w:val="auto"/>
              </w:rPr>
            </w:pPr>
          </w:p>
        </w:tc>
        <w:tc>
          <w:tcPr>
            <w:tcW w:w="1220" w:type="dxa"/>
            <w:vAlign w:val="bottom"/>
            <w:tcBorders>
              <w:right w:val="single" w:sz="8" w:color="55555A"/>
            </w:tcBorders>
            <w:shd w:val="clear" w:color="auto" w:fill="006E96"/>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560" w:type="dxa"/>
            <w:vAlign w:val="bottom"/>
            <w:tcBorders>
              <w:left w:val="single" w:sz="8" w:color="55555A"/>
            </w:tcBorders>
            <w:vMerge w:val="continue"/>
          </w:tcPr>
          <w:p>
            <w:pPr>
              <w:spacing w:after="0"/>
              <w:rPr>
                <w:sz w:val="7"/>
                <w:szCs w:val="7"/>
                <w:color w:val="auto"/>
              </w:rPr>
            </w:pPr>
          </w:p>
        </w:tc>
        <w:tc>
          <w:tcPr>
            <w:tcW w:w="3140" w:type="dxa"/>
            <w:vAlign w:val="bottom"/>
            <w:gridSpan w:val="2"/>
            <w:vMerge w:val="continue"/>
            <w:shd w:val="clear" w:color="auto" w:fill="006E96"/>
          </w:tcPr>
          <w:p>
            <w:pPr>
              <w:spacing w:after="0"/>
              <w:rPr>
                <w:sz w:val="7"/>
                <w:szCs w:val="7"/>
                <w:color w:val="auto"/>
              </w:rPr>
            </w:pPr>
          </w:p>
        </w:tc>
        <w:tc>
          <w:tcPr>
            <w:tcW w:w="1320" w:type="dxa"/>
            <w:vAlign w:val="bottom"/>
            <w:shd w:val="clear" w:color="auto" w:fill="006E96"/>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Borders>
              <w:right w:val="single" w:sz="8" w:color="55555A"/>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1560" w:type="dxa"/>
            <w:vAlign w:val="bottom"/>
            <w:tcBorders>
              <w:left w:val="single" w:sz="8" w:color="55555A"/>
            </w:tcBorders>
          </w:tcPr>
          <w:p>
            <w:pPr>
              <w:spacing w:after="0"/>
              <w:rPr>
                <w:sz w:val="24"/>
                <w:szCs w:val="24"/>
                <w:color w:val="auto"/>
              </w:rPr>
            </w:pPr>
          </w:p>
        </w:tc>
        <w:tc>
          <w:tcPr>
            <w:tcW w:w="3140" w:type="dxa"/>
            <w:vAlign w:val="bottom"/>
            <w:gridSpan w:val="2"/>
            <w:vMerge w:val="continue"/>
            <w:shd w:val="clear" w:color="auto" w:fill="006E96"/>
          </w:tcPr>
          <w:p>
            <w:pPr>
              <w:spacing w:after="0"/>
              <w:rPr>
                <w:sz w:val="24"/>
                <w:szCs w:val="24"/>
                <w:color w:val="auto"/>
              </w:rPr>
            </w:pPr>
          </w:p>
        </w:tc>
        <w:tc>
          <w:tcPr>
            <w:tcW w:w="1320" w:type="dxa"/>
            <w:vAlign w:val="bottom"/>
            <w:shd w:val="clear" w:color="auto" w:fill="006E96"/>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BLU-701 (EGFR)</w:t>
            </w:r>
          </w:p>
        </w:tc>
        <w:tc>
          <w:tcPr>
            <w:tcW w:w="1860" w:type="dxa"/>
            <w:vAlign w:val="bottom"/>
            <w:shd w:val="clear" w:color="auto" w:fill="006E96"/>
          </w:tcPr>
          <w:p>
            <w:pPr>
              <w:ind w:left="80"/>
              <w:spacing w:after="0"/>
              <w:rPr>
                <w:sz w:val="20"/>
                <w:szCs w:val="20"/>
                <w:color w:val="auto"/>
              </w:rPr>
            </w:pPr>
            <w:r>
              <w:rPr>
                <w:rFonts w:ascii="Arial" w:cs="Arial" w:eastAsia="Arial" w:hAnsi="Arial"/>
                <w:sz w:val="16"/>
                <w:szCs w:val="16"/>
                <w:color w:val="FFFFFF"/>
              </w:rPr>
              <w:t>EGFR+ NSCLC</w:t>
            </w:r>
            <w:r>
              <w:rPr>
                <w:rFonts w:ascii="Arial" w:cs="Arial" w:eastAsia="Arial" w:hAnsi="Arial"/>
                <w:sz w:val="24"/>
                <w:szCs w:val="24"/>
                <w:color w:val="FFFFFF"/>
                <w:vertAlign w:val="superscript"/>
              </w:rPr>
              <w:t>3,8</w:t>
            </w:r>
          </w:p>
        </w:tc>
        <w:tc>
          <w:tcPr>
            <w:tcW w:w="1280" w:type="dxa"/>
            <w:vAlign w:val="bottom"/>
            <w:shd w:val="clear" w:color="auto" w:fill="006E96"/>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BLU-945 (EGFR)</w:t>
            </w:r>
          </w:p>
        </w:tc>
        <w:tc>
          <w:tcPr>
            <w:tcW w:w="1860" w:type="dxa"/>
            <w:vAlign w:val="bottom"/>
            <w:shd w:val="clear" w:color="auto" w:fill="006E96"/>
          </w:tcPr>
          <w:p>
            <w:pPr>
              <w:ind w:left="80"/>
              <w:spacing w:after="0"/>
              <w:rPr>
                <w:sz w:val="20"/>
                <w:szCs w:val="20"/>
                <w:color w:val="auto"/>
              </w:rPr>
            </w:pPr>
            <w:r>
              <w:rPr>
                <w:rFonts w:ascii="Arial" w:cs="Arial" w:eastAsia="Arial" w:hAnsi="Arial"/>
                <w:sz w:val="16"/>
                <w:szCs w:val="16"/>
                <w:color w:val="FFFFFF"/>
              </w:rPr>
              <w:t>EGFR+ NSCLC</w:t>
            </w:r>
            <w:r>
              <w:rPr>
                <w:rFonts w:ascii="Arial" w:cs="Arial" w:eastAsia="Arial" w:hAnsi="Arial"/>
                <w:sz w:val="24"/>
                <w:szCs w:val="24"/>
                <w:color w:val="FFFFFF"/>
                <w:vertAlign w:val="superscript"/>
              </w:rPr>
              <w:t>3,8</w:t>
            </w:r>
          </w:p>
        </w:tc>
        <w:tc>
          <w:tcPr>
            <w:tcW w:w="1280" w:type="dxa"/>
            <w:vAlign w:val="bottom"/>
            <w:shd w:val="clear" w:color="auto" w:fill="006E96"/>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BLU-451 (EGFR</w:t>
            </w:r>
          </w:p>
        </w:tc>
        <w:tc>
          <w:tcPr>
            <w:tcW w:w="1860" w:type="dxa"/>
            <w:vAlign w:val="bottom"/>
            <w:shd w:val="clear" w:color="auto" w:fill="006E96"/>
          </w:tcPr>
          <w:p>
            <w:pPr>
              <w:ind w:left="80"/>
              <w:spacing w:after="0" w:line="257" w:lineRule="exact"/>
              <w:rPr>
                <w:sz w:val="20"/>
                <w:szCs w:val="20"/>
                <w:color w:val="auto"/>
              </w:rPr>
            </w:pPr>
            <w:r>
              <w:rPr>
                <w:rFonts w:ascii="Arial" w:cs="Arial" w:eastAsia="Arial" w:hAnsi="Arial"/>
                <w:sz w:val="16"/>
                <w:szCs w:val="16"/>
                <w:color w:val="FFFFFF"/>
              </w:rPr>
              <w:t>EGFR+ NSCLC</w:t>
            </w:r>
            <w:r>
              <w:rPr>
                <w:rFonts w:ascii="Arial" w:cs="Arial" w:eastAsia="Arial" w:hAnsi="Arial"/>
                <w:sz w:val="24"/>
                <w:szCs w:val="24"/>
                <w:color w:val="FFFFFF"/>
                <w:vertAlign w:val="superscript"/>
              </w:rPr>
              <w:t>3</w:t>
            </w:r>
          </w:p>
        </w:tc>
        <w:tc>
          <w:tcPr>
            <w:tcW w:w="1280" w:type="dxa"/>
            <w:vAlign w:val="bottom"/>
            <w:shd w:val="clear" w:color="auto" w:fill="65A1B8"/>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Borders>
              <w:right w:val="single" w:sz="8" w:color="55555A"/>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560" w:type="dxa"/>
            <w:vAlign w:val="bottom"/>
            <w:tcBorders>
              <w:left w:val="single" w:sz="8" w:color="55555A"/>
            </w:tcBorders>
          </w:tcPr>
          <w:p>
            <w:pPr>
              <w:ind w:left="120"/>
              <w:spacing w:after="0" w:line="175" w:lineRule="exact"/>
              <w:rPr>
                <w:sz w:val="20"/>
                <w:szCs w:val="20"/>
                <w:color w:val="auto"/>
              </w:rPr>
            </w:pPr>
            <w:r>
              <w:rPr>
                <w:rFonts w:ascii="Arial" w:cs="Arial" w:eastAsia="Arial" w:hAnsi="Arial"/>
                <w:sz w:val="16"/>
                <w:szCs w:val="16"/>
                <w:b w:val="1"/>
                <w:bCs w:val="1"/>
                <w:color w:val="auto"/>
                <w:w w:val="97"/>
              </w:rPr>
              <w:t>exon 20 insertions)</w:t>
            </w:r>
          </w:p>
        </w:tc>
        <w:tc>
          <w:tcPr>
            <w:tcW w:w="1860" w:type="dxa"/>
            <w:vAlign w:val="bottom"/>
            <w:shd w:val="clear" w:color="auto" w:fill="006E96"/>
          </w:tcPr>
          <w:p>
            <w:pPr>
              <w:spacing w:after="0"/>
              <w:rPr>
                <w:sz w:val="15"/>
                <w:szCs w:val="15"/>
                <w:color w:val="auto"/>
              </w:rPr>
            </w:pPr>
          </w:p>
        </w:tc>
        <w:tc>
          <w:tcPr>
            <w:tcW w:w="1280" w:type="dxa"/>
            <w:vAlign w:val="bottom"/>
            <w:shd w:val="clear" w:color="auto" w:fill="65A1B8"/>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Borders>
              <w:right w:val="single" w:sz="8" w:color="55555A"/>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320" w:type="dxa"/>
            <w:vAlign w:val="bottom"/>
            <w:shd w:val="clear" w:color="auto" w:fill="EDEDED"/>
          </w:tcPr>
          <w:p>
            <w:pPr>
              <w:spacing w:after="0"/>
              <w:rPr>
                <w:sz w:val="21"/>
                <w:szCs w:val="21"/>
                <w:color w:val="auto"/>
              </w:rPr>
            </w:pPr>
          </w:p>
        </w:tc>
        <w:tc>
          <w:tcPr>
            <w:tcW w:w="1280" w:type="dxa"/>
            <w:vAlign w:val="bottom"/>
            <w:shd w:val="clear" w:color="auto" w:fill="EDEDED"/>
          </w:tcPr>
          <w:p>
            <w:pPr>
              <w:spacing w:after="0"/>
              <w:rPr>
                <w:sz w:val="21"/>
                <w:szCs w:val="21"/>
                <w:color w:val="auto"/>
              </w:rPr>
            </w:pPr>
          </w:p>
        </w:tc>
        <w:tc>
          <w:tcPr>
            <w:tcW w:w="122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BLU-222 (CDK2)</w:t>
            </w:r>
          </w:p>
        </w:tc>
        <w:tc>
          <w:tcPr>
            <w:tcW w:w="1860" w:type="dxa"/>
            <w:vAlign w:val="bottom"/>
            <w:shd w:val="clear" w:color="auto" w:fill="006E96"/>
          </w:tcPr>
          <w:p>
            <w:pPr>
              <w:ind w:left="80"/>
              <w:spacing w:after="0"/>
              <w:rPr>
                <w:sz w:val="20"/>
                <w:szCs w:val="20"/>
                <w:color w:val="auto"/>
              </w:rPr>
            </w:pPr>
            <w:r>
              <w:rPr>
                <w:rFonts w:ascii="Arial" w:cs="Arial" w:eastAsia="Arial" w:hAnsi="Arial"/>
                <w:sz w:val="16"/>
                <w:szCs w:val="16"/>
                <w:color w:val="FFFFFF"/>
                <w:w w:val="96"/>
              </w:rPr>
              <w:t>Cyclin E aberrant cancers</w:t>
            </w:r>
          </w:p>
        </w:tc>
        <w:tc>
          <w:tcPr>
            <w:tcW w:w="1280" w:type="dxa"/>
            <w:vAlign w:val="bottom"/>
            <w:shd w:val="clear" w:color="auto" w:fill="65A1B8"/>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560" w:type="dxa"/>
            <w:vAlign w:val="bottom"/>
            <w:tcBorders>
              <w:left w:val="single" w:sz="8" w:color="55555A"/>
            </w:tcBorders>
          </w:tcPr>
          <w:p>
            <w:pPr>
              <w:spacing w:after="0"/>
              <w:rPr>
                <w:sz w:val="8"/>
                <w:szCs w:val="8"/>
                <w:color w:val="auto"/>
              </w:rPr>
            </w:pPr>
          </w:p>
        </w:tc>
        <w:tc>
          <w:tcPr>
            <w:tcW w:w="1860" w:type="dxa"/>
            <w:vAlign w:val="bottom"/>
            <w:shd w:val="clear" w:color="auto" w:fill="006E96"/>
          </w:tcPr>
          <w:p>
            <w:pPr>
              <w:spacing w:after="0"/>
              <w:rPr>
                <w:sz w:val="8"/>
                <w:szCs w:val="8"/>
                <w:color w:val="auto"/>
              </w:rPr>
            </w:pPr>
          </w:p>
        </w:tc>
        <w:tc>
          <w:tcPr>
            <w:tcW w:w="1280" w:type="dxa"/>
            <w:vAlign w:val="bottom"/>
            <w:shd w:val="clear" w:color="auto" w:fill="65A1B8"/>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DDD9D3"/>
          </w:tcPr>
          <w:p>
            <w:pPr>
              <w:spacing w:after="0"/>
              <w:rPr>
                <w:sz w:val="21"/>
                <w:szCs w:val="21"/>
                <w:color w:val="auto"/>
              </w:rPr>
            </w:pPr>
          </w:p>
        </w:tc>
        <w:tc>
          <w:tcPr>
            <w:tcW w:w="1860" w:type="dxa"/>
            <w:vAlign w:val="bottom"/>
            <w:shd w:val="clear" w:color="auto" w:fill="DDD9D3"/>
          </w:tcPr>
          <w:p>
            <w:pPr>
              <w:spacing w:after="0"/>
              <w:rPr>
                <w:sz w:val="21"/>
                <w:szCs w:val="21"/>
                <w:color w:val="auto"/>
              </w:rPr>
            </w:pPr>
          </w:p>
        </w:tc>
        <w:tc>
          <w:tcPr>
            <w:tcW w:w="2600" w:type="dxa"/>
            <w:vAlign w:val="bottom"/>
            <w:gridSpan w:val="2"/>
            <w:shd w:val="clear" w:color="auto" w:fill="DDD9D3"/>
          </w:tcPr>
          <w:p>
            <w:pPr>
              <w:jc w:val="center"/>
              <w:ind w:right="819"/>
              <w:spacing w:after="0"/>
              <w:rPr>
                <w:sz w:val="20"/>
                <w:szCs w:val="20"/>
                <w:color w:val="auto"/>
              </w:rPr>
            </w:pPr>
            <w:r>
              <w:rPr>
                <w:rFonts w:ascii="Arial" w:cs="Arial" w:eastAsia="Arial" w:hAnsi="Arial"/>
                <w:sz w:val="16"/>
                <w:szCs w:val="16"/>
                <w:b w:val="1"/>
                <w:bCs w:val="1"/>
                <w:color w:val="auto"/>
                <w:w w:val="92"/>
              </w:rPr>
              <w:t>Cancer immunotherapy</w:t>
            </w:r>
          </w:p>
        </w:tc>
        <w:tc>
          <w:tcPr>
            <w:tcW w:w="1280" w:type="dxa"/>
            <w:vAlign w:val="bottom"/>
            <w:shd w:val="clear" w:color="auto" w:fill="DDD9D3"/>
          </w:tcPr>
          <w:p>
            <w:pPr>
              <w:spacing w:after="0"/>
              <w:rPr>
                <w:sz w:val="21"/>
                <w:szCs w:val="21"/>
                <w:color w:val="auto"/>
              </w:rPr>
            </w:pPr>
          </w:p>
        </w:tc>
        <w:tc>
          <w:tcPr>
            <w:tcW w:w="12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BLU-852</w:t>
            </w:r>
          </w:p>
        </w:tc>
        <w:tc>
          <w:tcPr>
            <w:tcW w:w="1860" w:type="dxa"/>
            <w:vAlign w:val="bottom"/>
            <w:shd w:val="clear" w:color="auto" w:fill="006E96"/>
          </w:tcPr>
          <w:p>
            <w:pPr>
              <w:ind w:left="80"/>
              <w:spacing w:after="0" w:line="257" w:lineRule="exact"/>
              <w:rPr>
                <w:sz w:val="20"/>
                <w:szCs w:val="20"/>
                <w:color w:val="auto"/>
              </w:rPr>
            </w:pPr>
            <w:r>
              <w:rPr>
                <w:rFonts w:ascii="Arial" w:cs="Arial" w:eastAsia="Arial" w:hAnsi="Arial"/>
                <w:sz w:val="16"/>
                <w:szCs w:val="16"/>
                <w:color w:val="FFFFFF"/>
              </w:rPr>
              <w:t>Advanced cancers</w:t>
            </w:r>
            <w:r>
              <w:rPr>
                <w:rFonts w:ascii="Arial" w:cs="Arial" w:eastAsia="Arial" w:hAnsi="Arial"/>
                <w:sz w:val="24"/>
                <w:szCs w:val="24"/>
                <w:color w:val="FFFFFF"/>
                <w:vertAlign w:val="superscript"/>
              </w:rPr>
              <w:t>9</w:t>
            </w:r>
          </w:p>
        </w:tc>
        <w:tc>
          <w:tcPr>
            <w:tcW w:w="1280" w:type="dxa"/>
            <w:vAlign w:val="bottom"/>
            <w:shd w:val="clear" w:color="auto" w:fill="65A1B8"/>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Borders>
              <w:right w:val="single" w:sz="8" w:color="55555A"/>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560" w:type="dxa"/>
            <w:vAlign w:val="bottom"/>
            <w:tcBorders>
              <w:left w:val="single" w:sz="8" w:color="55555A"/>
            </w:tcBorders>
          </w:tcPr>
          <w:p>
            <w:pPr>
              <w:ind w:left="120"/>
              <w:spacing w:after="0" w:line="175" w:lineRule="exact"/>
              <w:rPr>
                <w:sz w:val="20"/>
                <w:szCs w:val="20"/>
                <w:color w:val="auto"/>
              </w:rPr>
            </w:pPr>
            <w:r>
              <w:rPr>
                <w:rFonts w:ascii="Arial" w:cs="Arial" w:eastAsia="Arial" w:hAnsi="Arial"/>
                <w:sz w:val="16"/>
                <w:szCs w:val="16"/>
                <w:b w:val="1"/>
                <w:bCs w:val="1"/>
                <w:color w:val="auto"/>
              </w:rPr>
              <w:t>(MAP4K1)</w:t>
            </w:r>
          </w:p>
        </w:tc>
        <w:tc>
          <w:tcPr>
            <w:tcW w:w="1860" w:type="dxa"/>
            <w:vAlign w:val="bottom"/>
            <w:shd w:val="clear" w:color="auto" w:fill="006E96"/>
          </w:tcPr>
          <w:p>
            <w:pPr>
              <w:spacing w:after="0"/>
              <w:rPr>
                <w:sz w:val="15"/>
                <w:szCs w:val="15"/>
                <w:color w:val="auto"/>
              </w:rPr>
            </w:pPr>
          </w:p>
        </w:tc>
        <w:tc>
          <w:tcPr>
            <w:tcW w:w="1280" w:type="dxa"/>
            <w:vAlign w:val="bottom"/>
            <w:shd w:val="clear" w:color="auto" w:fill="65A1B8"/>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Borders>
              <w:right w:val="single" w:sz="8" w:color="55555A"/>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Borders>
              <w:left w:val="single" w:sz="8" w:color="55555A"/>
            </w:tcBorders>
            <w:shd w:val="clear" w:color="auto" w:fill="DDD9D3"/>
          </w:tcPr>
          <w:p>
            <w:pPr>
              <w:spacing w:after="0"/>
              <w:rPr>
                <w:sz w:val="21"/>
                <w:szCs w:val="21"/>
                <w:color w:val="auto"/>
              </w:rPr>
            </w:pPr>
          </w:p>
        </w:tc>
        <w:tc>
          <w:tcPr>
            <w:tcW w:w="1860" w:type="dxa"/>
            <w:vAlign w:val="bottom"/>
            <w:shd w:val="clear" w:color="auto" w:fill="DDD9D3"/>
          </w:tcPr>
          <w:p>
            <w:pPr>
              <w:spacing w:after="0"/>
              <w:rPr>
                <w:sz w:val="21"/>
                <w:szCs w:val="21"/>
                <w:color w:val="auto"/>
              </w:rPr>
            </w:pPr>
          </w:p>
        </w:tc>
        <w:tc>
          <w:tcPr>
            <w:tcW w:w="1280" w:type="dxa"/>
            <w:vAlign w:val="bottom"/>
            <w:shd w:val="clear" w:color="auto" w:fill="DDD9D3"/>
          </w:tcPr>
          <w:p>
            <w:pPr>
              <w:jc w:val="center"/>
              <w:ind w:left="319"/>
              <w:spacing w:after="0"/>
              <w:rPr>
                <w:sz w:val="20"/>
                <w:szCs w:val="20"/>
                <w:color w:val="auto"/>
              </w:rPr>
            </w:pPr>
            <w:r>
              <w:rPr>
                <w:rFonts w:ascii="Arial" w:cs="Arial" w:eastAsia="Arial" w:hAnsi="Arial"/>
                <w:sz w:val="16"/>
                <w:szCs w:val="16"/>
                <w:b w:val="1"/>
                <w:bCs w:val="1"/>
                <w:color w:val="auto"/>
                <w:w w:val="88"/>
              </w:rPr>
              <w:t>Research</w:t>
            </w:r>
          </w:p>
        </w:tc>
        <w:tc>
          <w:tcPr>
            <w:tcW w:w="1320" w:type="dxa"/>
            <w:vAlign w:val="bottom"/>
            <w:shd w:val="clear" w:color="auto" w:fill="DDD9D3"/>
          </w:tcPr>
          <w:p>
            <w:pPr>
              <w:spacing w:after="0"/>
              <w:rPr>
                <w:sz w:val="21"/>
                <w:szCs w:val="21"/>
                <w:color w:val="auto"/>
              </w:rPr>
            </w:pPr>
          </w:p>
        </w:tc>
        <w:tc>
          <w:tcPr>
            <w:tcW w:w="1280" w:type="dxa"/>
            <w:vAlign w:val="bottom"/>
            <w:shd w:val="clear" w:color="auto" w:fill="DDD9D3"/>
          </w:tcPr>
          <w:p>
            <w:pPr>
              <w:spacing w:after="0"/>
              <w:rPr>
                <w:sz w:val="21"/>
                <w:szCs w:val="21"/>
                <w:color w:val="auto"/>
              </w:rPr>
            </w:pPr>
          </w:p>
        </w:tc>
        <w:tc>
          <w:tcPr>
            <w:tcW w:w="12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Multiple</w:t>
            </w:r>
          </w:p>
        </w:tc>
        <w:tc>
          <w:tcPr>
            <w:tcW w:w="1860" w:type="dxa"/>
            <w:vAlign w:val="bottom"/>
            <w:shd w:val="clear" w:color="auto" w:fill="006E96"/>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rPr>
              <w:t>undisclosed</w:t>
            </w:r>
          </w:p>
        </w:tc>
        <w:tc>
          <w:tcPr>
            <w:tcW w:w="1860" w:type="dxa"/>
            <w:vAlign w:val="bottom"/>
            <w:shd w:val="clear" w:color="auto" w:fill="006E96"/>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Borders>
              <w:right w:val="single" w:sz="8" w:color="55555A"/>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Borders>
              <w:left w:val="single" w:sz="8" w:color="55555A"/>
            </w:tcBorders>
          </w:tcPr>
          <w:p>
            <w:pPr>
              <w:ind w:left="120"/>
              <w:spacing w:after="0"/>
              <w:rPr>
                <w:sz w:val="20"/>
                <w:szCs w:val="20"/>
                <w:color w:val="auto"/>
              </w:rPr>
            </w:pPr>
            <w:r>
              <w:rPr>
                <w:rFonts w:ascii="Arial" w:cs="Arial" w:eastAsia="Arial" w:hAnsi="Arial"/>
                <w:sz w:val="16"/>
                <w:szCs w:val="16"/>
                <w:b w:val="1"/>
                <w:bCs w:val="1"/>
                <w:color w:val="auto"/>
                <w:w w:val="97"/>
              </w:rPr>
              <w:t>research programs</w:t>
            </w:r>
          </w:p>
        </w:tc>
        <w:tc>
          <w:tcPr>
            <w:tcW w:w="1860" w:type="dxa"/>
            <w:vAlign w:val="bottom"/>
            <w:tcBorders>
              <w:bottom w:val="single" w:sz="8" w:color="006E96"/>
            </w:tcBorders>
            <w:shd w:val="clear" w:color="auto" w:fill="006E96"/>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Borders>
              <w:right w:val="single" w:sz="8" w:color="55555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55555A"/>
            </w:tcBorders>
            <w:shd w:val="clear" w:color="auto" w:fill="55555A"/>
          </w:tcPr>
          <w:p>
            <w:pPr>
              <w:spacing w:after="0"/>
              <w:rPr>
                <w:sz w:val="18"/>
                <w:szCs w:val="18"/>
                <w:color w:val="auto"/>
              </w:rPr>
            </w:pPr>
          </w:p>
        </w:tc>
        <w:tc>
          <w:tcPr>
            <w:tcW w:w="1860" w:type="dxa"/>
            <w:vAlign w:val="bottom"/>
            <w:shd w:val="clear" w:color="auto" w:fill="55555A"/>
          </w:tcPr>
          <w:p>
            <w:pPr>
              <w:spacing w:after="0"/>
              <w:rPr>
                <w:sz w:val="18"/>
                <w:szCs w:val="18"/>
                <w:color w:val="auto"/>
              </w:rPr>
            </w:pPr>
          </w:p>
        </w:tc>
        <w:tc>
          <w:tcPr>
            <w:tcW w:w="1280" w:type="dxa"/>
            <w:vAlign w:val="bottom"/>
            <w:shd w:val="clear" w:color="auto" w:fill="55555A"/>
          </w:tcPr>
          <w:p>
            <w:pPr>
              <w:spacing w:after="0"/>
              <w:rPr>
                <w:sz w:val="18"/>
                <w:szCs w:val="18"/>
                <w:color w:val="auto"/>
              </w:rPr>
            </w:pPr>
          </w:p>
        </w:tc>
        <w:tc>
          <w:tcPr>
            <w:tcW w:w="1320" w:type="dxa"/>
            <w:vAlign w:val="bottom"/>
            <w:shd w:val="clear" w:color="auto" w:fill="55555A"/>
          </w:tcPr>
          <w:p>
            <w:pPr>
              <w:spacing w:after="0"/>
              <w:rPr>
                <w:sz w:val="18"/>
                <w:szCs w:val="18"/>
                <w:color w:val="auto"/>
              </w:rPr>
            </w:pPr>
          </w:p>
        </w:tc>
        <w:tc>
          <w:tcPr>
            <w:tcW w:w="1280" w:type="dxa"/>
            <w:vAlign w:val="bottom"/>
            <w:shd w:val="clear" w:color="auto" w:fill="55555A"/>
          </w:tcPr>
          <w:p>
            <w:pPr>
              <w:spacing w:after="0"/>
              <w:rPr>
                <w:sz w:val="18"/>
                <w:szCs w:val="18"/>
                <w:color w:val="auto"/>
              </w:rPr>
            </w:pPr>
          </w:p>
        </w:tc>
        <w:tc>
          <w:tcPr>
            <w:tcW w:w="1220" w:type="dxa"/>
            <w:vAlign w:val="bottom"/>
            <w:tcBorders>
              <w:right w:val="single" w:sz="8" w:color="55555A"/>
            </w:tcBorders>
            <w:shd w:val="clear" w:color="auto" w:fill="55555A"/>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-153670</wp:posOffset>
            </wp:positionV>
            <wp:extent cx="54178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-548005</wp:posOffset>
            </wp:positionV>
            <wp:extent cx="54178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-976630</wp:posOffset>
            </wp:positionV>
            <wp:extent cx="54178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3086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-1379220</wp:posOffset>
            </wp:positionV>
            <wp:extent cx="54178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-1807845</wp:posOffset>
            </wp:positionV>
            <wp:extent cx="54178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086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-2211070</wp:posOffset>
            </wp:positionV>
            <wp:extent cx="541782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-2613660</wp:posOffset>
            </wp:positionV>
            <wp:extent cx="541782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-5142865</wp:posOffset>
            </wp:positionV>
            <wp:extent cx="5417820" cy="2408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24085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76835</wp:posOffset>
            </wp:positionV>
            <wp:extent cx="274320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32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19" w:hanging="319"/>
        <w:spacing w:after="0" w:line="246"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CStone has exclusive rights to develop and commercialize avapritinib, pralsetinib and fisogatinib in Mainland China, Hong Kong, Macau and Taiwan. For more information, see “—Collaborations and Licenses” below.</w:t>
      </w:r>
    </w:p>
    <w:p>
      <w:pPr>
        <w:ind w:left="720" w:right="11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Approved in the U.S. for the treatment of adults with advanced SM, including ASM, SM-AHN and MCL. Received a positive opinion from the EMA’s CHMP for the treatment of adult patients with ASM, SM-AHN or MCL, after at least one systemic therapy.</w:t>
      </w:r>
    </w:p>
    <w:p>
      <w:pPr>
        <w:ind w:left="720" w:hanging="319"/>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Unresectable or metastatic disease.</w:t>
      </w:r>
    </w:p>
    <w:p>
      <w:pPr>
        <w:ind w:left="720" w:right="45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Approved in the U.S. for the treatment of adults with unresectable or metastatic GIST harboring a PDGFRA exon 18 mutation, including PDGFRA D842V mutations.</w:t>
      </w:r>
    </w:p>
    <w:p>
      <w:pPr>
        <w:ind w:left="720" w:right="45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Received conditional marketing authorization in Europe under the brand name AYVAKYT for the treatment of adults with unresectable or metastatic GIST harboring the PDGFRA D842V mutation.</w:t>
      </w:r>
    </w:p>
    <w:p>
      <w:pPr>
        <w:ind w:left="720" w:right="41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collaboration with Roche. Blueprint Medicines and Roche have co-exclusive rights to develop and commercialize pralsetinib in the U.S., and Roche has exclusive rights to develop and commercialize pralsetinib outside the U.S., excluding the CStone territory. For more information, see “—Collaborations and Licenses” below.</w:t>
      </w:r>
    </w:p>
    <w:p>
      <w:pPr>
        <w:ind w:left="720" w:right="15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Received accelerated approval in the U.S. for the treatment of adults with metastatic RET fusion-positive NSCLC. Continued approval may be contingent on a confirmatory trial. Received conditional marketing authorization in Europe for the treatment of adults with advanced RET fusion-positive NSCLC not previously treated with a RET inhibitor.</w:t>
      </w:r>
    </w:p>
    <w:p>
      <w:pPr>
        <w:ind w:left="720" w:right="31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Received accelerated approval in the U.S. for the treatment of patients with advanced or metastatic RET-mutant MTC and RET fusion-positive thyroid cancer. Continued approval may be contingent on confirmatory trials.</w:t>
      </w:r>
    </w:p>
    <w:p>
      <w:pPr>
        <w:ind w:left="720" w:right="259" w:hanging="319"/>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Zai Lab has exclusive rights to develop and commercialize BLU-701 and BLU-945 in Mainland China, Hong Kong, Macau and Taiwan. For more information, see “—Collaborations and Licenses” below.</w:t>
      </w:r>
    </w:p>
    <w:p>
      <w:pPr>
        <w:ind w:left="720" w:right="319" w:hanging="319"/>
        <w:spacing w:after="0" w:line="268" w:lineRule="auto"/>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collaboration with Roche. Blueprint Medicines and Roche are conducting activities for up to two programs under the collaboration, including the program targeting MAP4K1. For one of the programs, Blueprint Medicines has U.S. commercial rights and Roche has ex-U.S. commercialization rights. For one of the programs, Roche has worldwide commercialization rights. For more information, see “—Collaborations and Licenses” below.</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As a fully-integrated, global precision therapy company focused on discovering, developing and commercializing a portfolio of precision therapies, our vision is to bring life-changing precision therapies to as many patients with cancer and blood disorders as possible. To achieve this goal, key elements of our strategy are as follows:</w:t>
      </w:r>
    </w:p>
    <w:p>
      <w:pPr>
        <w:spacing w:after="0" w:line="174" w:lineRule="exact"/>
        <w:rPr>
          <w:sz w:val="20"/>
          <w:szCs w:val="20"/>
          <w:color w:val="auto"/>
        </w:rPr>
      </w:pPr>
    </w:p>
    <w:p>
      <w:pPr>
        <w:ind w:left="1340" w:right="79" w:hanging="318"/>
        <w:spacing w:after="0" w:line="294"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Accelerate the adoption of our approved medicines, AYVAKIT and GAVRETO in the U.S. and AYVAKYT in Europe, continue to strengthen and expand our global commercial capabilities and prepare for additional planned commercial launches in additional indications, including non-advanced SM.</w:t>
      </w:r>
    </w:p>
    <w:p>
      <w:pPr>
        <w:spacing w:after="0" w:line="147" w:lineRule="exact"/>
        <w:rPr>
          <w:rFonts w:ascii="Arial" w:cs="Arial" w:eastAsia="Arial" w:hAnsi="Arial"/>
          <w:sz w:val="16"/>
          <w:szCs w:val="16"/>
          <w:color w:val="auto"/>
        </w:rPr>
      </w:pPr>
    </w:p>
    <w:p>
      <w:pPr>
        <w:ind w:left="1340" w:right="299" w:hanging="318"/>
        <w:spacing w:after="0" w:line="243"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Deepen our strategic focus on SM and related mast cell disorders by seeking regulatory approval for avapritinib for the treatment of non-advanced SM and developing BLU-263 for the treatment of non-advanced SM, as well as exploring opportunities to address the needs of additional patient populations with adjacent hematologic disorders.</w:t>
      </w:r>
    </w:p>
    <w:p>
      <w:pPr>
        <w:spacing w:after="0" w:line="187" w:lineRule="exact"/>
        <w:rPr>
          <w:rFonts w:ascii="Arial" w:cs="Arial" w:eastAsia="Arial" w:hAnsi="Arial"/>
          <w:sz w:val="18"/>
          <w:szCs w:val="18"/>
          <w:color w:val="auto"/>
        </w:rPr>
      </w:pPr>
    </w:p>
    <w:p>
      <w:pPr>
        <w:ind w:left="1340" w:right="199" w:hanging="318"/>
        <w:spacing w:after="0" w:line="324"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Advance the global development and commercialization of pralsetinib and seek international regulatory approvals under the Roche pralsetinib collaboration as a treatment for RET-altered cancers.</w:t>
      </w:r>
    </w:p>
    <w:p>
      <w:pPr>
        <w:spacing w:after="0" w:line="124" w:lineRule="exact"/>
        <w:rPr>
          <w:rFonts w:ascii="Arial" w:cs="Arial" w:eastAsia="Arial" w:hAnsi="Arial"/>
          <w:sz w:val="16"/>
          <w:szCs w:val="16"/>
          <w:color w:val="auto"/>
        </w:rPr>
      </w:pPr>
    </w:p>
    <w:p>
      <w:pPr>
        <w:ind w:left="1340" w:right="179" w:hanging="318"/>
        <w:spacing w:after="0" w:line="243"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innovative research programs, including BLU-701, BLU-945 and BLU-451, our selective and potent EGFR inhibitors for EGFR-driven NSCLC, BLU-222, our selective and potent CDK2 inhibitor for cyclin E aberrant cancers, and our other preclinical programs, rapidly through development with plans to seek regulatory approval.</w:t>
      </w:r>
    </w:p>
    <w:p>
      <w:pPr>
        <w:spacing w:after="0" w:line="187" w:lineRule="exact"/>
        <w:rPr>
          <w:rFonts w:ascii="Arial" w:cs="Arial" w:eastAsia="Arial" w:hAnsi="Arial"/>
          <w:sz w:val="18"/>
          <w:szCs w:val="18"/>
          <w:color w:val="auto"/>
        </w:rPr>
      </w:pPr>
    </w:p>
    <w:p>
      <w:pPr>
        <w:ind w:left="1340" w:right="579" w:hanging="318"/>
        <w:spacing w:after="0" w:line="294"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Expand our broad, differentiated precision medicine pipeline, with a focus on genomically defined cancers and blood disorders and continued internal discovery research and innovation, as well as opportunities to acquire or in-license complementary technologies or therapies.</w:t>
      </w:r>
    </w:p>
    <w:p>
      <w:pPr>
        <w:spacing w:after="0" w:line="147" w:lineRule="exact"/>
        <w:rPr>
          <w:rFonts w:ascii="Arial" w:cs="Arial" w:eastAsia="Arial" w:hAnsi="Arial"/>
          <w:sz w:val="16"/>
          <w:szCs w:val="16"/>
          <w:color w:val="auto"/>
        </w:rPr>
      </w:pPr>
    </w:p>
    <w:p>
      <w:pPr>
        <w:ind w:left="1340" w:right="239" w:hanging="318"/>
        <w:spacing w:after="0" w:line="294"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147" w:lineRule="exact"/>
        <w:rPr>
          <w:rFonts w:ascii="Arial" w:cs="Arial" w:eastAsia="Arial" w:hAnsi="Arial"/>
          <w:sz w:val="16"/>
          <w:szCs w:val="16"/>
          <w:color w:val="auto"/>
        </w:rPr>
      </w:pPr>
    </w:p>
    <w:p>
      <w:pPr>
        <w:ind w:left="1340" w:right="59" w:hanging="318"/>
        <w:spacing w:after="0" w:line="248"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commitment to building a corporate culture centered by our focus on patient needs, science-driven approach to drug development, and organizational strength through the diversity of experience and perspective across our workforce.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Precision Therapy Approach</w:t>
      </w:r>
    </w:p>
    <w:p>
      <w:pPr>
        <w:spacing w:after="0" w:line="256" w:lineRule="exact"/>
        <w:rPr>
          <w:sz w:val="20"/>
          <w:szCs w:val="20"/>
          <w:color w:val="auto"/>
        </w:rPr>
      </w:pPr>
    </w:p>
    <w:p>
      <w:pPr>
        <w:ind w:left="60" w:right="199" w:firstLine="648"/>
        <w:spacing w:after="0" w:line="238" w:lineRule="auto"/>
        <w:rPr>
          <w:sz w:val="20"/>
          <w:szCs w:val="20"/>
          <w:color w:val="auto"/>
        </w:rPr>
      </w:pPr>
      <w:r>
        <w:rPr>
          <w:rFonts w:ascii="Arial" w:cs="Arial" w:eastAsia="Arial" w:hAnsi="Arial"/>
          <w:sz w:val="18"/>
          <w:szCs w:val="18"/>
          <w:color w:val="auto"/>
        </w:rPr>
        <w:t>Our approach is to systematically and reproducibly identify drivers of disease in genomically defined patient populations and to craft drug candidates that provide significant and durable clinical responses to patients. This approach enables us to drug known targets that have been difficult to inhibit selectively and also identify, characterize and design drug candidates to inhibit novel targets. By focusing on diseases in genomically defined patient populations, we believe that we can quickly identify the patients most likely to respond, resulting in a more efficient development path with a greater likelihood of success. To date, our approach has been enabled by our drug discovery platform consisting of two pillars: (1) a proprietary, highly-annotated library of novel compounds; and (2) a novel target discovery engine, which is a comprehensive process that interrogates kinase biology from many angles using genomics, structural biology and cell biology.</w:t>
      </w:r>
    </w:p>
    <w:p>
      <w:pPr>
        <w:spacing w:after="0" w:line="232"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We have initially focused our efforts on kinase drug discovery and development. Kinases are enzymes that function in many signaling pathways to regulate critical cellular functions. Kinase-dependent signaling networks are present in multiple different cell types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 (3) excessive amounts of protein are created due to gene duplication or dysregulation leading to overexpression. There is a strong link between genomic alterations in kinases and disease, including specific forms of cancer and rare diseases. Several kinases have been validated as oncogenes, which are genes that when altered can initiate and maintain cancer growth. Ongoing genomic analyses of tumor data sets continue to identify new roles for kinases as drivers of disease.</w:t>
      </w:r>
    </w:p>
    <w:p>
      <w:pPr>
        <w:spacing w:after="0" w:line="213"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We believe there is substantial opportunity for developing novel and transformative therapies that target well characterized but currently difficult-to-drug kinases as well as kinases of unknown biology which constitute the majority of the kinome, by:</w:t>
      </w:r>
    </w:p>
    <w:p>
      <w:pPr>
        <w:spacing w:after="0" w:line="222" w:lineRule="exact"/>
        <w:rPr>
          <w:sz w:val="20"/>
          <w:szCs w:val="20"/>
          <w:color w:val="auto"/>
        </w:rPr>
      </w:pPr>
    </w:p>
    <w:p>
      <w:pPr>
        <w:ind w:left="1340" w:right="139" w:hanging="318"/>
        <w:spacing w:after="0" w:line="254"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targeting of a given kinase can be 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80" w:lineRule="exact"/>
        <w:rPr>
          <w:rFonts w:ascii="Arial" w:cs="Arial" w:eastAsia="Arial" w:hAnsi="Arial"/>
          <w:sz w:val="17"/>
          <w:szCs w:val="17"/>
          <w:color w:val="auto"/>
        </w:rPr>
      </w:pPr>
    </w:p>
    <w:p>
      <w:pPr>
        <w:ind w:left="1340" w:right="79" w:hanging="318"/>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Generating novel chemical matter required to target difficult-to-drug kinases. </w:t>
      </w:r>
      <w:r>
        <w:rPr>
          <w:rFonts w:ascii="Arial" w:cs="Arial" w:eastAsia="Arial" w:hAnsi="Arial"/>
          <w:sz w:val="18"/>
          <w:szCs w:val="18"/>
          <w:color w:val="auto"/>
        </w:rPr>
        <w:t>Novel chemical matter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89" w:lineRule="exact"/>
        <w:rPr>
          <w:rFonts w:ascii="Arial" w:cs="Arial" w:eastAsia="Arial" w:hAnsi="Arial"/>
          <w:sz w:val="18"/>
          <w:szCs w:val="18"/>
          <w:color w:val="auto"/>
        </w:rPr>
      </w:pPr>
    </w:p>
    <w:p>
      <w:pPr>
        <w:ind w:left="1340" w:right="99" w:hanging="318"/>
        <w:spacing w:after="0" w:line="255"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Overcoming resistance mediated by the alteration of kinase targets, and helping solve for intractable sites of progression, such as the brain. </w:t>
      </w:r>
      <w:r>
        <w:rPr>
          <w:rFonts w:ascii="Arial" w:cs="Arial" w:eastAsia="Arial" w:hAnsi="Arial"/>
          <w:sz w:val="17"/>
          <w:szCs w:val="17"/>
          <w:color w:val="auto"/>
        </w:rPr>
        <w:t>Most approved kinase inhibitors provide only temporary disease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Patients may relapse due to the emergence of on-target resistance mutations or in cancer, tumors progress because therapies are unable to cross the blood-brain barrier to treat or prevent CNS metastases. Novel approaches, including innovative combinations, are needed to predict and inhibit resistant mutants and address common sites of progression including the brain, thus providing more durable clinical responses.</w:t>
      </w:r>
    </w:p>
    <w:p>
      <w:pPr>
        <w:spacing w:after="0" w:line="180" w:lineRule="exact"/>
        <w:rPr>
          <w:sz w:val="20"/>
          <w:szCs w:val="20"/>
          <w:color w:val="auto"/>
        </w:rPr>
      </w:pPr>
    </w:p>
    <w:p>
      <w:pPr>
        <w:ind w:left="60" w:right="79" w:firstLine="648"/>
        <w:spacing w:after="0" w:line="294" w:lineRule="auto"/>
        <w:rPr>
          <w:sz w:val="20"/>
          <w:szCs w:val="20"/>
          <w:color w:val="auto"/>
        </w:rPr>
      </w:pPr>
      <w:r>
        <w:rPr>
          <w:rFonts w:ascii="Arial" w:cs="Arial" w:eastAsia="Arial" w:hAnsi="Arial"/>
          <w:sz w:val="16"/>
          <w:szCs w:val="16"/>
          <w:color w:val="auto"/>
        </w:rPr>
        <w:t>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Disease Overviews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(SM)</w:t>
      </w:r>
    </w:p>
    <w:p>
      <w:pPr>
        <w:spacing w:after="0" w:line="252"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21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SM comprises a spectrum of disease, with nearly all patients (approximately 95 percent) having a KIT D816V mutation, the underlying driver of disease for most SM patients. The diagnosis, which is usually made in adulthood, involves a complex diagnostic algorithm that begins with confirmation of SM and subsequently categorizes patients into non-advanced or advanced subtypes of disease. Indolent SM, a subset of non-advanced SM, is the most common form of SM and is characterized by often severe, unpredictable and debilitating symptoms due to mast cell activation. Symptoms may include hypersensitivity reactions, including unpredictable anaphylaxis, gastrointestinal distress including severe nausea, vomiting and diarrhea, and extensive skin rashes that cause pain, discomfort and social isolation. Advanced SM is a more rare form of SM associated with mast cell infiltration of organ systems resulting in increasingly severe impact on life expectancy, and includes three subsets: ASM, SM-AHN, and MCL. These advanced forms of SM have historically had a median overall survival of less than six months to 3.5 years and are characterized by prominent organopathy and dysfunction, as well as the debilitating symptoms of mast cell activation.</w:t>
      </w:r>
    </w:p>
    <w:p>
      <w:pPr>
        <w:spacing w:after="0" w:line="207"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Advanced SM accounts for approximately 5-10 percent of the patients, or about 5,000 patients in the U.S., France, Germany, Italy, Spain, the United Kingdom and Japan, which we collectively refer to as the Major Markets. Non-advanced SM, including indolent SM and an intermediate form referred to as smoldering SM, account for the remaining 90-95 percent of patients, or about 70,000 patients in Major Markets. Population studies estimate the prevalence rate of all subtypes of SM is approximately 9.6 per 100,000 people.</w:t>
      </w:r>
    </w:p>
    <w:p>
      <w:pPr>
        <w:spacing w:after="0" w:line="230"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The current treatment paradigm for SM varies by disease subtype. Currently, there are no approved targeted therapies other than avapritinib designed to potently and selectively inhibit the KIT D816V mutation. There are two approved therapies for advanced SM: midostaurin and imatinib. Midostaurin is a multi-kinase inhibitor with limited KIT D816V inhibitory activity. Imatinib is approved only for patients with the ASM subtype who do not harbor the KIT D816V mutation, or who have an unknown mutation status. Other treatments used in advanced SM include interferon alpha or cytoreductive agents to reduce mast cell burden, or treatments aimed at addressing the associated blood disorder.</w:t>
      </w:r>
    </w:p>
    <w:p>
      <w:pPr>
        <w:spacing w:after="0" w:line="18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For patients with non-advanced SM, management is symptom-directed and includes avoidance of triggers of mast cell activation (such as insect stings). Treatments for non-advanced SM include histamine blockers, cromolyn, epinephrine, corticosteroids, and, in cases of refractory patients, cytoreductive agents. Patients often take multiple symptom-directed treatments to manage their disease, and a reduction in polypharmacy burden is an important treatment goal. Within non-advanced SM, key opinion leaders see the greatest degree of medical need for a significant portion of patients who have a heavy symptom burden that current therapies fail to address.</w:t>
      </w:r>
    </w:p>
    <w:p>
      <w:pPr>
        <w:spacing w:after="0" w:line="21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We are developing avapritinib for the treatment of SM and BLU-263 for the treatment of non-advanced SM and other mast cell disorders. Previously reported clinical data of avapritinib for patients with SM are described below. In April 2021, we presented results from a Phase 1 trial of BLU-263 in healthy volunteers at the virtual AACR Annual Meeting, which showed that BLU-263 was well-tolerated at all doses tested. In January 2021, we announced positive topline results of BLU-263 in a Phase 1 healthy volunteer trial. Based on these data, we initiated the Phase 2/3 HARBOR trial of BLU-263 in patients with non-advanced SM in the second quarter of 2021.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 Data in SM</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Avapritinib—Phase 1 EXPLORER Trial and Phase 2 PATHFINDER Trial</w:t>
      </w:r>
    </w:p>
    <w:p>
      <w:pPr>
        <w:spacing w:after="0" w:line="23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are evaluating avapritinib for the treatment of patients with advanced SM in our registration-enabling EXPLORER and PATHFINDER clinical trials. The EXPLORER trial is an open-label, single-arm Phase 1 trial. The PATHFINDER trial is an open-label, single-arm Phase 2 trial. Both trials have completed enrollment. For both the EXPLORER and PATHFINDER trials, key endpoints include overall response rate, or ORR, duration of response, or DOR, quantitative measures of mast cell burden, patient-reported outcomes and safety.</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Data Presented at the Virtual American Association for Cancer Research Annual Meeting in April 2021</w:t>
      </w:r>
    </w:p>
    <w:p>
      <w:pPr>
        <w:spacing w:after="0" w:line="25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In a pre-specified interim analysis from the PATHFINDER trial, 32 patients who primarily received a starting avapritinib dose of 200 mg once daily were evaluable for response per the modified IWG-MRT-ECNM criteria, as of a data cutoff date of June 23, 2020. ORR was defined as complete remission with full or partial recovery of peripheral blood counts, or CR/CRh, partial remission or clinical improvement. The confidence interval, or CI, represents the confidence interval of the reported endpoints. Response assessments were completed per central review, and all reported clinical responses were confirmed.</w:t>
      </w:r>
    </w:p>
    <w:p>
      <w:pPr>
        <w:spacing w:after="0" w:line="21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i w:val="1"/>
          <w:iCs w:val="1"/>
          <w:color w:val="auto"/>
        </w:rPr>
        <w:t>Clinical Activity Data</w:t>
      </w:r>
      <w:r>
        <w:rPr>
          <w:rFonts w:ascii="Arial" w:cs="Arial" w:eastAsia="Arial" w:hAnsi="Arial"/>
          <w:sz w:val="18"/>
          <w:szCs w:val="18"/>
          <w:color w:val="auto"/>
        </w:rPr>
        <w:t>. Overall, the ORR was 75 percent (95% CI: 57%, 89%), and the CRh rate was 19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median time to CRh of 5.6 months. These results show that responses deepened over time at a rate consistent with previously reported EXPLORER trial results. Avapritinib led to robust and durable benefits across a number of additional clinical activity measures. In new patient-reported outcomes data, avapritinib showed a statistically significant reduction in total symptom score after 40 weeks (p&lt;0.001), as measured by the Advanced SM Symptom Assessment Form. Treatment with avapritinib resulted in robust improvements in patient-reported quality of life, based on the European Organization for Research and Treatment of Cancer Quality of Life Questionnaire. Across multiple measures of mast cell burden, avapritinib showed profound reductions in serum tryptase, bone marrow mast cells, KIT D816V allele burden and spleen volume.</w:t>
      </w:r>
    </w:p>
    <w:p>
      <w:pPr>
        <w:spacing w:after="0" w:line="23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i w:val="1"/>
          <w:iCs w:val="1"/>
          <w:color w:val="auto"/>
        </w:rPr>
        <w:t>Safety Data</w:t>
      </w:r>
      <w:r>
        <w:rPr>
          <w:rFonts w:ascii="Arial" w:cs="Arial" w:eastAsia="Arial" w:hAnsi="Arial"/>
          <w:sz w:val="16"/>
          <w:szCs w:val="16"/>
          <w:color w:val="auto"/>
        </w:rPr>
        <w:t>. Avapritinib was generally well-tolerated in 62 patients enrolled in the PATHFINDER trial, and most</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effects, or AEs, were reported as Grade 1 or 2. The most common treatment-emergent AEs reported by investigators greater than or equal to 15 percent were peripheral edema, periorbital edema, thrombocytopenia, anemia, neutropenia, diarrhea, nausea, vomiting and fatigue. Three patients, or 5 percent, discontinued avapritinib due to treatment-related AEs, and most patients, or 84 percent, have remained on treatment as of the data cutoff date.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Data Published in Nature Medicine in December 2021</w:t>
      </w:r>
    </w:p>
    <w:p>
      <w:pPr>
        <w:spacing w:after="0" w:line="239"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Across the EXPLORER and PATHFINDER trials, 148 patients with advanced SM were enrolled as of a data cutoff date of May 27, 2020 for the EXPLORER trial and June 23, 2020 for the PATHFINDER trial. ORR was defined as CR/CRh, partial remission or clinical improvement. Response assessments were completed per central review, and all reported clinical responses were confirmed.</w:t>
      </w:r>
    </w:p>
    <w:p>
      <w:pPr>
        <w:spacing w:after="0" w:line="228"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i w:val="1"/>
          <w:iCs w:val="1"/>
          <w:color w:val="auto"/>
        </w:rPr>
        <w:t xml:space="preserve">Clinical Activity Data. </w:t>
      </w:r>
      <w:r>
        <w:rPr>
          <w:rFonts w:ascii="Arial" w:cs="Arial" w:eastAsia="Arial" w:hAnsi="Arial"/>
          <w:sz w:val="17"/>
          <w:szCs w:val="17"/>
          <w:color w:val="auto"/>
        </w:rPr>
        <w:t>In the EXPLORER trial, 53 patients were response evaluable, and the ORR was 75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(95% CI: 62%, 86%). The median DOR was 38 months (95% CI: 22 months, not estimable). The estimated 24-month overall survival rate was 76 percent. Responses reported in the PATHFINDER pre-specified interim analysis of 32 evaluable patients were consistent with previously reported data. Across both studies, statistically significant improvements in patient-reported symptoms were observed, as measured by the Advanced SM Symptom Assessment Form Total Symptom Score. Avapritinib showed broad activity across all advanced SM subtypes, including SM-AHN. In the PATHFINDER trial, substantial reductions were observed in monocytosis in patients with SM and chronic myelomonocytic leukemia, and in eosinophilia in patients with SM and chronic eosinophilic leukemia, potentially reflecting the multi-lineage involvement of the KIT D816V mutation.</w:t>
      </w:r>
    </w:p>
    <w:p>
      <w:pPr>
        <w:spacing w:after="0" w:line="224" w:lineRule="exact"/>
        <w:rPr>
          <w:sz w:val="20"/>
          <w:szCs w:val="20"/>
          <w:color w:val="auto"/>
        </w:rPr>
      </w:pPr>
    </w:p>
    <w:p>
      <w:pPr>
        <w:ind w:left="60" w:right="579" w:firstLine="648"/>
        <w:spacing w:after="0" w:line="324" w:lineRule="auto"/>
        <w:rPr>
          <w:sz w:val="20"/>
          <w:szCs w:val="20"/>
          <w:color w:val="auto"/>
        </w:rPr>
      </w:pPr>
      <w:r>
        <w:rPr>
          <w:rFonts w:ascii="Arial" w:cs="Arial" w:eastAsia="Arial" w:hAnsi="Arial"/>
          <w:sz w:val="16"/>
          <w:szCs w:val="16"/>
          <w:i w:val="1"/>
          <w:iCs w:val="1"/>
          <w:color w:val="auto"/>
        </w:rPr>
        <w:t>Safety Data</w:t>
      </w:r>
      <w:r>
        <w:rPr>
          <w:rFonts w:ascii="Arial" w:cs="Arial" w:eastAsia="Arial" w:hAnsi="Arial"/>
          <w:sz w:val="16"/>
          <w:szCs w:val="16"/>
          <w:color w:val="auto"/>
        </w:rPr>
        <w:t>. Avapritinib was generally well-tolerated, consistent with previously reported results.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treatment-emergent AEs included edema, thrombocytopenia, anemia, diarrhea, nausea, fatigue, vomiting,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91" w:lineRule="auto"/>
        <w:rPr>
          <w:sz w:val="20"/>
          <w:szCs w:val="20"/>
          <w:color w:val="auto"/>
        </w:rPr>
      </w:pPr>
      <w:r>
        <w:rPr>
          <w:rFonts w:ascii="Arial" w:cs="Arial" w:eastAsia="Arial" w:hAnsi="Arial"/>
          <w:sz w:val="17"/>
          <w:szCs w:val="17"/>
          <w:color w:val="auto"/>
        </w:rPr>
        <w:t>neutropenia, headache, cognitive effects and abdominal pain. Overall, 10 percent of patients in the EXPLORER trial and 5 percent of patients in the PATHFINDER trial discontinued avapritinib due to treatment-related AEs.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Avapritinib—Phase 2 PIONEER Trial</w:t>
      </w:r>
    </w:p>
    <w:p>
      <w:pPr>
        <w:spacing w:after="0" w:line="25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 xml:space="preserve">PIONEER is a randomized, double-blind, placebo-controlled, registration-enabling trial evaluating avapritinib in patients with non-advanced SM. The trial includes three parts: dose-finding Part 1, registration-enabling Part 2 and long-term treatment Part 3. All patients who complete Parts 1 or 2 will have an opportunity to receive treatment with avapritinib in Part 3. Key trial endpoints include the change in patient-reported disease symptoms as measured by the Indolent SM Symptom Assessment Form </w:t>
      </w:r>
      <w:r>
        <w:rPr>
          <w:rFonts w:ascii="Arial" w:cs="Arial" w:eastAsia="Arial" w:hAnsi="Arial"/>
          <w:sz w:val="17"/>
          <w:szCs w:val="17"/>
          <w:color w:val="0A0A0A"/>
        </w:rPr>
        <w:t>Total Symptom Score, or</w:t>
      </w:r>
      <w:r>
        <w:rPr>
          <w:rFonts w:ascii="Arial" w:cs="Arial" w:eastAsia="Arial" w:hAnsi="Arial"/>
          <w:sz w:val="17"/>
          <w:szCs w:val="17"/>
          <w:color w:val="auto"/>
        </w:rPr>
        <w:t xml:space="preserve"> ISM-SAF TSS, quantitative measures of mast cell burden and safety. In January 2022, we announced that the PIONEER trial was fully enrolled.</w:t>
      </w:r>
    </w:p>
    <w:p>
      <w:pPr>
        <w:spacing w:after="0" w:line="202"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Previously reported data from Part 1 of the PIONEER trial show that treatment with avapritinib was well-tolerated and resulted in robust and clinically meaningful improvements on measures of mast cell burden, disease symptoms and patient-reported quality of life through 24 weeks. We plan to report top-line data from the registration-enabling Part 2 of the PIONEER trial in mid-2022.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w:t>
      </w:r>
    </w:p>
    <w:p>
      <w:pPr>
        <w:spacing w:after="0" w:line="25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MTC (approximately 90 percent of patients), and RET fusions are implicated in several cancers, including papillary thyroid carcinoma (approximately 10- 20 percent of patients) and NSCLC (1-2 percent of patients). We estimate that in the Major Markets, there are approximately 8,900 first-and second-line patients with RET-altered NSCLC and 1,300 patients with MTC, regardless of line of therapy or alteration. In addition, oncogenic RET alterations are observed at low frequencies in colorectal, breast, pancreatic and other cancers, providing a therapeutic rationale for the use of RET inhibitors in multiple patient subpopulations.</w:t>
      </w:r>
    </w:p>
    <w:p>
      <w:pPr>
        <w:spacing w:after="0" w:line="224"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or ORR, and DOR in patients with RET-altered NSCLC compared to selective kinase inhibitors targeting other kinase drivers such as EGFR, ALK and ROS1.</w:t>
      </w:r>
    </w:p>
    <w:p>
      <w:pPr>
        <w:spacing w:after="0" w:line="216"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w:t>
      </w:r>
    </w:p>
    <w:p>
      <w:pPr>
        <w:spacing w:after="0" w:line="196"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Currently, pralsetinib (under the brand name GAVRETO) is the only once-daily RET-targeted therapy approved by the FDA for the treatment of certain RET-altered NSCLC and thyroid cancers in the U.S. Previously reported clinical data of pralsetinib in patients with RET-altered cancers are described below. Pursuant to our collaboration with Roche, we are co-developing pralsetinib globally in RET-altered solid tumors, including NSCLC, MTC and other thyroid cancers, as well as other solid tumors.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 Data in RET-Altered NSCLC, Thyroid Cancers, and Other Solid Tumors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Pralsetinib—Phase 1/2 ARROW Trial</w:t>
      </w:r>
    </w:p>
    <w:p>
      <w:pPr>
        <w:spacing w:after="0" w:line="252" w:lineRule="exact"/>
        <w:rPr>
          <w:sz w:val="20"/>
          <w:szCs w:val="20"/>
          <w:color w:val="auto"/>
        </w:rPr>
      </w:pPr>
    </w:p>
    <w:p>
      <w:pPr>
        <w:jc w:val="both"/>
        <w:ind w:left="60" w:right="119" w:firstLine="648"/>
        <w:spacing w:after="0" w:line="294" w:lineRule="auto"/>
        <w:rPr>
          <w:sz w:val="20"/>
          <w:szCs w:val="20"/>
          <w:color w:val="auto"/>
        </w:rPr>
      </w:pPr>
      <w:r>
        <w:rPr>
          <w:rFonts w:ascii="Arial" w:cs="Arial" w:eastAsia="Arial" w:hAnsi="Arial"/>
          <w:sz w:val="16"/>
          <w:szCs w:val="16"/>
          <w:color w:val="0A0A0A"/>
        </w:rPr>
        <w:t>The ARROW trial is a Phase 1/2 open-label, registration-enabling trial designed to evaluate the safety, tolerability and efficacy of pralsetinib in adults with RET-altered cancers. The trial consists of two parts: a dose escalation portion and an expansion portion in patients treated at 400 mg once daily. The dose-</w:t>
      </w:r>
      <w:r>
        <w:rPr>
          <w:rFonts w:ascii="Arial" w:cs="Arial" w:eastAsia="Arial" w:hAnsi="Arial"/>
          <w:sz w:val="16"/>
          <w:szCs w:val="16"/>
          <w:color w:val="000000"/>
        </w:rPr>
        <w:t>escalation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-419735</wp:posOffset>
            </wp:positionV>
            <wp:extent cx="565785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38608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color w:val="auto"/>
        </w:rPr>
        <w:t xml:space="preserve">ARROW trial is complete, and as of December 2021, the expansion portion </w:t>
      </w:r>
      <w:r>
        <w:rPr>
          <w:rFonts w:ascii="Arial" w:cs="Arial" w:eastAsia="Arial" w:hAnsi="Arial"/>
          <w:sz w:val="18"/>
          <w:szCs w:val="18"/>
          <w:color w:val="0A0A0A"/>
        </w:rPr>
        <w:t>was fully enrolled at multiple sites in the</w:t>
      </w:r>
      <w:r>
        <w:rPr>
          <w:rFonts w:ascii="Arial" w:cs="Arial" w:eastAsia="Arial" w:hAnsi="Arial"/>
          <w:sz w:val="18"/>
          <w:szCs w:val="18"/>
          <w:color w:val="auto"/>
        </w:rPr>
        <w:t xml:space="preserve"> </w:t>
      </w:r>
      <w:r>
        <w:rPr>
          <w:rFonts w:ascii="Arial" w:cs="Arial" w:eastAsia="Arial" w:hAnsi="Arial"/>
          <w:sz w:val="18"/>
          <w:szCs w:val="18"/>
          <w:color w:val="0A0A0A"/>
        </w:rPr>
        <w:t>United States, EU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-276225</wp:posOffset>
            </wp:positionV>
            <wp:extent cx="5657850" cy="6626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6626225"/>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0A0A0A"/>
        </w:rPr>
        <w:t>Data Presented at the American Society of Clinical Oncology Annual Meeting in June 2021</w:t>
      </w:r>
    </w:p>
    <w:p>
      <w:pPr>
        <w:spacing w:after="0" w:line="25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0A0A0A"/>
        </w:rPr>
        <w:t>Efficacy data were reported for patients treated with pralsetinib who were evaluable for response assessment per RECIST 1.1, as determined by blinded independent central review. Response-evaluable populations comprised 216 patients with RET fusion-positive NSCLC who had measurable disease at baseline and received a starting pralsetinib dose of 400 mg once daily, and 19 patients with other RET fusion-positive solid tumors. All results were as of a data cutoff date of November 6, 2020, and all clinical responses were confirmed.</w:t>
      </w:r>
    </w:p>
    <w:p>
      <w:pPr>
        <w:spacing w:after="0" w:line="20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i w:val="1"/>
          <w:iCs w:val="1"/>
          <w:color w:val="0A0A0A"/>
        </w:rPr>
        <w:t>Clinical Activity Data</w:t>
      </w:r>
      <w:r>
        <w:rPr>
          <w:rFonts w:ascii="Arial" w:cs="Arial" w:eastAsia="Arial" w:hAnsi="Arial"/>
          <w:sz w:val="16"/>
          <w:szCs w:val="16"/>
          <w:color w:val="0A0A0A"/>
        </w:rPr>
        <w:t>. In 68 treatment-naïve patients with RET fusion-positive NSCLC, the ORR was 79 percent</w:t>
      </w:r>
      <w:r>
        <w:rPr>
          <w:rFonts w:ascii="Arial" w:cs="Arial" w:eastAsia="Arial" w:hAnsi="Arial"/>
          <w:sz w:val="16"/>
          <w:szCs w:val="16"/>
          <w:i w:val="1"/>
          <w:iCs w:val="1"/>
          <w:color w:val="0A0A0A"/>
        </w:rPr>
        <w:t xml:space="preserve"> </w:t>
      </w:r>
      <w:r>
        <w:rPr>
          <w:rFonts w:ascii="Arial" w:cs="Arial" w:eastAsia="Arial" w:hAnsi="Arial"/>
          <w:sz w:val="16"/>
          <w:szCs w:val="16"/>
          <w:color w:val="0A0A0A"/>
        </w:rPr>
        <w:t>(95% CI: 68%, 88%) and the median DOR was not reached (95% CI: 9.0 months, not reached). For treatment-naïve patients, the initial study protocol limited enrollment to those determined by the investigator to be ineligible for standard platinum-based chemotherapy, which may be due to age, comorbidities or other poor prognostic factors. This eligibility restriction was removed in July 2019, with the goal of including a population more reflective of real-world practice. In an exploratory analysis of treatment-naïve patients enrolled after this expansion of inclusion criteria (n=25), the ORR was 88</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0A0A0A"/>
        </w:rPr>
        <w:t>percent (95% CI: 69%, 98%). In 126 patients with RET fusion-positive NSCLC who previously received platinum-based</w:t>
      </w:r>
    </w:p>
    <w:p>
      <w:pPr>
        <w:spacing w:after="0" w:line="46" w:lineRule="exact"/>
        <w:rPr>
          <w:sz w:val="20"/>
          <w:szCs w:val="20"/>
          <w:color w:val="auto"/>
        </w:rPr>
      </w:pPr>
    </w:p>
    <w:p>
      <w:pPr>
        <w:ind w:left="60" w:right="659"/>
        <w:spacing w:after="0" w:line="245" w:lineRule="auto"/>
        <w:rPr>
          <w:sz w:val="20"/>
          <w:szCs w:val="20"/>
          <w:color w:val="auto"/>
        </w:rPr>
      </w:pPr>
      <w:r>
        <w:rPr>
          <w:rFonts w:ascii="Arial" w:cs="Arial" w:eastAsia="Arial" w:hAnsi="Arial"/>
          <w:sz w:val="18"/>
          <w:szCs w:val="18"/>
          <w:color w:val="0A0A0A"/>
        </w:rPr>
        <w:t>chemotherapy, the ORR was 62 percent (95% CI: 53%, 70%) and the median DOR was 22.3 months (95% CI: 15.1 months, not reached).</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0A0A0A"/>
        </w:rPr>
        <w:t>In a heavily pre-treated population of 19 patients with RET fusion-positive solid tumors beyond NSCLC and thyroid cancer, the ORR was 53 percent (95% CI: 29%, 76%) and the median DOR was 19.0 months (95% CI: 5.5 months, not estimable). Tumor reductions were shown in patients with the following cancers – pancreatic, cholangiocarcinoma, colon, lung except NSCLC, mesenchymal, salivary duct, sweat gland and thymus – as well as patients diagnosed with cancers of unknown primary origin. In the three patients with pancreatic cancer, a particularly difficult-to-treat tumor type, there was one complete response and two partial responses.</w:t>
      </w:r>
    </w:p>
    <w:p>
      <w:pPr>
        <w:spacing w:after="0" w:line="21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i w:val="1"/>
          <w:iCs w:val="1"/>
          <w:color w:val="0A0A0A"/>
        </w:rPr>
        <w:t xml:space="preserve">Safety Data. </w:t>
      </w:r>
      <w:r>
        <w:rPr>
          <w:rFonts w:ascii="Arial" w:cs="Arial" w:eastAsia="Arial" w:hAnsi="Arial"/>
          <w:sz w:val="16"/>
          <w:szCs w:val="16"/>
          <w:color w:val="0A0A0A"/>
        </w:rPr>
        <w:t>A total of 471 patients were enrolled with a pralsetinib dose starting at 400 mg once daily. Across</w:t>
      </w:r>
      <w:r>
        <w:rPr>
          <w:rFonts w:ascii="Arial" w:cs="Arial" w:eastAsia="Arial" w:hAnsi="Arial"/>
          <w:sz w:val="16"/>
          <w:szCs w:val="16"/>
          <w:i w:val="1"/>
          <w:iCs w:val="1"/>
          <w:color w:val="0A0A0A"/>
        </w:rPr>
        <w:t xml:space="preserve"> </w:t>
      </w:r>
      <w:r>
        <w:rPr>
          <w:rFonts w:ascii="Arial" w:cs="Arial" w:eastAsia="Arial" w:hAnsi="Arial"/>
          <w:sz w:val="16"/>
          <w:szCs w:val="16"/>
          <w:color w:val="0A0A0A"/>
        </w:rPr>
        <w:t>tumor types, pralsetinib was generally well-tolerated with no new safety signals observed. The most common treatment-related AEs reported by investigators greater than or equal to 20 percent were neutropenia, increased aspartate aminotransferase, anemia, decreased white blood cell count, increased alanine aminotransferase, hypertension, constipation and asthenia. Overall, 6 percent of patients discontinued pralsetinib due to treatment-related AEs.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0A0A0A"/>
        </w:rPr>
        <w:t>Data Published in The Lancet Oncology and The Lancet Diabetes and Endocrinology in June 2021</w:t>
      </w:r>
    </w:p>
    <w:p>
      <w:pPr>
        <w:spacing w:after="0" w:line="25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i w:val="1"/>
          <w:iCs w:val="1"/>
          <w:color w:val="0A0A0A"/>
        </w:rPr>
        <w:t xml:space="preserve">The Lancet Oncology </w:t>
      </w:r>
      <w:r>
        <w:rPr>
          <w:rFonts w:ascii="Arial" w:cs="Arial" w:eastAsia="Arial" w:hAnsi="Arial"/>
          <w:sz w:val="17"/>
          <w:szCs w:val="17"/>
          <w:color w:val="0A0A0A"/>
        </w:rPr>
        <w:t>published data from the ARROW trial in patients with RET fusion-positive NSCLC, which</w:t>
      </w:r>
      <w:r>
        <w:rPr>
          <w:rFonts w:ascii="Arial" w:cs="Arial" w:eastAsia="Arial" w:hAnsi="Arial"/>
          <w:sz w:val="17"/>
          <w:szCs w:val="17"/>
          <w:i w:val="1"/>
          <w:iCs w:val="1"/>
          <w:color w:val="0A0A0A"/>
        </w:rPr>
        <w:t xml:space="preserve"> </w:t>
      </w:r>
      <w:r>
        <w:rPr>
          <w:rFonts w:ascii="Arial" w:cs="Arial" w:eastAsia="Arial" w:hAnsi="Arial"/>
          <w:sz w:val="17"/>
          <w:szCs w:val="17"/>
          <w:color w:val="0A0A0A"/>
        </w:rPr>
        <w:t xml:space="preserve">were consistent with results reported from an updated data cut at the 2021 ASCO Annual Meeting. </w:t>
      </w:r>
      <w:r>
        <w:rPr>
          <w:rFonts w:ascii="Arial" w:cs="Arial" w:eastAsia="Arial" w:hAnsi="Arial"/>
          <w:sz w:val="17"/>
          <w:szCs w:val="17"/>
          <w:i w:val="1"/>
          <w:iCs w:val="1"/>
          <w:color w:val="0A0A0A"/>
        </w:rPr>
        <w:t>The Lancet Diabetes</w:t>
      </w:r>
      <w:r>
        <w:rPr>
          <w:rFonts w:ascii="Arial" w:cs="Arial" w:eastAsia="Arial" w:hAnsi="Arial"/>
          <w:sz w:val="17"/>
          <w:szCs w:val="17"/>
          <w:color w:val="0A0A0A"/>
        </w:rPr>
        <w:t xml:space="preserve"> </w:t>
      </w:r>
      <w:r>
        <w:rPr>
          <w:rFonts w:ascii="Arial" w:cs="Arial" w:eastAsia="Arial" w:hAnsi="Arial"/>
          <w:sz w:val="17"/>
          <w:szCs w:val="17"/>
          <w:i w:val="1"/>
          <w:iCs w:val="1"/>
          <w:color w:val="0A0A0A"/>
        </w:rPr>
        <w:t xml:space="preserve">and Endocrinology </w:t>
      </w:r>
      <w:r>
        <w:rPr>
          <w:rFonts w:ascii="Arial" w:cs="Arial" w:eastAsia="Arial" w:hAnsi="Arial"/>
          <w:sz w:val="17"/>
          <w:szCs w:val="17"/>
          <w:color w:val="0A0A0A"/>
        </w:rPr>
        <w:t>simultaneous published results from the ARROW trial in patients with RET-altered thyroid cancer.</w:t>
      </w:r>
      <w:r>
        <w:rPr>
          <w:rFonts w:ascii="Arial" w:cs="Arial" w:eastAsia="Arial" w:hAnsi="Arial"/>
          <w:sz w:val="17"/>
          <w:szCs w:val="17"/>
          <w:i w:val="1"/>
          <w:iCs w:val="1"/>
          <w:color w:val="0A0A0A"/>
        </w:rPr>
        <w:t xml:space="preserve"> </w:t>
      </w:r>
      <w:r>
        <w:rPr>
          <w:rFonts w:ascii="Arial" w:cs="Arial" w:eastAsia="Arial" w:hAnsi="Arial"/>
          <w:sz w:val="17"/>
          <w:szCs w:val="17"/>
          <w:color w:val="0A0A0A"/>
        </w:rPr>
        <w:t>Efficacy data were reported for patients treated with pralsetinib who were evaluable for response assessment per RECIST 1.1, as determined by blinded independent central review.</w:t>
      </w:r>
    </w:p>
    <w:p>
      <w:pPr>
        <w:spacing w:after="0" w:line="255" w:lineRule="exact"/>
        <w:rPr>
          <w:sz w:val="20"/>
          <w:szCs w:val="20"/>
          <w:color w:val="auto"/>
        </w:rPr>
      </w:pPr>
    </w:p>
    <w:p>
      <w:pPr>
        <w:ind w:left="60" w:right="79" w:firstLine="648"/>
        <w:spacing w:after="0" w:line="258" w:lineRule="auto"/>
        <w:rPr>
          <w:sz w:val="20"/>
          <w:szCs w:val="20"/>
          <w:color w:val="auto"/>
        </w:rPr>
      </w:pPr>
      <w:r>
        <w:rPr>
          <w:rFonts w:ascii="Arial" w:cs="Arial" w:eastAsia="Arial" w:hAnsi="Arial"/>
          <w:sz w:val="17"/>
          <w:szCs w:val="17"/>
          <w:i w:val="1"/>
          <w:iCs w:val="1"/>
          <w:color w:val="0A0A0A"/>
        </w:rPr>
        <w:t xml:space="preserve">Clinical Activity Data. </w:t>
      </w:r>
      <w:r>
        <w:rPr>
          <w:rFonts w:ascii="Arial" w:cs="Arial" w:eastAsia="Arial" w:hAnsi="Arial"/>
          <w:sz w:val="17"/>
          <w:szCs w:val="17"/>
          <w:color w:val="0A0A0A"/>
        </w:rPr>
        <w:t>As of a data cutoff date of May 22, 2020, pralsetinib showed robust and durable antitumor</w:t>
      </w:r>
      <w:r>
        <w:rPr>
          <w:rFonts w:ascii="Arial" w:cs="Arial" w:eastAsia="Arial" w:hAnsi="Arial"/>
          <w:sz w:val="17"/>
          <w:szCs w:val="17"/>
          <w:i w:val="1"/>
          <w:iCs w:val="1"/>
          <w:color w:val="0A0A0A"/>
        </w:rPr>
        <w:t xml:space="preserve"> </w:t>
      </w:r>
      <w:r>
        <w:rPr>
          <w:rFonts w:ascii="Arial" w:cs="Arial" w:eastAsia="Arial" w:hAnsi="Arial"/>
          <w:sz w:val="17"/>
          <w:szCs w:val="17"/>
          <w:color w:val="0A0A0A"/>
        </w:rPr>
        <w:t>activity in patients with RET-altered thyroid cancer who received a starting dose of 400 mg once daily. In 55 patients with RET-mutant MTC previously treated with cabozantinib or vandetanib, the ORR was 60 percent (95% CI: 46%, 73%) and the median DOR was not reached (95% CI: 15.1 months, not estimable). In 21 systemic treatment-naïve patients with RET-mutant MTC, the ORR was 71 percent (95% CI: 48%, 89%) and the median DOR was not reached (95% CI: not estimable, not estimable). In nine patients with RET fusion-positive thyroid cancer, the ORR was 89 percent (95% CI: 52%, 100%) and the median DOR was not reached (95% CI: not estimable, not estimable).</w:t>
      </w:r>
    </w:p>
    <w:p>
      <w:pPr>
        <w:spacing w:after="0" w:line="203" w:lineRule="exact"/>
        <w:rPr>
          <w:sz w:val="20"/>
          <w:szCs w:val="20"/>
          <w:color w:val="auto"/>
        </w:rPr>
      </w:pPr>
    </w:p>
    <w:p>
      <w:pPr>
        <w:ind w:left="60" w:right="219" w:firstLine="648"/>
        <w:spacing w:after="0" w:line="241" w:lineRule="auto"/>
        <w:rPr>
          <w:sz w:val="20"/>
          <w:szCs w:val="20"/>
          <w:color w:val="auto"/>
        </w:rPr>
      </w:pPr>
      <w:r>
        <w:rPr>
          <w:rFonts w:ascii="Arial" w:cs="Arial" w:eastAsia="Arial" w:hAnsi="Arial"/>
          <w:sz w:val="18"/>
          <w:szCs w:val="18"/>
          <w:i w:val="1"/>
          <w:iCs w:val="1"/>
          <w:color w:val="0A0A0A"/>
        </w:rPr>
        <w:t xml:space="preserve">Safety Data. </w:t>
      </w:r>
      <w:r>
        <w:rPr>
          <w:rFonts w:ascii="Arial" w:cs="Arial" w:eastAsia="Arial" w:hAnsi="Arial"/>
          <w:sz w:val="18"/>
          <w:szCs w:val="18"/>
          <w:color w:val="0A0A0A"/>
        </w:rPr>
        <w:t>Pralsetinib was generally well-tolerated with safety results consistent with previously reported data.</w:t>
      </w:r>
      <w:r>
        <w:rPr>
          <w:rFonts w:ascii="Arial" w:cs="Arial" w:eastAsia="Arial" w:hAnsi="Arial"/>
          <w:sz w:val="18"/>
          <w:szCs w:val="18"/>
          <w:i w:val="1"/>
          <w:iCs w:val="1"/>
          <w:color w:val="0A0A0A"/>
        </w:rPr>
        <w:t xml:space="preserve"> </w:t>
      </w:r>
      <w:r>
        <w:rPr>
          <w:rFonts w:ascii="Arial" w:cs="Arial" w:eastAsia="Arial" w:hAnsi="Arial"/>
          <w:sz w:val="18"/>
          <w:szCs w:val="18"/>
          <w:color w:val="0A0A0A"/>
        </w:rPr>
        <w:t>In 142 patients with RET-altered thyroid cancer, the most common treatment-related AEs were increased aspartate aminotransferase, decreased white blood cell count, hypertension, neutropenia, anemia, constipation, asthenia, increased alanine aminotransferase, hyperphosphatemia and lymphopenia. Four percent of patients with RET-altered thyroid cancer discontinued pralsetinib due to treatment-related AEs.</w:t>
      </w:r>
    </w:p>
    <w:p>
      <w:pPr>
        <w:sectPr>
          <w:pgSz w:w="11900" w:h="16838" w:orient="portrait"/>
          <w:cols w:equalWidth="0" w:num="1">
            <w:col w:w="9019"/>
          </w:cols>
          <w:pgMar w:left="1440" w:top="517" w:right="1440" w:bottom="1440"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Gastrointestinal Stromal Tumors (GIST)</w:t>
      </w:r>
    </w:p>
    <w:p>
      <w:pPr>
        <w:spacing w:after="0" w:line="25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7"/>
          <w:szCs w:val="17"/>
          <w:color w:val="auto"/>
        </w:rPr>
        <w:t>GIST is a rare disease that is a sarcoma of the gastrointestinal tract. Tumors arise within cells in the wall of the gastrointestinal tract and occur most often in the stomach or small intestine. Most patients are diagnosed between the ages of 50-80 with diagnosis triggered by gastrointestinal bleeding, incidental findings during surgery or imaging, or in rare cases, acute presentation due to tumor rupture or gastrointestinal obstruction. The standard workup at primary presentation includes pathologic confirmation and imaging to assess extent of disease.</w:t>
      </w:r>
    </w:p>
    <w:p>
      <w:pPr>
        <w:spacing w:after="0" w:line="214"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GIST treatment paradigm has advanced dramatically over the past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five-year median overall survival. Unresectable or metastatic patients typically receive imatinib, followed by sunitinib and regorafenib as the disease progresses.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color w:val="auto"/>
        </w:rPr>
        <w:t>GIST is a tumor type that depends on continued signaling of a single, aberrantly active kinase. About 5 to 6 percent of primary GIST cases are caused by a PDGFRA D842V mutation, the most common PDGFRA exon 18 mutation. Published data have shown poor outcomes in patients with unresectable or metastatic PDGFRA D842V mutant GIST treated with imatinib and other approved therapies that do not specifically target PDGFRA mutations. Progression can occur within as little as three months, and the median overall survival is 15 months for patients with advanced disease. Currently, AYVAKIT is the only FDA-approved treatment for patients with D842V mutant PDGFRA-driven GIST.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EGFR-Mutated NSCLC</w:t>
      </w:r>
    </w:p>
    <w:p>
      <w:pPr>
        <w:spacing w:after="0" w:line="25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Among the 80 to 85 percent of lung cancers classified as NSCLC, it is estimated that about 10-15 percent of cases in the U.S. and Europe, and about 40-50 percent of cases in Asia are caused by activating EGFR mutations. In recent years, the introduction of EGFR-targeted therapies including osimertinib has dramatically improved outcomes in patients with EGFR-mutated NSCLC. However, there is a significant need for new treatment options designed to prevent a broad range of resistance mechanisms before they emerge, with the goal of prolonging patient benefit. In addition, there are no approved targeted therapies for osimertinib-resistant EGFR-mutated NSCLC, and there are limited treatment options for patients with EGFR exon 20 insertion-positive NSCLC.</w:t>
      </w:r>
    </w:p>
    <w:p>
      <w:pPr>
        <w:spacing w:after="0" w:line="207" w:lineRule="exact"/>
        <w:rPr>
          <w:sz w:val="20"/>
          <w:szCs w:val="20"/>
          <w:color w:val="auto"/>
        </w:rPr>
      </w:pPr>
    </w:p>
    <w:p>
      <w:pPr>
        <w:ind w:left="60" w:right="199" w:firstLine="648"/>
        <w:spacing w:after="0" w:line="241" w:lineRule="auto"/>
        <w:rPr>
          <w:sz w:val="20"/>
          <w:szCs w:val="20"/>
          <w:color w:val="auto"/>
        </w:rPr>
      </w:pPr>
      <w:r>
        <w:rPr>
          <w:rFonts w:ascii="Arial" w:cs="Arial" w:eastAsia="Arial" w:hAnsi="Arial"/>
          <w:sz w:val="18"/>
          <w:szCs w:val="18"/>
          <w:color w:val="auto"/>
        </w:rPr>
        <w:t>We are developing BLU-701 and BLU-945, in combination with each other and other agents, as well as monotherapies in certain biomarker-selected populations, for the treatment of patients with EGFR-mutated NSCLC. We initiated the Phase 1/2 HARMONY trial of BLU-701 in patients with EGFR-driven NSCLC in the fourth quarter of 2021, and initiated the Phase 1 SYMPHONY trial of BLU-945 in patients with EGFR-driven NSCLC in the second quarter of 2021.</w:t>
      </w:r>
    </w:p>
    <w:p>
      <w:pPr>
        <w:spacing w:after="0" w:line="230"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color w:val="auto"/>
        </w:rPr>
        <w:t>We are developing BLU-451 for the treatment of NSCLC in patients with EGFR exon 20 insertion mutations, and we plan to initiate a Phase 1/2 trial for this patient population in the first quarter of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 Aberrant Cancers</w:t>
      </w:r>
    </w:p>
    <w:p>
      <w:pPr>
        <w:spacing w:after="0" w:line="23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Cyclin dependent kinases and their cyclin partners regulate the cell cycle. In certain malignancies, CCNE1 is amplified or overexpressed, hyperactivating CDK2 and leading to cell cycle dysregulation and tumor proliferation. Data from the National Cancer Institute show that CCNE1 amplification is a primary disease driver in subsets of patients with ovarian cancer, endometrial cancer, gastric cancer and a broad range of other solid tumors. For example, approximately 20 percent of patients with ovarian serous cystadenocarcinoma harbor CCNE1 amplifications. In addition, aberrant CCNE1 is a known resistance mechanism in patients with estrogen-receptor-positive breast cancer treated with a CDK4/6 inhibitor. Studies have shown that ovarian and hormone-receptor-positive breast cancer patients with aberrant CCNE1 have poor outcomes. Collectively, these data highlight the broad potential of CDK2 as a therapeutic target.</w:t>
      </w:r>
    </w:p>
    <w:p>
      <w:pPr>
        <w:spacing w:after="0" w:line="208" w:lineRule="exact"/>
        <w:rPr>
          <w:sz w:val="20"/>
          <w:szCs w:val="20"/>
          <w:color w:val="auto"/>
        </w:rPr>
      </w:pPr>
    </w:p>
    <w:p>
      <w:pPr>
        <w:ind w:left="60" w:right="159" w:firstLine="648"/>
        <w:spacing w:after="0" w:line="324" w:lineRule="auto"/>
        <w:rPr>
          <w:sz w:val="20"/>
          <w:szCs w:val="20"/>
          <w:color w:val="auto"/>
        </w:rPr>
      </w:pPr>
      <w:r>
        <w:rPr>
          <w:rFonts w:ascii="Arial" w:cs="Arial" w:eastAsia="Arial" w:hAnsi="Arial"/>
          <w:sz w:val="16"/>
          <w:szCs w:val="16"/>
          <w:color w:val="auto"/>
        </w:rPr>
        <w:t>Prior drug discovery efforts targeting CDK2 have been hindered by challenges in achieving selectivity over other CDK family members associated with toxicity. We are developing BLU-222, a selective and potent investigational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CDK2 inhibitor, for the treatment of patients with cyclin E aberrant cancers. We plan to initiate the Phase 1/2 VELA trial of BLU-222 in cyclin E aberrant cancers in the first quarter of 2022.</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Collaborations and Licenses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39"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212529"/>
        </w:rPr>
        <w:t xml:space="preserve">In March 2016, we entered into a collaboration and license agreement, or </w:t>
      </w:r>
      <w:r>
        <w:rPr>
          <w:rFonts w:ascii="Arial" w:cs="Arial" w:eastAsia="Arial" w:hAnsi="Arial"/>
          <w:sz w:val="16"/>
          <w:szCs w:val="16"/>
          <w:color w:val="000000"/>
        </w:rPr>
        <w:t>the Roche immunotherapy agreement</w:t>
      </w:r>
      <w:r>
        <w:rPr>
          <w:rFonts w:ascii="Arial" w:cs="Arial" w:eastAsia="Arial" w:hAnsi="Arial"/>
          <w:sz w:val="16"/>
          <w:szCs w:val="16"/>
          <w:color w:val="212529"/>
        </w:rPr>
        <w:t>, as may be amended from time to time, with Roche for the discovery, development and commercialization of small molecule therapeutics targeting kinases believed to be important in cancer immunotherapy, as single products or possibly in combination with other therapeutics. As a result of an amendment to the Roche immunotherapy agreement in the first quarter of 2021, we and Roche are currently conducting activities for up to two programs under the collaboration, including the previously announced program for the kinase target MAP4K1, which is believed to play a role in T cell regulation.</w:t>
      </w:r>
    </w:p>
    <w:p>
      <w:pPr>
        <w:spacing w:after="0" w:line="202" w:lineRule="exact"/>
        <w:rPr>
          <w:sz w:val="20"/>
          <w:szCs w:val="20"/>
          <w:color w:val="auto"/>
        </w:rPr>
      </w:pPr>
    </w:p>
    <w:p>
      <w:pPr>
        <w:ind w:left="60" w:right="79" w:firstLine="693"/>
        <w:spacing w:after="0" w:line="274" w:lineRule="auto"/>
        <w:rPr>
          <w:sz w:val="20"/>
          <w:szCs w:val="20"/>
          <w:color w:val="auto"/>
        </w:rPr>
      </w:pPr>
      <w:r>
        <w:rPr>
          <w:rFonts w:ascii="Arial" w:cs="Arial" w:eastAsia="Arial" w:hAnsi="Arial"/>
          <w:sz w:val="16"/>
          <w:szCs w:val="16"/>
          <w:color w:val="auto"/>
        </w:rPr>
        <w:t>Under the Roche immunotherapy agreement, as amended, Roche is granted two option rights to obtain an exclusive license to exploit products derived from the collaboration programs in the field of cancer immunotherapy. Such option rights are triggered upon the achievement of Phase 1 proof-of-concept. For one of the collaboration programs, if Roche exercises its option, Roche will receive worldwide, exclusive commercialization rights for the licensed product. For the other collaboration program, if Roche exercises its option, we will retain commercialization rights in the U.S. for the licensed product, and Roche will receive commercialization rights outside of the U.S. for the licensed product. We will also retain worldwide rights to any products for which Roche elects not to exercise its applicable option.</w:t>
      </w:r>
    </w:p>
    <w:p>
      <w:pPr>
        <w:spacing w:after="0" w:line="163"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Prior to Roche’s exercise of an option, we have the lead responsibility for drug discovery and preclinical development of all collaboration programs. In addition, we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share the costs of Phase 1 development for each collaboration program. In addition, Roche will be responsible for post-Phase 1 development costs for the licensed product for which it retains global commercialization rights, and we and Roche will share post-Phase 1 development costs for the licensed product for which we retain commercialization rights in the U.S.</w:t>
      </w:r>
    </w:p>
    <w:p>
      <w:pPr>
        <w:spacing w:after="0" w:line="181"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 xml:space="preserve">We received an upfront cash payment of $45.0 million in March 2016 upon execution of the Roche immunotherapy agreement, and through December 31, 2021, we have achieved $23.5 million in milestone payments under this collaboration. Subject to the terms of the Roche immunotherapy agreement, as amended, in addition to upfront and milestone payments received through December 31, 2021, we are eligible to receive </w:t>
      </w:r>
      <w:r>
        <w:rPr>
          <w:rFonts w:ascii="Arial" w:cs="Arial" w:eastAsia="Arial" w:hAnsi="Arial"/>
          <w:sz w:val="16"/>
          <w:szCs w:val="16"/>
          <w:color w:val="212529"/>
        </w:rPr>
        <w:t>up to approximately $319.3 million</w:t>
      </w:r>
      <w:r>
        <w:rPr>
          <w:rFonts w:ascii="Arial" w:cs="Arial" w:eastAsia="Arial" w:hAnsi="Arial"/>
          <w:sz w:val="16"/>
          <w:szCs w:val="16"/>
          <w:color w:val="auto"/>
        </w:rPr>
        <w:t xml:space="preserve"> </w:t>
      </w:r>
      <w:r>
        <w:rPr>
          <w:rFonts w:ascii="Arial" w:cs="Arial" w:eastAsia="Arial" w:hAnsi="Arial"/>
          <w:sz w:val="16"/>
          <w:szCs w:val="16"/>
          <w:color w:val="212529"/>
        </w:rPr>
        <w:t>in contingent option fees and milestone payments related to specified research, preclinical, clinical, regulatory and sales-based milestones</w:t>
      </w:r>
      <w:r>
        <w:rPr>
          <w:rFonts w:ascii="Arial" w:cs="Arial" w:eastAsia="Arial" w:hAnsi="Arial"/>
          <w:sz w:val="16"/>
          <w:szCs w:val="16"/>
          <w:color w:val="000000"/>
        </w:rPr>
        <w:t>. In addition, for any licensed product for which Roche retains worldwide commercialization rights, we</w:t>
      </w:r>
      <w:r>
        <w:rPr>
          <w:rFonts w:ascii="Arial" w:cs="Arial" w:eastAsia="Arial" w:hAnsi="Arial"/>
          <w:sz w:val="16"/>
          <w:szCs w:val="16"/>
          <w:color w:val="212529"/>
        </w:rPr>
        <w:t xml:space="preserve"> </w:t>
      </w:r>
      <w:r>
        <w:rPr>
          <w:rFonts w:ascii="Arial" w:cs="Arial" w:eastAsia="Arial" w:hAnsi="Arial"/>
          <w:sz w:val="16"/>
          <w:szCs w:val="16"/>
          <w:color w:val="000000"/>
        </w:rPr>
        <w:t>will be eligible to receive tiered royalties ranging from low double-digits to high-teens on future net sales of the licensed product. For any licensed product for which we retain commercialization rights in the U.S.,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20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Under the Roche immunotherapy agreement, each party has granted the other party specified intellectual property licenses to enable the other party to perform its obligations and exercise its rights under the Roche immunotherapy agreement, including license grants to enable each party to conduct research, development and commercialization activities pursuant to the terms of the Roche immunotherapy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U.S. for the collaboration programs on which we will retain rights in the U.S., with Roche receiving a license under our intellectual property to develop and commercialize such licensed products outside of the U.S.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Subject to the terms and conditions of the Roche immunotherapy agreement, we have agreed to work exclusively with Roche with respect to each collaboration target. We are not obligated to work exclusively with Roche within the field of cancer immunotherapy. In addition, subject to specified exceptions, Roche has a right of first negotiation in the event that we desire to grant any third party rights to develop or commercialize a licensed product for which we retain commercialization rights in the U.S. Roche’s right of first negotiation will not apply in connection with a change of control of us, an assignment by us in accordance with the terms of the Roche immunotherapy agreement or certain agreements with contract research organizations, contract manufacturing organizations, academic institutions, not-for-profit third parties or distributors.</w:t>
      </w:r>
    </w:p>
    <w:p>
      <w:pPr>
        <w:spacing w:after="0" w:line="23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us.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52"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On July 13, 2020, we entered into a collaboration agreement, or the Roche pralsetinib collaboration agreement, with Roche pursuant to which we granted Roche exclusive rights to develop and commercialize pralsetinib worldwide, excluding the CStone territory, and a co-exclusive license in the U.S. to develop and commercialize pralsetinib. In addition, Roche has the right to opt in to a next-generation RET compound co-developed by Roche and us.</w:t>
      </w:r>
    </w:p>
    <w:p>
      <w:pPr>
        <w:spacing w:after="0" w:line="155"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color w:val="auto"/>
        </w:rPr>
        <w:t>Under the Roche pralsetinib collaboration agreement, we received upfront cash payments of $775.0 million in the third quarter of 2020, including an upfront payment of $675.0 million and the $100.0 million equity investment by Roche described below. Through December 31, 2021, we have received $105.0 million in specified regulatory and commercialization milestones. In addition to the upfront and milestone payments received through December 31, 2021, we are eligible to receive up to $822.0 million in contingent payments, including specified development, regulatory and sales-based milestones for pralsetinib and any licensed product containing a next-generation RET compound.</w:t>
      </w:r>
    </w:p>
    <w:p>
      <w:pPr>
        <w:spacing w:after="0" w:line="161"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In the U.S., we and Roche are working together to co-commercialize pralsetinib and will equally share responsibilities, profits and losses. In addition, we are eligible to receive tiered royalties ranging from high-teens to mid-twenties on annual net sales of pralsetinib outside the U.S., excluding the CStone territory, which we refer to as the Roche territory. We and Roche have also agreed to co-develop pralsetinib globally in RET-altered solid tumors, including NSCLC, MTC and other thyroid cancers, as well as other solid tumors. We and Roche will share global development costs for pralsetinib at a rate of 45 percent for us and 55 percent for Roche up to a specified amount of aggregate joint development costs, after which our share of global development costs for pralsetinib will be reduced by a specified percentage. We and Roche will also share specified global development costs for any next-generation RET compound co-developed under the collaboration in a similar manner.</w:t>
      </w:r>
    </w:p>
    <w:p>
      <w:pPr>
        <w:spacing w:after="0" w:line="18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we are entitled to retain specified licenses to be able to continue to exploit the licensed products.</w:t>
      </w:r>
    </w:p>
    <w:p>
      <w:pPr>
        <w:spacing w:after="0" w:line="181"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In connection with the Roche collaboration agreement, on July 13, 2020, we also entered into a stock purchase agreement with Roche Holdings, Inc., or Roche Holdings, pursuant to which we issued and sold an aggregate of 1,035,519 of shares of common stock to Roche Holdings at a purchase price of $96.57 per share and received $100.0</w:t>
      </w:r>
    </w:p>
    <w:p>
      <w:pPr>
        <w:sectPr>
          <w:pgSz w:w="11900" w:h="16838" w:orient="portrait"/>
          <w:cols w:equalWidth="0" w:num="1">
            <w:col w:w="9019"/>
          </w:cols>
          <w:pgMar w:left="1440" w:top="517" w:right="1440"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w:t>
      </w:r>
    </w:p>
    <w:p>
      <w:pPr>
        <w:spacing w:after="0" w:line="252"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On June 1, 2018, we entered into a collaboration and license agreement, or the CStone agreement, with CStone pursuant to which we granted CStone exclusive rights to develop and commercialize avapritinib, pralsetinib and fisogatinib, as well as certain back-up forms and certain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16"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We received an upfront cash payment of $40.0 million, and through December 31, 2021, we have received $23.0 million in milestone payments under this collaboration. Subject to the terms of the CStone agreement, in addition to upfront and milestone payments received through December 31, 2021, we will be eligible to receive up to approximately $323.0 million in additional milestone payments, including $95.5 million related to development and regulatory milestones and $227.5 million related to sales-based milestones.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us and CStone.</w:t>
      </w:r>
    </w:p>
    <w:p>
      <w:pPr>
        <w:spacing w:after="0" w:line="20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21"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5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212529"/>
        </w:rPr>
        <w:t xml:space="preserve">On October 15, 2019, we entered into a license agreement, or the Clementia agreement, with Clementia, a wholly-owned subsidiary of Ipsen S.A. </w:t>
      </w:r>
      <w:r>
        <w:rPr>
          <w:rFonts w:ascii="Arial" w:cs="Arial" w:eastAsia="Arial" w:hAnsi="Arial"/>
          <w:sz w:val="18"/>
          <w:szCs w:val="18"/>
          <w:color w:val="000000"/>
        </w:rPr>
        <w:t>Under the Clementia agreement, we granted an exclusive, worldwide, royalty-bearing</w:t>
      </w:r>
      <w:r>
        <w:rPr>
          <w:rFonts w:ascii="Arial" w:cs="Arial" w:eastAsia="Arial" w:hAnsi="Arial"/>
          <w:sz w:val="18"/>
          <w:szCs w:val="18"/>
          <w:color w:val="212529"/>
        </w:rPr>
        <w:t xml:space="preserve"> </w:t>
      </w:r>
      <w:r>
        <w:rPr>
          <w:rFonts w:ascii="Arial" w:cs="Arial" w:eastAsia="Arial" w:hAnsi="Arial"/>
          <w:sz w:val="18"/>
          <w:szCs w:val="18"/>
          <w:color w:val="000000"/>
        </w:rPr>
        <w:t>license to Clementia to develop and commercialize BLU-782, an oral, highly selective investigational ALK2 inhibitor in clinical development for the treatment of FOP, as well as specified other compounds related to the BLU-782 program, which we refer to as the Clementia licensed products.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received an upfront cash payment of $25.0 million in the fourth quarter of 2019, and through</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2021, we have received $20.0 million in milestone payments under this license agreement. Subject to the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terms of the Clementia agreement, in addition to the upfront and milestone payments received, we will be eligible to</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 up to $</w:t>
      </w:r>
      <w:r>
        <w:rPr>
          <w:rFonts w:ascii="Arial" w:cs="Arial" w:eastAsia="Arial" w:hAnsi="Arial"/>
          <w:sz w:val="16"/>
          <w:szCs w:val="16"/>
          <w:color w:val="1F2328"/>
        </w:rPr>
        <w:t>490.0</w:t>
      </w:r>
      <w:r>
        <w:rPr>
          <w:rFonts w:ascii="Arial" w:cs="Arial" w:eastAsia="Arial" w:hAnsi="Arial"/>
          <w:sz w:val="16"/>
          <w:szCs w:val="16"/>
          <w:color w:val="auto"/>
        </w:rPr>
        <w:t xml:space="preserve"> million in development, regulatory and sales-based milestone payments for the Clementia licensed</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products. In addition, Clementia is obligated to pay to us royalties on aggregate annual worldwide net sales of Clementia</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licensed products at tiered percentage rates ranging from the low- to mid-teens, subject to adjustment in specified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circumstances under the Clementia agreement, and to purchase specified manufacturing inventory from our company.</w:t>
      </w:r>
    </w:p>
    <w:p>
      <w:pPr>
        <w:spacing w:after="0" w:line="259"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15"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30"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October 15, 2021 upon at least 12 months’ prior written notice to us.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Zai Lab</w:t>
      </w:r>
    </w:p>
    <w:p>
      <w:pPr>
        <w:spacing w:after="0" w:line="239" w:lineRule="exact"/>
        <w:rPr>
          <w:sz w:val="20"/>
          <w:szCs w:val="20"/>
          <w:color w:val="auto"/>
        </w:rPr>
      </w:pPr>
    </w:p>
    <w:p>
      <w:pPr>
        <w:ind w:left="60" w:right="99" w:firstLine="648"/>
        <w:spacing w:after="0" w:line="294" w:lineRule="auto"/>
        <w:rPr>
          <w:sz w:val="20"/>
          <w:szCs w:val="20"/>
          <w:color w:val="auto"/>
        </w:rPr>
      </w:pPr>
      <w:r>
        <w:rPr>
          <w:rFonts w:ascii="Arial" w:cs="Arial" w:eastAsia="Arial" w:hAnsi="Arial"/>
          <w:sz w:val="16"/>
          <w:szCs w:val="16"/>
          <w:color w:val="auto"/>
        </w:rPr>
        <w:t>On November 8, 2021, we entered into a license agreement, or the Zai Lab agreement, with Zai Lab. Under the Zai Lab agreement, we granted an exclusive license for the development and commercialization of BLU-701 and BLU-945 for the treatment of EGFR-driven NSCLC in Greater China, including Mainland China, Hong Kong, Macau and Taiwan.</w:t>
      </w:r>
    </w:p>
    <w:p>
      <w:pPr>
        <w:spacing w:after="0" w:line="18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7"/>
          <w:szCs w:val="17"/>
          <w:color w:val="auto"/>
        </w:rPr>
        <w:t>We received an upfront cash payment of $25.0 million in the fourth quarter of 2021. Subject to the terms of the Zai Lab agreement, in addition to the upfront payment received, we will be eligible to receive up to $590.0 million in potential development, regulatory and sales-based milestone payments, and tiered royalties on a product-by-product basis ranging from the low-teens to mid-teens on annual net sales of BLU-701 and BLU-945 in Greater China, subject to adjustment in specified circumstances under the Zai Lab agreement.</w:t>
      </w:r>
    </w:p>
    <w:p>
      <w:pPr>
        <w:spacing w:after="0" w:line="214" w:lineRule="exact"/>
        <w:rPr>
          <w:sz w:val="20"/>
          <w:szCs w:val="20"/>
          <w:color w:val="auto"/>
        </w:rPr>
      </w:pPr>
    </w:p>
    <w:p>
      <w:pPr>
        <w:ind w:left="60" w:right="439" w:firstLine="648"/>
        <w:spacing w:after="0" w:line="261" w:lineRule="auto"/>
        <w:rPr>
          <w:sz w:val="20"/>
          <w:szCs w:val="20"/>
          <w:color w:val="auto"/>
        </w:rPr>
      </w:pPr>
      <w:r>
        <w:rPr>
          <w:rFonts w:ascii="Arial" w:cs="Arial" w:eastAsia="Arial" w:hAnsi="Arial"/>
          <w:sz w:val="18"/>
          <w:szCs w:val="18"/>
          <w:color w:val="auto"/>
        </w:rPr>
        <w:t>Under the terms of the agreement, Zai Lab will be responsible for all the development costs for BLU-701 and BLU-945 occurring in Greater China.</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Mergers &amp; Acquisitions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Lengo Therapeutics, Inc.</w:t>
      </w:r>
    </w:p>
    <w:p>
      <w:pPr>
        <w:spacing w:after="0" w:line="252" w:lineRule="exact"/>
        <w:rPr>
          <w:sz w:val="20"/>
          <w:szCs w:val="20"/>
          <w:color w:val="auto"/>
        </w:rPr>
      </w:pPr>
    </w:p>
    <w:p>
      <w:pPr>
        <w:ind w:left="60" w:right="259" w:firstLine="648"/>
        <w:spacing w:after="0" w:line="285" w:lineRule="auto"/>
        <w:rPr>
          <w:sz w:val="20"/>
          <w:szCs w:val="20"/>
          <w:color w:val="auto"/>
        </w:rPr>
      </w:pPr>
      <w:r>
        <w:rPr>
          <w:rFonts w:ascii="Arial" w:cs="Arial" w:eastAsia="Arial" w:hAnsi="Arial"/>
          <w:sz w:val="16"/>
          <w:szCs w:val="16"/>
          <w:color w:val="auto"/>
        </w:rPr>
        <w:t xml:space="preserve">On November 27, 2021, we entered into an Agreement and Plan of Merger, or the Merger Agreement, with Pavonis Merger Subsidiary, Inc., a Delaware corporation and our wholly-owned subsidiary, or Merger Sub, Lengo Therapeutics, Inc., a Delaware corporation, or Lengo, and Fortis Advisors LLC, a Delaware limited liability company, as the representative of the Lengo Securityholders (as defined below). On December 30, 2021, we </w:t>
      </w:r>
      <w:r>
        <w:rPr>
          <w:rFonts w:ascii="Arial" w:cs="Arial" w:eastAsia="Arial" w:hAnsi="Arial"/>
          <w:sz w:val="15"/>
          <w:szCs w:val="15"/>
          <w:color w:val="auto"/>
        </w:rPr>
        <w:t>completed the merger of</w:t>
      </w:r>
      <w:r>
        <w:rPr>
          <w:rFonts w:ascii="Arial" w:cs="Arial" w:eastAsia="Arial" w:hAnsi="Arial"/>
          <w:sz w:val="16"/>
          <w:szCs w:val="16"/>
          <w:color w:val="auto"/>
        </w:rPr>
        <w:t xml:space="preserve"> </w:t>
      </w:r>
      <w:r>
        <w:rPr>
          <w:rFonts w:ascii="Arial" w:cs="Arial" w:eastAsia="Arial" w:hAnsi="Arial"/>
          <w:sz w:val="15"/>
          <w:szCs w:val="15"/>
          <w:color w:val="auto"/>
        </w:rPr>
        <w:t>Merger Sub with and into Lengo, with Lengo continuing as the surviving corporation and our wholly-owned subsidiary, or the Closing. Upon Closing we acquired Lengo’s lead compound LNG-451, now known as BLU-451, which is in development for the treatment of EGFR exon 20 insertion-positive NSCLC, in addition to undisclosed preclinical precision oncology programs and research tools, including a catalog of covalent, highly brain penetrant kinase inhibitors that we plan to add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our proprietary compound library to further enable future drug discovery efforts.</w:t>
      </w:r>
    </w:p>
    <w:p>
      <w:pPr>
        <w:spacing w:after="0" w:line="198"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Upon Closing, we paid upfront merger consideration of $250.0 million in cash, or the Upfront Merger Consideration, to Lengo stockholders and option holders, or collectively, the Lengo Securityholders. The Merger Agreement also provided that we shall pay future contingent cash milestone payments of up to $215.0 million in the aggregate to the Lengo Securityholders upon the achievement of specified regulatory approval and sales milestones. The Upfront Merger Consideration is subject to customary net indebtedness, transaction expenses, and other adjustments, as set forth in the Merger Agreement.</w:t>
      </w:r>
    </w:p>
    <w:p>
      <w:pPr>
        <w:spacing w:after="0" w:line="17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Merger Agreement also provided that approximately $25.0 million of the Upfront Merger Consideration was placed into a third party escrow account, or the Indemnification Escrow, to secure the Lengo Securityholders’ obligations to indemnify us for certain matters, including breaches of representations and warranties, covenants included in the Merger Agreement, payments made by us to dissenting stockholders, specified tax claims, excess parachute claims, purchase price adjustments, and other customary matters, subject to certain specified limitations, including, among other things, limitations on the period during which we may make certain claims for indemnification and limitations on the amounts for which the Lengo Securityholders may be liable.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drug and drug candidates, as well as our core technologies, including our novel target discovery engine,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file patent applications directed to our marketed drugs AYVAKIT®/AYVAKYT®, GAVRETO® and our drug candidates in an effort to establish intellectual property positions regarding these new chemical entities as well as uses of these new chemical entities in the treatment of diseases and to other technologies, including formulations, solid state forms, manufacturing processes, patient selection markers and diagnostic discoveries that may be useful with our drugs and drug candidates. We also file patent applications directed to novel fusions that we have discovered through our target discovery engine and the use of these fusions in diagnosing and treating disease. As of January 31, 2022, we own or have licensed 37 issued U.S. patents, 18 pending U.S. non-provisional patent applications, 21 pending U.S. provisional applications, 62 issued foreign patents, 147 foreign pending patent applications, and 12 pending Patent Cooperation Treaty, or PCT, international patent applications related to our most advanced programs and platform technology. The foreign issued patents and pending patent applications are in a number of jurisdictions, including Argentina, Australia, Brazil, Canada, China, the European Union, Gulf Cooperation Council, Hong Kong, Israel, Japan, South Korea, Macao, Mexico, New Zealand, Philippines, Russia, Singapore, South Africa, and Taiwan. Our issued patents and pending patent applications pertain to our marketed drugs AYVAKIT® and GAVRETO® and drug candidates, including fisogatinib, BLU-263, BLU-945, BLU-701, BLU-451, and BLU-222 as well as novel recurrent fusions.</w:t>
      </w:r>
    </w:p>
    <w:p>
      <w:pPr>
        <w:spacing w:after="0" w:line="215"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We file trademarks to protect our products. Typically, we file trademark applications in the U.S., Europe, and elsewhere in the world as appropriate. In addition to multiple pending trademark applications in the U.S. and other major countries, we have registered trademarks, including but not limited to AYVAKIT and GAVRETO in the U.S. and to AYVAKYT in the EU.</w:t>
      </w:r>
    </w:p>
    <w:p>
      <w:pPr>
        <w:spacing w:after="0" w:line="228" w:lineRule="exact"/>
        <w:rPr>
          <w:sz w:val="20"/>
          <w:szCs w:val="20"/>
          <w:color w:val="auto"/>
        </w:rPr>
      </w:pPr>
    </w:p>
    <w:p>
      <w:pPr>
        <w:ind w:left="60" w:right="199" w:firstLine="648"/>
        <w:spacing w:after="0" w:line="239" w:lineRule="auto"/>
        <w:rPr>
          <w:sz w:val="20"/>
          <w:szCs w:val="20"/>
          <w:color w:val="auto"/>
        </w:rPr>
      </w:pPr>
      <w:r>
        <w:rPr>
          <w:rFonts w:ascii="Arial" w:cs="Arial" w:eastAsia="Arial" w:hAnsi="Arial"/>
          <w:sz w:val="18"/>
          <w:szCs w:val="18"/>
          <w:color w:val="auto"/>
        </w:rPr>
        <w:t>The intellectual property portfolios for our approved drugs and most advanced programs as of January 31, 2022 are summarized below. Prosecution is a lengthy process, during which the scope of the claims initially submitted for examination by the U.S. Patent and Trademark Office, or USPTO, and by patent offices in other countries are often significantly narrowed by the time they issue, if they issue at all. We expect this to be the case with respect to our pending patent applications referred to below. In addition to patents and trademarks for our drug products, we seek to obtain all available regulatory exclusivities for our marketed products, including data and orphan exclusivities in the relevant jurisdictions.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KIT and PDGFRA Program—AYVAKIT/AYVAKYT (avapritinib) and BLU-263</w:t>
      </w:r>
    </w:p>
    <w:p>
      <w:pPr>
        <w:spacing w:after="0" w:line="252"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6"/>
          <w:szCs w:val="16"/>
          <w:color w:val="auto"/>
        </w:rPr>
        <w:t>The intellectual property portfolio for our KIT and PDGFRA program contains patent applications directed to compositions of matter for avapritinib, BLU-263 and analogs thereof, compositions of matter for KIT and PDGFRA inhibitors with different compound families, as well as solid forms, methods of use and manufacture. As of January 31, 2022, the portfolio contains 12 issued U.S. patents, 16 issued foreign patents, including one European patent validated in 38 countries, four pending U.S. non-provisional patent applications, three pending U.S. provisional applications, four pending PCT international patent applications and 51 pending foreign patent applications. The patents that have issued or will issue covering our KIT and PDGFRA program will have a statutory expiration date between 2034 and 2042. Patent term adjustments, patent term extensions, and supplementary protection certificates could result in later expiration dates.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 Program—GAVRETO (pralsetinib)</w:t>
      </w:r>
    </w:p>
    <w:p>
      <w:pPr>
        <w:spacing w:after="0" w:line="252"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The intellectual property portfolio for our RET program contains patent applications directed to compositions of matter for pralsetinib and analogs thereof, compositions of matter for RET inhibitors with different compound families, as well as solid forms, formulations, methods of use and manufacture. As of January 31, 2022, the portfolio contains seven issued U.S. patents, five pending U.S. non-provisional patent applications, two U.S. provisional patent applications, three pending PCT international applications, 58 pending foreign patent applications and nine issued foreign patents. The patents that have issued or will issue covering our RET program will have a statutory expiration date between 2036 and 2042. Patent term adjustments, patent term extensions, and supplementary protection certificates could result in later expiration dates.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FGFR4 Program — Fisogatinib</w:t>
      </w:r>
    </w:p>
    <w:p>
      <w:pPr>
        <w:spacing w:after="0" w:line="239"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The intellectual property portfolio for our FGFR4 program contains patent applications directed to compositions of matter for fisogatinib and analogs and compositions of matter for FGFR4 inhibitors with different compound families as well as methods of use. As of January 31, 2022, the patent portfolio for our FGFR4 program, including fisogatinib contains nine issued U.S. patents, two pending U.S. non-provisional patent applications, one pending PCT international application, 21 pending foreign patent applications and 29 issued foreign patents. The patents that have issued or will issue covering our FGFR4 program will have a statutory expiration date between 2033 and 2040. Patent term adjustments, patent term extensions, and supplementary protection certificates could result in later expiration dates.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 Program</w:t>
      </w:r>
    </w:p>
    <w:p>
      <w:pPr>
        <w:spacing w:after="0" w:line="25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intellectual property portfolio for our EGFR program contains patent applications directed to compositions of matter for BLU-945, BLU-701, BLU-451 and analogs thereof, compositions of matter for EGFR inhibitors with different compound families, as well as solid forms, formulations, methods of use and manufacture. As of January 31, 2022, we owned one issued U.S. patent, one pending U.S. non-provisional patent application, 13 pending U.S. provisional applications, four pending PCT international patent applications and 14 pending foreign patent applications and two issued foreign patents, including one European patent validated in 6 countries directed to our EGFR program, including BLU-945, BLU-701, and BLU-451. The patents that have issued or will issue covering our EGFR program will have a statutory expiration date between 2034 and 2042. Patent term adjustments, patent term extensions, and supplementary protection certificates could result in later expiration dates.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CDK2 Program</w:t>
      </w:r>
    </w:p>
    <w:p>
      <w:pPr>
        <w:spacing w:after="0" w:line="25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The intellectual property portfolio for our CDK2 program contains patent applications directed to compositions of matter for CDK2 inhibitors for BLU-222 and analogs thereof, compositions of matter for CDK2 inhibitors with different compound families, as well as methods of use. As of January 31, 2022, we owned three pending U.S. provisional applications. The patents that will issue covering our CDK2 program will have a statutory expiration date of 2042. Patent term adjustments, patent term extensions, and supplementary protection certificates could result in later expiration dates.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Platform</w:t>
      </w:r>
    </w:p>
    <w:p>
      <w:pPr>
        <w:spacing w:after="0" w:line="252"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January 31, 2022, the patent portfolio directed to our platform contains eight issued U.S. patents, six pending U.S. non-provisional patent applications, three pending European Union patent applications and six issued European patents. Any U.S. or ex-U.S. patent issuing from the pending applications directed to this technology, if issued, will have statutory expiration dates ranging from 2034 to 2035.</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52"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Regulation — U.S. Patent Term Restoration and Marketing Exclusivity</w:t>
      </w:r>
      <w:r>
        <w:rPr>
          <w:rFonts w:ascii="Arial" w:cs="Arial" w:eastAsia="Arial" w:hAnsi="Arial"/>
          <w:sz w:val="17"/>
          <w:szCs w:val="17"/>
          <w:color w:val="auto"/>
        </w:rPr>
        <w:t>” below for additional information on</w:t>
      </w:r>
      <w:r>
        <w:rPr>
          <w:rFonts w:ascii="Arial" w:cs="Arial" w:eastAsia="Arial" w:hAnsi="Arial"/>
          <w:sz w:val="17"/>
          <w:szCs w:val="17"/>
          <w:i w:val="1"/>
          <w:iCs w:val="1"/>
          <w:color w:val="auto"/>
        </w:rPr>
        <w:t xml:space="preserve"> </w:t>
      </w:r>
      <w:r>
        <w:rPr>
          <w:rFonts w:ascii="Arial" w:cs="Arial" w:eastAsia="Arial" w:hAnsi="Arial"/>
          <w:sz w:val="17"/>
          <w:szCs w:val="17"/>
          <w:color w:val="auto"/>
        </w:rPr>
        <w:t>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24"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0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09" w:lineRule="exact"/>
        <w:rPr>
          <w:sz w:val="20"/>
          <w:szCs w:val="20"/>
          <w:color w:val="auto"/>
        </w:rPr>
      </w:pPr>
    </w:p>
    <w:p>
      <w:pPr>
        <w:ind w:left="60" w:right="259" w:firstLine="648"/>
        <w:spacing w:after="0" w:line="284" w:lineRule="auto"/>
        <w:rPr>
          <w:sz w:val="20"/>
          <w:szCs w:val="20"/>
          <w:color w:val="auto"/>
        </w:rPr>
      </w:pPr>
      <w:r>
        <w:rPr>
          <w:rFonts w:ascii="Arial" w:cs="Arial" w:eastAsia="Arial" w:hAnsi="Arial"/>
          <w:sz w:val="16"/>
          <w:szCs w:val="16"/>
          <w:color w:val="auto"/>
        </w:rPr>
        <w:t>With respect to the building of our proprietary compound library,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18"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compete in the segments of the pharmaceutical, biotechnology and other related markets that address inhibition of kinases in cancer and other rare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228"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3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effectiveness of companion diagnostic tests in guiding the use of related therapeutics, the level of generic competition and the availability of reimbursement from government and other third-party payors.</w:t>
      </w:r>
    </w:p>
    <w:p>
      <w:pPr>
        <w:spacing w:after="0" w:line="195" w:lineRule="exact"/>
        <w:rPr>
          <w:sz w:val="20"/>
          <w:szCs w:val="20"/>
          <w:color w:val="auto"/>
        </w:rPr>
      </w:pPr>
    </w:p>
    <w:p>
      <w:pPr>
        <w:ind w:left="60" w:right="219" w:firstLine="648"/>
        <w:spacing w:after="0" w:line="248" w:lineRule="auto"/>
        <w:rPr>
          <w:sz w:val="20"/>
          <w:szCs w:val="20"/>
          <w:color w:val="auto"/>
        </w:rPr>
      </w:pPr>
      <w:r>
        <w:rPr>
          <w:rFonts w:ascii="Arial" w:cs="Arial" w:eastAsia="Arial" w:hAnsi="Arial"/>
          <w:sz w:val="18"/>
          <w:szCs w:val="18"/>
          <w:color w:val="auto"/>
        </w:rPr>
        <w:t>Our approved drugs and drug candidates, to the extent they receive marketing approval in the future for indications for which we are currently conducting or planning clinical trials, compete with or will compete with the drugs discussed below and will likely compete with other drugs that are currently in development.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SM</w:t>
      </w:r>
    </w:p>
    <w:p>
      <w:pPr>
        <w:spacing w:after="0" w:line="24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6"/>
          <w:szCs w:val="16"/>
          <w:color w:val="auto"/>
        </w:rPr>
        <w:t>AYVAKIT/AYVAKYT faces competition for advanced SM from Novartis AG’s midostaurin and imatinib, and may face competition from drug candidates in development, including that being developed by Cogent Biosciences, Inc. We are</w:t>
      </w:r>
    </w:p>
    <w:p>
      <w:pPr>
        <w:spacing w:after="0" w:line="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developing avapritinib for non-advanced SM, and we are developing BLU-263 for the treatment of non-advanced SM and other mast cell disorders. If avapritinib and BLU-263 are approved for non-advanced SM, they may face competition from drug candidates in development, including those being developed by AB Science S.A., Allakos Inc. and Cogent Biosciences, Inc.</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w:t>
      </w:r>
    </w:p>
    <w:p>
      <w:pPr>
        <w:spacing w:after="0" w:line="252" w:lineRule="exact"/>
        <w:rPr>
          <w:sz w:val="20"/>
          <w:szCs w:val="20"/>
          <w:color w:val="auto"/>
        </w:rPr>
      </w:pPr>
    </w:p>
    <w:p>
      <w:pPr>
        <w:ind w:left="60" w:right="219" w:firstLine="648"/>
        <w:spacing w:after="0" w:line="276" w:lineRule="auto"/>
        <w:rPr>
          <w:sz w:val="20"/>
          <w:szCs w:val="20"/>
          <w:color w:val="auto"/>
        </w:rPr>
      </w:pPr>
      <w:r>
        <w:rPr>
          <w:rFonts w:ascii="Arial" w:cs="Arial" w:eastAsia="Arial" w:hAnsi="Arial"/>
          <w:sz w:val="16"/>
          <w:szCs w:val="16"/>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w:t>
      </w:r>
    </w:p>
    <w:p>
      <w:pPr>
        <w:sectPr>
          <w:pgSz w:w="11900" w:h="16838" w:orient="portrait"/>
          <w:cols w:equalWidth="0" w:num="1">
            <w:col w:w="9019"/>
          </w:cols>
          <w:pgMar w:left="1440" w:top="517" w:right="1440"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several approved multi-kinase inhibitors with RET activity being evaluated in clinical trials, including alectinib, apatinib, cabozantinib, dovitinib, lenvatinib, sorafenib, sunitinib and vandetinib.</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GIST</w:t>
      </w:r>
    </w:p>
    <w:p>
      <w:pPr>
        <w:spacing w:after="0" w:line="252"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EGFR-Mutated NSCLC</w:t>
      </w:r>
    </w:p>
    <w:p>
      <w:pPr>
        <w:spacing w:after="0" w:line="21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developing BLU-701 and BLU-945 for treatment-resistant EGFR-mutated NSCLC, which, if approved, will face competition from AstraZeneca plc’s osimertinib and almonertinib, which is under collaboration between Jiangsu Hansoh Pharmaceutical Group Co., Ltd. and EQRX, Inc. and approved in China. In addition, BLU-701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Centessa Pharmaceuticals plc, C4 Therapeutics, Inc., Chia Tai Tianqing Pharmaceutical Group, Daiichi Sankyo Company, Limited, Janssen Pharmaceuticals, Inc., Kanaph Therapeutics and Theseus Pharmaceuticals, Inc.</w:t>
      </w:r>
    </w:p>
    <w:p>
      <w:pPr>
        <w:spacing w:after="0" w:line="208"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Bayer AG, Black Diamond Therapeutics, Inc., Centessa Pharmaceuticals plc, Cullinan Oncology, Inc., Daiichi Sankyo Company, Limited, Dizal Pharmaceutical Co. Ltd., Shenzhen Forward Pharmaceutical Co., Ltd., Shanghai Junshi Biosciences Co., Ltd., Oric Pharmaceuticals, Inc. and Scorpion Therapeutics, Inc.</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 Aberrant Cancers</w:t>
      </w:r>
    </w:p>
    <w:p>
      <w:pPr>
        <w:spacing w:after="0" w:line="25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We are developing BLU-222 for cyclin E aberrant cancers, which, if approved, will face competition from indication-specific therapies such as Genentech’s bevacizumab, AstraZeneca and Merck’s olaparib, Clovis Oncology’s rucaparib, GSK’s niraparib, Merck’s pembrolizumab, and Eisai’s lenvatinib. In addition, BLU-222 may face competition from drug candidates in development for cyclin E aberrant cancers, including those being developed by ARC Therapeutics, Inc., Cedilla Therapeutics, Inc., Cyclacel Pharmaceuticals Inc., Monte Rosa Therapeutics, Inc., Nuvation Bio, Inc., Regor Therapeutics Inc., Pfizer Inc., AstraZeneca plc, Zentalis Pharmaceuticals, Inc. and Repare Therapeutics, Inc.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Advanced Cancers</w:t>
      </w:r>
    </w:p>
    <w:p>
      <w:pPr>
        <w:spacing w:after="0" w:line="252"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We are developing BLU-852 for advanced cancers susceptible to MAP4K1 inhibition, which, if approved, will face competition from immuno-oncology products, including those developed by Bristol-Myers Squibb Company, Merck</w:t>
      </w:r>
    </w:p>
    <w:p>
      <w:pPr>
        <w:spacing w:after="0" w:line="1" w:lineRule="exact"/>
        <w:rPr>
          <w:sz w:val="20"/>
          <w:szCs w:val="20"/>
          <w:color w:val="auto"/>
        </w:rPr>
      </w:pPr>
    </w:p>
    <w:p>
      <w:pPr>
        <w:ind w:left="60" w:right="99" w:hanging="10"/>
        <w:spacing w:after="0" w:line="238"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239"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As a fully-integrated, global precision therapy company focused on discovering, developing and commercializing a portfolio of precision therapies, our vision is to bring life-changing precision therapies to as many patients with cancer and blood disorders as possible. We have established our own commercial organization in the U.S. and Europe in connection with our commercial launches of AYVAKIT and GAVRETO in the U.S. and AYVAKYT in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Europe. We have also entered into collaborations with our partners, including CStone and Roche, for global commercialization activities for AYVAKIT/AYVAKYT and GAVRETO in their respective territories. We are continuing to expand our commercialization capabilities and to build our distribution capabilities to accelerate global adoption of our approved drugs and to prepare for additional planned commercial launches with an initial focus on the U.S. and Europe.</w:t>
      </w:r>
    </w:p>
    <w:p>
      <w:pPr>
        <w:spacing w:after="0" w:line="196" w:lineRule="exact"/>
        <w:rPr>
          <w:sz w:val="20"/>
          <w:szCs w:val="20"/>
          <w:color w:val="auto"/>
        </w:rPr>
      </w:pPr>
    </w:p>
    <w:p>
      <w:pPr>
        <w:ind w:left="60" w:right="319" w:firstLine="648"/>
        <w:spacing w:after="0" w:line="241" w:lineRule="auto"/>
        <w:rPr>
          <w:sz w:val="20"/>
          <w:szCs w:val="20"/>
          <w:color w:val="auto"/>
        </w:rPr>
      </w:pPr>
      <w:r>
        <w:rPr>
          <w:rFonts w:ascii="Arial" w:cs="Arial" w:eastAsia="Arial" w:hAnsi="Arial"/>
          <w:sz w:val="18"/>
          <w:szCs w:val="18"/>
          <w:color w:val="auto"/>
        </w:rPr>
        <w:t>We believe our portfolio strategy focused on genomically defined cancers and blood disorders will allow us to efficiently commercialize approved drugs in the U.S. and Europe initially and worldwide longer-term, using a small and highly specialized sales force similar to those of other rare disease companies. We may also evaluate opportunities to establish collaborations with pharmaceutical companies to leverage their capabilities to maximize the potential of our pipeline from time to time.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23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pralsetinib, fisogatinib, BLU-263, BLU-945, BLU-701, BLU-222 and BLU-451 for our ongoing and planned clinical testing from third-party manufacturers. We obtain our supplies from these manufacturers on a purchase order basis and do not have a long-term supply arrangement in place. Although we have negotiated manufacturing agreements with certain venders for the commercial supply of AYVAKIT/AYVAKYT and GAVRETO,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pacing w:after="0" w:line="212"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196"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Under the terms of our agreements related to the development and commercialization of companion diagnostic tests, third parties are responsible for the commercialization of companion diagnostic tests, including for avapritinib in order to identify GIST patients with the PDGFRA D842V mutation and pralsetinib in order to identify NSCLC patients with RET fusions. We generally expect to rely on third parties for the manufacture of any other companion diagnostic tests we may seek to develop.</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02"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52" w:lineRule="exact"/>
        <w:rPr>
          <w:sz w:val="20"/>
          <w:szCs w:val="20"/>
          <w:color w:val="auto"/>
        </w:rPr>
      </w:pPr>
    </w:p>
    <w:p>
      <w:pPr>
        <w:ind w:left="60" w:right="279" w:firstLine="648"/>
        <w:spacing w:after="0" w:line="262" w:lineRule="auto"/>
        <w:rPr>
          <w:sz w:val="20"/>
          <w:szCs w:val="20"/>
          <w:color w:val="auto"/>
        </w:rPr>
      </w:pPr>
      <w:r>
        <w:rPr>
          <w:rFonts w:ascii="Arial" w:cs="Arial" w:eastAsia="Arial" w:hAnsi="Arial"/>
          <w:sz w:val="17"/>
          <w:szCs w:val="17"/>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199" w:lineRule="exact"/>
        <w:rPr>
          <w:sz w:val="20"/>
          <w:szCs w:val="20"/>
          <w:color w:val="auto"/>
        </w:rPr>
      </w:pPr>
    </w:p>
    <w:p>
      <w:pPr>
        <w:ind w:left="1340" w:right="59" w:hanging="318"/>
        <w:spacing w:after="0" w:line="248"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81" w:lineRule="exact"/>
        <w:rPr>
          <w:rFonts w:ascii="Arial" w:cs="Arial" w:eastAsia="Arial" w:hAnsi="Arial"/>
          <w:sz w:val="18"/>
          <w:szCs w:val="18"/>
          <w:color w:val="auto"/>
        </w:rPr>
      </w:pPr>
    </w:p>
    <w:p>
      <w:pPr>
        <w:jc w:val="both"/>
        <w:ind w:left="1340" w:right="219" w:hanging="318"/>
        <w:spacing w:after="0" w:line="248"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actively maintained, including by submitting 15- or 7-day safety reports and annual safety reports;</w:t>
      </w:r>
    </w:p>
    <w:p>
      <w:pPr>
        <w:spacing w:after="0" w:line="181" w:lineRule="exact"/>
        <w:rPr>
          <w:rFonts w:ascii="Arial" w:cs="Arial" w:eastAsia="Arial" w:hAnsi="Arial"/>
          <w:sz w:val="18"/>
          <w:szCs w:val="18"/>
          <w:color w:val="auto"/>
        </w:rPr>
      </w:pPr>
    </w:p>
    <w:p>
      <w:pPr>
        <w:ind w:left="1340" w:right="59" w:hanging="318"/>
        <w:spacing w:after="0" w:line="248"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drug candidate by an FDA advisory committee, where appropriate or if applicable;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for FDA review of the NDA (unless a fee waiver applies);</w:t>
      </w:r>
    </w:p>
    <w:p>
      <w:pPr>
        <w:spacing w:after="0" w:line="211" w:lineRule="exact"/>
        <w:rPr>
          <w:rFonts w:ascii="Arial" w:cs="Arial" w:eastAsia="Arial" w:hAnsi="Arial"/>
          <w:sz w:val="18"/>
          <w:szCs w:val="18"/>
          <w:color w:val="auto"/>
        </w:rPr>
      </w:pPr>
    </w:p>
    <w:p>
      <w:pPr>
        <w:ind w:left="1340" w:right="119" w:hanging="318"/>
        <w:spacing w:after="0" w:line="270" w:lineRule="auto"/>
        <w:tabs>
          <w:tab w:leader="none" w:pos="1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pacing w:after="0" w:line="163" w:lineRule="exact"/>
        <w:rPr>
          <w:rFonts w:ascii="Arial" w:cs="Arial" w:eastAsia="Arial" w:hAnsi="Arial"/>
          <w:sz w:val="17"/>
          <w:szCs w:val="17"/>
          <w:color w:val="auto"/>
        </w:rPr>
      </w:pPr>
    </w:p>
    <w:p>
      <w:pPr>
        <w:ind w:left="1340" w:right="539" w:hanging="318"/>
        <w:spacing w:after="0" w:line="261"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FDA audit of the preclinical study sites and/or clinical trial sites that generated the data in support of the NDA;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FDA review and approval of the NDA prior to any commercial marketing or sale of the drug in the U.S.</w:t>
      </w:r>
    </w:p>
    <w:p>
      <w:pPr>
        <w:spacing w:after="0" w:line="275" w:lineRule="exact"/>
        <w:rPr>
          <w:sz w:val="20"/>
          <w:szCs w:val="20"/>
          <w:color w:val="auto"/>
        </w:rPr>
      </w:pPr>
    </w:p>
    <w:p>
      <w:pPr>
        <w:ind w:left="60" w:right="59" w:firstLine="648"/>
        <w:spacing w:after="0" w:line="251" w:lineRule="auto"/>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28" w:lineRule="exact"/>
        <w:rPr>
          <w:sz w:val="20"/>
          <w:szCs w:val="20"/>
          <w:color w:val="auto"/>
        </w:rPr>
      </w:pPr>
    </w:p>
    <w:p>
      <w:pPr>
        <w:ind w:left="60" w:right="259" w:firstLine="648"/>
        <w:spacing w:after="0" w:line="324"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and/or patients under the supervision of qualified investigators, generally physicians not employed by or under the trial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9" w:lineRule="auto"/>
        <w:rPr>
          <w:sz w:val="20"/>
          <w:szCs w:val="20"/>
          <w:color w:val="auto"/>
        </w:rPr>
      </w:pPr>
      <w:r>
        <w:rPr>
          <w:rFonts w:ascii="Arial" w:cs="Arial" w:eastAsia="Arial" w:hAnsi="Arial"/>
          <w:sz w:val="16"/>
          <w:szCs w:val="16"/>
          <w:color w:val="auto"/>
        </w:rPr>
        <w:t>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Failure to timely register a clinical trial or to submit study results to such public registries can give rise to civil monetary penalties and also prevent a non-compliant party from receiving future grant funds from the federal government.</w:t>
      </w:r>
    </w:p>
    <w:p>
      <w:pPr>
        <w:spacing w:after="0" w:line="208"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pharmacokinetic, or PK, profile, pharmacologic action, side effect tolerability and safety of the drug. Phase 1 clinical trials for oncology indications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AEs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pacing w:after="0" w:line="226" w:lineRule="exact"/>
        <w:rPr>
          <w:sz w:val="20"/>
          <w:szCs w:val="20"/>
          <w:color w:val="auto"/>
        </w:rPr>
      </w:pPr>
    </w:p>
    <w:p>
      <w:pPr>
        <w:ind w:left="60" w:right="479" w:firstLine="648"/>
        <w:spacing w:after="0" w:line="24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post-marketing commitments or requirements.</w:t>
      </w:r>
    </w:p>
    <w:p>
      <w:pPr>
        <w:spacing w:after="0" w:line="215"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NDA and FDA Review Process</w:t>
      </w:r>
    </w:p>
    <w:p>
      <w:pPr>
        <w:spacing w:after="0" w:line="252"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213" w:lineRule="exact"/>
        <w:rPr>
          <w:sz w:val="20"/>
          <w:szCs w:val="20"/>
          <w:color w:val="auto"/>
        </w:rPr>
      </w:pPr>
    </w:p>
    <w:p>
      <w:pPr>
        <w:ind w:left="60" w:right="279" w:firstLine="648"/>
        <w:spacing w:after="0" w:line="262" w:lineRule="auto"/>
        <w:rPr>
          <w:sz w:val="20"/>
          <w:szCs w:val="20"/>
          <w:color w:val="auto"/>
        </w:rPr>
      </w:pPr>
      <w:r>
        <w:rPr>
          <w:rFonts w:ascii="Arial" w:cs="Arial" w:eastAsia="Arial" w:hAnsi="Arial"/>
          <w:sz w:val="17"/>
          <w:szCs w:val="17"/>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 the Prescription Drug User Fee Act, or PDUFA, as amended, each NDA must be accompanied by a user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fee. The FDA adjusts the PDUFA user fees on an annual basis. According to the FDA’s fiscal year 2021 fee schedule,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effective through September 30, 2021, the user fee for an application requiring clinical data, such as an NDA, is</w:t>
      </w:r>
    </w:p>
    <w:p>
      <w:pPr>
        <w:ind w:left="60"/>
        <w:spacing w:after="0"/>
        <w:rPr>
          <w:sz w:val="20"/>
          <w:szCs w:val="20"/>
          <w:color w:val="auto"/>
        </w:rPr>
      </w:pPr>
      <w:r>
        <w:rPr>
          <w:rFonts w:ascii="Arial" w:cs="Arial" w:eastAsia="Arial" w:hAnsi="Arial"/>
          <w:sz w:val="17"/>
          <w:szCs w:val="17"/>
          <w:color w:val="auto"/>
        </w:rPr>
        <w:t>$2,875,842. PDUFA also imposes an annual prescription drug product program fee for human drugs ($336,432 for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fiscal year). Fee waivers or reductions are available in certain circumstances, including a waiver of the application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fee for the first application filed by a small business. In addition, no user fees are assessed on NDAs for products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designated as orphan drugs, unless the product also includes a non-orphan indication.</w:t>
      </w:r>
    </w:p>
    <w:p>
      <w:pPr>
        <w:spacing w:after="0" w:line="23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21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1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due to the COVID-19 pandemic. An approval</w:t>
      </w:r>
    </w:p>
    <w:p>
      <w:pPr>
        <w:sectPr>
          <w:pgSz w:w="11900" w:h="16838" w:orient="portrait"/>
          <w:cols w:equalWidth="0" w:num="1">
            <w:col w:w="9019"/>
          </w:cols>
          <w:pgMar w:left="1440" w:top="517" w:right="1440"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1" w:lineRule="auto"/>
        <w:rPr>
          <w:sz w:val="20"/>
          <w:szCs w:val="20"/>
          <w:color w:val="auto"/>
        </w:rPr>
      </w:pPr>
      <w:r>
        <w:rPr>
          <w:rFonts w:ascii="Arial" w:cs="Arial" w:eastAsia="Arial" w:hAnsi="Arial"/>
          <w:sz w:val="16"/>
          <w:szCs w:val="16"/>
          <w:color w:val="auto"/>
        </w:rPr>
        <w:t>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23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09"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0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39"/>
        <w:spacing w:after="0" w:line="261" w:lineRule="auto"/>
        <w:rPr>
          <w:sz w:val="20"/>
          <w:szCs w:val="20"/>
          <w:color w:val="auto"/>
        </w:rPr>
      </w:pPr>
      <w:r>
        <w:rPr>
          <w:rFonts w:ascii="Arial" w:cs="Arial" w:eastAsia="Arial" w:hAnsi="Arial"/>
          <w:sz w:val="18"/>
          <w:szCs w:val="18"/>
          <w:color w:val="auto"/>
        </w:rPr>
        <w:t>irreversible morbidity or mortality or other clinical endpoint, and the drug may be subject to accelerated withdrawal procedures.</w:t>
      </w:r>
    </w:p>
    <w:p>
      <w:pPr>
        <w:spacing w:after="0" w:line="21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204"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Pediatric Trials</w:t>
      </w:r>
    </w:p>
    <w:p>
      <w:pPr>
        <w:spacing w:after="0" w:line="25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Post-Marketing Requirements</w:t>
      </w:r>
    </w:p>
    <w:p>
      <w:pPr>
        <w:spacing w:after="0" w:line="23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0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4"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w:t>
      </w:r>
    </w:p>
    <w:p>
      <w:pPr>
        <w:ind w:left="60" w:right="99"/>
        <w:spacing w:after="0" w:line="251" w:lineRule="auto"/>
        <w:rPr>
          <w:sz w:val="20"/>
          <w:szCs w:val="20"/>
          <w:color w:val="auto"/>
        </w:rPr>
      </w:pPr>
      <w:r>
        <w:rPr>
          <w:rFonts w:ascii="Arial" w:cs="Arial" w:eastAsia="Arial" w:hAnsi="Arial"/>
          <w:sz w:val="17"/>
          <w:szCs w:val="17"/>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w:t>
      </w:r>
    </w:p>
    <w:p>
      <w:pPr>
        <w:spacing w:after="0" w:line="225"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Also, new government requirements, including those resulting from new legislation, may be established, or the FDA’s policies may change, which could delay or prevent regulatory approval of our drugs under development.</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Regulatory Matters</w:t>
      </w:r>
    </w:p>
    <w:p>
      <w:pPr>
        <w:spacing w:after="0" w:line="252" w:lineRule="exact"/>
        <w:rPr>
          <w:sz w:val="20"/>
          <w:szCs w:val="20"/>
          <w:color w:val="auto"/>
        </w:rPr>
      </w:pPr>
    </w:p>
    <w:p>
      <w:pPr>
        <w:ind w:left="60" w:right="139" w:firstLine="648"/>
        <w:spacing w:after="0" w:line="251" w:lineRule="auto"/>
        <w:rPr>
          <w:sz w:val="20"/>
          <w:szCs w:val="20"/>
          <w:color w:val="auto"/>
        </w:rPr>
      </w:pPr>
      <w:r>
        <w:rPr>
          <w:rFonts w:ascii="Arial" w:cs="Arial" w:eastAsia="Arial" w:hAnsi="Arial"/>
          <w:sz w:val="17"/>
          <w:szCs w:val="17"/>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29"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252"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w:t>
      </w:r>
    </w:p>
    <w:p>
      <w:pPr>
        <w:sectPr>
          <w:pgSz w:w="11900" w:h="16838" w:orient="portrait"/>
          <w:cols w:equalWidth="0" w:num="1">
            <w:col w:w="9019"/>
          </w:cols>
          <w:pgMar w:left="1440" w:top="517" w:right="1440"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3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Orphan Drug Designation</w:t>
      </w:r>
    </w:p>
    <w:p>
      <w:pPr>
        <w:spacing w:after="0" w:line="239"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EU, the European Commission, after receiving the opinion of the EMA’s Committee for Orphan Medicinal Products, or COMP, grants medicinal product designation to promote the development of products that are intended for the diagnosis, prevention or treatment of a life-threatening or chronically debilitating conditions affecting not more than five in 10,000 persons in the EU Community. In addition,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w:t>
      </w:r>
    </w:p>
    <w:p>
      <w:pPr>
        <w:spacing w:after="0" w:line="22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200" w:lineRule="exact"/>
        <w:rPr>
          <w:sz w:val="20"/>
          <w:szCs w:val="20"/>
          <w:color w:val="auto"/>
        </w:rPr>
      </w:pPr>
    </w:p>
    <w:p>
      <w:pPr>
        <w:ind w:left="60" w:right="239" w:firstLine="648"/>
        <w:spacing w:after="0" w:line="262" w:lineRule="auto"/>
        <w:rPr>
          <w:sz w:val="20"/>
          <w:szCs w:val="20"/>
          <w:color w:val="auto"/>
        </w:rPr>
      </w:pPr>
      <w:r>
        <w:rPr>
          <w:rFonts w:ascii="Arial" w:cs="Arial" w:eastAsia="Arial" w:hAnsi="Arial"/>
          <w:sz w:val="17"/>
          <w:szCs w:val="17"/>
          <w:color w:val="auto"/>
        </w:rPr>
        <w:t>In the EU, orphan medicinal product designation also entitles a party to financial incentives such as reduction of fees or fee waivers and ten years of market exclusivity is granted following drug or biological product approval. This period may be reduced to six years if the medicinal product designation criteria are no longer met, including where it is shown that the product is sufficiently profitable not to justify maintenance of market exclusivity.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99" w:firstLine="648"/>
        <w:spacing w:after="0" w:line="324"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Rare Pediatric Disease Designation and Priority Review Vouchers</w:t>
      </w:r>
    </w:p>
    <w:p>
      <w:pPr>
        <w:spacing w:after="0" w:line="239"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Regulation of Diagnostic Tests</w:t>
      </w:r>
    </w:p>
    <w:p>
      <w:pPr>
        <w:spacing w:after="0" w:line="252"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devices, which provide information that is essential for the safe and effective use of a corresponding drug. For example, we have entered into agreements with third parties to develop and commercialize companion diagnostic tests, including for avapritinib in order to identify GIST patients with the PDGFRA D842V mutation and pralsetinib in order to identify NSCLC patients with RET fusions. In the U.S., the FDCA and its implementing regulations, and other federal and state statutes and regulations govern, among other things, medical device design and development, preclinical and clinical testing, premarket clearance or approval, establishment registration and device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207"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212"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 xml:space="preserve">In the European Economic Area, or EEA (which is comprised of the Member States of the EU plus Norway, Iceland and Liechtenstein),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are currently required to conform with the general safety and performance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however the new in-vitro diagnostics Regulation (Regulation (EU) 2017/746) will apply from 26 May 2022. Until then, manufacturers can opt to place in-vitro diagnostic devices on the market under Directive 98/79/EC or under the new Regulation if they fully comply with it. To demonstrate compliance with the general safety and performance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EU Notified Body. If successful, the conformity assessment concludes with the drawing up by the manufacturer of an EC Declaration of Conformity entitling the manufacturer to affix the CE mark to its products and to sell them throughout the EU.</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252"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In the European Union, our future drugs may also be subject to extensive regulatory requirements. As in the U.S., medicinal products can only be marketed if a marketing authorization from the competent regulatory agencies has been obtained.</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Clinical Trial Approval</w:t>
      </w:r>
    </w:p>
    <w:p>
      <w:pPr>
        <w:spacing w:after="0" w:line="239"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In April 2014, the EU adopted a new Clinical Trials Regulation (EU) No 536/2014, or the Clinical Trials Regulation, which replaced the current Clinical Trials Directive 2001/20/EC on 31 January 2022. The Clinical Trials Regulation is directly applicable in all EU Member States meaning no national implementing legislation in each EU Member State is required. It overhauls the current system of approvals for clinical trials in the EU. Specifically, the new legislation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European Drug Review and Approval</w:t>
      </w:r>
    </w:p>
    <w:p>
      <w:pPr>
        <w:spacing w:after="0" w:line="252" w:lineRule="exact"/>
        <w:rPr>
          <w:sz w:val="20"/>
          <w:szCs w:val="20"/>
          <w:color w:val="auto"/>
        </w:rPr>
      </w:pPr>
    </w:p>
    <w:p>
      <w:pPr>
        <w:ind w:left="60" w:right="179" w:firstLine="648"/>
        <w:spacing w:after="0" w:line="261" w:lineRule="auto"/>
        <w:rPr>
          <w:sz w:val="20"/>
          <w:szCs w:val="20"/>
          <w:color w:val="auto"/>
        </w:rPr>
      </w:pPr>
      <w:r>
        <w:rPr>
          <w:rFonts w:ascii="Arial" w:cs="Arial" w:eastAsia="Arial" w:hAnsi="Arial"/>
          <w:sz w:val="18"/>
          <w:szCs w:val="18"/>
          <w:color w:val="auto"/>
        </w:rPr>
        <w:t>In the UK and the EU, medicinal products can only be commercialized after obtaining a marketing authorization, or MA. There are two types of marketing authorizations:</w:t>
      </w:r>
    </w:p>
    <w:p>
      <w:pPr>
        <w:spacing w:after="0" w:line="198" w:lineRule="exact"/>
        <w:rPr>
          <w:sz w:val="20"/>
          <w:szCs w:val="20"/>
          <w:color w:val="auto"/>
        </w:rPr>
      </w:pPr>
    </w:p>
    <w:p>
      <w:pPr>
        <w:ind w:left="60" w:right="319" w:firstLine="648"/>
        <w:spacing w:after="0" w:line="272" w:lineRule="auto"/>
        <w:rPr>
          <w:sz w:val="20"/>
          <w:szCs w:val="20"/>
          <w:color w:val="auto"/>
        </w:rPr>
      </w:pPr>
      <w:r>
        <w:rPr>
          <w:rFonts w:ascii="Arial" w:cs="Arial" w:eastAsia="Arial" w:hAnsi="Arial"/>
          <w:sz w:val="16"/>
          <w:szCs w:val="16"/>
          <w:color w:val="auto"/>
        </w:rPr>
        <w:t>The centralized MA, which is issued by the European Commission through the centralized procedure, based on the opinion of the CHMP of the EMA and which is valid throughout the entire territory of the EU, and in the additional Member States of the European Economic Area (Iceland, Liechtenstein and Norway).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color w:val="auto"/>
        </w:rPr>
        <w:t>drugs that constitute a significant therapeutic, scientific or technical innovation or which are in the interest of public health in the EU.</w:t>
      </w:r>
    </w:p>
    <w:p>
      <w:pPr>
        <w:spacing w:after="0" w:line="21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National MAs,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w:t>
      </w:r>
    </w:p>
    <w:p>
      <w:pPr>
        <w:spacing w:after="0" w:line="234" w:lineRule="exact"/>
        <w:rPr>
          <w:sz w:val="20"/>
          <w:szCs w:val="20"/>
          <w:color w:val="auto"/>
        </w:rPr>
      </w:pPr>
    </w:p>
    <w:p>
      <w:pPr>
        <w:jc w:val="both"/>
        <w:ind w:left="60" w:right="499" w:firstLine="648"/>
        <w:spacing w:after="0" w:line="248"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EU make an assessment of the risk-benefit balance of the drug on the basis of scientific criteria concerning its quality, safety and efficacy.</w:t>
      </w:r>
    </w:p>
    <w:p>
      <w:pPr>
        <w:spacing w:after="0" w:line="20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MAs (under the Northern Ireland Protocol, centralized MAs will continue to be recognized in Northern Ireland). All medicinal products with a current centralized MA were automatically converted to Great Britain MAs on January 1, 2021. For a period of two years from January 1, 2021, the Medicines and Healthcare products Regulatory Agency, or MHRA, the UK medicines regulator, may rely on a decision taken by the European Commission on the approval of a new marketing authorization in the centralized procedure, in order to more quickly grant a new Great Britain MA. A separate application will, however, still be required.</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European Pediatric Investigation Plan</w:t>
      </w:r>
    </w:p>
    <w:p>
      <w:pPr>
        <w:spacing w:after="0" w:line="252"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In the EU, MAAs for new medicinal products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European Data and Market Exclusivity</w:t>
      </w:r>
    </w:p>
    <w:p>
      <w:pPr>
        <w:spacing w:after="0" w:line="252"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6"/>
          <w:szCs w:val="16"/>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biosimilar or generic application for eight years, after which a biosimilar or generic marketing authorization can be submitted, and the innovator’s data may be referenced, but not marketed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European Orphan Drug Designation and Exclusivity</w:t>
      </w:r>
    </w:p>
    <w:p>
      <w:pPr>
        <w:spacing w:after="0" w:line="22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(1) the product is intended for the diagnosis, prevention or treatment of a life-threatening or chronically debilitating condition; (2) either (a) such</w:t>
      </w:r>
    </w:p>
    <w:p>
      <w:pPr>
        <w:sectPr>
          <w:pgSz w:w="11900" w:h="16838" w:orient="portrait"/>
          <w:cols w:equalWidth="0" w:num="1">
            <w:col w:w="9019"/>
          </w:cols>
          <w:pgMar w:left="1440" w:top="517" w:right="1440"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7"/>
          <w:szCs w:val="17"/>
          <w:color w:val="auto"/>
        </w:rPr>
        <w:t>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68"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spacing w:after="0" w:line="175"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39" w:lineRule="exact"/>
        <w:rPr>
          <w:sz w:val="20"/>
          <w:szCs w:val="20"/>
          <w:color w:val="auto"/>
        </w:rPr>
      </w:pPr>
    </w:p>
    <w:p>
      <w:pPr>
        <w:ind w:left="60" w:right="99" w:firstLine="648"/>
        <w:spacing w:after="0" w:line="235"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7" w:lineRule="exact"/>
        <w:rPr>
          <w:sz w:val="20"/>
          <w:szCs w:val="20"/>
          <w:color w:val="auto"/>
        </w:rPr>
      </w:pPr>
    </w:p>
    <w:p>
      <w:pPr>
        <w:ind w:left="820" w:right="139" w:hanging="329"/>
        <w:spacing w:after="0" w:line="246" w:lineRule="auto"/>
        <w:tabs>
          <w:tab w:leader="none" w:pos="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1" w:lineRule="exact"/>
        <w:rPr>
          <w:rFonts w:ascii="Arial" w:cs="Arial" w:eastAsia="Arial" w:hAnsi="Arial"/>
          <w:sz w:val="18"/>
          <w:szCs w:val="18"/>
          <w:color w:val="auto"/>
        </w:rPr>
      </w:pPr>
    </w:p>
    <w:p>
      <w:pPr>
        <w:ind w:left="820" w:right="139" w:hanging="329"/>
        <w:spacing w:after="0" w:line="225" w:lineRule="auto"/>
        <w:tabs>
          <w:tab w:leader="none" w:pos="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2" w:lineRule="exact"/>
        <w:rPr>
          <w:rFonts w:ascii="Arial" w:cs="Arial" w:eastAsia="Arial" w:hAnsi="Arial"/>
          <w:sz w:val="18"/>
          <w:szCs w:val="18"/>
          <w:color w:val="auto"/>
        </w:rPr>
      </w:pPr>
    </w:p>
    <w:p>
      <w:pPr>
        <w:ind w:left="820" w:right="319" w:hanging="329"/>
        <w:spacing w:after="0" w:line="276" w:lineRule="auto"/>
        <w:tabs>
          <w:tab w:leader="none" w:pos="6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40" w:lineRule="exact"/>
        <w:rPr>
          <w:sz w:val="20"/>
          <w:szCs w:val="20"/>
          <w:color w:val="auto"/>
        </w:rPr>
      </w:pPr>
    </w:p>
    <w:p>
      <w:pPr>
        <w:ind w:left="60" w:right="179" w:firstLine="648"/>
        <w:spacing w:after="0" w:line="246" w:lineRule="auto"/>
        <w:rPr>
          <w:sz w:val="20"/>
          <w:szCs w:val="20"/>
          <w:color w:val="auto"/>
        </w:rPr>
      </w:pPr>
      <w:r>
        <w:rPr>
          <w:rFonts w:ascii="Arial" w:cs="Arial" w:eastAsia="Arial" w:hAnsi="Arial"/>
          <w:sz w:val="18"/>
          <w:szCs w:val="18"/>
          <w:color w:val="auto"/>
        </w:rPr>
        <w:t>The aforementioned EU rules are generally applicable in the EEA, which consists of the EU Member States, plus Iceland, Liechtenstein and Norway.</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39"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6"/>
          <w:szCs w:val="16"/>
          <w:color w:val="auto"/>
        </w:rPr>
        <w:t>On June 23, 2016, the electorate in the United Kingdom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w:t>
      </w:r>
    </w:p>
    <w:p>
      <w:pPr>
        <w:sectPr>
          <w:pgSz w:w="11900" w:h="16838" w:orient="portrait"/>
          <w:cols w:equalWidth="0" w:num="1">
            <w:col w:w="9019"/>
          </w:cols>
          <w:pgMar w:left="1440" w:top="517" w:right="1440"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system is independent from the EU and the TCA does not provide for mutual recognition of UK and EU pharmaceutical legislation.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252"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For other countries outside of the European Union and the U.S.,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8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52"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07"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In addition to federal regulation, many states have begun to focus on efforts to regulate privacy and data security.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CCPA, other personal information that we process may be subject to the CCPA and possible changes to the CCPA may broaden its scope.</w:t>
      </w:r>
    </w:p>
    <w:p>
      <w:pPr>
        <w:spacing w:after="0" w:line="20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EEA Member States, the UK, Switzerland and other jurisdictions have also adopted data protection laws and regulations, which impose significant compliance obligations. In the EEA and the UK, the collection and use of personal data, including clinical trial data, is governed by the provisions of the General Data Protection Regulation, or GDPR. The GDPR, together with national legislation, regulations and guidelines of the EEA Member States,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data breach notifications, security and confidentiality, responding and handling data subject rights, ensuring appropriate assessments are carried out on processing operations and documented. Under these laws data protection authorities can impose substantial potential fines for breaches of the data protection obligations. European data protection authorities may interpret the GDPR and national laws differently and impose additional requirements, which add to the complexity of processing personal data in or from the EEA, UK or Switzerland. Guidance on implementation and compliance practices are often updated or otherwise revised.</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39" w:lineRule="exact"/>
        <w:rPr>
          <w:sz w:val="20"/>
          <w:szCs w:val="20"/>
          <w:color w:val="auto"/>
        </w:rPr>
      </w:pPr>
    </w:p>
    <w:p>
      <w:pPr>
        <w:ind w:left="60" w:right="399" w:firstLine="648"/>
        <w:spacing w:after="0" w:line="324" w:lineRule="auto"/>
        <w:rPr>
          <w:sz w:val="20"/>
          <w:szCs w:val="20"/>
          <w:color w:val="auto"/>
        </w:rPr>
      </w:pPr>
      <w:r>
        <w:rPr>
          <w:rFonts w:ascii="Arial" w:cs="Arial" w:eastAsia="Arial" w:hAnsi="Arial"/>
          <w:sz w:val="16"/>
          <w:szCs w:val="16"/>
          <w:color w:val="auto"/>
        </w:rPr>
        <w:t>Sales of our drugs will depend, in part, on the extent to which our drugs will be covered by third-party payors, such as government health programs, commercial insurance and managed healthcare organizations. In the U.S.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markets in other countries, patients who are prescribed treatments for their conditions and providers performing the prescribed services generally rely on third-party payors to reimburse all or part of the associated healthcare costs. Thus, even if a drug is approved, sales of the drug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and drug candidates, if approved, could limit our ability to market those products and decrease our ability to generate revenue. Factors payors consider in determining reimbursement are based on whether the product is:</w:t>
      </w:r>
    </w:p>
    <w:p>
      <w:pPr>
        <w:spacing w:after="0" w:line="229" w:lineRule="exact"/>
        <w:rPr>
          <w:sz w:val="20"/>
          <w:szCs w:val="20"/>
          <w:color w:val="auto"/>
        </w:rPr>
      </w:pPr>
    </w:p>
    <w:p>
      <w:pPr>
        <w:ind w:left="1340" w:hanging="642"/>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340" w:hanging="642"/>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340" w:hanging="642"/>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340" w:hanging="642"/>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340" w:hanging="642"/>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Further, due to the ongoing COVID-19 pandemic, millions of individuals have lost or will be losing employer-based insurance coverage, which may adversely affect our ability to commercialize our drugs.</w:t>
      </w:r>
    </w:p>
    <w:p>
      <w:pPr>
        <w:spacing w:after="0" w:line="21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24" w:lineRule="exact"/>
        <w:rPr>
          <w:sz w:val="20"/>
          <w:szCs w:val="20"/>
          <w:color w:val="auto"/>
        </w:rPr>
      </w:pPr>
    </w:p>
    <w:p>
      <w:pPr>
        <w:ind w:left="60" w:right="139" w:firstLine="648"/>
        <w:spacing w:after="0" w:line="251"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16" w:lineRule="exact"/>
        <w:rPr>
          <w:sz w:val="20"/>
          <w:szCs w:val="20"/>
          <w:color w:val="auto"/>
        </w:rPr>
      </w:pPr>
    </w:p>
    <w:p>
      <w:pPr>
        <w:ind w:left="60" w:right="219" w:firstLine="648"/>
        <w:spacing w:after="0" w:line="324"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24"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The Affordable Care Act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226" w:lineRule="exact"/>
        <w:rPr>
          <w:sz w:val="20"/>
          <w:szCs w:val="20"/>
          <w:color w:val="auto"/>
        </w:rPr>
      </w:pPr>
    </w:p>
    <w:p>
      <w:pPr>
        <w:ind w:left="60" w:right="259" w:firstLine="648"/>
        <w:spacing w:after="0" w:line="239" w:lineRule="auto"/>
        <w:rPr>
          <w:sz w:val="20"/>
          <w:szCs w:val="20"/>
          <w:color w:val="auto"/>
        </w:rPr>
      </w:pPr>
      <w:r>
        <w:rPr>
          <w:rFonts w:ascii="Arial" w:cs="Arial" w:eastAsia="Arial" w:hAnsi="Arial"/>
          <w:sz w:val="18"/>
          <w:szCs w:val="18"/>
          <w:color w:val="auto"/>
        </w:rPr>
        <w:t>In addition, other legislative changes have been proposed and adopted in the U.S. since the Affordable Care Act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218"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In March 2010, the Affordable Care Act became law in the United States. The goal of the Affordable Care Act is to reduce the cost of healthcare and substantially change the way healthcare is financed by both governmental and private insurers. The Affordable Care Act, among other things, increases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effective January 1, 2019, by the Bipartisan Budget Act of 2018) point-of-sale discounts off negotiated prices of applicable brand drugs to eligible beneficiaries during their coverage gap period as a condition for the manufacturer’s outpatient drugs to be covered under Medicare Part D.</w:t>
      </w:r>
    </w:p>
    <w:p>
      <w:pPr>
        <w:spacing w:after="0" w:line="224"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Since its enactment, there have been judicial, Congressional and executive challenges to certain aspects of the Affordable Care Act. On June 17, 2021, the U.S. Supreme Court dismissed the most recent judicial challenge to the Affordable Care Act brought by several states without specifically ruling on the constitutionality of the Affordable Care Act. Prior to the Supreme Court’s decision, President Biden issued an executive order to initiate a special enrollment period from February 15, 2021 through August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other healthcare reform measures of the Biden administration or other efforts, if any, to challenge, repeal or replace the Affordable Care Act will impact our business.</w:t>
      </w:r>
    </w:p>
    <w:p>
      <w:pPr>
        <w:spacing w:after="0" w:line="226" w:lineRule="exact"/>
        <w:rPr>
          <w:sz w:val="20"/>
          <w:szCs w:val="20"/>
          <w:color w:val="auto"/>
        </w:rPr>
      </w:pPr>
    </w:p>
    <w:p>
      <w:pPr>
        <w:ind w:left="60" w:right="459" w:firstLine="648"/>
        <w:spacing w:after="0" w:line="284" w:lineRule="auto"/>
        <w:rPr>
          <w:sz w:val="20"/>
          <w:szCs w:val="20"/>
          <w:color w:val="auto"/>
        </w:rPr>
      </w:pPr>
      <w:r>
        <w:rPr>
          <w:rFonts w:ascii="Arial" w:cs="Arial" w:eastAsia="Arial" w:hAnsi="Arial"/>
          <w:sz w:val="16"/>
          <w:szCs w:val="16"/>
          <w:color w:val="auto"/>
        </w:rPr>
        <w:t>Prior to the Biden administration, on October 13, 2017, former President Trump signed an Executive Order terminating the cost-sharing subsidies that reimburse insurers under the Affordable Care Act. The former Trump administration concluded that cost-sharing reduction, or CSR, payments to insurance companies required under the Affordable Care Act have not received necessary appropriations from Congress and announced that it will discontinue</w:t>
      </w:r>
    </w:p>
    <w:p>
      <w:pPr>
        <w:sectPr>
          <w:pgSz w:w="11900" w:h="16838" w:orient="portrait"/>
          <w:cols w:equalWidth="0" w:num="1">
            <w:col w:w="9019"/>
          </w:cols>
          <w:pgMar w:left="1440" w:top="517" w:right="1440"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these payments immediately until those appropriations are made. Several state Attorneys General filed suit to stop the administration from terminating these subsidies, but on October 25, 2017, a federal judge in California denied their request for a restraining order. On August 14, 2020, the U.S. Court of Appeals for the Federal Circuit ruled in two separate cases that the federal government is liable for the full amount of unpaid cost-sharing reduction, or CSR, payments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 billion in Affordable Care Act risk corridor payments to third-party payors who argued the payments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The effects of this gap in reimbursement on third-party payors, the viability of the ACA marketplace, providers, and potentially our business, are not yet known.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28"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In addition, other legislative and regulatory changes have been proposed and adopted in the United States since the ACA was enacted:</w:t>
      </w:r>
    </w:p>
    <w:p>
      <w:pPr>
        <w:spacing w:after="0" w:line="211" w:lineRule="exact"/>
        <w:rPr>
          <w:sz w:val="20"/>
          <w:szCs w:val="20"/>
          <w:color w:val="auto"/>
        </w:rPr>
      </w:pPr>
    </w:p>
    <w:p>
      <w:pPr>
        <w:ind w:left="60" w:right="199" w:firstLine="638"/>
        <w:spacing w:after="0" w:line="248" w:lineRule="auto"/>
        <w:tabs>
          <w:tab w:leader="none" w:pos="1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08" w:lineRule="exact"/>
        <w:rPr>
          <w:rFonts w:ascii="Arial" w:cs="Arial" w:eastAsia="Arial" w:hAnsi="Arial"/>
          <w:sz w:val="18"/>
          <w:szCs w:val="18"/>
          <w:color w:val="auto"/>
        </w:rPr>
      </w:pPr>
    </w:p>
    <w:p>
      <w:pPr>
        <w:ind w:left="60" w:right="219" w:firstLine="638"/>
        <w:spacing w:after="0"/>
        <w:tabs>
          <w:tab w:leader="none" w:pos="1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29" w:lineRule="exact"/>
        <w:rPr>
          <w:rFonts w:ascii="Arial" w:cs="Arial" w:eastAsia="Arial" w:hAnsi="Arial"/>
          <w:sz w:val="18"/>
          <w:szCs w:val="18"/>
          <w:color w:val="auto"/>
        </w:rPr>
      </w:pPr>
    </w:p>
    <w:p>
      <w:pPr>
        <w:ind w:left="60" w:right="379" w:firstLine="638"/>
        <w:spacing w:after="0" w:line="261" w:lineRule="auto"/>
        <w:tabs>
          <w:tab w:leader="none" w:pos="1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211" w:lineRule="exact"/>
        <w:rPr>
          <w:rFonts w:ascii="Arial" w:cs="Arial" w:eastAsia="Arial" w:hAnsi="Arial"/>
          <w:sz w:val="18"/>
          <w:szCs w:val="18"/>
          <w:color w:val="auto"/>
        </w:rPr>
      </w:pPr>
    </w:p>
    <w:p>
      <w:pPr>
        <w:ind w:left="60" w:right="119" w:firstLine="638"/>
        <w:spacing w:after="0" w:line="248" w:lineRule="auto"/>
        <w:tabs>
          <w:tab w:leader="none" w:pos="1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209"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w:t>
      </w:r>
    </w:p>
    <w:p>
      <w:pPr>
        <w:sectPr>
          <w:pgSz w:w="11900" w:h="16838" w:orient="portrait"/>
          <w:cols w:equalWidth="0" w:num="1">
            <w:col w:w="9019"/>
          </w:cols>
          <w:pgMar w:left="1440" w:top="517" w:right="1440" w:bottom="1440" w:gutter="0" w:footer="0" w:header="0"/>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8" w:lineRule="auto"/>
        <w:rPr>
          <w:sz w:val="20"/>
          <w:szCs w:val="20"/>
          <w:color w:val="auto"/>
        </w:rPr>
      </w:pPr>
      <w:r>
        <w:rPr>
          <w:rFonts w:ascii="Arial" w:cs="Arial" w:eastAsia="Arial" w:hAnsi="Arial"/>
          <w:sz w:val="16"/>
          <w:szCs w:val="16"/>
          <w:color w:val="auto"/>
        </w:rPr>
        <w:t>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2"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22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0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52"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drug candidates, if approved. These laws include, without limitation, state and federal anti-kickback, fraud and abuse, false claims, privacy and security and physician sunshine laws and regulations.</w:t>
      </w:r>
    </w:p>
    <w:p>
      <w:pPr>
        <w:spacing w:after="0" w:line="188"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federal False Claims Act. The majority of states also have anti-kickback laws, which establish similar prohibitions and, in some cases, may apply to items or services reimbursed by any third-party payor, including commercial insurers.</w:t>
      </w:r>
    </w:p>
    <w:p>
      <w:pPr>
        <w:spacing w:after="0" w:line="165"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26"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0" w:lineRule="exact"/>
        <w:rPr>
          <w:sz w:val="20"/>
          <w:szCs w:val="20"/>
          <w:color w:val="auto"/>
        </w:rPr>
      </w:pPr>
    </w:p>
    <w:p>
      <w:pPr>
        <w:ind w:left="60" w:right="899" w:firstLine="648"/>
        <w:spacing w:after="0" w:line="261" w:lineRule="auto"/>
        <w:rPr>
          <w:sz w:val="20"/>
          <w:szCs w:val="20"/>
          <w:color w:val="auto"/>
        </w:rPr>
      </w:pPr>
      <w:r>
        <w:rPr>
          <w:rFonts w:ascii="Arial" w:cs="Arial" w:eastAsia="Arial" w:hAnsi="Arial"/>
          <w:sz w:val="18"/>
          <w:szCs w:val="18"/>
          <w:color w:val="auto"/>
        </w:rPr>
        <w:t>We may be subject to federal consumer protection and unfair competition laws, which broadly regulate marketplace activities and activities that potentially harm consumers.</w:t>
      </w:r>
    </w:p>
    <w:p>
      <w:pPr>
        <w:spacing w:after="0" w:line="21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Effective January 1, 2022, these reporting obligations will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21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and its implementing regulations, collectively referred to as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20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Additionally, we may be subject to analogous state and foreign laws and regulations, such as state anti-kickback, false claims laws, consumer protection, and unfair competition laws, which may apply to pharmaceutical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2" w:lineRule="auto"/>
        <w:rPr>
          <w:sz w:val="20"/>
          <w:szCs w:val="20"/>
          <w:color w:val="auto"/>
        </w:rPr>
      </w:pPr>
      <w:r>
        <w:rPr>
          <w:rFonts w:ascii="Arial" w:cs="Arial" w:eastAsia="Arial" w:hAnsi="Arial"/>
          <w:sz w:val="17"/>
          <w:szCs w:val="17"/>
          <w:color w:val="auto"/>
        </w:rPr>
        <w:t>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 privacy and security laws may differ from one another in significant ways and often are not preempted by HIPAA, thus complicating compliance efforts.</w:t>
      </w:r>
    </w:p>
    <w:p>
      <w:pPr>
        <w:spacing w:after="0" w:line="22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In the U.S., to help patients afford our approved product,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It is unclear how the outcome of this litigation will affect the rule.</w:t>
      </w:r>
    </w:p>
    <w:p>
      <w:pPr>
        <w:spacing w:after="0" w:line="212" w:lineRule="exact"/>
        <w:rPr>
          <w:sz w:val="20"/>
          <w:szCs w:val="20"/>
          <w:color w:val="auto"/>
        </w:rPr>
      </w:pPr>
    </w:p>
    <w:p>
      <w:pPr>
        <w:ind w:left="60" w:right="179" w:firstLine="648"/>
        <w:spacing w:after="0" w:line="26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In November 2020, the OIG 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 Additionally, we may be subject to analogous state and foreign laws and regulations, such as state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privacy and security laws may differ from one another in significant ways and often are not preempted by HIPAA, thus complicating compliance efforts.</w:t>
      </w:r>
    </w:p>
    <w:p>
      <w:pPr>
        <w:spacing w:after="0" w:line="21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In the U.S., to help patients afford our approved product,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It is unclear how the outcome of this litigation will affect the rule.</w:t>
      </w:r>
    </w:p>
    <w:p>
      <w:pPr>
        <w:spacing w:after="0" w:line="212" w:lineRule="exact"/>
        <w:rPr>
          <w:sz w:val="20"/>
          <w:szCs w:val="20"/>
          <w:color w:val="auto"/>
        </w:rPr>
      </w:pPr>
    </w:p>
    <w:p>
      <w:pPr>
        <w:ind w:left="60" w:right="179" w:firstLine="648"/>
        <w:spacing w:after="0" w:line="26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In November 2020, the OIG 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We provide an inclusive, collaborative and safe work environment for our employees, who enjoy innovative work and development opportunities. As of January 31, 2022, we had 495 full- and part-time employees globally, approximately 461 of whom are employed in the U.S. and approximately 34 are employed in foreign countries. Of those employees, 278 are engaged in research and development activities and 219 hold Doctorate or Master’s degrees. To allow us flexibility in meeting varying workflow demands, we also engage consultants and temporary workers when needed.</w:t>
      </w:r>
    </w:p>
    <w:p>
      <w:pPr>
        <w:spacing w:after="0" w:line="20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None of our U.S. employees are represented by a labor union or covered by a collective bargaining agreement. Outside the U.S., our employees in France, Germany and Italy, respectively, are covered by a collective agreement applicable to our industry as required by applicable local law. We consider our relationship with our employees to be good.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on the COVID-19 Pandemic</w:t>
      </w:r>
    </w:p>
    <w:p>
      <w:pPr>
        <w:spacing w:after="0" w:line="243"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The ongoing COVID-19 pandemic is having widespread, rapidly-evolving, and unpredictable impacts on global societies, economies, financial markets, and business practices. We are closely monitoring the impact of the pandemic, the identification of new variants of the COVID-19 virus and related developments, and our focus remains on promoting employee health and safety when continuing to advance the research and development of our drug candidates and to deliver our approved drugs to patients in need. For discussion regarding the impact of the COVID-19 pandemic on our business and financial results, see “Risk Factors” in Part I, Item 1A and “Management's Discussion and Analysis of Financial Condition and Results of Operations” in Part II, Item 7 of this Annual Report on Form 10-K.</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56"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07" w:lineRule="exact"/>
        <w:rPr>
          <w:sz w:val="20"/>
          <w:szCs w:val="20"/>
          <w:color w:val="auto"/>
        </w:rPr>
      </w:pPr>
    </w:p>
    <w:p>
      <w:pPr>
        <w:ind w:left="60" w:right="99" w:firstLine="648"/>
        <w:spacing w:after="0" w:line="237" w:lineRule="auto"/>
        <w:rPr>
          <w:sz w:val="20"/>
          <w:szCs w:val="20"/>
          <w:color w:val="auto"/>
        </w:rPr>
      </w:pPr>
      <w:r>
        <w:rPr>
          <w:rFonts w:ascii="Arial" w:cs="Arial" w:eastAsia="Arial" w:hAnsi="Arial"/>
          <w:sz w:val="18"/>
          <w:szCs w:val="18"/>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4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We have two approved precision therapies, AYVAKIT/AYVAKYT and GAVRETO. While we have been commercializing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75" w:lineRule="exact"/>
        <w:rPr>
          <w:sz w:val="20"/>
          <w:szCs w:val="20"/>
          <w:color w:val="auto"/>
        </w:rPr>
      </w:pPr>
    </w:p>
    <w:p>
      <w:pPr>
        <w:ind w:left="1340" w:right="139" w:hanging="318"/>
        <w:spacing w:after="0" w:line="261"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patients who may receive our drugs and any future drugs;</w:t>
      </w:r>
    </w:p>
    <w:p>
      <w:pPr>
        <w:spacing w:after="0" w:line="170" w:lineRule="exact"/>
        <w:rPr>
          <w:rFonts w:ascii="Arial" w:cs="Arial" w:eastAsia="Arial" w:hAnsi="Arial"/>
          <w:sz w:val="18"/>
          <w:szCs w:val="18"/>
          <w:color w:val="auto"/>
        </w:rPr>
      </w:pPr>
    </w:p>
    <w:p>
      <w:pPr>
        <w:ind w:left="1340" w:right="79" w:hanging="318"/>
        <w:spacing w:after="0" w:line="261"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adequate pricing and reimbursement for AYVAKIT/AYVAKYT, GAVRETO and any future drugs;</w:t>
      </w:r>
    </w:p>
    <w:p>
      <w:pPr>
        <w:spacing w:after="0" w:line="170" w:lineRule="exact"/>
        <w:rPr>
          <w:rFonts w:ascii="Arial" w:cs="Arial" w:eastAsia="Arial" w:hAnsi="Arial"/>
          <w:sz w:val="18"/>
          <w:szCs w:val="18"/>
          <w:color w:val="auto"/>
        </w:rPr>
      </w:pPr>
    </w:p>
    <w:p>
      <w:pPr>
        <w:ind w:left="1340" w:right="159" w:hanging="318"/>
        <w:spacing w:after="0" w:line="248"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our existing collaborations with Roche and CStone Pharmaceuticals, or CStone;</w:t>
      </w:r>
    </w:p>
    <w:p>
      <w:pPr>
        <w:spacing w:after="0" w:line="211" w:lineRule="exact"/>
        <w:rPr>
          <w:rFonts w:ascii="Arial" w:cs="Arial" w:eastAsia="Arial" w:hAnsi="Arial"/>
          <w:sz w:val="18"/>
          <w:szCs w:val="18"/>
          <w:color w:val="auto"/>
        </w:rPr>
      </w:pPr>
    </w:p>
    <w:p>
      <w:pPr>
        <w:ind w:left="1340" w:right="419" w:hanging="318"/>
        <w:spacing w:after="0" w:line="261"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global operations or enter into collaboration, partnerships or distribution arrangements in geographies where we may not have current operations or expertise; and</w:t>
      </w:r>
    </w:p>
    <w:p>
      <w:pPr>
        <w:spacing w:after="0" w:line="170" w:lineRule="exact"/>
        <w:rPr>
          <w:rFonts w:ascii="Arial" w:cs="Arial" w:eastAsia="Arial" w:hAnsi="Arial"/>
          <w:sz w:val="18"/>
          <w:szCs w:val="18"/>
          <w:color w:val="auto"/>
        </w:rPr>
      </w:pPr>
    </w:p>
    <w:p>
      <w:pPr>
        <w:ind w:left="1340" w:right="519" w:hanging="318"/>
        <w:spacing w:after="0" w:line="261"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17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2"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74" w:lineRule="exact"/>
        <w:rPr>
          <w:sz w:val="20"/>
          <w:szCs w:val="20"/>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39" w:hanging="331"/>
        <w:spacing w:after="0" w:line="261"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the drug’s approved labeling;</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willingness of eligible patients to try new therapies and of physicians to prescribe these therapies;</w:t>
      </w:r>
    </w:p>
    <w:p>
      <w:pPr>
        <w:spacing w:after="0" w:line="234" w:lineRule="exact"/>
        <w:rPr>
          <w:rFonts w:ascii="Arial" w:cs="Arial" w:eastAsia="Arial" w:hAnsi="Arial"/>
          <w:sz w:val="16"/>
          <w:szCs w:val="16"/>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pacing w:after="0" w:line="211" w:lineRule="exact"/>
        <w:rPr>
          <w:rFonts w:ascii="Arial" w:cs="Arial" w:eastAsia="Arial" w:hAnsi="Arial"/>
          <w:sz w:val="18"/>
          <w:szCs w:val="18"/>
          <w:color w:val="auto"/>
        </w:rPr>
      </w:pPr>
    </w:p>
    <w:p>
      <w:pPr>
        <w:ind w:left="1340" w:right="6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75"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our drugs;</w:t>
      </w:r>
    </w:p>
    <w:p>
      <w:pPr>
        <w:spacing w:after="0" w:line="170" w:lineRule="exact"/>
        <w:rPr>
          <w:rFonts w:ascii="Arial" w:cs="Arial" w:eastAsia="Arial" w:hAnsi="Arial"/>
          <w:sz w:val="18"/>
          <w:szCs w:val="18"/>
          <w:color w:val="auto"/>
        </w:rPr>
      </w:pPr>
    </w:p>
    <w:p>
      <w:pPr>
        <w:ind w:left="1340" w:right="81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40" w:right="79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disruptions to sales and marketing activities, including due to the ongoing COVID-19 pandemic.</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82"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color w:val="auto"/>
        </w:rPr>
        <w:t>The precise incidence and/or prevalence for SM, RET-altered cancers, EGFR-mutated NSCLC, CCNE aberrant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68" w:lineRule="exact"/>
        <w:rPr>
          <w:sz w:val="20"/>
          <w:szCs w:val="20"/>
          <w:color w:val="auto"/>
        </w:rPr>
      </w:pPr>
    </w:p>
    <w:p>
      <w:pPr>
        <w:ind w:left="60" w:right="199" w:firstLine="648"/>
        <w:spacing w:after="0"/>
        <w:rPr>
          <w:sz w:val="20"/>
          <w:szCs w:val="20"/>
          <w:color w:val="auto"/>
        </w:rPr>
      </w:pPr>
      <w:r>
        <w:rPr>
          <w:rFonts w:ascii="Arial" w:cs="Arial" w:eastAsia="Arial" w:hAnsi="Arial"/>
          <w:sz w:val="18"/>
          <w:szCs w:val="18"/>
          <w:color w:val="auto"/>
        </w:rPr>
        <w:t>Accordingly, the number of patients in the U.S., France, Germany, Italy, Spain, the United Kingdom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developing or discovering drugs before or more successfully than we do.</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67"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72"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8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Cogent Biosciences, Inc., Deciphera Pharmaceuticals, LLC, Exelixis, Inc., Ningbo Tai Kang Medical Technology Co. Ltd.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Xencor, Inc.</w:t>
      </w:r>
    </w:p>
    <w:p>
      <w:pPr>
        <w:spacing w:after="0" w:line="196"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We are developing BLU-701 and BLU-945 for treatment-resistant EGFR-mutated NSCLC, which, if approved, will face competition from AstraZeneca plc’s osimertinib and aumolertinib, which is under collaboration between Jiangsu Hansoh Pharmaceutical Group Co., Ltd. and EQRX, Inc. and approved in China. In addition, BLU-701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Centessa Pharmaceuticals plc, C4 Therapeutics, Inc., Daiichi Sankyo Company, Limited, Janssen Pharmaceuticals, Inc., Kanaph Therapeutics, Theseus Pharmaceuticals, Inc.</w:t>
      </w:r>
    </w:p>
    <w:p>
      <w:pPr>
        <w:spacing w:after="0" w:line="163"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Bayer AG, Black Diamond Therapeutics, Inc., Centessa Pharmaceuticals plc, Cullinan Oncology, Inc., Daiichi Sankyo Company, Limited, Dizal Pharmaceutical Co. Ltd., Shenzhen Forward Pharmaceutical Co., Ltd., Shanghai Junshi Biosciences Co., Ltd., Oric Pharmaceuticals, Inc., and Scorpion Therapeutics, Inc.</w:t>
      </w:r>
    </w:p>
    <w:p>
      <w:pPr>
        <w:spacing w:after="0" w:line="16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 xml:space="preserve">We are developing BLU-222 for cyclin E aberrant cancers, which, if approved, will face competition from indication-specific therapies such as Genentech’s bevacizumab, AstraZeneca and Merck’s olaparib, Clovis Oncology’s rucaparib, GSK’s niraparib, Merck’s pembrolizumab, and Eisai’s lenvatinib. In addition, BLU-222 may face competition from drug candidates in development for cyclin E aberrant cancers, including those being developed by ARC Therapeutics, Inc., Cedilla Therapeutics, Inc., </w:t>
      </w:r>
      <w:r>
        <w:rPr>
          <w:rFonts w:ascii="Arial" w:cs="Arial" w:eastAsia="Arial" w:hAnsi="Arial"/>
          <w:sz w:val="16"/>
          <w:szCs w:val="16"/>
          <w:color w:val="4D5156"/>
        </w:rPr>
        <w:t>Cyclacel Pharmaceuticals Inc.,</w:t>
      </w:r>
      <w:r>
        <w:rPr>
          <w:rFonts w:ascii="Arial" w:cs="Arial" w:eastAsia="Arial" w:hAnsi="Arial"/>
          <w:sz w:val="16"/>
          <w:szCs w:val="16"/>
          <w:color w:val="auto"/>
        </w:rPr>
        <w:t xml:space="preserve"> Monte Rosa Therapeutics, Inc., Nuvation Bio, Inc., Regor Therapeutics Inc., Pfizer Inc., AstraZeneca plc, Zentalis Pharmaceuticals, Inc. and Repare Therapeutics, Inc.</w:t>
      </w:r>
    </w:p>
    <w:p>
      <w:pPr>
        <w:spacing w:after="0" w:line="162"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We are developing BLU-852 for advanced cancers susceptible to MAP4K1 inhibition, which, if approved, will face competition from immuno-oncology products, including those developed by Bristol-Myers Squibb Company, Merck</w:t>
      </w:r>
    </w:p>
    <w:p>
      <w:pPr>
        <w:spacing w:after="0" w:line="1" w:lineRule="exact"/>
        <w:rPr>
          <w:sz w:val="20"/>
          <w:szCs w:val="20"/>
          <w:color w:val="auto"/>
        </w:rPr>
      </w:pPr>
    </w:p>
    <w:p>
      <w:pPr>
        <w:ind w:left="60" w:right="99" w:hanging="10"/>
        <w:spacing w:after="0" w:line="238"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71"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4" w:lineRule="exact"/>
        <w:rPr>
          <w:sz w:val="20"/>
          <w:szCs w:val="20"/>
          <w:color w:val="auto"/>
        </w:rPr>
      </w:pPr>
    </w:p>
    <w:p>
      <w:pPr>
        <w:ind w:left="1380" w:right="899" w:hanging="331"/>
        <w:spacing w:after="0" w:line="261"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39"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6"/>
          <w:szCs w:val="16"/>
          <w:color w:val="auto"/>
        </w:rPr>
        <w:t>Recent 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5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spacing w:after="0" w:line="291" w:lineRule="auto"/>
        <w:rPr>
          <w:sz w:val="20"/>
          <w:szCs w:val="20"/>
          <w:color w:val="auto"/>
        </w:rPr>
      </w:pPr>
      <w:r>
        <w:rPr>
          <w:rFonts w:ascii="Arial" w:cs="Arial" w:eastAsia="Arial" w:hAnsi="Arial"/>
          <w:sz w:val="17"/>
          <w:szCs w:val="17"/>
          <w:color w:val="auto"/>
        </w:rPr>
        <w:t>clinical trials required for regulatory approval and successful commercialization of our drug candidates, which could prompt adverse publicity or other disruptions related to current or potential participants in such programs.</w:t>
      </w:r>
    </w:p>
    <w:p>
      <w:pPr>
        <w:spacing w:after="0" w:line="14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2"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5" w:lineRule="exact"/>
        <w:rPr>
          <w:sz w:val="20"/>
          <w:szCs w:val="20"/>
          <w:color w:val="auto"/>
        </w:rPr>
      </w:pPr>
    </w:p>
    <w:p>
      <w:pPr>
        <w:ind w:left="1340" w:hanging="318"/>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659" w:hanging="318"/>
        <w:spacing w:after="0" w:line="261"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40" w:right="319" w:hanging="318"/>
        <w:spacing w:after="0" w:line="248"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40" w:right="359" w:hanging="318"/>
        <w:spacing w:after="0" w:line="261"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40" w:right="239" w:hanging="318"/>
        <w:spacing w:after="0" w:line="26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40" w:right="319" w:hanging="318"/>
        <w:spacing w:after="0" w:line="26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40" w:right="819" w:hanging="318"/>
        <w:spacing w:after="0" w:line="324" w:lineRule="auto"/>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279" w:hanging="318"/>
        <w:spacing w:after="0" w:line="248"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1"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71" w:lineRule="exact"/>
        <w:rPr>
          <w:sz w:val="20"/>
          <w:szCs w:val="20"/>
          <w:color w:val="auto"/>
        </w:rPr>
      </w:pPr>
    </w:p>
    <w:p>
      <w:pPr>
        <w:ind w:left="60" w:right="159" w:firstLine="648"/>
        <w:spacing w:after="0" w:line="239" w:lineRule="auto"/>
        <w:rPr>
          <w:sz w:val="20"/>
          <w:szCs w:val="20"/>
          <w:color w:val="auto"/>
        </w:rPr>
      </w:pPr>
      <w:r>
        <w:rPr>
          <w:rFonts w:ascii="Arial" w:cs="Arial" w:eastAsia="Arial" w:hAnsi="Arial"/>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91"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82"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left="60" w:right="3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67" w:lineRule="exact"/>
        <w:rPr>
          <w:sz w:val="20"/>
          <w:szCs w:val="20"/>
          <w:color w:val="auto"/>
        </w:rPr>
      </w:pPr>
    </w:p>
    <w:p>
      <w:pPr>
        <w:ind w:left="1340" w:right="49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our drugs and drug candidates;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 development of any companion diagnostic tests for use with our drugs and drug candidates;</w:t>
      </w:r>
    </w:p>
    <w:p>
      <w:pPr>
        <w:spacing w:after="0" w:line="234" w:lineRule="exact"/>
        <w:rPr>
          <w:rFonts w:ascii="Arial" w:cs="Arial" w:eastAsia="Arial" w:hAnsi="Arial"/>
          <w:sz w:val="16"/>
          <w:szCs w:val="16"/>
          <w:color w:val="auto"/>
        </w:rPr>
      </w:pPr>
    </w:p>
    <w:p>
      <w:pPr>
        <w:ind w:left="1340" w:right="27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and transitioning any conditional marketing authorizations to full approvals;</w:t>
      </w:r>
    </w:p>
    <w:p>
      <w:pPr>
        <w:spacing w:after="0" w:line="170" w:lineRule="exact"/>
        <w:rPr>
          <w:rFonts w:ascii="Arial" w:cs="Arial" w:eastAsia="Arial" w:hAnsi="Arial"/>
          <w:sz w:val="18"/>
          <w:szCs w:val="18"/>
          <w:color w:val="auto"/>
        </w:rPr>
      </w:pPr>
    </w:p>
    <w:p>
      <w:pPr>
        <w:ind w:left="1340" w:right="79" w:hanging="318"/>
        <w:spacing w:after="0" w:line="294"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47" w:lineRule="exact"/>
        <w:rPr>
          <w:rFonts w:ascii="Arial" w:cs="Arial" w:eastAsia="Arial" w:hAnsi="Arial"/>
          <w:sz w:val="16"/>
          <w:szCs w:val="16"/>
          <w:color w:val="auto"/>
        </w:rPr>
      </w:pPr>
    </w:p>
    <w:p>
      <w:pPr>
        <w:ind w:left="1340" w:right="23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40" w:right="9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40" w:right="29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drugs and drug candidates following approval.</w:t>
      </w:r>
    </w:p>
    <w:p>
      <w:pPr>
        <w:spacing w:after="0" w:line="235"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4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w:t>
      </w:r>
    </w:p>
    <w:p>
      <w:pPr>
        <w:spacing w:after="0" w:line="16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69"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71" w:lineRule="exact"/>
        <w:rPr>
          <w:sz w:val="20"/>
          <w:szCs w:val="20"/>
          <w:color w:val="auto"/>
        </w:rPr>
      </w:pPr>
    </w:p>
    <w:p>
      <w:pPr>
        <w:ind w:left="1380" w:right="7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380" w:right="219" w:hanging="331"/>
        <w:spacing w:after="0" w:line="248"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79" w:hanging="331"/>
        <w:spacing w:after="0" w:line="324" w:lineRule="auto"/>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99" w:hanging="331"/>
        <w:spacing w:after="0" w:line="261"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ongoing COVID-19 pandemic.</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5"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6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1" w:lineRule="exact"/>
        <w:rPr>
          <w:sz w:val="20"/>
          <w:szCs w:val="20"/>
          <w:color w:val="auto"/>
        </w:rPr>
      </w:pPr>
    </w:p>
    <w:p>
      <w:pPr>
        <w:ind w:left="1380" w:right="119" w:hanging="331"/>
        <w:spacing w:after="0" w:line="248"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81" w:lineRule="exact"/>
        <w:rPr>
          <w:rFonts w:ascii="Arial" w:cs="Arial" w:eastAsia="Arial" w:hAnsi="Arial"/>
          <w:sz w:val="18"/>
          <w:szCs w:val="18"/>
          <w:color w:val="auto"/>
        </w:rPr>
      </w:pPr>
    </w:p>
    <w:p>
      <w:pPr>
        <w:ind w:left="1380" w:right="43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11"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drug candidate uneconomical; and</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drug candidates from being commercialized.</w:t>
      </w:r>
    </w:p>
    <w:p>
      <w:pPr>
        <w:spacing w:after="0" w:line="171"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7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0"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4" w:lineRule="exact"/>
        <w:rPr>
          <w:sz w:val="20"/>
          <w:szCs w:val="20"/>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55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jc w:val="both"/>
        <w:ind w:left="1380" w:right="99" w:hanging="331"/>
        <w:spacing w:after="0" w:line="294"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8" w:lineRule="exact"/>
        <w:rPr>
          <w:sz w:val="20"/>
          <w:szCs w:val="20"/>
          <w:color w:val="auto"/>
        </w:rPr>
      </w:pPr>
    </w:p>
    <w:p>
      <w:pPr>
        <w:jc w:val="both"/>
        <w:ind w:left="60" w:right="53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may seek breakthrough therapy designation for some of our current or future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80"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On May 26. 2021, the FDA noted it is continuing to ensure timely reviews of applications for medical products during the COVID-19 pandemic in line with its user fee performance goals; however, the FDA may not be able to continue its current pace and review timelines could be extended, including due to the inability for the FDA to complete any inspections of manufacturing facilities or clinical sites that may be required for an approval.</w:t>
      </w:r>
    </w:p>
    <w:p>
      <w:pPr>
        <w:spacing w:after="0" w:line="18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71"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Similarly, in the EU, the European Commission grants orphan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five (5) in ten thousand (10,000) persons in the EU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In the EU, orphan medicinal product designation entitles a party to financial incentives such as reduction of fees or fee waivers.</w:t>
      </w:r>
    </w:p>
    <w:p>
      <w:pPr>
        <w:spacing w:after="0" w:line="171"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drug designation or if the drug is sufficiently profitable so that market exclusivity is no longer justified.</w:t>
      </w:r>
    </w:p>
    <w:p>
      <w:pPr>
        <w:spacing w:after="0" w:line="175"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55"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75"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drug candidates.</w:t>
      </w:r>
    </w:p>
    <w:p>
      <w:pPr>
        <w:spacing w:after="0" w:line="21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acquisition or in-license.</w:t>
      </w:r>
    </w:p>
    <w:p>
      <w:pPr>
        <w:spacing w:after="0" w:line="180"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4"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Legislations and Regulations</w:t>
      </w:r>
    </w:p>
    <w:p>
      <w:pPr>
        <w:spacing w:after="0" w:line="21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0" w:lineRule="exact"/>
        <w:rPr>
          <w:sz w:val="20"/>
          <w:szCs w:val="20"/>
          <w:color w:val="auto"/>
        </w:rPr>
      </w:pPr>
    </w:p>
    <w:p>
      <w:pPr>
        <w:ind w:left="60" w:right="219" w:firstLine="648"/>
        <w:spacing w:after="0" w:line="324" w:lineRule="auto"/>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4" w:lineRule="exact"/>
        <w:rPr>
          <w:sz w:val="20"/>
          <w:szCs w:val="20"/>
          <w:color w:val="auto"/>
        </w:rPr>
      </w:pPr>
    </w:p>
    <w:p>
      <w:pPr>
        <w:ind w:left="1340" w:right="5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3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1"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199" w:firstLine="648"/>
        <w:spacing w:after="0" w:line="294" w:lineRule="auto"/>
        <w:rPr>
          <w:sz w:val="20"/>
          <w:szCs w:val="20"/>
          <w:color w:val="auto"/>
        </w:rPr>
      </w:pPr>
      <w:r>
        <w:rPr>
          <w:rFonts w:ascii="Arial" w:cs="Arial" w:eastAsia="Arial" w:hAnsi="Arial"/>
          <w:sz w:val="16"/>
          <w:szCs w:val="16"/>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Arial" w:cs="Arial" w:eastAsia="Arial" w:hAnsi="Arial"/>
          <w:sz w:val="16"/>
          <w:szCs w:val="16"/>
          <w:color w:val="auto"/>
        </w:rPr>
        <w:t>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w:t>
      </w:r>
      <w:r>
        <w:rPr>
          <w:rFonts w:ascii="Arial" w:cs="Arial" w:eastAsia="Arial" w:hAnsi="Arial"/>
          <w:sz w:val="16"/>
          <w:szCs w:val="16"/>
          <w:i w:val="1"/>
          <w:iCs w:val="1"/>
          <w:color w:val="auto"/>
        </w:rPr>
        <w:t>Business – Coverage and Reimbursement</w:t>
      </w:r>
      <w:r>
        <w:rPr>
          <w:rFonts w:ascii="Arial" w:cs="Arial" w:eastAsia="Arial" w:hAnsi="Arial"/>
          <w:sz w:val="16"/>
          <w:szCs w:val="16"/>
          <w:color w:val="auto"/>
        </w:rPr>
        <w:t>.”</w:t>
      </w:r>
    </w:p>
    <w:p>
      <w:pPr>
        <w:spacing w:after="0" w:line="3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46"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ind w:left="60" w:right="179"/>
        <w:spacing w:after="0" w:line="26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jc w:val="both"/>
        <w:ind w:left="60" w:right="99" w:hanging="10"/>
        <w:spacing w:after="0" w:line="256" w:lineRule="auto"/>
        <w:tabs>
          <w:tab w:leader="none" w:pos="3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59"/>
        <w:spacing w:after="0" w:line="261" w:lineRule="auto"/>
        <w:rPr>
          <w:sz w:val="20"/>
          <w:szCs w:val="20"/>
          <w:color w:val="auto"/>
        </w:rPr>
      </w:pPr>
      <w:r>
        <w:rPr>
          <w:rFonts w:ascii="Arial" w:cs="Arial" w:eastAsia="Arial" w:hAnsi="Arial"/>
          <w:sz w:val="18"/>
          <w:szCs w:val="18"/>
          <w:color w:val="auto"/>
        </w:rPr>
        <w:t>insurers, and significantly impacts the U.S. pharmaceutical industry. See section entitled “</w:t>
      </w:r>
      <w:r>
        <w:rPr>
          <w:rFonts w:ascii="Arial" w:cs="Arial" w:eastAsia="Arial" w:hAnsi="Arial"/>
          <w:sz w:val="18"/>
          <w:szCs w:val="18"/>
          <w:i w:val="1"/>
          <w:iCs w:val="1"/>
          <w:color w:val="auto"/>
        </w:rPr>
        <w:t>Business – Coverage and</w:t>
      </w:r>
      <w:r>
        <w:rPr>
          <w:rFonts w:ascii="Arial" w:cs="Arial" w:eastAsia="Arial" w:hAnsi="Arial"/>
          <w:sz w:val="18"/>
          <w:szCs w:val="18"/>
          <w:color w:val="auto"/>
        </w:rPr>
        <w:t xml:space="preserve"> </w:t>
      </w:r>
      <w:r>
        <w:rPr>
          <w:rFonts w:ascii="Arial" w:cs="Arial" w:eastAsia="Arial" w:hAnsi="Arial"/>
          <w:sz w:val="18"/>
          <w:szCs w:val="18"/>
          <w:i w:val="1"/>
          <w:iCs w:val="1"/>
          <w:color w:val="auto"/>
        </w:rPr>
        <w:t>Reimbursement</w:t>
      </w:r>
      <w:r>
        <w:rPr>
          <w:rFonts w:ascii="Arial" w:cs="Arial" w:eastAsia="Arial" w:hAnsi="Arial"/>
          <w:sz w:val="18"/>
          <w:szCs w:val="18"/>
          <w:color w:val="auto"/>
        </w:rPr>
        <w:t>.”</w:t>
      </w:r>
    </w:p>
    <w:p>
      <w:pPr>
        <w:spacing w:after="0" w:line="171" w:lineRule="exact"/>
        <w:rPr>
          <w:sz w:val="20"/>
          <w:szCs w:val="20"/>
          <w:color w:val="auto"/>
        </w:rPr>
      </w:pPr>
    </w:p>
    <w:p>
      <w:pPr>
        <w:ind w:left="60" w:right="439" w:firstLine="648"/>
        <w:spacing w:after="0" w:line="262"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jc w:val="both"/>
        <w:ind w:left="60" w:right="199" w:firstLine="648"/>
        <w:spacing w:after="0" w:line="271" w:lineRule="auto"/>
        <w:rPr>
          <w:sz w:val="20"/>
          <w:szCs w:val="20"/>
          <w:color w:val="auto"/>
        </w:rPr>
      </w:pPr>
      <w:r>
        <w:rPr>
          <w:rFonts w:ascii="Arial" w:cs="Arial" w:eastAsia="Arial" w:hAnsi="Arial"/>
          <w:sz w:val="16"/>
          <w:szCs w:val="16"/>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w:t>
      </w:r>
    </w:p>
    <w:p>
      <w:pPr>
        <w:ind w:left="60" w:right="519"/>
        <w:spacing w:after="0" w:line="271" w:lineRule="auto"/>
        <w:rPr>
          <w:sz w:val="20"/>
          <w:szCs w:val="20"/>
          <w:color w:val="auto"/>
        </w:rPr>
      </w:pPr>
      <w:r>
        <w:rPr>
          <w:rFonts w:ascii="Arial" w:cs="Arial" w:eastAsia="Arial" w:hAnsi="Arial"/>
          <w:sz w:val="17"/>
          <w:szCs w:val="17"/>
          <w:color w:val="auto"/>
        </w:rPr>
        <w:t>Legislation or regulations allowing the reimportation of drugs, if enacted, could decrease the price we receive for any products that we may develop and adversely affect our future revenues and prospects for profitability.</w:t>
      </w:r>
    </w:p>
    <w:p>
      <w:pPr>
        <w:spacing w:after="0" w:line="164"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responding to such requests or any legal challenges under this law, our business could be adversely impacted.</w:t>
      </w:r>
    </w:p>
    <w:p>
      <w:pPr>
        <w:spacing w:after="0" w:line="19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7"/>
          <w:szCs w:val="17"/>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7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74"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29"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6"/>
          <w:szCs w:val="16"/>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Arial" w:cs="Arial" w:eastAsia="Arial" w:hAnsi="Arial"/>
          <w:sz w:val="16"/>
          <w:szCs w:val="16"/>
          <w:i w:val="1"/>
          <w:iCs w:val="1"/>
          <w:color w:val="auto"/>
        </w:rPr>
        <w:t>Business – Other Healthcare Laws</w:t>
      </w:r>
      <w:r>
        <w:rPr>
          <w:rFonts w:ascii="Arial" w:cs="Arial" w:eastAsia="Arial" w:hAnsi="Arial"/>
          <w:sz w:val="16"/>
          <w:szCs w:val="16"/>
          <w:color w:val="auto"/>
        </w:rPr>
        <w:t>.”</w:t>
      </w:r>
    </w:p>
    <w:p>
      <w:pPr>
        <w:spacing w:after="0" w:line="169"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harm our reputation, divert the attention of management, increase our expenses and reduce the availability of assistance to our patients.</w:t>
      </w:r>
    </w:p>
    <w:p>
      <w:pPr>
        <w:spacing w:after="0" w:line="171"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8" w:lineRule="exact"/>
        <w:rPr>
          <w:sz w:val="20"/>
          <w:szCs w:val="20"/>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35"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35"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89"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8"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63"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 December 31, 2021, we have received an aggregate of $3.0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$996.3 million in upfront payments and milestone payments under our collaborations with Roche, CStone and Zai, our license agreement with Clementia and our former collaboration with Alexion. In addition, since January 2020, we also have generated revenue through sales of our drug products.</w:t>
      </w:r>
    </w:p>
    <w:p>
      <w:pPr>
        <w:spacing w:after="0" w:line="168"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Since inception, we have incurred significant operating losses, with the exception of the year ended December 31, 2020. Our net loss was $644.1 million for the year ended December 31, 2021. Our net income was $313.9 million for the year ended December 31, 2020 primarily due to the collaboration revenue recorded under our collaboration with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499"/>
        <w:spacing w:after="0" w:line="261" w:lineRule="auto"/>
        <w:rPr>
          <w:sz w:val="20"/>
          <w:szCs w:val="20"/>
          <w:color w:val="auto"/>
        </w:rPr>
      </w:pPr>
      <w:r>
        <w:rPr>
          <w:rFonts w:ascii="Arial" w:cs="Arial" w:eastAsia="Arial" w:hAnsi="Arial"/>
          <w:sz w:val="18"/>
          <w:szCs w:val="18"/>
          <w:color w:val="auto"/>
        </w:rPr>
        <w:t>Roche for pralsetinib, and our net loss was $347.7 million for the year ended December 31, 2019. As of December 31, 2021, we had an accumulated deficit of $1,275.4 million.</w:t>
      </w:r>
    </w:p>
    <w:p>
      <w:pPr>
        <w:spacing w:after="0" w:line="171"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8"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To date, we have not generated substantial revenue from drug sales. Our ability to generate substantial revenue depends on a number of factors, including, but not limited to, our ability to:</w:t>
      </w:r>
    </w:p>
    <w:p>
      <w:pPr>
        <w:spacing w:after="0" w:line="171" w:lineRule="exact"/>
        <w:rPr>
          <w:sz w:val="20"/>
          <w:szCs w:val="20"/>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459" w:hanging="318"/>
        <w:spacing w:after="0" w:line="291"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40" w:right="37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AYVAKIT/AYVAKYT, GAVRETO and any current or future drug candidates for which we receive marketing approval.</w:t>
      </w:r>
    </w:p>
    <w:p>
      <w:pPr>
        <w:spacing w:after="0" w:line="182" w:lineRule="exact"/>
        <w:rPr>
          <w:sz w:val="20"/>
          <w:szCs w:val="20"/>
          <w:color w:val="auto"/>
        </w:rPr>
      </w:pPr>
    </w:p>
    <w:p>
      <w:pPr>
        <w:ind w:left="60" w:right="399" w:firstLine="648"/>
        <w:spacing w:after="0" w:line="255" w:lineRule="auto"/>
        <w:rPr>
          <w:sz w:val="20"/>
          <w:szCs w:val="20"/>
          <w:color w:val="auto"/>
        </w:rPr>
      </w:pPr>
      <w:r>
        <w:rPr>
          <w:rFonts w:ascii="Arial" w:cs="Arial" w:eastAsia="Arial" w:hAnsi="Arial"/>
          <w:sz w:val="17"/>
          <w:szCs w:val="17"/>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w:t>
      </w:r>
    </w:p>
    <w:p>
      <w:pPr>
        <w:spacing w:after="0" w:line="180"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2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need to raise additional funds if we choose to pursue additional indications or geographies for any of our approved drugs or drug candidates or otherwise expand more rapidly than we presently anticipate.</w:t>
      </w:r>
    </w:p>
    <w:p>
      <w:pPr>
        <w:spacing w:after="0" w:line="171"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1340" w:right="399" w:hanging="318"/>
        <w:spacing w:after="0" w:line="32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40" w:right="99" w:hanging="318"/>
        <w:spacing w:after="0" w:line="29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47" w:lineRule="exact"/>
        <w:rPr>
          <w:rFonts w:ascii="Arial" w:cs="Arial" w:eastAsia="Arial" w:hAnsi="Arial"/>
          <w:sz w:val="16"/>
          <w:szCs w:val="16"/>
          <w:color w:val="auto"/>
        </w:rPr>
      </w:pPr>
    </w:p>
    <w:p>
      <w:pPr>
        <w:ind w:left="1340" w:right="23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collaborations with Roche, CStone and Zai Lab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40" w:right="79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40" w:right="27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40" w:right="71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40" w:right="77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72" w:lineRule="auto"/>
        <w:rPr>
          <w:sz w:val="20"/>
          <w:szCs w:val="20"/>
          <w:color w:val="auto"/>
        </w:rPr>
      </w:pPr>
      <w:r>
        <w:rPr>
          <w:rFonts w:ascii="Arial" w:cs="Arial" w:eastAsia="Arial" w:hAnsi="Arial"/>
          <w:sz w:val="16"/>
          <w:szCs w:val="16"/>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technologies, drugs or drug candidates or otherwise agree to terms unfavorable to us, any of which may have a material adverse effect on our business, operating results and prospects.</w:t>
      </w:r>
    </w:p>
    <w:p>
      <w:pPr>
        <w:spacing w:after="0" w:line="171"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6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6"/>
          <w:szCs w:val="16"/>
          <w:color w:val="auto"/>
        </w:rPr>
        <w:t>We have entered into collaborations and licenses with Roche, CStone, Zai Lab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71"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Zai Lab or Clementia, or of any future collaboration or license agreement, could adversely affect us financially or harm our business reputation.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1"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1" w:lineRule="exact"/>
        <w:rPr>
          <w:sz w:val="20"/>
          <w:szCs w:val="20"/>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68" w:lineRule="exact"/>
        <w:rPr>
          <w:sz w:val="20"/>
          <w:szCs w:val="20"/>
          <w:color w:val="auto"/>
        </w:rPr>
      </w:pPr>
    </w:p>
    <w:p>
      <w:pPr>
        <w:ind w:left="60" w:right="419"/>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72"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9"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restrictions or other policy measures in response to the COVID-19 pandemic and may experience delays in their regulatory activities.</w:t>
      </w:r>
    </w:p>
    <w:p>
      <w:pPr>
        <w:spacing w:after="0" w:line="17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6"/>
          <w:szCs w:val="16"/>
          <w:color w:val="auto"/>
        </w:rPr>
        <w:t>We do not have long-term supply agreements with all of our contract manufacturers, and may purchase our required drug supply, including the API, drug product and drug substance used in our drugs and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59" w:lineRule="exact"/>
        <w:rPr>
          <w:sz w:val="20"/>
          <w:szCs w:val="20"/>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59" w:hanging="318"/>
        <w:spacing w:after="0" w:line="26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1" w:lineRule="exact"/>
        <w:rPr>
          <w:sz w:val="20"/>
          <w:szCs w:val="20"/>
          <w:color w:val="auto"/>
        </w:rPr>
      </w:pPr>
    </w:p>
    <w:p>
      <w:pPr>
        <w:ind w:left="60" w:right="179" w:firstLine="648"/>
        <w:spacing w:after="0" w:line="238" w:lineRule="auto"/>
        <w:rPr>
          <w:sz w:val="20"/>
          <w:szCs w:val="20"/>
          <w:color w:val="auto"/>
        </w:rPr>
      </w:pPr>
      <w:r>
        <w:rPr>
          <w:rFonts w:ascii="Arial" w:cs="Arial" w:eastAsia="Arial" w:hAnsi="Arial"/>
          <w:sz w:val="18"/>
          <w:szCs w:val="18"/>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91"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61"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8"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state forms, and manufacturing processes and other technologies, inventions and improvements that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324" w:lineRule="auto"/>
        <w:rPr>
          <w:sz w:val="20"/>
          <w:szCs w:val="20"/>
          <w:color w:val="auto"/>
        </w:rPr>
      </w:pPr>
      <w:r>
        <w:rPr>
          <w:rFonts w:ascii="Arial" w:cs="Arial" w:eastAsia="Arial" w:hAnsi="Arial"/>
          <w:sz w:val="16"/>
          <w:szCs w:val="16"/>
          <w:color w:val="auto"/>
        </w:rPr>
        <w:t>are important to the development and implementation of our business. We also rely on copyright, trade secrets, know-how and continuing technological innovation to develop and maintain our proprietary and intellectual property position.</w:t>
      </w:r>
    </w:p>
    <w:p>
      <w:pPr>
        <w:spacing w:after="0" w:line="97"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We own or license patents and patent applications that relate to our approved drugs AYVAKIT® (avapritinib) and GAVRETO® (pralsetinib) and our drug candidates fisogatinib, BLU-263, BLU-945, BLU-701, BLU-451 and BLU-222. We also own or license patents and patent applications relating to other compounds that are inhibitors of KIT and PDGFRA, FGFR4, RET, EGFR and CDK2, as well as methods of use, formulations, solid state forms, and manufacturing processes. The issued U.S. patent directed to AYVAKIT® composition of matter has a statutory expiration date in 2034, the issued U.S. patent directed to GAVRETO® composition of matter has a statutory expiration date in 2036.</w:t>
      </w:r>
    </w:p>
    <w:p>
      <w:pPr>
        <w:spacing w:after="0" w:line="135"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As of January 31, 2022, the patent portfolio for our KIT and PDGFRA program, including AYVAKIT® and BLU-263 contains 12 issued U.S. patents, 16 issued foreign patents, including one European patent validated in 38 countries, four pending U.S. non-provisional patent applications, three pending U.S. provisional applications, four pending PCT international patent applications and 51 pending foreign patent applications. The patents that have issued or will issue covering our KIT and PDGFRA program will have a statutory expiration date between 2034 and 2042. Patent term adjustments, patent term extensions, and supplementary protection certificates could result in later expiration dates.</w:t>
      </w:r>
    </w:p>
    <w:p>
      <w:pPr>
        <w:spacing w:after="0" w:line="134"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As of January 31, 2022, the patent portfolio for our RET program, including GAVRETO® contains seven issued U.S. patents, five pending U.S. non-provisional patent applications, two U.S. provisional patent applications, three pending PCT international applications, 58 pending foreign patent applications and nine issued foreign patents. The patents that have issued or will issue covering our RET program will have a statutory expiration date between 2036 and 2042. Patent term adjustments, patent term extensions, and supplementary protection certificates could result in later expiration dates.</w:t>
      </w:r>
    </w:p>
    <w:p>
      <w:pPr>
        <w:spacing w:after="0" w:line="14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As of January 31, 2022, the patent portfolio for our FGFR4 program, including fisogatinib contains nine issued U.S. patents, two pending U.S. non-provisional patent applications, one pending PCT international application, 21 pending foreign patent applications and 29 issued foreign patents. The patents that have issued or will issue covering our FGFR4 program will have a statutory expiration date between 2033 and 2040. Patent term adjustments, patent term extensions, and supplementary protection certificates could result in later expiration dates.</w:t>
      </w:r>
    </w:p>
    <w:p>
      <w:pPr>
        <w:spacing w:after="0" w:line="16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As of January 31, 2022, the patent portfolio for our EGFR program, including BLU-945, BLU-701, and BLU-451 contains one issued U.S. patent, one pending U.S. non-provisional patent application, 13 pending U.S. provisional applications, four pending PCT international patent applications and 14 pending foreign patent applications and two issued foreign patents, including one European patent validated in 6 countries directed to our EGFR program, including BLU-945, BLU-701, and BLU-451. The patents that have issued or will issue covering our EGFR program will have a statutory expiration date between 2034 and 2042. Patent term adjustments, patent term extensions, and supplementary protection certificates could result in later expiration dates.</w:t>
      </w:r>
    </w:p>
    <w:p>
      <w:pPr>
        <w:spacing w:after="0" w:line="166"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As of January 31, 2022, the patent portfolio for our CDK2 program, including BLU-222 contains three pending U.S. provisional applications. The patents that will issue covering our CDK2 program will have a statutory expiration date of 2042. Patent term adjustments, patent term extensions, and supplementary protection certificates could result in later expiration dates.</w:t>
      </w:r>
    </w:p>
    <w:p>
      <w:pPr>
        <w:spacing w:after="0" w:line="228"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7"/>
          <w:szCs w:val="17"/>
          <w:color w:val="auto"/>
        </w:rPr>
        <w:t>The intellectual property portfolio directed to our platform includes patents and patent applications directed to novel gene fusions and the uses of these fusions for detecting and treating conditions implicated with these fusions. As of January 31, 2022, the patent portfolio directed to our platform contains eight issued U.S. patents, six pending U.S. non-provisional patent applications, three pending European Union patent applications and six issued European patents. Any U.S. or ex-U.S. patent issuing from the pending applications directed to this technology, if issued, will have statutory expiration dates ranging from 2034 to 2035.</w:t>
      </w:r>
    </w:p>
    <w:p>
      <w:pPr>
        <w:spacing w:after="0" w:line="148"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20" w:lineRule="exact"/>
        <w:rPr>
          <w:sz w:val="20"/>
          <w:szCs w:val="20"/>
          <w:color w:val="auto"/>
        </w:rPr>
      </w:pPr>
    </w:p>
    <w:p>
      <w:pPr>
        <w:ind w:left="60" w:right="379" w:firstLine="648"/>
        <w:spacing w:after="0" w:line="324" w:lineRule="auto"/>
        <w:rPr>
          <w:sz w:val="20"/>
          <w:szCs w:val="20"/>
          <w:color w:val="auto"/>
        </w:rPr>
      </w:pPr>
      <w:r>
        <w:rPr>
          <w:rFonts w:ascii="Arial" w:cs="Arial" w:eastAsia="Arial" w:hAnsi="Arial"/>
          <w:sz w:val="16"/>
          <w:szCs w:val="16"/>
          <w:color w:val="auto"/>
        </w:rPr>
        <w:t>The degree of patent protection we require to successfully commercialize any of our approved drugs and drug candidates may be unavailable or severely limited in some cases and may not adequately protect our rights or permit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53" w:lineRule="exact"/>
        <w:rPr>
          <w:sz w:val="20"/>
          <w:szCs w:val="20"/>
          <w:color w:val="auto"/>
        </w:rPr>
      </w:pPr>
    </w:p>
    <w:p>
      <w:pPr>
        <w:ind w:left="60" w:right="79" w:firstLine="648"/>
        <w:spacing w:after="0" w:line="265"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w:t>
      </w:r>
    </w:p>
    <w:p>
      <w:pPr>
        <w:spacing w:after="0" w:line="8"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5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4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5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1"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75"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w:t>
      </w: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color w:val="auto"/>
        </w:rPr>
        <w:t>drug candidates and technology. Moreover, we may face patent infringement claims from non-practicing entities that have no relevant drug revenue and against whom our own patent portfolio may thus have no deterrent effect.</w:t>
      </w:r>
    </w:p>
    <w:p>
      <w:pPr>
        <w:spacing w:after="0" w:line="147"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9" w:lineRule="exact"/>
        <w:rPr>
          <w:sz w:val="20"/>
          <w:szCs w:val="20"/>
          <w:color w:val="auto"/>
        </w:rPr>
      </w:pPr>
    </w:p>
    <w:p>
      <w:pPr>
        <w:ind w:left="60" w:right="259" w:firstLine="648"/>
        <w:spacing w:after="0" w:line="284"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99"/>
        <w:spacing w:after="0" w:line="324" w:lineRule="auto"/>
        <w:rPr>
          <w:sz w:val="20"/>
          <w:szCs w:val="20"/>
          <w:color w:val="auto"/>
        </w:rPr>
      </w:pPr>
      <w:r>
        <w:rPr>
          <w:rFonts w:ascii="Arial" w:cs="Arial" w:eastAsia="Arial" w:hAnsi="Arial"/>
          <w:sz w:val="16"/>
          <w:szCs w:val="16"/>
          <w:color w:val="auto"/>
        </w:rPr>
        <w:t>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24"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7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9"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71"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48" w:lineRule="auto"/>
        <w:rPr>
          <w:sz w:val="20"/>
          <w:szCs w:val="20"/>
          <w:color w:val="auto"/>
        </w:rPr>
      </w:pPr>
      <w:r>
        <w:rPr>
          <w:rFonts w:ascii="Arial" w:cs="Arial" w:eastAsia="Arial" w:hAnsi="Arial"/>
          <w:sz w:val="18"/>
          <w:szCs w:val="18"/>
          <w:color w:val="auto"/>
        </w:rPr>
        <w:t>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2"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38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including Employee Matters, Managing Growth and Others</w:t>
      </w:r>
    </w:p>
    <w:p>
      <w:pPr>
        <w:spacing w:after="0" w:line="21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ongoing COVID-19 pandemic.</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9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67" w:lineRule="exact"/>
        <w:rPr>
          <w:sz w:val="20"/>
          <w:szCs w:val="20"/>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ongoing and planned clinical trials;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employees and business operations;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personnel at our third-party suppliers and other vendors in the U.S. and other countries;</w:t>
      </w:r>
    </w:p>
    <w:p>
      <w:pPr>
        <w:spacing w:after="0" w:line="211" w:lineRule="exact"/>
        <w:rPr>
          <w:rFonts w:ascii="Arial" w:cs="Arial" w:eastAsia="Arial" w:hAnsi="Arial"/>
          <w:sz w:val="18"/>
          <w:szCs w:val="18"/>
          <w:color w:val="auto"/>
        </w:rPr>
      </w:pPr>
    </w:p>
    <w:p>
      <w:pPr>
        <w:jc w:val="both"/>
        <w:ind w:left="1340" w:right="15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1" w:lineRule="exact"/>
        <w:rPr>
          <w:rFonts w:ascii="Arial" w:cs="Arial" w:eastAsia="Arial" w:hAnsi="Arial"/>
          <w:sz w:val="18"/>
          <w:szCs w:val="18"/>
          <w:color w:val="auto"/>
        </w:rPr>
      </w:pPr>
    </w:p>
    <w:p>
      <w:pPr>
        <w:ind w:left="1340" w:right="159" w:hanging="318"/>
        <w:spacing w:after="0" w:line="291"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sales and marketing activities related to AYVAKIT/AYVAKYT, GAVRETO and any drug candidates for which we may receive marketing approval in the U.S. or other geographies in the future.</w:t>
      </w:r>
    </w:p>
    <w:p>
      <w:pPr>
        <w:spacing w:after="0" w:line="147"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182"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8"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January 31, 2022, we had 495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5"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ongoing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Political development can also lead to uncertainty to regulations and rules that may materially affect our business. For example, as the UK regulatory system is now independent from the EU, Brexit could result in the UK significantly altering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European Union and elsewhere.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7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7"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0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41" w:lineRule="auto"/>
        <w:rPr>
          <w:sz w:val="20"/>
          <w:szCs w:val="20"/>
          <w:color w:val="auto"/>
        </w:rPr>
      </w:pPr>
      <w:r>
        <w:rPr>
          <w:rFonts w:ascii="Arial" w:cs="Arial" w:eastAsia="Arial" w:hAnsi="Arial"/>
          <w:sz w:val="18"/>
          <w:szCs w:val="18"/>
          <w:color w:val="auto"/>
        </w:rPr>
        <w:t>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8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2"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7"/>
          <w:szCs w:val="17"/>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w:t>
      </w:r>
    </w:p>
    <w:p>
      <w:pPr>
        <w:spacing w:after="0" w:line="183"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or SCCs, approved by the European Commission or binding corporate rules, or a derogation applies. In 2020, the Court of Justice of the European Union, or the CJEU, deemed that transfers made pursuant to the EU SCCs and other alternative transfer mechanisms, including binding corporate rules, need to be analyzed on a case-by-case basis to ensure EU standards of data protection are met in the jurisdiction where the data importer is based, and there continue to be concerns about whether these transfer mechanisms will face additional challenges. European regulators have issued recent guidance following the CJEU case that imposes significant new diligence requirements on transferring data outside the European Union, including under an approved transfer mechanism. This guidance requires an “essential equivalency” assessment of the laws of the destination country transferred. If essentially equivalent protections are not available in the destination country, the exporting entity must then assess if supplemental measures can be put in place that, in combination with the chosen transfer mechanism, would address the deficiency in the laws and ensure that essentially equivalent protection can be given to the data.</w:t>
      </w:r>
    </w:p>
    <w:p>
      <w:pPr>
        <w:spacing w:after="0" w:line="172" w:lineRule="exact"/>
        <w:rPr>
          <w:sz w:val="20"/>
          <w:szCs w:val="20"/>
          <w:color w:val="auto"/>
        </w:rPr>
      </w:pPr>
    </w:p>
    <w:p>
      <w:pPr>
        <w:ind w:left="60" w:right="199" w:firstLine="648"/>
        <w:spacing w:after="0" w:line="239" w:lineRule="auto"/>
        <w:rPr>
          <w:sz w:val="20"/>
          <w:szCs w:val="20"/>
          <w:color w:val="auto"/>
        </w:rPr>
      </w:pPr>
      <w:r>
        <w:rPr>
          <w:rFonts w:ascii="Arial" w:cs="Arial" w:eastAsia="Arial" w:hAnsi="Arial"/>
          <w:sz w:val="18"/>
          <w:szCs w:val="18"/>
          <w:color w:val="auto"/>
        </w:rPr>
        <w:t>On June 4, 2021, the European Commission issued new SCCs that account for the CJEU’s decision and other developments, which need to be put in place for new contracts involving the transfer of personal data from the European Economic Area to a third country as of September 27, 2021, and incorporated into existing contracts by December 27, 2022. Complying with these obligations and applicable guidance regarding cross-border data transfers could be expensive and time consuming, may require us to modify our data handling policies and procedures and may ultimately prevent or restrict us from transferring personal data outside the European Economic Area which could cause significant business disruption.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6"/>
          <w:szCs w:val="16"/>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ind w:left="60" w:right="179"/>
        <w:spacing w:after="0" w:line="238" w:lineRule="auto"/>
        <w:rPr>
          <w:sz w:val="20"/>
          <w:szCs w:val="20"/>
          <w:color w:val="auto"/>
        </w:rPr>
      </w:pPr>
      <w:r>
        <w:rPr>
          <w:rFonts w:ascii="Arial" w:cs="Arial" w:eastAsia="Arial" w:hAnsi="Arial"/>
          <w:sz w:val="18"/>
          <w:szCs w:val="18"/>
          <w:color w:val="auto"/>
        </w:rPr>
        <w:t>Complying with this guidance as it exists today and evolves will be expensive and time consuming and may ultimately prevent us from transferring personal data outside the European Union, which would cause significant business disruption for ourselves and our customers and potentially require the changes in the way our products are configured, hosted and supported.</w:t>
      </w:r>
    </w:p>
    <w:p>
      <w:pPr>
        <w:spacing w:after="0" w:line="18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In addition, we are subject to Swiss data protection laws, including the Federal Act on Data Protection, or the FADP. While the FADP provides broad protections to personal data, on September 25, 2020, the Swiss federal Parliament enacted a revised version of the FADP, which is anticipated to become effective in 2022 or the beginning of 2023. The new version of the FADP aligns Swiss data protection law with the GDPR.</w:t>
      </w:r>
    </w:p>
    <w:p>
      <w:pPr>
        <w:spacing w:after="0" w:line="18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Further, in addition to existing European data protection law, the European Union also is considering another draft data protection regulation. The proposed regulation, known as the Regulation on Privacy and Electronic Communications, or ePrivacy Regulation, would replace the current ePrivacy Directive. The Draft Regulation is still the subject of negotiations between the Council of the European Union and the European Parliament. An update is expected in 2022. The aim is for the Draft Regulation to be in force some time in 2023.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81"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91"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As another prominent example, we are also subject to data protection regulation in the UK. Following the UK’s withdrawal from the EU on January 31, 2020 and the end of the transitional arrangements agreed between the UK and EU as of January 1, 2021, the GDPR has been incorporated into UK domestic law by virtue of section 3 of the European Union (Withdrawal) Act 2018 and amended by the Data Protection, Privacy and Electronic Communications (Amendments etc.) (EU Exit) Regulations 2019, or the UK GDPR. United Kingdom-based organizations doing business in the European Union will need to continue to comply with the GDPR.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The UK data protection authority has issued draft guidance on a mechanism governing transfers of personal data from UK to third countries, which incorporates the EU SCCs through an addendum. The aim is for the guidance to be finalised in the first half of 2022.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9"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3" w:lineRule="exact"/>
        <w:rPr>
          <w:sz w:val="20"/>
          <w:szCs w:val="20"/>
          <w:color w:val="auto"/>
        </w:rPr>
      </w:pPr>
    </w:p>
    <w:p>
      <w:pPr>
        <w:ind w:left="60" w:right="79" w:firstLine="648"/>
        <w:spacing w:after="0" w:line="265" w:lineRule="auto"/>
        <w:rPr>
          <w:sz w:val="20"/>
          <w:szCs w:val="20"/>
          <w:color w:val="auto"/>
        </w:rPr>
      </w:pPr>
      <w:r>
        <w:rPr>
          <w:rFonts w:ascii="Arial" w:cs="Arial" w:eastAsia="Arial" w:hAnsi="Arial"/>
          <w:sz w:val="16"/>
          <w:szCs w:val="16"/>
          <w:color w:val="auto"/>
        </w:rPr>
        <w:t>Also, on March 2, 2021, Virginia enacted the Consumer Data Protection Act, or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w:t>
      </w:r>
    </w:p>
    <w:p>
      <w:pPr>
        <w:spacing w:after="0" w:line="8" w:lineRule="exact"/>
        <w:rPr>
          <w:sz w:val="20"/>
          <w:szCs w:val="20"/>
          <w:color w:val="auto"/>
        </w:rPr>
      </w:pPr>
    </w:p>
    <w:p>
      <w:pPr>
        <w:ind w:left="60" w:right="139" w:hanging="10"/>
        <w:spacing w:after="0" w:line="239"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8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With the CPA, Colorado became the third state to enact a comprehensive privacy law but it is quite possible that other states will follow suit and bills have been proposed in many states. We expect anticipate that more states to may enact legislation similar to the CCPA and the other recent consumer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68"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9"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4" w:lineRule="auto"/>
        <w:rPr>
          <w:sz w:val="20"/>
          <w:szCs w:val="20"/>
          <w:color w:val="auto"/>
        </w:rPr>
      </w:pPr>
      <w:r>
        <w:rPr>
          <w:rFonts w:ascii="Arial" w:cs="Arial" w:eastAsia="Arial" w:hAnsi="Arial"/>
          <w:sz w:val="16"/>
          <w:szCs w:val="16"/>
          <w:color w:val="auto"/>
        </w:rPr>
        <w:t>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3" w:lineRule="exact"/>
        <w:rPr>
          <w:sz w:val="20"/>
          <w:szCs w:val="20"/>
          <w:color w:val="auto"/>
        </w:rPr>
      </w:pPr>
    </w:p>
    <w:p>
      <w:pPr>
        <w:jc w:val="both"/>
        <w:ind w:left="60" w:right="119"/>
        <w:spacing w:after="0" w:line="270" w:lineRule="auto"/>
        <w:rPr>
          <w:sz w:val="20"/>
          <w:szCs w:val="20"/>
          <w:color w:val="auto"/>
        </w:rPr>
      </w:pPr>
      <w:r>
        <w:rPr>
          <w:rFonts w:ascii="Arial" w:cs="Arial" w:eastAsia="Arial" w:hAnsi="Arial"/>
          <w:sz w:val="17"/>
          <w:szCs w:val="17"/>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them over five years. The U.S. Congress is considering legislation that would defer the amortization requirement to future periods; however, we have no assurance that the provision will be repealed or otherwise modified. If the requirement is not repealed or modified, it will have a material impact on our cash flows beginning in 2022.</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jc w:val="both"/>
        <w:ind w:left="60" w:right="23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15, 2022. As a result of this volatility, our stockholders could incur substantial losses.</w:t>
      </w:r>
    </w:p>
    <w:p>
      <w:pPr>
        <w:spacing w:after="0" w:line="18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year ended December 31, 2020, we issued and sold 1,784,926 shares of our common stock under the sales agreement at an average price of $112.05 per share for net and gross proceeds of $194.7 million and $200.0 million, respectively. We did not sell any shares of common stock under the sales agreement during the year ended December 31, 2021.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80"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71"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399" w:firstLine="648"/>
        <w:spacing w:after="0" w:line="284"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70" w:lineRule="auto"/>
        <w:rPr>
          <w:sz w:val="20"/>
          <w:szCs w:val="20"/>
          <w:color w:val="auto"/>
        </w:rPr>
      </w:pPr>
      <w:r>
        <w:rPr>
          <w:rFonts w:ascii="Arial" w:cs="Arial" w:eastAsia="Arial" w:hAnsi="Arial"/>
          <w:sz w:val="16"/>
          <w:szCs w:val="16"/>
          <w:color w:val="auto"/>
        </w:rPr>
        <w:t>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1"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1"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$872.6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6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With respect to the net operating losses and research and development tax credit carryforwards acquired from the acquisition of Lengo, the Company has not completed a study to assess whether an ownership change under Section 382 of the Code has occurred, or whether there have been multiple ownership changes since Lengo’s formation. Accordingly, the Company’s ability to utilize the aforementioned carryforwards may be limited and in turn, may not be able to take full advantage of these carryforwards for U.S. federal or state income tax purposes.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left="60" w:right="299" w:firstLine="648"/>
        <w:spacing w:after="0" w:line="248" w:lineRule="auto"/>
        <w:rPr>
          <w:sz w:val="20"/>
          <w:szCs w:val="20"/>
          <w:color w:val="auto"/>
        </w:rPr>
      </w:pPr>
      <w:r>
        <w:rPr>
          <w:rFonts w:ascii="Arial" w:cs="Arial" w:eastAsia="Arial" w:hAnsi="Arial"/>
          <w:sz w:val="18"/>
          <w:szCs w:val="18"/>
          <w:color w:val="auto"/>
        </w:rPr>
        <w:t>Our headquarters are located at 45 Sidney Street in Cambridge, Massachusetts where we occupy approximately 139,216 rentable square feet of office and laboratory space under a lease that will expire on November 30, 2029, unless terminated sooner.</w:t>
      </w:r>
    </w:p>
    <w:p>
      <w:pPr>
        <w:spacing w:after="0" w:line="182"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We also lease approximately 39,000 rentable square feet at our former corporate headquarters at 38 Sidney Street in Cambridge, Massachusetts under a lease that was extended on December 15, 2021. The extended lease will expire on November 30, 2029. Since the first quarter of 2018, we have subleased these premises, and the term of the existing subleases will expire on February 28, 2022 and September 30, 2022.</w:t>
      </w:r>
    </w:p>
    <w:p>
      <w:pPr>
        <w:spacing w:after="0" w:line="188"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We believe that our existing office and laboratory space is sufficient to meet our needs for the foreseeable future and that suitable additional space will be available as and when needed.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60" w:right="499"/>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135"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Our common stock trades under the symbol “BPMC” on the Nasdaq Global Select Market and has been publicly traded since April 30, 2015.</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As of January 31, 2022, there were approximately 11 holders of record of our common stock. This number does not include beneficial owners whose shares are held by nominees in street name.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13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7"/>
          <w:szCs w:val="17"/>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0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The following performance graph compares the performance of our common stock to the Nasdaq Composite Index and to the Nasdaq Biotechnology Index from December 31, 2015 through December 31, 2021.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486410</wp:posOffset>
            </wp:positionV>
            <wp:extent cx="5554980" cy="31203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left="60" w:right="379" w:firstLine="648"/>
        <w:spacing w:after="0" w:line="324" w:lineRule="auto"/>
        <w:rPr>
          <w:sz w:val="20"/>
          <w:szCs w:val="20"/>
          <w:color w:val="auto"/>
        </w:rPr>
      </w:pPr>
      <w:r>
        <w:rPr>
          <w:rFonts w:ascii="Arial" w:cs="Arial" w:eastAsia="Arial" w:hAnsi="Arial"/>
          <w:sz w:val="16"/>
          <w:szCs w:val="16"/>
          <w:color w:val="auto"/>
        </w:rPr>
        <w:t>Information about our equity compensation plans will be included in our definitive proxy statement to be filed with the SEC with respect to our 2022 Annual Meeting of Stockholders and is incorporated herein by reference.</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left="60" w:right="419" w:firstLine="648"/>
        <w:spacing w:after="0" w:line="27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04"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i w:val="1"/>
          <w:iCs w:val="1"/>
          <w:color w:val="auto"/>
        </w:rPr>
        <w:t>Information pertaining to fiscal year 2019 was included in the Company’s Annual Report on Form 10-K for the year ended December 31, 2020 on pages 86 through 107 under Part II, Item 7, “Management’s Discussion and Analysis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i w:val="1"/>
          <w:iCs w:val="1"/>
          <w:color w:val="auto"/>
        </w:rPr>
        <w:t>of Financial Position and Results of Operations,” which was filed with the Securities and Exchange Commission (the “SEC”) on February 17, 2021.</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259" w:firstLine="648"/>
        <w:spacing w:after="0" w:line="238" w:lineRule="auto"/>
        <w:rPr>
          <w:sz w:val="20"/>
          <w:szCs w:val="20"/>
          <w:color w:val="auto"/>
        </w:rPr>
      </w:pPr>
      <w:r>
        <w:rPr>
          <w:rFonts w:ascii="Arial" w:cs="Arial" w:eastAsia="Arial" w:hAnsi="Arial"/>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SM, lung cancer and other genomically defined cancers, and cancer immunotherapy.</w:t>
      </w:r>
    </w:p>
    <w:p>
      <w:pPr>
        <w:spacing w:after="0" w:line="221"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and other Mast Cell Disorders — AYVAKIT/AYVAKYT (avapritinib) and BLU-263</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We are developing and commercializing avapritinib for the treatment of advanced SM, and developing avapritinib for the treatment of non-advanced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14" w:lineRule="exact"/>
        <w:rPr>
          <w:sz w:val="20"/>
          <w:szCs w:val="20"/>
          <w:color w:val="auto"/>
        </w:rPr>
      </w:pPr>
    </w:p>
    <w:p>
      <w:pPr>
        <w:ind w:left="60" w:right="259" w:firstLine="648"/>
        <w:spacing w:after="0" w:line="274" w:lineRule="auto"/>
        <w:rPr>
          <w:sz w:val="20"/>
          <w:szCs w:val="20"/>
          <w:color w:val="auto"/>
        </w:rPr>
      </w:pPr>
      <w:r>
        <w:rPr>
          <w:rFonts w:ascii="Arial" w:cs="Arial" w:eastAsia="Arial" w:hAnsi="Arial"/>
          <w:sz w:val="16"/>
          <w:szCs w:val="16"/>
          <w:color w:val="auto"/>
        </w:rPr>
        <w:t>In June 2021, the FDA approved avapritinib under the brand name AYVAKIT for the treatment of adult patients with advanced SM, including ASM, SM-AHN, and MCL. In January 2022, the CHMP of the EMA adopted a positive opinion recommending marketing authorization for avapritinib as a monotherapy for the treatment of adult patients with ASM, SM-AHN or MCL, after at least one systemic therapy. Pending the European Commission’s final decision on our MAA, we anticipate obtaining regulatory approval from the EMA and launching avapritinib under the brand name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AYVAKYT for advanced SM in Europe in the second quarter of 2022.</w:t>
      </w:r>
    </w:p>
    <w:p>
      <w:pPr>
        <w:spacing w:after="0" w:line="266" w:lineRule="exact"/>
        <w:rPr>
          <w:sz w:val="20"/>
          <w:szCs w:val="20"/>
          <w:color w:val="auto"/>
        </w:rPr>
      </w:pPr>
    </w:p>
    <w:p>
      <w:pPr>
        <w:jc w:val="both"/>
        <w:ind w:left="60" w:right="79" w:firstLine="648"/>
        <w:spacing w:after="0" w:line="243" w:lineRule="auto"/>
        <w:rPr>
          <w:sz w:val="20"/>
          <w:szCs w:val="20"/>
          <w:color w:val="auto"/>
        </w:rPr>
      </w:pPr>
      <w:r>
        <w:rPr>
          <w:rFonts w:ascii="Arial" w:cs="Arial" w:eastAsia="Arial" w:hAnsi="Arial"/>
          <w:sz w:val="18"/>
          <w:szCs w:val="18"/>
          <w:color w:val="auto"/>
        </w:rPr>
        <w:t>In addition, through our distribution agreement with Neopharm Israel Ltd., a marketing authorization application in Israel was submitted in June 2021 for avapritinib for patients with advanced SM and PDGFRA exon 18 mutant GIST. In the future, we plan to pursue the regulatory approval and commercialization of avapritinib in additional global geographies, including through additional potential distribution agreements.</w:t>
      </w:r>
    </w:p>
    <w:p>
      <w:pPr>
        <w:spacing w:after="0" w:line="215"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We are evaluating avapritinib in an ongoing registration-enabling Phase 1 clinical trial in advanced SM, which we refer to as our EXPLORER trial, and an ongoing registration-enabling Phase 2 clinical trial in advanced SM, which we refer to as our PATHFINDER trial. In April 2021, we presented registration-enabling data from the PATHFINDER trial at the virtual AACR Annual Meeting.</w:t>
      </w:r>
    </w:p>
    <w:p>
      <w:pPr>
        <w:spacing w:after="0" w:line="228"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In addition, we are evaluating avapritinib in an ongoing registration-enabling Phase 2 clinical trial in non-advanced SM, which we refer to as our PIONEER trial. In January 2022, we announced that the PIONEER trial was fully enrolled. We plan to report top-line data for Part 2 of the PIONEER trial in mid-2022 and to submit an sNDA to the FDA for avapritinib in non-advanced SM in the second half of 2022.</w:t>
      </w:r>
    </w:p>
    <w:p>
      <w:pPr>
        <w:spacing w:after="0" w:line="228" w:lineRule="exact"/>
        <w:rPr>
          <w:sz w:val="20"/>
          <w:szCs w:val="20"/>
          <w:color w:val="auto"/>
        </w:rPr>
      </w:pPr>
    </w:p>
    <w:p>
      <w:pPr>
        <w:ind w:left="60" w:right="559" w:firstLine="648"/>
        <w:spacing w:after="0" w:line="324" w:lineRule="auto"/>
        <w:rPr>
          <w:sz w:val="20"/>
          <w:szCs w:val="20"/>
          <w:color w:val="auto"/>
        </w:rPr>
      </w:pPr>
      <w:r>
        <w:rPr>
          <w:rFonts w:ascii="Arial" w:cs="Arial" w:eastAsia="Arial" w:hAnsi="Arial"/>
          <w:sz w:val="16"/>
          <w:szCs w:val="16"/>
          <w:color w:val="auto"/>
        </w:rPr>
        <w:t>The FDA has granted breakthrough therapy designation to avapritinib for (i) the treatment of advanced SM, including the subtypes of ASM, SM-AHN and MCL, and (ii) the treatment of moderate to severe indolent SM. In</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324" w:lineRule="auto"/>
        <w:rPr>
          <w:sz w:val="20"/>
          <w:szCs w:val="20"/>
          <w:color w:val="auto"/>
        </w:rPr>
      </w:pPr>
      <w:r>
        <w:rPr>
          <w:rFonts w:ascii="Arial" w:cs="Arial" w:eastAsia="Arial" w:hAnsi="Arial"/>
          <w:sz w:val="16"/>
          <w:szCs w:val="16"/>
          <w:color w:val="auto"/>
        </w:rPr>
        <w:t>addition, the FDA has granted orphan drug designation to avapritinib for the treatment of mastocytosis, and the European Commission has granted orphan medicinal product designation to avapritinib for the treatment of mastocytosis.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CNS penetration relative to avapritinib based on preclinical data, which we believe will enable development of BLU-263 in a broad population of patients with non-advanced SM, including patients with lower disease burden and potentially patients with other mast cell disorders.</w:t>
      </w:r>
    </w:p>
    <w:p>
      <w:pPr>
        <w:spacing w:after="0" w:line="201" w:lineRule="exact"/>
        <w:rPr>
          <w:sz w:val="20"/>
          <w:szCs w:val="20"/>
          <w:color w:val="auto"/>
        </w:rPr>
      </w:pPr>
    </w:p>
    <w:p>
      <w:pPr>
        <w:ind w:left="60" w:right="239" w:firstLine="648"/>
        <w:spacing w:after="0" w:line="262" w:lineRule="auto"/>
        <w:rPr>
          <w:sz w:val="20"/>
          <w:szCs w:val="20"/>
          <w:color w:val="auto"/>
        </w:rPr>
      </w:pPr>
      <w:r>
        <w:rPr>
          <w:rFonts w:ascii="Arial" w:cs="Arial" w:eastAsia="Arial" w:hAnsi="Arial"/>
          <w:sz w:val="17"/>
          <w:szCs w:val="17"/>
          <w:color w:val="auto"/>
        </w:rPr>
        <w:t>In April 2021, we presented results from a Phase 1 trial of BLU-263 in healthy volunteers at the virtual AACR Annual Meeting, which showed that BLU-263 was well-tolerated at all doses tested. Based on these data, we initiated the Phase 2/3 HARBOR trial of BLU-263 in patients with non-advanced SM in the second quarter of 2021. We anticipate presenting initial data from the HARBOR trial in the second half of 2022.</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w:t>
      </w:r>
      <w:r>
        <w:rPr>
          <w:rFonts w:ascii="Arial" w:cs="Arial" w:eastAsia="Arial" w:hAnsi="Arial"/>
          <w:sz w:val="16"/>
          <w:szCs w:val="16"/>
          <w:b w:val="1"/>
          <w:bCs w:val="1"/>
          <w:i w:val="1"/>
          <w:iCs w:val="1"/>
          <w:color w:val="auto"/>
        </w:rPr>
        <w:t>®</w:t>
      </w:r>
      <w:r>
        <w:rPr>
          <w:rFonts w:ascii="Arial" w:cs="Arial" w:eastAsia="Arial" w:hAnsi="Arial"/>
          <w:sz w:val="18"/>
          <w:szCs w:val="18"/>
          <w:b w:val="1"/>
          <w:bCs w:val="1"/>
          <w:i w:val="1"/>
          <w:iCs w:val="1"/>
          <w:color w:val="auto"/>
        </w:rPr>
        <w:t xml:space="preserve"> (pralsetinib)</w:t>
      </w:r>
    </w:p>
    <w:p>
      <w:pPr>
        <w:spacing w:after="0" w:line="261"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We are developing and commercializing pralsetinib for the treatment of RET fusion-positive NSCLC, and for the treatment of RET-altered thyroid carcinoma, including MTC. We are also developing pralsetinib for the treatment of other RET-altered solid tumors. We have granted exclusive licenses to Roche and CStone to develop and commercialize pralsetinib in their respective territories. See “</w:t>
      </w:r>
      <w:r>
        <w:rPr>
          <w:rFonts w:ascii="Arial" w:cs="Arial" w:eastAsia="Arial" w:hAnsi="Arial"/>
          <w:sz w:val="17"/>
          <w:szCs w:val="17"/>
          <w:i w:val="1"/>
          <w:iCs w:val="1"/>
          <w:color w:val="auto"/>
        </w:rPr>
        <w:t>—Collaborations and Licenses Summary</w:t>
      </w:r>
      <w:r>
        <w:rPr>
          <w:rFonts w:ascii="Arial" w:cs="Arial" w:eastAsia="Arial" w:hAnsi="Arial"/>
          <w:sz w:val="17"/>
          <w:szCs w:val="17"/>
          <w:color w:val="auto"/>
        </w:rPr>
        <w:t>” below.</w:t>
      </w:r>
    </w:p>
    <w:p>
      <w:pPr>
        <w:spacing w:after="0" w:line="19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0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In November 2021, Roche announced that the European Commission granted conditional marketing authorization for GAVRETO as a monotherapy for the treatment of adults with RET fusion-positive advanced NSCLC not previously treated with a RET inhibitor. Roche submitted a Type II variation MAA to the EMA for pralsetinib for RET-altered thyroid cancers in December 2021, as well as marketing applications for pralsetinib for RET-altered NSCLC and thyroid cancers across multiple global geographies in 2021. Marketing applications are planned for pralsetinib for RET-altered NSCLC and thyroid cancers across additional global geographies in 2022.</w:t>
      </w:r>
    </w:p>
    <w:p>
      <w:pPr>
        <w:spacing w:after="0" w:line="216" w:lineRule="exact"/>
        <w:rPr>
          <w:sz w:val="20"/>
          <w:szCs w:val="20"/>
          <w:color w:val="auto"/>
        </w:rPr>
      </w:pPr>
    </w:p>
    <w:p>
      <w:pPr>
        <w:ind w:left="60" w:right="239" w:firstLine="693"/>
        <w:spacing w:after="0" w:line="243" w:lineRule="auto"/>
        <w:rPr>
          <w:sz w:val="20"/>
          <w:szCs w:val="20"/>
          <w:color w:val="auto"/>
        </w:rPr>
      </w:pPr>
      <w:r>
        <w:rPr>
          <w:rFonts w:ascii="Arial" w:cs="Arial" w:eastAsia="Arial" w:hAnsi="Arial"/>
          <w:sz w:val="18"/>
          <w:szCs w:val="18"/>
          <w:color w:val="auto"/>
        </w:rPr>
        <w:t>In March 2021, China’s NMPA approved GAVRETO for the treatment of RET fusion-positive NSCLC patients previously treated with platinum-based chemotherapy. In April 2021, China’s NMPA accepted CStone’s new drug application, or NDA, with Priority Review designation, for pralsetinib for the treatment of RET-mutant MTC and RET fusion-positive thyroid cancer.</w:t>
      </w:r>
    </w:p>
    <w:p>
      <w:pPr>
        <w:spacing w:after="0" w:line="215"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are currently evaluating pralsetinib in an ongoing registration-enabling Phase 1/2 clinical trial in patients with RET-altered NSCLC, MTC and other advanced solid tumors, which we refer to as the ARROW trial. In addition, Roche is conducting multiple ongoing studies, including a registration-enabling Phase 3 clinical trial in treatment-naïve patients with RET fusion-positive NSCLC, which is referred to as the ACCELERET-Lung trial; and a registration-enabling Phase 3 clinical trial in patients with locally advanced or metastatic RET-mutated MTC who have not previously received a standard of care multi-kinase inhibitor therapy, which is referred to as the ACCELERET-MTC trial. In June 2021, we reported updated data from the ARROW trial in metastatic RET fusion-positive NSCLC and other advanced solid tumors at the 2021 ASCO Annual Meeting. The ARROW trial was fully enrolled in December 2021. Pursuant to our collaboration with Roche, we are co-developing pralsetinib globally in RET-altered solid tumors, including NSCLC, MTC and other thyroid cancers, as well as other solid tumors.</w:t>
      </w:r>
    </w:p>
    <w:p>
      <w:pPr>
        <w:spacing w:after="0" w:line="221"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color w:val="auto"/>
        </w:rPr>
        <w:t>The FDA has granted breakthrough therapy designation to pralsetinib for (i) the treatment of patients with RET fusion-positive NSCLC that has progressed following platinum-based chemotherapy, and (ii) the treatment of patients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48" w:lineRule="auto"/>
        <w:rPr>
          <w:sz w:val="20"/>
          <w:szCs w:val="20"/>
          <w:color w:val="auto"/>
        </w:rPr>
      </w:pPr>
      <w:r>
        <w:rPr>
          <w:rFonts w:ascii="Arial" w:cs="Arial" w:eastAsia="Arial" w:hAnsi="Arial"/>
          <w:sz w:val="18"/>
          <w:szCs w:val="18"/>
          <w:color w:val="auto"/>
        </w:rPr>
        <w:t>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 AYVAKYT (avapritinib)</w:t>
      </w:r>
    </w:p>
    <w:p>
      <w:pPr>
        <w:spacing w:after="0" w:line="25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7"/>
          <w:szCs w:val="17"/>
          <w:color w:val="auto"/>
        </w:rPr>
        <w:t>We are commercializing avapritinib for the treatment of patients with PDGFRA exon 18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02" w:lineRule="exact"/>
        <w:rPr>
          <w:sz w:val="20"/>
          <w:szCs w:val="20"/>
          <w:color w:val="auto"/>
        </w:rPr>
      </w:pPr>
    </w:p>
    <w:p>
      <w:pPr>
        <w:ind w:left="60" w:right="339" w:firstLine="648"/>
        <w:spacing w:after="0" w:line="262" w:lineRule="auto"/>
        <w:rPr>
          <w:sz w:val="20"/>
          <w:szCs w:val="20"/>
          <w:color w:val="auto"/>
        </w:rPr>
      </w:pPr>
      <w:r>
        <w:rPr>
          <w:rFonts w:ascii="Arial" w:cs="Arial" w:eastAsia="Arial" w:hAnsi="Arial"/>
          <w:sz w:val="17"/>
          <w:szCs w:val="17"/>
          <w:color w:val="auto"/>
        </w:rPr>
        <w:t>In March 2021, CStone announced that China’s NMPA approved AYVAKIT for the treatment of adults with unresectable or metastatic GIST harboring a PDGFRA exon 18 mutation, including PDGFRA D842V mutations. AYVAKIT received accelerated approval in April 2021 from the TFDA and approval in Hong Kong in December 2021, both for adults with unresectable or metastatic GIST harboring PDGFRA D842V mutations.</w:t>
      </w:r>
    </w:p>
    <w:p>
      <w:pPr>
        <w:spacing w:after="0" w:line="213"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EGFR-Mutated NSCLC — BLU-701, BLU-945 and BLU-451</w:t>
      </w:r>
    </w:p>
    <w:p>
      <w:pPr>
        <w:spacing w:after="0" w:line="23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We are developing three investigational EGFR inhibitors, BLU-701, BLU -945 and BLU-451, which was formerly known as LNG-451, with the goal of addressing the nearly all activating mutations (&gt;90 percent) in EGFR-driven NSCLC. The introduction of EGFR-targeted therapies, including osimertinib, has transformed the care of patients with EGFR-driven NSCLC; however, there remains a significant need for new treatment options designed to prevent a broad range of resistance mechanisms before they emerge, with the goal of prolonging patient benefit. In addition, there are no approved targeted therapies for patients with disease progression following osimertinib, and limited treatment options for patients with EGFR exon 20 insertion-positive NSCLC.</w:t>
      </w:r>
    </w:p>
    <w:p>
      <w:pPr>
        <w:spacing w:after="0" w:line="22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BLU-701 and BLU-945 were specifically designed to provide comprehensive coverage of common activating and on-target resistance mutations, spare wild-type EGFR and other kinases to limit off-target toxicities, and treat or prevent CNS metastases, which occur frequently in patients with EGFR-driven NSCLC. We believe these profiles may enable BLU-701 and BLU-945 to become the backbones of a range of combination strategies with the potential to address important medical needs for patients with EGFR-driven NSCLC, including in early line treatment settings. We plan to develop BLU-701 and BLU-945 in combination with each other and other therapies, including osimertinib, as an initial treatment designed to prevent resistance from emerging. In addition, we plan to develop BLU-701 and BLU-945 as monotherapies in certain biomarker-selected patient populations.</w:t>
      </w:r>
    </w:p>
    <w:p>
      <w:pPr>
        <w:spacing w:after="0" w:line="22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In December 2021, we completed our acquisition of Lengo Therapeutics, Inc., along with its lead compound LNG-451, which we now refer to as BLU-451. BLU-451 is an oral precision therapy in development for the treatment of NSCLC in patients with EGFR exon 20 mutations.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BLU-701</w:t>
      </w:r>
    </w:p>
    <w:p>
      <w:pPr>
        <w:spacing w:after="0" w:line="212"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BLU-701 is a selective and potent investigational inhibitor of EGFR harboring either the activating L858R or exon 19 deletion mutations combined with the acquired C797S mutation, the most common on-target resistance mutation to osimertinib. In preclinical data presented at the virtual AACR Annual Meeting in April 2021, BLU-701 showed strong and durable inhibition of tumor growth at doses that are EGFR wild-type sparing, and the potential to be used in both first-and second-line settings. BLU-701 indicated significant CNS penetration in preclinical models, with comparable exposure in the plasma and brain, which illustrates its potential to treat or prevent CNS metastases in patients with EGFR-driven tumors. Based on these preclinical data, we initiated a Phase 1/2 trial of BLU-701 in EGFR-</w:t>
      </w: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mutant NSCLC, which we refer to as our HARMONY trial, in the fourth quarter of 2021. We plan to present initial clinical data from the HARMONY trial in the second half of 2022.</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BLU-945</w:t>
      </w:r>
    </w:p>
    <w:p>
      <w:pPr>
        <w:spacing w:after="0" w:line="25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BLU-945 is a selective and potent investigational inhibitor of EGFR harboring either the activating L858R or exon 19 deletion mutations combined with the acquired T790M and C797S mutations, the most common on-target resistance mutations to first-generation EGFR inhibitors and osimertinib, respectively. In preclinical data presented at the virtual AACR Annual Meeting in April 2021, BLU-945 demonstrated potent antitumor activity in osimertinib-resistant tumor models, as well as activity in an intracranial patient-derived xenograft model. Both preclinical models harbored activating mutations combined with the T790M and C797S mutations. Based on these preclinical data, we initiated a Phase 1/2 trial of BLU-945 in patients with EGFR-driven NSCLC, which we refer to as our SYMPHONY trial, in the second quarter of 2021. We plan to present initial clinical data from the SYMPHONY trial in the second quarter of 2022.</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Combinations with BLU-701 and/or BLU-945</w:t>
      </w:r>
    </w:p>
    <w:p>
      <w:pPr>
        <w:spacing w:after="0" w:line="252" w:lineRule="exact"/>
        <w:rPr>
          <w:sz w:val="20"/>
          <w:szCs w:val="20"/>
          <w:color w:val="auto"/>
        </w:rPr>
      </w:pPr>
    </w:p>
    <w:p>
      <w:pPr>
        <w:ind w:left="60" w:right="259" w:firstLine="648"/>
        <w:spacing w:after="0" w:line="253" w:lineRule="auto"/>
        <w:rPr>
          <w:sz w:val="20"/>
          <w:szCs w:val="20"/>
          <w:color w:val="auto"/>
        </w:rPr>
      </w:pPr>
      <w:r>
        <w:rPr>
          <w:rFonts w:ascii="Arial" w:cs="Arial" w:eastAsia="Arial" w:hAnsi="Arial"/>
          <w:sz w:val="17"/>
          <w:szCs w:val="17"/>
          <w:color w:val="auto"/>
        </w:rPr>
        <w:t>Based on their differentiated selectivity profiles and potency against on-target EGFR activating and resistant mutants, we believe BLU-701 and BLU-945 have the potential to become backbone therapies for a range of combination strategies for EGFR-positive NSCLC across multiple treatment lines, potentially including combinations of BLU-701 or BLU-945 with other EGFR therapies or treatment modalities, as well as BLU-701 and BLU-945 together. In preclinical data presented at the virtual AACR Annual Meeting in April 2021, the combination of BLU-945 with either gefitinib or osimertinib showed enhanced antitumor activity when compared with either gefitinib or osimertinib alone. At the BTOG Annual Conference in January 2022, we reported preclinical data supporting the development of BLU-701 and BLU-945 combination therapy in EGFR-driven NSCLC. Based on these results, we plan to develop BLU-701 and BLU-945 in combination with each other and other agents.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 Exon 20 Insertion-Positive NSCLC — BLU-451</w:t>
      </w:r>
    </w:p>
    <w:p>
      <w:pPr>
        <w:spacing w:after="0" w:line="23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BLU-451 is a selective and potent investigational inhibitor under development for the treatment of EGFR exon 20 insertion-positive NSCLC. Based on preclinical data, BLU-451 potently inhibited all common EGFR exon 20 insertion variants with marked selectivity over wild-type EGFR and off-target kinases, and has shown significant CNS penetration. We recently received clearance for an IND application for BLU-451 for EGFR exon 20 insertion-positive NSCLC. In the first quarter of 2022, we plan to initiate a Phase 1/2 trial of BLU-451 in EGFR exon 20 insertion-positive NSCLC, and we expect to present preclinical data for BLU-451 in the second quarter of 2022.</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 Aberrant Cancers — BLU-222</w:t>
      </w:r>
    </w:p>
    <w:p>
      <w:pPr>
        <w:spacing w:after="0" w:line="252" w:lineRule="exact"/>
        <w:rPr>
          <w:sz w:val="20"/>
          <w:szCs w:val="20"/>
          <w:color w:val="auto"/>
        </w:rPr>
      </w:pPr>
    </w:p>
    <w:p>
      <w:pPr>
        <w:ind w:left="60" w:right="59" w:firstLine="648"/>
        <w:spacing w:after="0" w:line="262" w:lineRule="auto"/>
        <w:rPr>
          <w:sz w:val="20"/>
          <w:szCs w:val="20"/>
          <w:color w:val="auto"/>
        </w:rPr>
      </w:pPr>
      <w:r>
        <w:rPr>
          <w:rFonts w:ascii="Arial" w:cs="Arial" w:eastAsia="Arial" w:hAnsi="Arial"/>
          <w:sz w:val="17"/>
          <w:szCs w:val="17"/>
          <w:color w:val="auto"/>
        </w:rPr>
        <w:t>We are developing an investigational inhibitor, BLU-222, targeting CDK2 for the treatment of patients with cyclin E aberrant cancers. In subsets of patients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172" w:lineRule="exact"/>
        <w:rPr>
          <w:sz w:val="20"/>
          <w:szCs w:val="20"/>
          <w:color w:val="auto"/>
        </w:rPr>
      </w:pPr>
    </w:p>
    <w:p>
      <w:pPr>
        <w:ind w:left="60" w:right="219" w:firstLine="648"/>
        <w:spacing w:after="0" w:line="241" w:lineRule="auto"/>
        <w:rPr>
          <w:sz w:val="20"/>
          <w:szCs w:val="20"/>
          <w:color w:val="auto"/>
        </w:rPr>
      </w:pPr>
      <w:r>
        <w:rPr>
          <w:rFonts w:ascii="Arial" w:cs="Arial" w:eastAsia="Arial" w:hAnsi="Arial"/>
          <w:sz w:val="18"/>
          <w:szCs w:val="18"/>
          <w:color w:val="auto"/>
        </w:rPr>
        <w:t>At the virtual AACR Annual Meeting in April 2021, we presented preclinical data showing that selective CDK2 inhibition arrested the cell cycle and blocked tumor proliferation in CCNE1-amplified cell lines, and demonstrated robust and sustained antitumor activity in vivo in models of CCNE1-amplified ovarian, breast and gastric cancer. A selective CDK2 inhibitor also showed improved tolerability compared to a pan-CDK inhibitor and chemotherapy, as measured by animal body weight.</w:t>
      </w:r>
    </w:p>
    <w:p>
      <w:pPr>
        <w:spacing w:after="0" w:line="18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We recently received FDA clearance for an IND application for BLU-222 for cyclin E aberrant cancers. We plan to initiate a Phase 1/2 trial of BLU-222 in cyclin E aberrant cancers, which we refer to as our VELA trial, in the first quarter of 2022, and to present preclinical data for BLU-222 in the second quarter of 2022. BLU-222 is being developed as a single agent and in combination with chemotherapy in gyneocological cancers, and in combination with hormonal and the approved CDK 4/6-inhibitor ribociclib for hormone-receptor-positive, HER2-negative breast cancer.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Advanced Cancers — BLU-852</w:t>
      </w:r>
    </w:p>
    <w:p>
      <w:pPr>
        <w:spacing w:after="0" w:line="212" w:lineRule="exact"/>
        <w:rPr>
          <w:sz w:val="20"/>
          <w:szCs w:val="20"/>
          <w:color w:val="auto"/>
        </w:rPr>
      </w:pPr>
    </w:p>
    <w:p>
      <w:pPr>
        <w:ind w:left="60" w:right="159" w:firstLine="648"/>
        <w:spacing w:after="0" w:line="239" w:lineRule="auto"/>
        <w:rPr>
          <w:sz w:val="20"/>
          <w:szCs w:val="20"/>
          <w:color w:val="auto"/>
        </w:rPr>
      </w:pPr>
      <w:r>
        <w:rPr>
          <w:rFonts w:ascii="Arial" w:cs="Arial" w:eastAsia="Arial" w:hAnsi="Arial"/>
          <w:sz w:val="18"/>
          <w:szCs w:val="18"/>
          <w:color w:val="auto"/>
        </w:rPr>
        <w:t>BLU-852 is a selective and potent investigational inhibitor of MAP4K1, a well-characterized immunokinase involved in the regulation of immune cells. Preclinical data presented at the virtual AACR Annual Meeting in April 2021 show that MAP4K1 inhibition enhanced intratumoral immune cell activation, overcame Treg mediated T cell suppression, and reduced tumor burden both as a monotherapy and in combination with checkpoint inhibition. These preclinical data support the continued development of BLU-852. Under our ongoing cancer immunotherapy collaboration, we expect Roche to initiate a Phase 1 trial of BLU-852, as a single agent and in combination with atezolizumab, in advanced cancers in 2023.</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52"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7"/>
          <w:szCs w:val="17"/>
          <w:color w:val="auto"/>
        </w:rPr>
        <w:t>Fisogatinib is an investigational, orally available, potent and highly selective inhibitor that targets FGFR4, a kinase that is aberrantly activated in a defined subset of patients with HCC. Following a strategic evaluation of the evolving HCC treatment landscape and prioritization of resources across our broad precision therapy pipeline, we have decided to deprioritize our clinical development of fisogatinib for the treatment of advanced HCC. We have discontinued further enrollment the Blueprint Medicines-sponsored clinical trial of fisogatinib as a monotherapy and in combination with sugemalimab, an anti-PD-L1 immunotherapy being developed by CStone. CStone continues to retain development and commercial rights to fisogatinib in the CStone territory.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plan to nominate two development candidates from our discovery programs. We also plan to share our vision for our expanded discovery platform at an R&amp;D Day in the second half of 2022.</w:t>
      </w:r>
    </w:p>
    <w:p>
      <w:pPr>
        <w:spacing w:after="0" w:line="60" w:lineRule="exact"/>
        <w:rPr>
          <w:sz w:val="20"/>
          <w:szCs w:val="20"/>
          <w:color w:val="auto"/>
        </w:rPr>
      </w:pPr>
    </w:p>
    <w:p>
      <w:pPr>
        <w:ind w:left="60" w:right="719" w:firstLine="648"/>
        <w:spacing w:after="0" w:line="261" w:lineRule="auto"/>
        <w:rPr>
          <w:sz w:val="20"/>
          <w:szCs w:val="20"/>
          <w:color w:val="auto"/>
        </w:rPr>
      </w:pPr>
      <w:r>
        <w:rPr>
          <w:rFonts w:ascii="Arial" w:cs="Arial" w:eastAsia="Arial" w:hAnsi="Arial"/>
          <w:sz w:val="18"/>
          <w:szCs w:val="18"/>
          <w:color w:val="auto"/>
        </w:rPr>
        <w:t>Under our immunotherapy collaboration with Roche, we are conducting activities for up to two discovery programs, including BLU-852. See “—</w:t>
      </w:r>
      <w:r>
        <w:rPr>
          <w:rFonts w:ascii="Arial" w:cs="Arial" w:eastAsia="Arial" w:hAnsi="Arial"/>
          <w:sz w:val="18"/>
          <w:szCs w:val="18"/>
          <w:i w:val="1"/>
          <w:iCs w:val="1"/>
          <w:color w:val="auto"/>
        </w:rPr>
        <w:t>Collaborations and Licenses Summary</w:t>
      </w:r>
      <w:r>
        <w:rPr>
          <w:rFonts w:ascii="Arial" w:cs="Arial" w:eastAsia="Arial" w:hAnsi="Arial"/>
          <w:sz w:val="18"/>
          <w:szCs w:val="18"/>
          <w:color w:val="auto"/>
        </w:rPr>
        <w:t>” below.</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39"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i w:val="1"/>
          <w:iCs w:val="1"/>
          <w:color w:val="auto"/>
        </w:rPr>
        <w:t>Roche—Immunotherapy Collaboration</w:t>
      </w:r>
      <w:r>
        <w:rPr>
          <w:rFonts w:ascii="Arial" w:cs="Arial" w:eastAsia="Arial" w:hAnsi="Arial"/>
          <w:sz w:val="18"/>
          <w:szCs w:val="18"/>
          <w:color w:val="auto"/>
        </w:rPr>
        <w:t>. In March 2016, we entered into a collaboration with Roche to discover,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and commercialize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80" w:lineRule="exact"/>
        <w:rPr>
          <w:sz w:val="20"/>
          <w:szCs w:val="20"/>
          <w:color w:val="auto"/>
        </w:rPr>
      </w:pPr>
    </w:p>
    <w:p>
      <w:pPr>
        <w:ind w:left="60" w:right="279" w:firstLine="648"/>
        <w:spacing w:after="0"/>
        <w:rPr>
          <w:sz w:val="20"/>
          <w:szCs w:val="20"/>
          <w:color w:val="auto"/>
        </w:rPr>
      </w:pPr>
      <w:r>
        <w:rPr>
          <w:rFonts w:ascii="Arial" w:cs="Arial" w:eastAsia="Arial" w:hAnsi="Arial"/>
          <w:sz w:val="18"/>
          <w:szCs w:val="18"/>
          <w:i w:val="1"/>
          <w:iCs w:val="1"/>
          <w:color w:val="auto"/>
        </w:rPr>
        <w:t>Roche—Pralsetinib Collaboration</w:t>
      </w:r>
      <w:r>
        <w:rPr>
          <w:rFonts w:ascii="Arial" w:cs="Arial" w:eastAsia="Arial" w:hAnsi="Arial"/>
          <w:sz w:val="18"/>
          <w:szCs w:val="18"/>
          <w:color w:val="auto"/>
        </w:rPr>
        <w:t>. 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81"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CStone</w:t>
      </w:r>
      <w:r>
        <w:rPr>
          <w:rFonts w:ascii="Arial" w:cs="Arial" w:eastAsia="Arial" w:hAnsi="Arial"/>
          <w:sz w:val="18"/>
          <w:szCs w:val="18"/>
          <w:color w:val="auto"/>
        </w:rPr>
        <w:t>. 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as well as back-up forms and certain other forms, in the CStone territory either as a monotherapy or as part of a combination therapy.</w:t>
      </w:r>
    </w:p>
    <w:p>
      <w:pPr>
        <w:spacing w:after="0" w:line="74" w:lineRule="exact"/>
        <w:rPr>
          <w:sz w:val="20"/>
          <w:szCs w:val="20"/>
          <w:color w:val="auto"/>
        </w:rPr>
      </w:pPr>
    </w:p>
    <w:p>
      <w:pPr>
        <w:ind w:left="60" w:right="339" w:firstLine="648"/>
        <w:spacing w:after="0" w:line="279" w:lineRule="auto"/>
        <w:rPr>
          <w:sz w:val="20"/>
          <w:szCs w:val="20"/>
          <w:color w:val="auto"/>
        </w:rPr>
      </w:pPr>
      <w:r>
        <w:rPr>
          <w:rFonts w:ascii="Arial" w:cs="Arial" w:eastAsia="Arial" w:hAnsi="Arial"/>
          <w:sz w:val="16"/>
          <w:szCs w:val="16"/>
          <w:i w:val="1"/>
          <w:iCs w:val="1"/>
          <w:color w:val="auto"/>
        </w:rPr>
        <w:t>Clementia</w:t>
      </w:r>
      <w:r>
        <w:rPr>
          <w:rFonts w:ascii="Arial" w:cs="Arial" w:eastAsia="Arial" w:hAnsi="Arial"/>
          <w:sz w:val="16"/>
          <w:szCs w:val="16"/>
          <w:color w:val="auto"/>
        </w:rPr>
        <w:t>. In October 2019, we entered into a license agreement with Clementia Pharmaceuticals, Inc., or</w:t>
      </w:r>
      <w:r>
        <w:rPr>
          <w:rFonts w:ascii="Arial" w:cs="Arial" w:eastAsia="Arial" w:hAnsi="Arial"/>
          <w:sz w:val="16"/>
          <w:szCs w:val="16"/>
          <w:i w:val="1"/>
          <w:iCs w:val="1"/>
          <w:color w:val="auto"/>
        </w:rPr>
        <w:t xml:space="preserve"> </w:t>
      </w:r>
      <w:r>
        <w:rPr>
          <w:rFonts w:ascii="Arial" w:cs="Arial" w:eastAsia="Arial" w:hAnsi="Arial"/>
          <w:sz w:val="16"/>
          <w:szCs w:val="16"/>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ALK2 in development for the treatment of FOP. The FDA has granted a rare pediatric disease designation, orphan drug</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61" w:lineRule="auto"/>
        <w:rPr>
          <w:sz w:val="20"/>
          <w:szCs w:val="20"/>
          <w:color w:val="auto"/>
        </w:rPr>
      </w:pPr>
      <w:r>
        <w:rPr>
          <w:rFonts w:ascii="Arial" w:cs="Arial" w:eastAsia="Arial" w:hAnsi="Arial"/>
          <w:sz w:val="18"/>
          <w:szCs w:val="18"/>
          <w:color w:val="auto"/>
        </w:rPr>
        <w:t>designation and fast track designation to BLU-782, each for the treatment of FOP. Clementia initiated patient dosing in a Phase 2 clinical trial of BLU-782, now referred to as IPN60130, in the first quarter of 2022.</w:t>
      </w:r>
    </w:p>
    <w:p>
      <w:pPr>
        <w:spacing w:after="0" w:line="63" w:lineRule="exact"/>
        <w:rPr>
          <w:sz w:val="20"/>
          <w:szCs w:val="20"/>
          <w:color w:val="auto"/>
        </w:rPr>
      </w:pPr>
    </w:p>
    <w:p>
      <w:pPr>
        <w:jc w:val="both"/>
        <w:ind w:left="60" w:right="79" w:firstLine="648"/>
        <w:spacing w:after="0" w:line="270" w:lineRule="auto"/>
        <w:rPr>
          <w:sz w:val="20"/>
          <w:szCs w:val="20"/>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November 2021, we entered into a collaboration with Zai Lab to develop and commercialize BLU-701</w:t>
      </w:r>
      <w:r>
        <w:rPr>
          <w:rFonts w:ascii="Arial" w:cs="Arial" w:eastAsia="Arial" w:hAnsi="Arial"/>
          <w:sz w:val="17"/>
          <w:szCs w:val="17"/>
          <w:i w:val="1"/>
          <w:iCs w:val="1"/>
          <w:color w:val="auto"/>
        </w:rPr>
        <w:t xml:space="preserve"> </w:t>
      </w:r>
      <w:r>
        <w:rPr>
          <w:rFonts w:ascii="Arial" w:cs="Arial" w:eastAsia="Arial" w:hAnsi="Arial"/>
          <w:sz w:val="17"/>
          <w:szCs w:val="17"/>
          <w:color w:val="auto"/>
        </w:rPr>
        <w:t>and BLU-945 for the treatment of EGFR-driven NSCLC in Greater China, including Mainland China, Hong Kong, Macau and Taiwan. The collaboration aims to accelerate and expand global development of BLU-701 and BLU-945.</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Mergers &amp; Acquisitions Summary</w:t>
      </w:r>
    </w:p>
    <w:p>
      <w:pPr>
        <w:spacing w:after="0" w:line="25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i w:val="1"/>
          <w:iCs w:val="1"/>
          <w:color w:val="auto"/>
        </w:rPr>
        <w:t>Lengo Therapeutics</w:t>
      </w:r>
      <w:r>
        <w:rPr>
          <w:rFonts w:ascii="Arial" w:cs="Arial" w:eastAsia="Arial" w:hAnsi="Arial"/>
          <w:sz w:val="17"/>
          <w:szCs w:val="17"/>
          <w:color w:val="auto"/>
        </w:rPr>
        <w:t>. In December 2021, we completed our acquisition of Lengo Therapeutics, Inc., along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lead compound LNG-451, now known as BLU-451, which is in development for the treatment of NSCLC in patients with EGFR exon 20 insertion mutations. The acquisition also brought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20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COVID-19 Pandemic</w:t>
      </w:r>
    </w:p>
    <w:p>
      <w:pPr>
        <w:spacing w:after="0" w:line="252"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In 2020, we initially established a work-from-home policy for all employees, other than those performing or supporting business-critical activities, such as certain members of our laboratory and facilities staff. Since we implemented this policy in 2020, we have continued to evaluate and update this policy from time to time for each of our locations and field-based employees based on guidance from federal, state and local government authorities and the severity of the pandemic. We currently offer our office-based employees a certain degree of flexibility of in their work location and we intend to maintain this policy for the foreseeable future.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our approved drugs and clinical-stage drug candidates through 2022. However, depending on the duration and impact of the ongoing COVID-19 pandemic on local and global supply chains, our suppliers could be adversely impacted, which may result in delays or disruptions in our current or future supply chain. COVID-19 may also impact and has impacted our commercial activities for AYVAKIT/AYVAKYT and GAVRETO, including patient access to testing and identification. We are committed to continuing to serve the needs of healthcare providers, patients and other stakeholders during this critical time, including by conducting commercial and medical affairs field activities across our portfolio in virtual formats where in-person interactions are not feasible.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 Item 1A of this Annual Report on Form 10-K for further discussion of risks related to the COVID-19 pandemic.</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679" w:firstLine="648"/>
        <w:spacing w:after="0" w:line="29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 December 31, 2021, we have received an aggregate of $3.0 billion from such transactions, including $1.9 billion 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$996.3 million in upfront and milestone payments under our collaborations with Roche, CStone and Zai Lab, our license agreement with Clementia and our former collaboration with Alexion Pharma Holding, or Alexion. In addition, since January 2020, we have also generated revenue through the sales of our approved drug products.</w:t>
      </w:r>
    </w:p>
    <w:p>
      <w:pPr>
        <w:spacing w:after="0" w:line="23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Since inception, we have incurred significant operating losses, with the exception of the year ended December 31, 2020. Our net loss was $644.1 million for the year ended December 31, 2021. Our net income was $313.9 million for the year ended December 31, 2020 primarily due to the collaboration revenue recorded under our collaboration with Roche for pralsetinib. As of December 31, 2021, we had an accumulated deficit of $1,275.4 million. We expect to continue to incur significant expenses and operating losses over the next few years. We anticipate that our expenses will continue to increase in connection with our ongoing activities, particularly as we:</w:t>
      </w:r>
    </w:p>
    <w:p>
      <w:pPr>
        <w:spacing w:after="0" w:line="216" w:lineRule="exact"/>
        <w:rPr>
          <w:sz w:val="20"/>
          <w:szCs w:val="20"/>
          <w:color w:val="auto"/>
        </w:rPr>
      </w:pPr>
    </w:p>
    <w:p>
      <w:pPr>
        <w:ind w:left="1380" w:right="319" w:hanging="331"/>
        <w:spacing w:after="0" w:line="324" w:lineRule="auto"/>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 and expand our sales, marketing and distribution infrastructure to continue to commercialize our drug and any current or future drug candidates for which we may obtain marketing approval;</w:t>
      </w:r>
    </w:p>
    <w:p>
      <w:pPr>
        <w:spacing w:after="0" w:line="124" w:lineRule="exact"/>
        <w:rPr>
          <w:rFonts w:ascii="Arial" w:cs="Arial" w:eastAsia="Arial" w:hAnsi="Arial"/>
          <w:sz w:val="16"/>
          <w:szCs w:val="16"/>
          <w:color w:val="auto"/>
        </w:rPr>
      </w:pPr>
    </w:p>
    <w:p>
      <w:pPr>
        <w:ind w:left="1380" w:right="49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seek marketing approval for our drug candidates, including avapritinib and pralsetinib in additional indications or avapritinib in additional geographies;</w:t>
      </w:r>
    </w:p>
    <w:p>
      <w:pPr>
        <w:spacing w:after="0" w:line="170"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 to advance clinical development activities for avapritinib and pralsetinib and initiate or advance clinical development activities for other current or future drug candidates;</w:t>
      </w:r>
    </w:p>
    <w:p>
      <w:pPr>
        <w:spacing w:after="0" w:line="170"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BLU-701, BLU-945, BLU-451 and BLU-222;</w:t>
      </w:r>
    </w:p>
    <w:p>
      <w:pPr>
        <w:spacing w:after="0" w:line="170"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w:t>
      </w:r>
    </w:p>
    <w:p>
      <w:pPr>
        <w:spacing w:after="0" w:line="170" w:lineRule="exact"/>
        <w:rPr>
          <w:rFonts w:ascii="Arial" w:cs="Arial" w:eastAsia="Arial" w:hAnsi="Arial"/>
          <w:sz w:val="18"/>
          <w:szCs w:val="18"/>
          <w:color w:val="auto"/>
        </w:rPr>
      </w:pPr>
    </w:p>
    <w:p>
      <w:pPr>
        <w:ind w:left="1380" w:right="17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our drugs and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conduct research and development activities under our collaborations with Roche, CStone and Zai Lab;</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acquire or in-license additional businesses, technologies, drugs or drug candidates, form strategic alliances or create joint ventures with third parties; and</w:t>
      </w:r>
    </w:p>
    <w:p>
      <w:pPr>
        <w:spacing w:after="0" w:line="170"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60" w:right="199" w:firstLine="648"/>
        <w:spacing w:after="0" w:line="239" w:lineRule="auto"/>
        <w:rPr>
          <w:sz w:val="20"/>
          <w:szCs w:val="20"/>
          <w:color w:val="auto"/>
        </w:rPr>
      </w:pPr>
      <w:r>
        <w:rPr>
          <w:rFonts w:ascii="Arial" w:cs="Arial" w:eastAsia="Arial" w:hAnsi="Arial"/>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w:t>
      </w:r>
    </w:p>
    <w:p>
      <w:pPr>
        <w:spacing w:after="0" w:line="231" w:lineRule="exact"/>
        <w:rPr>
          <w:sz w:val="20"/>
          <w:szCs w:val="20"/>
          <w:color w:val="auto"/>
        </w:rPr>
      </w:pPr>
    </w:p>
    <w:p>
      <w:pPr>
        <w:ind w:left="60" w:right="119" w:firstLine="648"/>
        <w:spacing w:after="0" w:line="324" w:lineRule="auto"/>
        <w:rPr>
          <w:sz w:val="20"/>
          <w:szCs w:val="20"/>
          <w:color w:val="auto"/>
        </w:rPr>
      </w:pPr>
      <w:r>
        <w:rPr>
          <w:rFonts w:ascii="Arial" w:cs="Arial" w:eastAsia="Arial" w:hAnsi="Arial"/>
          <w:sz w:val="16"/>
          <w:szCs w:val="16"/>
          <w:color w:val="auto"/>
        </w:rPr>
        <w:t>In September 2020, the FDA granted accelerated approval to pralsetinib under the brand name GAVRETO for the treatment of adult patients with metastatic RET fusion-positive NSCLC as detected by an FDA approved test.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228"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 xml:space="preserve">For the year ended December 31, 2021, our revenue mainly consisted of product sales of our drugs as well as collaboration revenue under our collaborations with Roche, CStone and Zai Lab. We recorded net product revenue from the U.S. product sales of GAVRETO through June 30, 2021, and on July 1, 2021, we transferred certain responsibilities associated with product sales to customers, pricing and distribution matters related to U.S. product sales of GAVRETO to Roche and did not record any net product revenue from product sales of GAVRETO during the second half of 2021. Products sales of GAVRETO were reflected as part of collaboration loss sharing in the consolidated financial statements. For additional information, see Note 11, </w:t>
      </w:r>
      <w:r>
        <w:rPr>
          <w:rFonts w:ascii="Arial" w:cs="Arial" w:eastAsia="Arial" w:hAnsi="Arial"/>
          <w:sz w:val="16"/>
          <w:szCs w:val="16"/>
          <w:i w:val="1"/>
          <w:iCs w:val="1"/>
          <w:color w:val="auto"/>
        </w:rPr>
        <w:t>Collaboration and License Agreements</w:t>
      </w:r>
      <w:r>
        <w:rPr>
          <w:rFonts w:ascii="Arial" w:cs="Arial" w:eastAsia="Arial" w:hAnsi="Arial"/>
          <w:sz w:val="16"/>
          <w:szCs w:val="16"/>
          <w:color w:val="auto"/>
        </w:rPr>
        <w:t>, to our consolidated financial statements included in this Form 10-K. Collaboration revenue for the year ended December 31, 2021 primarily includes amounts that were recognized related to milestone and upfront payments, amounts due to us for supply of inventory (under our collaboration agreements) and research and development services, and royalties on drug sales.</w:t>
      </w:r>
    </w:p>
    <w:p>
      <w:pPr>
        <w:spacing w:after="0" w:line="212"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230"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the manufacturing costs related to the inventory build-up incurred before FDA approval were expensed in a prior period and are therefore excluded from the cost of goods sold for the years ended December 31, 2021 and 2020. We estimate our cost of goods sold related to product revenue as a percentage of net product revenue will continue to be positively impacted as we sell through certain inventory that was previously expensed prior to FDA approval. We expect to utilize low cost inventory for an extended period of time. Cost of goods sold related to sales of drug products to our collaboration partners are at lower margins and will partially offset the positive impact of the previously expensed inventory.</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52"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11,</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324" w:lineRule="auto"/>
        <w:rPr>
          <w:sz w:val="20"/>
          <w:szCs w:val="20"/>
          <w:color w:val="auto"/>
        </w:rPr>
      </w:pPr>
      <w:r>
        <w:rPr>
          <w:rFonts w:ascii="Arial" w:cs="Arial" w:eastAsia="Arial" w:hAnsi="Arial"/>
          <w:sz w:val="16"/>
          <w:szCs w:val="16"/>
          <w:i w:val="1"/>
          <w:iCs w:val="1"/>
          <w:color w:val="auto"/>
        </w:rPr>
        <w:t>Collaboration and License Agreements</w:t>
      </w:r>
      <w:r>
        <w:rPr>
          <w:rFonts w:ascii="Arial" w:cs="Arial" w:eastAsia="Arial" w:hAnsi="Arial"/>
          <w:sz w:val="16"/>
          <w:szCs w:val="16"/>
          <w:color w:val="auto"/>
        </w:rPr>
        <w:t>, to our consolidated financial statements included in this Form 10-K.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 loss sharing will fluctuate from quarter to quarter as a result of the timing and amount of GAVRETO sales.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51" w:lineRule="exact"/>
        <w:rPr>
          <w:sz w:val="20"/>
          <w:szCs w:val="20"/>
          <w:color w:val="auto"/>
        </w:rPr>
      </w:pPr>
    </w:p>
    <w:p>
      <w:pPr>
        <w:ind w:left="1380" w:hanging="331"/>
        <w:spacing w:after="0"/>
        <w:tabs>
          <w:tab w:leader="none" w:pos="1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incurred to acquire in-process research and development asset with no alternative future use;</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859" w:hanging="331"/>
        <w:spacing w:after="0" w:line="261"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right="99" w:hanging="331"/>
        <w:spacing w:after="0" w:line="324" w:lineRule="auto"/>
        <w:tabs>
          <w:tab w:leader="none" w:pos="1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incurred in connection with research and development activities under our immunotherapy collaboration with Roche, and development activities under our collaboration for pralsetinib with Roche;</w:t>
      </w:r>
    </w:p>
    <w:p>
      <w:pPr>
        <w:spacing w:after="0" w:line="124" w:lineRule="exact"/>
        <w:rPr>
          <w:rFonts w:ascii="Arial" w:cs="Arial" w:eastAsia="Arial" w:hAnsi="Arial"/>
          <w:sz w:val="16"/>
          <w:szCs w:val="16"/>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consultants in connection with our research and development activities;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2"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13"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186" w:lineRule="exact"/>
        <w:rPr>
          <w:sz w:val="20"/>
          <w:szCs w:val="20"/>
          <w:color w:val="auto"/>
        </w:rPr>
      </w:pPr>
    </w:p>
    <w:p>
      <w:pPr>
        <w:ind w:left="1380" w:hanging="331"/>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70" w:lineRule="exact"/>
        <w:rPr>
          <w:rFonts w:ascii="Arial" w:cs="Arial" w:eastAsia="Arial" w:hAnsi="Arial"/>
          <w:sz w:val="18"/>
          <w:szCs w:val="18"/>
          <w:color w:val="auto"/>
        </w:rPr>
      </w:pPr>
    </w:p>
    <w:p>
      <w:pPr>
        <w:ind w:left="1380" w:right="1139" w:hanging="331"/>
        <w:spacing w:after="0" w:line="261" w:lineRule="auto"/>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AYVAKIT/AYVAKYT, GAVRETO and our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39" w:hanging="331"/>
        <w:spacing w:after="0" w:line="261"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commercializing AYVAKIT/AYVAKYT, GAVRETO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acceptance of AYVAKIT/AYVAKYT, GAVRETO and any future drug we may commercialize;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9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00" w:lineRule="exact"/>
        <w:rPr>
          <w:sz w:val="20"/>
          <w:szCs w:val="20"/>
          <w:color w:val="auto"/>
        </w:rPr>
      </w:pPr>
    </w:p>
    <w:p>
      <w:pPr>
        <w:ind w:left="60" w:right="179" w:firstLine="648"/>
        <w:spacing w:after="0" w:line="242" w:lineRule="auto"/>
        <w:rPr>
          <w:sz w:val="20"/>
          <w:szCs w:val="20"/>
          <w:color w:val="auto"/>
        </w:rPr>
      </w:pPr>
      <w:r>
        <w:rPr>
          <w:rFonts w:ascii="Arial" w:cs="Arial" w:eastAsia="Arial" w:hAnsi="Arial"/>
          <w:sz w:val="18"/>
          <w:szCs w:val="18"/>
          <w:color w:val="auto"/>
        </w:rPr>
        <w:t>The following table summarizes our external research and development expenses by program for the years ended December 31, 2021 and 2020. Other development and pre-development candidate expenses, unallocated expenses and internal research and development expenses have been classified separately.</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gridSpan w:val="4"/>
          </w:tcPr>
          <w:p>
            <w:pPr>
              <w:jc w:val="right"/>
              <w:ind w:right="327"/>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1200" w:type="dxa"/>
            <w:vAlign w:val="bottom"/>
            <w:gridSpan w:val="2"/>
            <w:shd w:val="clear" w:color="auto" w:fill="CCEEFF"/>
          </w:tcPr>
          <w:p>
            <w:pPr>
              <w:jc w:val="right"/>
              <w:ind w:right="907"/>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59,355</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27"/>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77,074</w:t>
            </w:r>
          </w:p>
        </w:tc>
        <w:tc>
          <w:tcPr>
            <w:tcW w:w="10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29,118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63,066</w:t>
            </w:r>
          </w:p>
        </w:tc>
        <w:tc>
          <w:tcPr>
            <w:tcW w:w="10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4,190</w:t>
            </w:r>
          </w:p>
        </w:tc>
        <w:tc>
          <w:tcPr>
            <w:tcW w:w="10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BLU-263 external expenses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22,219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14,138</w:t>
            </w:r>
          </w:p>
        </w:tc>
        <w:tc>
          <w:tcPr>
            <w:tcW w:w="10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BLU-701/945 external expenses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47,325</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14,549</w:t>
            </w:r>
          </w:p>
        </w:tc>
        <w:tc>
          <w:tcPr>
            <w:tcW w:w="10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BLU-222 external expenses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14,353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3,192</w:t>
            </w:r>
          </w:p>
        </w:tc>
        <w:tc>
          <w:tcPr>
            <w:tcW w:w="10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BLU-451 external expenses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259,957</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188"/>
        </w:trPr>
        <w:tc>
          <w:tcPr>
            <w:tcW w:w="4820" w:type="dxa"/>
            <w:vAlign w:val="bottom"/>
          </w:tcPr>
          <w:p>
            <w:pPr>
              <w:spacing w:after="0" w:line="189" w:lineRule="exact"/>
              <w:rPr>
                <w:sz w:val="20"/>
                <w:szCs w:val="20"/>
                <w:color w:val="auto"/>
              </w:rPr>
            </w:pPr>
            <w:r>
              <w:rPr>
                <w:rFonts w:ascii="Arial" w:cs="Arial" w:eastAsia="Arial" w:hAnsi="Arial"/>
                <w:sz w:val="18"/>
                <w:szCs w:val="18"/>
                <w:color w:val="auto"/>
                <w:w w:val="90"/>
              </w:rPr>
              <w:t>Other development and pre-development candidate expenses and</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unallocated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59,609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8"/>
                <w:szCs w:val="18"/>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106,112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98,434</w:t>
            </w:r>
          </w:p>
        </w:tc>
        <w:tc>
          <w:tcPr>
            <w:tcW w:w="100" w:type="dxa"/>
            <w:vAlign w:val="bottom"/>
            <w:shd w:val="clear" w:color="auto" w:fill="CCEEFF"/>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601,033</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326,860</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020" w:right="419" w:hanging="322"/>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Pralsetinib external expenses includes reimbursable expenses under our collaboration for pralsetinib with Roche, and other development and pre-development candidate expenses includes reimbursable expenses under our other collaboration agreements.</w:t>
      </w:r>
    </w:p>
    <w:p>
      <w:pPr>
        <w:spacing w:after="0" w:line="22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and development activities for companion diagnostic tests for any current and future drug candidates.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186"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Interest income (expense), net consists primarily of income earned on cash equivalents and investments.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9" w:lineRule="exact"/>
        <w:rPr>
          <w:sz w:val="20"/>
          <w:szCs w:val="20"/>
          <w:color w:val="auto"/>
        </w:rPr>
      </w:pPr>
    </w:p>
    <w:p>
      <w:pPr>
        <w:ind w:left="60" w:right="139" w:firstLine="648"/>
        <w:spacing w:after="0" w:line="261" w:lineRule="auto"/>
        <w:rPr>
          <w:sz w:val="20"/>
          <w:szCs w:val="20"/>
          <w:color w:val="auto"/>
        </w:rPr>
      </w:pPr>
      <w:r>
        <w:rPr>
          <w:rFonts w:ascii="Arial" w:cs="Arial" w:eastAsia="Arial" w:hAnsi="Arial"/>
          <w:sz w:val="18"/>
          <w:szCs w:val="18"/>
          <w:color w:val="auto"/>
        </w:rPr>
        <w:t>Income tax expense consists primarily of income taxes related to our product sales in the state jurisdictions where we conduct business and foreign withholding income taxes 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We evaluate our judgments and estimates in light of changes in circumstances, facts and experience on an ongoing basis.</w:t>
      </w:r>
    </w:p>
    <w:p>
      <w:pPr>
        <w:spacing w:after="0" w:line="198"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Critical accounting estimates are those estimates that, in accordance with generally accepted accounting principles, involve a significant level of estimation uncertainty and have had or are reasonably likely to have a material impact on our consolidated financial statements. Management has determined that our most critical accounting estimates are those relating to revenue recognition, accrued research and development expenses and acquisitions. We have</w:t>
      </w:r>
    </w:p>
    <w:p>
      <w:pPr>
        <w:sectPr>
          <w:pgSz w:w="11900" w:h="16838" w:orient="portrait"/>
          <w:cols w:equalWidth="0" w:num="1">
            <w:col w:w="9019"/>
          </w:cols>
          <w:pgMar w:left="1440" w:top="517"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 xml:space="preserve">reviewed our critical accounting estimates with our audit committee. For further discussion about our general accounting policies, see Note 2 </w:t>
      </w:r>
      <w:r>
        <w:rPr>
          <w:rFonts w:ascii="Arial" w:cs="Arial" w:eastAsia="Arial" w:hAnsi="Arial"/>
          <w:sz w:val="18"/>
          <w:szCs w:val="18"/>
          <w:i w:val="1"/>
          <w:iCs w:val="1"/>
          <w:color w:val="auto"/>
        </w:rPr>
        <w:t>Summary of Significant Accounting Policies and Recent Accounting Pronouncements,</w:t>
      </w:r>
      <w:r>
        <w:rPr>
          <w:rFonts w:ascii="Arial" w:cs="Arial" w:eastAsia="Arial" w:hAnsi="Arial"/>
          <w:sz w:val="18"/>
          <w:szCs w:val="18"/>
          <w:color w:val="auto"/>
        </w:rPr>
        <w:t xml:space="preserve"> to our consolidated financial statements included in the Form 10-K.</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left="60" w:right="79" w:firstLine="648"/>
        <w:spacing w:after="0" w:line="248" w:lineRule="auto"/>
        <w:rPr>
          <w:sz w:val="20"/>
          <w:szCs w:val="20"/>
          <w:color w:val="auto"/>
        </w:rPr>
      </w:pPr>
      <w:r>
        <w:rPr>
          <w:rFonts w:ascii="Arial" w:cs="Arial" w:eastAsia="Arial" w:hAnsi="Arial"/>
          <w:sz w:val="18"/>
          <w:szCs w:val="18"/>
          <w:color w:val="auto"/>
        </w:rPr>
        <w:t>We recognize revenue when we transfer control of goods or services to our customers. Revenue is measured as the amount of consideration we expect to receive in exchange for goods and services. We generate revenue from product sales and revenue transactions with our collaboration partners.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52"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chargebacks or discounts that ultimately will be due to the direct customer and other customers in the distribution chain under the terms of our contracts. Significant judgments are required in making these estimates. The largest of our sales rebate and discount amounts are rebates associated with sales covered by Medicare, Medicaid, and chargeback contracts in the U.S. We utilize the expected value method to determine the appropriate amount for estimates based on factors such as historical rebate payments for these programs, the current contractual and statutory requirements, specific known market events and sales trends, industry data and forecasted customer buying and payment patterns, the percentage of our products that are sold via these programs, and our product</w:t>
      </w:r>
    </w:p>
    <w:p>
      <w:pPr>
        <w:ind w:left="60" w:right="159"/>
        <w:spacing w:after="0" w:line="256" w:lineRule="auto"/>
        <w:rPr>
          <w:sz w:val="20"/>
          <w:szCs w:val="20"/>
          <w:color w:val="auto"/>
        </w:rPr>
      </w:pPr>
      <w:r>
        <w:rPr>
          <w:rFonts w:ascii="Arial" w:cs="Arial" w:eastAsia="Arial" w:hAnsi="Arial"/>
          <w:sz w:val="18"/>
          <w:szCs w:val="18"/>
          <w:color w:val="auto"/>
        </w:rPr>
        <w:t>pricing.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Revenue recognized from collaborations and other arrangements will include royalties on drug sales, upfront, milestone, profit sharing and other payments, if any, under any current or future collaborations and licenses, including revenues related to the supply of our drug candidates or approved drugs to our various collaboration partners under these types of contracts.</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25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07"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ectPr>
          <w:pgSz w:w="11900" w:h="16838" w:orient="portrait"/>
          <w:cols w:equalWidth="0" w:num="1">
            <w:col w:w="9019"/>
          </w:cols>
          <w:pgMar w:left="1440" w:top="517"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99" w:firstLine="648"/>
        <w:spacing w:after="0" w:line="284"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w:t>
      </w:r>
    </w:p>
    <w:p>
      <w:pPr>
        <w:spacing w:after="0" w:line="23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204"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7"/>
          <w:szCs w:val="17"/>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in-process research and development assets that does not have an alternative future use is charged to research and development expense at the acquisition date, and goodwill is not recorded.</w:t>
      </w:r>
    </w:p>
    <w:p>
      <w:pPr>
        <w:spacing w:after="0" w:line="216"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7"/>
          <w:szCs w:val="17"/>
          <w:color w:val="auto"/>
        </w:rPr>
        <w:t>The judgments made in determining estimated the fair values of the identifiable intangible assets acquired, the assigned to assets acquired and liabilities assumed in a business combination, as well as estimated asset lives, can materially affect our consolidated results of operations. The fair values of intangible assets, including acquired in-process research and development assets,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When significant identifiable intangible assets are acquired, we generally engage an independent third-party valuation firm to assist in determining the fair values of these assets.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39" w:lineRule="exact"/>
        <w:rPr>
          <w:sz w:val="20"/>
          <w:szCs w:val="20"/>
          <w:color w:val="auto"/>
        </w:rPr>
      </w:pPr>
    </w:p>
    <w:p>
      <w:pPr>
        <w:ind w:left="60" w:right="579" w:firstLine="648"/>
        <w:spacing w:after="0" w:line="247" w:lineRule="auto"/>
        <w:rPr>
          <w:sz w:val="20"/>
          <w:szCs w:val="20"/>
          <w:color w:val="auto"/>
        </w:rPr>
      </w:pPr>
      <w:r>
        <w:rPr>
          <w:rFonts w:ascii="Arial" w:cs="Arial" w:eastAsia="Arial" w:hAnsi="Arial"/>
          <w:sz w:val="18"/>
          <w:szCs w:val="18"/>
          <w:color w:val="auto"/>
        </w:rPr>
        <w:t>The following table summarizes our results of operations for the years ended December 31, 2021 and 2020, together with the changes in those items in dollars and as a percentage.</w:t>
      </w:r>
    </w:p>
    <w:tbl>
      <w:tblPr>
        <w:tblLayout w:type="fixed"/>
        <w:tblInd w:w="4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57,687</w:t>
            </w:r>
          </w:p>
        </w:tc>
        <w:tc>
          <w:tcPr>
            <w:tcW w:w="80" w:type="dxa"/>
            <w:vAlign w:val="bottom"/>
          </w:tcPr>
          <w:p>
            <w:pPr>
              <w:spacing w:after="0"/>
              <w:rPr>
                <w:sz w:val="17"/>
                <w:szCs w:val="17"/>
                <w:color w:val="auto"/>
              </w:rPr>
            </w:pP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22,134</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35,553</w:t>
            </w: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771,601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(649,208)</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180,080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793,735</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(613,655)</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and operating expenses: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17,934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17,509</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loss sharing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601,033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5"/>
              </w:rPr>
              <w:t>326,860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274,173</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157,743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37,550</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Total cost and operating expenses</w:t>
            </w: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822,061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5"/>
              </w:rPr>
              <w:t>485,028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337,033</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(4,213)</w:t>
            </w:r>
          </w:p>
        </w:tc>
        <w:tc>
          <w:tcPr>
            <w:tcW w:w="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6,233</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(5,336)</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(641,084)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314,940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(956,024)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1,943</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(644,085)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313,882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(957,967)</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 Net</w:t>
      </w:r>
    </w:p>
    <w:p>
      <w:pPr>
        <w:spacing w:after="0" w:line="25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Product revenue, net increased by $35.6 million from $22.1 million for the year ended December 31, 2020 to $57.7 million for the year ended December 31, 2021.</w:t>
      </w:r>
    </w:p>
    <w:p>
      <w:pPr>
        <w:spacing w:after="0" w:line="198" w:lineRule="exact"/>
        <w:rPr>
          <w:sz w:val="20"/>
          <w:szCs w:val="20"/>
          <w:color w:val="auto"/>
        </w:rPr>
      </w:pPr>
    </w:p>
    <w:p>
      <w:pPr>
        <w:ind w:left="60" w:right="339" w:firstLine="648"/>
        <w:spacing w:after="0" w:line="274" w:lineRule="auto"/>
        <w:rPr>
          <w:sz w:val="20"/>
          <w:szCs w:val="20"/>
          <w:color w:val="auto"/>
        </w:rPr>
      </w:pPr>
      <w:r>
        <w:rPr>
          <w:rFonts w:ascii="Arial" w:cs="Arial" w:eastAsia="Arial" w:hAnsi="Arial"/>
          <w:sz w:val="16"/>
          <w:szCs w:val="16"/>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w:t>
      </w:r>
    </w:p>
    <w:p>
      <w:pPr>
        <w:spacing w:after="0" w:line="20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recorded net product revenue from the U.S. product sales of GAVRETO through June 30, 2021, and on July 1, 2021, we transferred certain responsibilities associated with product sales to customers, pricing and distribution matters related to U.S. product sales of GAVRETO to our collaboration partner and did not record any net product revenue from product sales of GAVRETO during the second half of 2021. Products sales of GAVRETO were reflected as part of collaboration loss sharing in the consolidated financial statements. For additional information, see Note 11</w:t>
      </w:r>
      <w:r>
        <w:rPr>
          <w:rFonts w:ascii="Arial" w:cs="Arial" w:eastAsia="Arial" w:hAnsi="Arial"/>
          <w:sz w:val="16"/>
          <w:szCs w:val="16"/>
          <w:i w:val="1"/>
          <w:iCs w:val="1"/>
          <w:color w:val="auto"/>
        </w:rPr>
        <w:t>, 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License Agreements</w:t>
      </w:r>
      <w:r>
        <w:rPr>
          <w:rFonts w:ascii="Arial" w:cs="Arial" w:eastAsia="Arial" w:hAnsi="Arial"/>
          <w:sz w:val="16"/>
          <w:szCs w:val="16"/>
          <w:color w:val="auto"/>
        </w:rPr>
        <w:t>, to our consolidated financial statements included in the Form 10-K.</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color w:val="auto"/>
        </w:rPr>
        <w:t>The following table summarizes revenue recognized from sales of AYVAKIT/AYVAKIT and GAVRETO during the years ended December 31, 2021, and 2020 (in thousands):</w:t>
      </w:r>
    </w:p>
    <w:tbl>
      <w:tblPr>
        <w:tblLayout w:type="fixed"/>
        <w:tblInd w:w="4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r>
      <w:tr>
        <w:trPr>
          <w:trHeight w:val="133"/>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6"/>
              </w:rPr>
              <w:t>Rest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88"/>
              </w:rPr>
              <w:t>Rest of</w:t>
            </w:r>
          </w:p>
        </w:tc>
        <w:tc>
          <w:tcPr>
            <w:tcW w:w="680" w:type="dxa"/>
            <w:vAlign w:val="bottom"/>
          </w:tcPr>
          <w:p>
            <w:pPr>
              <w:spacing w:after="0"/>
              <w:rPr>
                <w:sz w:val="11"/>
                <w:szCs w:val="1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States</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World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States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World</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Total</w:t>
            </w:r>
          </w:p>
        </w:tc>
      </w:tr>
      <w:tr>
        <w:trPr>
          <w:trHeight w:val="39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AYVAKIT/AYVAKYT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$ 44,959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$ 8,022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$ 21,262</w:t>
            </w:r>
          </w:p>
        </w:tc>
      </w:tr>
      <w:tr>
        <w:trPr>
          <w:trHeight w:val="203"/>
        </w:trPr>
        <w:tc>
          <w:tcPr>
            <w:tcW w:w="47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GAVRETO</w:t>
            </w: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4,706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39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 revenue, net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$ 49,665</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$ 8,022</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57,687</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$ 22,134</w:t>
            </w: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left="60" w:right="139" w:firstLine="648"/>
        <w:spacing w:after="0" w:line="283" w:lineRule="auto"/>
        <w:rPr>
          <w:sz w:val="20"/>
          <w:szCs w:val="20"/>
          <w:color w:val="auto"/>
        </w:rPr>
      </w:pPr>
      <w:r>
        <w:rPr>
          <w:rFonts w:ascii="Arial" w:cs="Arial" w:eastAsia="Arial" w:hAnsi="Arial"/>
          <w:sz w:val="16"/>
          <w:szCs w:val="16"/>
          <w:color w:val="auto"/>
        </w:rPr>
        <w:t>Collaboration revenue decreased by $649.2 million from $771.6 million for the year ended December 31, 2020 to $122.4 million for the year ended December 31, 2021. The following table summarizes the revenue recognized from our collaboration and license agreements during the years ended December 31, 2021 and 2020 (in thousands):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Year Ended December 31,</w:t>
            </w:r>
          </w:p>
        </w:tc>
      </w:tr>
      <w:tr>
        <w:trPr>
          <w:trHeight w:val="183"/>
        </w:trPr>
        <w:tc>
          <w:tcPr>
            <w:tcW w:w="6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Collaboration with Roche for pralsetinib</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753,100</w:t>
            </w:r>
          </w:p>
        </w:tc>
      </w:tr>
      <w:tr>
        <w:trPr>
          <w:trHeight w:val="203"/>
        </w:trPr>
        <w:tc>
          <w:tcPr>
            <w:tcW w:w="6960" w:type="dxa"/>
            <w:vAlign w:val="bottom"/>
          </w:tcPr>
          <w:p>
            <w:pPr>
              <w:ind w:left="20"/>
              <w:spacing w:after="0" w:line="202" w:lineRule="exact"/>
              <w:rPr>
                <w:sz w:val="20"/>
                <w:szCs w:val="20"/>
                <w:color w:val="auto"/>
              </w:rPr>
            </w:pPr>
            <w:r>
              <w:rPr>
                <w:rFonts w:ascii="Arial" w:cs="Arial" w:eastAsia="Arial" w:hAnsi="Arial"/>
                <w:sz w:val="18"/>
                <w:szCs w:val="18"/>
                <w:color w:val="auto"/>
              </w:rPr>
              <w:t>CStone collaboration</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33,395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r>
      <w:tr>
        <w:trPr>
          <w:trHeight w:val="203"/>
        </w:trPr>
        <w:tc>
          <w:tcPr>
            <w:tcW w:w="6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Zai Lab collaboration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20"/>
              <w:spacing w:after="0" w:line="202" w:lineRule="exact"/>
              <w:rPr>
                <w:sz w:val="20"/>
                <w:szCs w:val="20"/>
                <w:color w:val="auto"/>
              </w:rPr>
            </w:pPr>
            <w:r>
              <w:rPr>
                <w:rFonts w:ascii="Arial" w:cs="Arial" w:eastAsia="Arial" w:hAnsi="Arial"/>
                <w:sz w:val="18"/>
                <w:szCs w:val="18"/>
                <w:color w:val="auto"/>
              </w:rPr>
              <w:t>Cancer immunotherapy with Roche</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14,580</w:t>
            </w:r>
          </w:p>
        </w:tc>
      </w:tr>
      <w:tr>
        <w:trPr>
          <w:trHeight w:val="203"/>
        </w:trPr>
        <w:tc>
          <w:tcPr>
            <w:tcW w:w="6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r>
      <w:tr>
        <w:trPr>
          <w:trHeight w:val="196"/>
        </w:trPr>
        <w:tc>
          <w:tcPr>
            <w:tcW w:w="6960" w:type="dxa"/>
            <w:vAlign w:val="bottom"/>
          </w:tcPr>
          <w:p>
            <w:pPr>
              <w:ind w:left="20"/>
              <w:spacing w:after="0" w:line="196" w:lineRule="exact"/>
              <w:rPr>
                <w:sz w:val="20"/>
                <w:szCs w:val="20"/>
                <w:color w:val="auto"/>
              </w:rPr>
            </w:pPr>
            <w:r>
              <w:rPr>
                <w:rFonts w:ascii="Arial" w:cs="Arial" w:eastAsia="Arial" w:hAnsi="Arial"/>
                <w:sz w:val="18"/>
                <w:szCs w:val="18"/>
                <w:color w:val="auto"/>
              </w:rPr>
              <w:t>Total collaboration and license revenue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122,393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771,601</w:t>
            </w: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7"/>
          <w:szCs w:val="17"/>
          <w:color w:val="auto"/>
        </w:rPr>
        <w:t>Revenue recognized under our collaboration with Roche for pralsetinib for the year ended December 31, 2021 consisted of $50.0 million in specified regulatory milestone payments and $6.0 million associated with services related to Roche territory-specific activities. Revenue recognized under our CStone collaboration for the year ended</w:t>
      </w:r>
    </w:p>
    <w:p>
      <w:pPr>
        <w:ind w:left="60" w:right="159"/>
        <w:spacing w:after="0" w:line="252" w:lineRule="auto"/>
        <w:rPr>
          <w:sz w:val="20"/>
          <w:szCs w:val="20"/>
          <w:color w:val="auto"/>
        </w:rPr>
      </w:pPr>
      <w:r>
        <w:rPr>
          <w:rFonts w:ascii="Arial" w:cs="Arial" w:eastAsia="Arial" w:hAnsi="Arial"/>
          <w:sz w:val="17"/>
          <w:szCs w:val="17"/>
          <w:color w:val="auto"/>
        </w:rPr>
        <w:t>December 31, 2021 primarily consisted of $24.4 million associated with royalties on drug sales and the manufacturing services related to CStone territory-specific activities during the year, including supply of drug products to CStone for sale in their territory, and $9.0 million in milestone revenue related to development milestones that were achieved during the year. Revenue recognized under our Zai Lab collaboration for the year ended December 31, 2021 consisted of a $25.0 million upfront cash payment. We recognized $7.6 million in revenue under our cancer immunotherapy collaboration with Roche for the year ended December 31, 2021, which was primarily related to the amortization of the total $68.5 million of upfront and milestone payments received as of such period.</w:t>
      </w:r>
    </w:p>
    <w:p>
      <w:pPr>
        <w:spacing w:after="0" w:line="221"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Revenue recognized under our collaboration with Roche for pralsetinib for the year ended December 31, 2020 consisted of $695.7 million upfront cash payment including the $20.7 million premium associated with the $100.0 million equity investment by Roche, $55.0 million in specified regulatory and commercialization milestone payments and $2.4 million associated with services related to Roche territory-specific activities. Revenue recognized under our CStone collaboration for the year ended December 31, 2020 primarily consisted of $2.0 million in milestone revenue related to a development and regulatory milestones that were achieved during the year and $1.6 million associated with drug supply related to CStone territory-specific activities. We recognized $14.6 million in revenue under our cancer immunotherapy collaboration with Roche for the year ended December 31, 2020, which was primarily related to the amortization of the total $64.5 million of upfront and milestone payments received during such period.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Cost of Product Sales</w:t>
      </w:r>
    </w:p>
    <w:p>
      <w:pPr>
        <w:spacing w:after="0" w:line="252" w:lineRule="exact"/>
        <w:rPr>
          <w:sz w:val="20"/>
          <w:szCs w:val="20"/>
          <w:color w:val="auto"/>
        </w:rPr>
      </w:pPr>
    </w:p>
    <w:p>
      <w:pPr>
        <w:ind w:left="60" w:right="119" w:firstLine="648"/>
        <w:spacing w:after="0" w:line="324" w:lineRule="auto"/>
        <w:rPr>
          <w:sz w:val="20"/>
          <w:szCs w:val="20"/>
          <w:color w:val="auto"/>
        </w:rPr>
      </w:pPr>
      <w:r>
        <w:rPr>
          <w:rFonts w:ascii="Arial" w:cs="Arial" w:eastAsia="Arial" w:hAnsi="Arial"/>
          <w:sz w:val="16"/>
          <w:szCs w:val="16"/>
          <w:color w:val="auto"/>
        </w:rPr>
        <w:t>Cost of sales increased by $17.5 million from $0.4 million for the year ended December 31, 2020 to $17.9 million for the year ended December 31, 2021 and was related to manufacturing costs associated with our product sales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as well as costs associated with the sale of drug product to our collaboration partners. The following table summarizes the cost of sales by type during the years ended December 31, 2021 and 2020 (in thousands):</w:t>
      </w:r>
    </w:p>
    <w:tbl>
      <w:tblPr>
        <w:tblLayout w:type="fixed"/>
        <w:tblInd w:w="4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4"/>
              </w:rPr>
              <w:t>Year Ended December 31,</w:t>
            </w:r>
          </w:p>
        </w:tc>
      </w:tr>
      <w:tr>
        <w:trPr>
          <w:trHeight w:val="183"/>
        </w:trPr>
        <w:tc>
          <w:tcPr>
            <w:tcW w:w="6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r>
      <w:tr>
        <w:trPr>
          <w:trHeight w:val="203"/>
        </w:trPr>
        <w:tc>
          <w:tcPr>
            <w:tcW w:w="6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collaboration sales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13,976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17,934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The increase in costs of product sales was primarily driven by the lower margin product sales to our collaboration partners. Costs associated with product revenue, net remain at higher margins as costs associated with the manufacture of our drugs prior to FDA approval were recorded as research and development expenses and, therefore, were not included in cost of sales during such period.</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39" w:lineRule="exact"/>
        <w:rPr>
          <w:sz w:val="20"/>
          <w:szCs w:val="20"/>
          <w:color w:val="auto"/>
        </w:rPr>
      </w:pPr>
    </w:p>
    <w:p>
      <w:pPr>
        <w:ind w:left="60" w:right="899" w:firstLine="648"/>
        <w:spacing w:after="0" w:line="261" w:lineRule="auto"/>
        <w:rPr>
          <w:sz w:val="20"/>
          <w:szCs w:val="20"/>
          <w:color w:val="auto"/>
        </w:rPr>
      </w:pPr>
      <w:r>
        <w:rPr>
          <w:rFonts w:ascii="Arial" w:cs="Arial" w:eastAsia="Arial" w:hAnsi="Arial"/>
          <w:sz w:val="18"/>
          <w:szCs w:val="18"/>
          <w:color w:val="auto"/>
        </w:rPr>
        <w:t>Our loss sharing under the collaboration with Roche for pralsetinib was $7.8 million for the year ended December 31, 2021.</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expense increased by $274.2 million from $326.9 million for the year ended December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31, 2020 to $601.0 million for the year ended December 31, 2021. The increase in research and development expense was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primarily related to $260.0 million incurred to acquire in-process research and development compounds through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acquisition of Lengo, an increase of approximately $8.6 million in costs related to early discovery efforts, a decrease of</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$9.3 million in reimbursement from the global development cost sharing arrangement under our collaboration with Roche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pralsetinib, as well as increased costs and personnel expenses, including an increase of $6.0 million in stock-based</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compensation expense. These increases in research and development expense were primarily offset by a decrease of $8.8</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in expenses associated with the manufacturing of clinical supply.</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52" w:lineRule="exact"/>
        <w:rPr>
          <w:sz w:val="20"/>
          <w:szCs w:val="20"/>
          <w:color w:val="auto"/>
        </w:rPr>
      </w:pPr>
    </w:p>
    <w:p>
      <w:pPr>
        <w:ind w:left="60" w:right="279" w:firstLine="648"/>
        <w:spacing w:after="0" w:line="274" w:lineRule="auto"/>
        <w:rPr>
          <w:sz w:val="20"/>
          <w:szCs w:val="20"/>
          <w:color w:val="auto"/>
        </w:rPr>
      </w:pPr>
      <w:r>
        <w:rPr>
          <w:rFonts w:ascii="Arial" w:cs="Arial" w:eastAsia="Arial" w:hAnsi="Arial"/>
          <w:sz w:val="16"/>
          <w:szCs w:val="16"/>
          <w:color w:val="auto"/>
        </w:rPr>
        <w:t>Selling, general and administrative expense increased by $37.6 million from $157.7 million for the year ended December 31, 2020 to $195.3 million for the year ended December 31, 2021. The increase in selling, general and administrative expense was primarily related to increased costs and personnel expenses, including an increase of $10.1 million in stock-based compensation expense, as well as an increase of $17.1 million in commercial expenses to expand our commercial infrastructure for commercialization of AYVAKIT/AYVAKYT and GAVRETO. The increase in selling, general and administrative expense was partially offset by $8.1 million increase in reimbursement in connection with the commercialization of GAVRETO in the U.S. under our collaboration with Roche for pralsetinib.</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 Net</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Interest income, net decreased by $4.2 million from $6.6 million for the year ended December 31, 2020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 million for the year ended December 31, 2021. The decrease was primarily due to a combination of lower cash, cash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equivalents and marketable securities balance and lower rate of return on investments in the capital markets.</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expense, net increased by $1.1 million from $0.4 million for the year ended December 31, 2020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$1.5 million for the year ended December 31, 2021. The increase was primarily related to changes in foreign currency</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exchange rates.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jc w:val="both"/>
        <w:ind w:left="60" w:right="339" w:firstLine="648"/>
        <w:spacing w:after="0" w:line="270" w:lineRule="auto"/>
        <w:rPr>
          <w:sz w:val="20"/>
          <w:szCs w:val="20"/>
          <w:color w:val="auto"/>
        </w:rPr>
      </w:pPr>
      <w:r>
        <w:rPr>
          <w:rFonts w:ascii="Arial" w:cs="Arial" w:eastAsia="Arial" w:hAnsi="Arial"/>
          <w:sz w:val="17"/>
          <w:szCs w:val="17"/>
          <w:color w:val="auto"/>
        </w:rPr>
        <w:t>Income tax expense increased by $1.9 million from $1.1 million for the year ended December 31, 2020 to $3.0 million for the year ended December 31, 2021. The increase was primarily related to an increase in foreign withholding income tax, which is partially offset by a decrease in state income taxes in 2021.</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and common stock, collaborations and a license agreement. Through December 31, 2021, we have received an aggregate of $3.0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$996.3 million in upfront payments and milestone payments under our collaborations with Roche and CStone, Zai Lab and our license agreement with Clementia and our former collaboration with Alexion. In addition, since January 2020, we have generated limited product revenue.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we had cash, cash equivalents and marketable securities of $1,034.6 million.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Flows</w:t>
      </w:r>
    </w:p>
    <w:p>
      <w:pPr>
        <w:spacing w:after="0" w:line="252" w:lineRule="exact"/>
        <w:rPr>
          <w:sz w:val="20"/>
          <w:szCs w:val="20"/>
          <w:color w:val="auto"/>
        </w:rPr>
      </w:pPr>
    </w:p>
    <w:p>
      <w:pPr>
        <w:ind w:left="60" w:right="179" w:firstLine="648"/>
        <w:spacing w:after="0" w:line="247"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2021, 2020 and 2019:</w:t>
      </w:r>
    </w:p>
    <w:tbl>
      <w:tblPr>
        <w:tblLayout w:type="fixed"/>
        <w:tblInd w:w="40" w:type="dxa"/>
        <w:tblCellMar>
          <w:top w:w="0" w:type="dxa"/>
          <w:left w:w="0" w:type="dxa"/>
          <w:bottom w:w="0" w:type="dxa"/>
          <w:right w:w="0" w:type="dxa"/>
        </w:tblCellMar>
      </w:tblPr>
      <w:tr>
        <w:trPr>
          <w:trHeight w:val="169"/>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840" w:type="dxa"/>
            <w:vAlign w:val="bottom"/>
            <w:tcBorders>
              <w:bottom w:val="single" w:sz="8" w:color="CCEEFF"/>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(298,653)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387,035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3"/>
              </w:rPr>
              <w:t>(225,860)</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(434,249)</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50,716</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617,759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(473,797)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570,545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i w:val="1"/>
          <w:iCs w:val="1"/>
          <w:color w:val="auto"/>
        </w:rPr>
        <w:t xml:space="preserve">Net Cash Provided by (Used in) Operating Activities. </w:t>
      </w:r>
      <w:r>
        <w:rPr>
          <w:rFonts w:ascii="Arial" w:cs="Arial" w:eastAsia="Arial" w:hAnsi="Arial"/>
          <w:sz w:val="18"/>
          <w:szCs w:val="18"/>
          <w:color w:val="auto"/>
        </w:rPr>
        <w:t>For the year ended December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the $685.7 million decrease in net cash provided by operating activities was primarily due to a $958.0 million decrease in net income. During the year ended December 31, 2020, the Company had a net income of $313.9 million which was driven by the $753.1 million collaboration revenue recognized under our collaboration agreement with Roche for pralsetinib.</w:t>
      </w:r>
    </w:p>
    <w:p>
      <w:pPr>
        <w:spacing w:after="0" w:line="216"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For the year ended December 31,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$208.4 million decrease in net cash used in investing activities was primarily due to a $466.5 million decrease in net purchases of available-for-sale investments offset by $258.1 million of cash used to acquire an in-process research and development asset.</w:t>
      </w:r>
    </w:p>
    <w:p>
      <w:pPr>
        <w:spacing w:after="0" w:line="174"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year ended December 31,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the $567.0 million decrease in net cash provided by financing activities was primarily due to the $503.2 million in proceeds received from our common stock offerings net of issuance costs and the $79.3 million received from the issuance of common stock related to the collaboration agreement with Roche for Pralsetinib in 2020, partially offset by a $15.5 million increase in net proceeds received from stock option exercises and the issuance of common stock under our employee stock purchase plan.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or continue clinical trials of, and seek marketing approval for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53" w:lineRule="auto"/>
        <w:rPr>
          <w:sz w:val="20"/>
          <w:szCs w:val="20"/>
          <w:color w:val="auto"/>
        </w:rPr>
      </w:pPr>
      <w:r>
        <w:rPr>
          <w:rFonts w:ascii="Arial" w:cs="Arial" w:eastAsia="Arial" w:hAnsi="Arial"/>
          <w:sz w:val="17"/>
          <w:szCs w:val="17"/>
          <w:color w:val="auto"/>
        </w:rPr>
        <w:t>including marketing approval for avapritinib and pralsetinib for additional indications or avapritinib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221"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As of December 31, 2021, we had cash, cash equivalents and marketable securities of $1,034.6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24" w:lineRule="auto"/>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80" w:right="339" w:hanging="331"/>
        <w:spacing w:after="0" w:line="248"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219" w:hanging="331"/>
        <w:spacing w:after="0" w:line="261"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avapritinib in additional geographies;</w:t>
      </w:r>
    </w:p>
    <w:p>
      <w:pPr>
        <w:spacing w:after="0" w:line="181" w:lineRule="exact"/>
        <w:rPr>
          <w:rFonts w:ascii="Arial" w:cs="Arial" w:eastAsia="Arial" w:hAnsi="Arial"/>
          <w:sz w:val="18"/>
          <w:szCs w:val="18"/>
          <w:color w:val="auto"/>
        </w:rPr>
      </w:pPr>
    </w:p>
    <w:p>
      <w:pPr>
        <w:ind w:left="1380" w:right="499" w:hanging="331"/>
        <w:spacing w:after="0" w:line="248"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collaborations with Roche, CStone and Zai Lab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5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spacing w:after="0" w:line="20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9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6"/>
          <w:szCs w:val="16"/>
          <w:color w:val="auto"/>
        </w:rPr>
        <w:t xml:space="preserve">We have entered into arrangements that contractually obligate us to make payments that will affect our liquidity and cash flows in future periods. Our contractual obligations primarily consist of our obligations under non-cancellable operating leases and unconditional purchase obligations related to certain commercial manufacturing agreements. The aggregate amount of future minimum purchase obligations under these manufacturing agreements over the period of next five years is approximately $34.2 million as of December 31, 2021, of which $16.7 million are expected to be paid within one year. The aggregate amount of future operating lease obligations over the term of our leases, excluding net sublease receivables, is $148.3 million as of December 31, 2021. For additional information on our leases and timing of future payments, see Note 16, </w:t>
      </w:r>
      <w:r>
        <w:rPr>
          <w:rFonts w:ascii="Arial" w:cs="Arial" w:eastAsia="Arial" w:hAnsi="Arial"/>
          <w:sz w:val="16"/>
          <w:szCs w:val="16"/>
          <w:i w:val="1"/>
          <w:iCs w:val="1"/>
          <w:color w:val="auto"/>
        </w:rPr>
        <w:t>Leases</w:t>
      </w:r>
      <w:r>
        <w:rPr>
          <w:rFonts w:ascii="Arial" w:cs="Arial" w:eastAsia="Arial" w:hAnsi="Arial"/>
          <w:sz w:val="16"/>
          <w:szCs w:val="16"/>
          <w:color w:val="auto"/>
        </w:rPr>
        <w:t>, to the consolidated financial statements included in this Form 10-K.</w:t>
      </w:r>
    </w:p>
    <w:p>
      <w:pPr>
        <w:spacing w:after="0" w:line="19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In the normal course of business, we enter into agreements with contract research organizations for clinical trials and clinical supply manufacturing and with vendors for preclinical research studies, synthetic chemistry and other services and products for operating purposes. We have not included these payments in the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21"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certain of our drug candidates. We have not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included these commitments on our balance sheet or in the contractual obligations above because the achievement and timing of these milestones is not fixed and determinable.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83" w:lineRule="exact"/>
        <w:rPr>
          <w:sz w:val="20"/>
          <w:szCs w:val="20"/>
          <w:color w:val="auto"/>
        </w:rPr>
      </w:pPr>
    </w:p>
    <w:p>
      <w:pPr>
        <w:ind w:left="60" w:right="259" w:firstLine="446"/>
        <w:spacing w:after="0" w:line="248"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 and 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Pronouncements</w:t>
      </w:r>
      <w:r>
        <w:rPr>
          <w:rFonts w:ascii="Arial" w:cs="Arial" w:eastAsia="Arial" w:hAnsi="Arial"/>
          <w:sz w:val="18"/>
          <w:szCs w:val="18"/>
          <w:color w:val="auto"/>
        </w:rPr>
        <w:t>, to our consolidated financial statements included in this Form 10-K.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As of December 31, 2021 and 2020, we had cash, cash equivalents and marketable securities of $1,034.6 million and $1,549.7 million, respectively, consisting primarily of money market funds and investments in U.S. government agency securities and treasury obligations.</w:t>
      </w:r>
    </w:p>
    <w:p>
      <w:pPr>
        <w:spacing w:after="0" w:line="141"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2021 and 2020, we held limited funds and future obligations denominated in foreign currencies.</w:t>
      </w:r>
    </w:p>
    <w:p>
      <w:pPr>
        <w:spacing w:after="0" w:line="132" w:lineRule="exact"/>
        <w:rPr>
          <w:sz w:val="20"/>
          <w:szCs w:val="20"/>
          <w:color w:val="auto"/>
        </w:rPr>
      </w:pPr>
    </w:p>
    <w:p>
      <w:pPr>
        <w:jc w:val="both"/>
        <w:ind w:left="60" w:right="43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years ended December 31, 2021 and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The financial statements and the report of our independent registered public accounting firm (PCAOB ID:42) required to be filed pursuant to this Item 8 are appended to this Annual Report on Form 10-K. An index of those financial statements is found in Item 15 of this Annual Report on Form 10-K.</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1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0"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2021. Based upon such evaluation, our Chief Executive Officer and Chief Financial Officer have concluded that, as of December 31, 2021, our disclosure controls and procedures were effective at the reasonable assurance level.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6"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1" w:lineRule="exact"/>
        <w:rPr>
          <w:sz w:val="20"/>
          <w:szCs w:val="20"/>
          <w:color w:val="auto"/>
        </w:rPr>
      </w:pPr>
    </w:p>
    <w:p>
      <w:pPr>
        <w:ind w:left="1380" w:right="919" w:hanging="331"/>
        <w:spacing w:after="0" w:line="261"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70" w:lineRule="exact"/>
        <w:rPr>
          <w:rFonts w:ascii="Arial" w:cs="Arial" w:eastAsia="Arial" w:hAnsi="Arial"/>
          <w:sz w:val="18"/>
          <w:szCs w:val="18"/>
          <w:color w:val="auto"/>
        </w:rPr>
      </w:pPr>
    </w:p>
    <w:p>
      <w:pPr>
        <w:ind w:left="1380" w:right="219" w:hanging="331"/>
        <w:spacing w:after="0" w:line="243"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87" w:lineRule="exact"/>
        <w:rPr>
          <w:rFonts w:ascii="Arial" w:cs="Arial" w:eastAsia="Arial" w:hAnsi="Arial"/>
          <w:sz w:val="18"/>
          <w:szCs w:val="18"/>
          <w:color w:val="auto"/>
        </w:rPr>
      </w:pPr>
    </w:p>
    <w:p>
      <w:pPr>
        <w:ind w:left="1380" w:right="239" w:hanging="331"/>
        <w:spacing w:after="0" w:line="324" w:lineRule="auto"/>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2021.</w:t>
      </w:r>
    </w:p>
    <w:p>
      <w:pPr>
        <w:spacing w:after="0" w:line="174" w:lineRule="exact"/>
        <w:rPr>
          <w:sz w:val="20"/>
          <w:szCs w:val="20"/>
          <w:color w:val="auto"/>
        </w:rPr>
      </w:pPr>
    </w:p>
    <w:p>
      <w:pPr>
        <w:ind w:left="60" w:right="439" w:firstLine="648"/>
        <w:spacing w:after="0" w:line="261" w:lineRule="auto"/>
        <w:rPr>
          <w:sz w:val="20"/>
          <w:szCs w:val="20"/>
          <w:color w:val="auto"/>
        </w:rPr>
      </w:pPr>
      <w:r>
        <w:rPr>
          <w:rFonts w:ascii="Arial" w:cs="Arial" w:eastAsia="Arial" w:hAnsi="Arial"/>
          <w:sz w:val="18"/>
          <w:szCs w:val="18"/>
          <w:color w:val="auto"/>
        </w:rPr>
        <w:t>Our independent registered public accounting firm has issued an attestation report of our internal control over financial reporting. This report appears below.</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 of Blueprint Medicines Corporation</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We have audited Blueprint Medicines Corporation’s internal control over financial reporting as of December 31, 2021,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2021, based on the COSO criteria.</w:t>
      </w:r>
    </w:p>
    <w:p>
      <w:pPr>
        <w:spacing w:after="0" w:line="176"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Blueprint Medicines Corporation as of December 31, 2021 and 2020, the related consolidated statements of operations and comprehensive income (loss), stockholders’ equity, and cash flows for each of the three years in the period ended December 31, 2021, and the related notes and our report dated February 17, 2022 expressed an unqualified opinion thereon.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8"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ind w:left="60"/>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ind w:left="60" w:right="219" w:firstLine="648"/>
        <w:spacing w:after="0" w:line="24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2021 that has materially affected, or is reasonably likely to materially affect, our internal control over financial reporting.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 Agreement</w:t>
      </w:r>
    </w:p>
    <w:p>
      <w:pPr>
        <w:spacing w:after="0" w:line="21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On February 17, 2022, we entered into a sales agreement with Cowen and Company, LLC, or Cowen, pursuant to which we may offer and sell, from time to time at our sole discretion, shares of our common stock, par value $0.001 per share, having an aggregate offering price of up to $300.0 million through Cowen as sales agent. Cowen may sell the shares under such sales agreement by any method that is deemed to be an “at the market offering” as defined in Rule 415 of the Securities Act of 1933, as amended, including sales made directly on the Nasdaq Global Select Market or any other trading market for our common stock. Cowen will use commercially reasonable efforts to sell the shares from time to time, based upon instructions from us (including any price, time or size limits or other customary parameters or conditions we may impose). We will pay Cowen a commission of up to 3.0% of the gross sales proceeds of any common stock sold through Cowen under the sales agreement, and we have also provided Cowen with customary indemnification rights. We are not obligated to make any sales of our common stock under the sales agreement. The offering of shares of our common stock pursuant to the sales agreement will terminate upon the earlier of (i) the sale of all common stock subject to the sales agreement or (ii) the termination of the sales agreement in accordance with its terms.</w:t>
      </w:r>
    </w:p>
    <w:p>
      <w:pPr>
        <w:spacing w:after="0" w:line="158" w:lineRule="exact"/>
        <w:rPr>
          <w:sz w:val="20"/>
          <w:szCs w:val="20"/>
          <w:color w:val="auto"/>
        </w:rPr>
      </w:pPr>
    </w:p>
    <w:p>
      <w:pPr>
        <w:jc w:val="both"/>
        <w:ind w:left="60" w:right="259" w:firstLine="648"/>
        <w:spacing w:after="0" w:line="262" w:lineRule="auto"/>
        <w:rPr>
          <w:sz w:val="20"/>
          <w:szCs w:val="20"/>
          <w:color w:val="auto"/>
        </w:rPr>
      </w:pPr>
      <w:r>
        <w:rPr>
          <w:rFonts w:ascii="Arial" w:cs="Arial" w:eastAsia="Arial" w:hAnsi="Arial"/>
          <w:sz w:val="17"/>
          <w:szCs w:val="17"/>
          <w:color w:val="auto"/>
        </w:rPr>
        <w:t>The foregoing description of the sales agreement is qualified in its entirety by reference to the complete text of such agreement, a copy of which is attached hereto as Exhibit 1.1 to this Annual Report on Form 10-K and incorporated herein by reference. The legal opinion of Goodwin Procter LLP relating to the shares of our common stock being offered pursuant to the sales agreement is filed as Exhibit 5.1 to this Annual Report on Form 10-K.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 with respect to our 2022 Annual Meeting of Stockholders and is incorporated herein by reference.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2022 Annual Meeting of Stockholders and is incorporated herein by reference.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7"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2022 Annual Meeting of Stockholders and is incorporated herein by reference.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2022 Annual Meeting of Stockholders and is incorporated herein by reference.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2022 Annual Meeting of Stockholders and is incorporated herein by reference.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6" w:lineRule="exact"/>
        <w:rPr>
          <w:sz w:val="20"/>
          <w:szCs w:val="20"/>
          <w:color w:val="auto"/>
        </w:rPr>
      </w:pPr>
    </w:p>
    <w:p>
      <w:pPr>
        <w:ind w:left="1260" w:hanging="562"/>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The following documents are included on pages F-1 through F-39 attached hereto and are filed as part of this Annual Report on Form 10-K.</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960" w:type="dxa"/>
            <w:vAlign w:val="bottom"/>
            <w:gridSpan w:val="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Balance Sheets</w:t>
              </w:r>
            </w:hyperlink>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2080" w:type="dxa"/>
            <w:vAlign w:val="bottom"/>
            <w:tcBorders>
              <w:top w:val="single" w:sz="8" w:color="0000EE"/>
            </w:tcBorders>
            <w:gridSpan w:val="2"/>
          </w:tcPr>
          <w:p>
            <w:pPr>
              <w:spacing w:after="0" w:line="182"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Consolidated Statements of</w:t>
              </w:r>
            </w:hyperlink>
          </w:p>
        </w:tc>
        <w:tc>
          <w:tcPr>
            <w:tcW w:w="4880" w:type="dxa"/>
            <w:vAlign w:val="bottom"/>
            <w:gridSpan w:val="6"/>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Operations and Comprehensive Income (Loss)</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53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Stockholders’ Equity</w:t>
              </w:r>
            </w:hyperlink>
          </w:p>
        </w:tc>
        <w:tc>
          <w:tcPr>
            <w:tcW w:w="1580" w:type="dxa"/>
            <w:vAlign w:val="bottom"/>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Cash Flows</w:t>
              </w:r>
            </w:hyperlink>
          </w:p>
        </w:tc>
        <w:tc>
          <w:tcPr>
            <w:tcW w:w="3420" w:type="dxa"/>
            <w:vAlign w:val="bottom"/>
            <w:gridSpan w:val="3"/>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F-10</w:t>
            </w:r>
          </w:p>
        </w:tc>
        <w:tc>
          <w:tcPr>
            <w:tcW w:w="0" w:type="dxa"/>
            <w:vAlign w:val="bottom"/>
          </w:tcPr>
          <w:p>
            <w:pPr>
              <w:spacing w:after="0" w:line="20" w:lineRule="exact"/>
              <w:rPr>
                <w:sz w:val="1"/>
                <w:szCs w:val="1"/>
                <w:color w:val="auto"/>
              </w:rPr>
            </w:pPr>
          </w:p>
        </w:tc>
      </w:tr>
      <w:tr>
        <w:trPr>
          <w:trHeight w:val="183"/>
        </w:trPr>
        <w:tc>
          <w:tcPr>
            <w:tcW w:w="6960" w:type="dxa"/>
            <w:vAlign w:val="bottom"/>
            <w:gridSpan w:val="8"/>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Notes to Consolidated Financial Statements</w:t>
              </w:r>
            </w:hyperlink>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0" w:type="dxa"/>
            <w:vAlign w:val="bottom"/>
          </w:tcPr>
          <w:p>
            <w:pPr>
              <w:ind w:left="640"/>
              <w:spacing w:after="0"/>
              <w:rPr>
                <w:sz w:val="20"/>
                <w:szCs w:val="20"/>
                <w:color w:val="auto"/>
              </w:rPr>
            </w:pPr>
            <w:r>
              <w:rPr>
                <w:rFonts w:ascii="Arial" w:cs="Arial" w:eastAsia="Arial" w:hAnsi="Arial"/>
                <w:sz w:val="18"/>
                <w:szCs w:val="18"/>
                <w:color w:val="auto"/>
              </w:rPr>
              <w:t>(2)</w:t>
            </w:r>
          </w:p>
        </w:tc>
        <w:tc>
          <w:tcPr>
            <w:tcW w:w="5940" w:type="dxa"/>
            <w:vAlign w:val="bottom"/>
            <w:gridSpan w:val="7"/>
          </w:tcPr>
          <w:p>
            <w:pPr>
              <w:ind w:left="180"/>
              <w:spacing w:after="0"/>
              <w:rPr>
                <w:sz w:val="20"/>
                <w:szCs w:val="20"/>
                <w:color w:val="auto"/>
              </w:rPr>
            </w:pPr>
            <w:r>
              <w:rPr>
                <w:rFonts w:ascii="Arial" w:cs="Arial" w:eastAsia="Arial" w:hAnsi="Arial"/>
                <w:sz w:val="18"/>
                <w:szCs w:val="18"/>
                <w:color w:val="auto"/>
              </w:rPr>
              <w:t>Financial Statement Schedules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57" w:lineRule="exact"/>
        <w:rPr>
          <w:sz w:val="20"/>
          <w:szCs w:val="20"/>
          <w:color w:val="auto"/>
        </w:rPr>
      </w:pPr>
    </w:p>
    <w:p>
      <w:pPr>
        <w:ind w:left="1260" w:hanging="562"/>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4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26"/>
          </w:tcPr>
          <w:p>
            <w:pPr>
              <w:ind w:left="160"/>
              <w:spacing w:after="0" w:line="155" w:lineRule="exact"/>
              <w:rPr>
                <w:sz w:val="20"/>
                <w:szCs w:val="20"/>
                <w:color w:val="auto"/>
              </w:rPr>
            </w:pPr>
            <w:r>
              <w:rPr>
                <w:rFonts w:ascii="Arial" w:cs="Arial" w:eastAsia="Arial" w:hAnsi="Arial"/>
                <w:sz w:val="14"/>
                <w:szCs w:val="14"/>
                <w:b w:val="1"/>
                <w:bCs w:val="1"/>
                <w:color w:val="auto"/>
              </w:rPr>
              <w:t>Description of Exhibit</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File No.</w:t>
            </w:r>
          </w:p>
        </w:tc>
        <w:tc>
          <w:tcPr>
            <w:tcW w:w="11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w w:val="96"/>
              </w:rPr>
              <w:t>Exhibit Number</w:t>
            </w:r>
          </w:p>
        </w:tc>
        <w:tc>
          <w:tcPr>
            <w:tcW w:w="14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Filing Date</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gridSpan w:val="27"/>
          </w:tcPr>
          <w:p>
            <w:pPr>
              <w:spacing w:after="0" w:line="169"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Sales Agreement, dated as of February 17, 2022,</w:t>
              </w:r>
            </w:hyperlink>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68">
              <w:r>
                <w:rPr>
                  <w:rFonts w:ascii="Arial" w:cs="Arial" w:eastAsia="Arial" w:hAnsi="Arial"/>
                  <w:sz w:val="18"/>
                  <w:szCs w:val="18"/>
                  <w:color w:val="0000EE"/>
                </w:rPr>
                <w:t>by and between Blueprint Medicines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Borders>
              <w:top w:val="single" w:sz="8" w:color="0000EE"/>
            </w:tcBorders>
            <w:gridSpan w:val="9"/>
          </w:tcPr>
          <w:p>
            <w:pPr>
              <w:spacing w:after="0" w:line="182" w:lineRule="exact"/>
              <w:rPr>
                <w:rFonts w:ascii="Arial" w:cs="Arial" w:eastAsia="Arial" w:hAnsi="Arial"/>
                <w:sz w:val="18"/>
                <w:szCs w:val="18"/>
                <w:color w:val="0000EE"/>
                <w:w w:val="83"/>
              </w:rPr>
            </w:pPr>
            <w:hyperlink w:anchor="page168">
              <w:r>
                <w:rPr>
                  <w:rFonts w:ascii="Arial" w:cs="Arial" w:eastAsia="Arial" w:hAnsi="Arial"/>
                  <w:sz w:val="18"/>
                  <w:szCs w:val="18"/>
                  <w:color w:val="0000EE"/>
                  <w:w w:val="83"/>
                </w:rPr>
                <w:t>Corporation and Cowen and Company,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18"/>
          </w:tcPr>
          <w:p>
            <w:pPr>
              <w:jc w:val="right"/>
              <w:ind w:right="540"/>
              <w:spacing w:after="0" w:line="182" w:lineRule="exact"/>
              <w:rPr>
                <w:rFonts w:ascii="Arial" w:cs="Arial" w:eastAsia="Arial" w:hAnsi="Arial"/>
                <w:sz w:val="18"/>
                <w:szCs w:val="18"/>
                <w:color w:val="0000EE"/>
              </w:rPr>
            </w:pPr>
            <w:hyperlink w:anchor="page168">
              <w:r>
                <w:rPr>
                  <w:rFonts w:ascii="Arial" w:cs="Arial" w:eastAsia="Arial" w:hAnsi="Arial"/>
                  <w:sz w:val="18"/>
                  <w:szCs w:val="18"/>
                  <w:color w:val="0000EE"/>
                </w:rPr>
                <w:t>LLC</w:t>
              </w:r>
            </w:hyperlink>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Agreement and Plan of Merger by and among</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December 30, 2021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30"/>
          </w:tcPr>
          <w:p>
            <w:pPr>
              <w:spacing w:after="0" w:line="182"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the Company, Pavonis Merger Subsidiary, Inc.,</w:t>
              </w:r>
            </w:hyperlink>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top w:val="single" w:sz="8" w:color="0000EE"/>
            </w:tcBorders>
            <w:gridSpan w:val="22"/>
          </w:tcPr>
          <w:p>
            <w:pPr>
              <w:spacing w:after="0" w:line="182"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Lengo Therapeutics, Inc. and Fortis Advisors,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LLC, dated November 27, 2021</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rPr>
            </w:pPr>
            <w:hyperlink r:id="rId151">
              <w:r>
                <w:rPr>
                  <w:rFonts w:ascii="Arial" w:cs="Arial" w:eastAsia="Arial" w:hAnsi="Arial"/>
                  <w:sz w:val="18"/>
                  <w:szCs w:val="18"/>
                  <w:color w:val="0000EE"/>
                </w:rPr>
                <w:t>Fifth Amended and Restated Certificate of</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Incorporation of the Registrant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w w:val="96"/>
              </w:rPr>
            </w:pPr>
            <w:hyperlink r:id="rId152">
              <w:r>
                <w:rPr>
                  <w:rFonts w:ascii="Arial" w:cs="Arial" w:eastAsia="Arial" w:hAnsi="Arial"/>
                  <w:sz w:val="18"/>
                  <w:szCs w:val="18"/>
                  <w:color w:val="0000EE"/>
                  <w:w w:val="96"/>
                </w:rPr>
                <w:t>Amended and Restated Bylaws, as amended on</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May 6,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April 30, 2020, of the Registrant</w:t>
              </w:r>
            </w:hyperlink>
          </w:p>
        </w:tc>
        <w:tc>
          <w:tcPr>
            <w:tcW w:w="1060" w:type="dxa"/>
            <w:vAlign w:val="bottom"/>
            <w:tcBorders>
              <w:top w:val="single" w:sz="8" w:color="0000EE"/>
            </w:tcBorders>
            <w:gridSpan w:val="16"/>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2680" w:type="dxa"/>
            <w:vAlign w:val="bottom"/>
            <w:tcBorders>
              <w:bottom w:val="single" w:sz="8" w:color="0000EE"/>
            </w:tcBorders>
            <w:gridSpan w:val="11"/>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Specimen Common Stock Certificate</w:t>
              </w:r>
            </w:hyperlink>
          </w:p>
        </w:tc>
        <w:tc>
          <w:tcPr>
            <w:tcW w:w="1040" w:type="dxa"/>
            <w:vAlign w:val="bottom"/>
            <w:gridSpan w:val="19"/>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333-202938</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Second Amended and Restated Investors’ Rights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333-202938</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40" w:type="dxa"/>
            <w:vAlign w:val="bottom"/>
            <w:tcBorders>
              <w:top w:val="single" w:sz="8" w:color="0000EE"/>
            </w:tcBorders>
            <w:gridSpan w:val="27"/>
          </w:tcPr>
          <w:p>
            <w:pPr>
              <w:spacing w:after="0" w:line="182"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Agreement, dated as of November 7, 2014, by</w:t>
              </w:r>
            </w:hyperlink>
          </w:p>
        </w:tc>
        <w:tc>
          <w:tcPr>
            <w:tcW w:w="18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top w:val="single" w:sz="8" w:color="0000EE"/>
            </w:tcBorders>
            <w:gridSpan w:val="21"/>
          </w:tcPr>
          <w:p>
            <w:pPr>
              <w:spacing w:after="0" w:line="182"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and among the Registrant and the Investors</w:t>
              </w:r>
            </w:hyperlink>
          </w:p>
        </w:tc>
        <w:tc>
          <w:tcPr>
            <w:tcW w:w="1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listed therein</w:t>
              </w:r>
            </w:hyperlink>
          </w:p>
        </w:tc>
        <w:tc>
          <w:tcPr>
            <w:tcW w:w="340" w:type="dxa"/>
            <w:vAlign w:val="bottom"/>
            <w:gridSpan w:val="7"/>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rPr>
            </w:pPr>
            <w:hyperlink r:id="rId155">
              <w:r>
                <w:rPr>
                  <w:rFonts w:ascii="Arial" w:cs="Arial" w:eastAsia="Arial" w:hAnsi="Arial"/>
                  <w:sz w:val="18"/>
                  <w:szCs w:val="18"/>
                  <w:color w:val="0000EE"/>
                </w:rPr>
                <w:t>Description of the Registrant’s securities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registered pursuant to Section 12 of the</w:t>
              </w:r>
            </w:hyperlink>
          </w:p>
        </w:tc>
        <w:tc>
          <w:tcPr>
            <w:tcW w:w="100" w:type="dxa"/>
            <w:vAlign w:val="bottom"/>
            <w:tcBorders>
              <w:top w:val="single" w:sz="8" w:color="0000EE"/>
            </w:tcBorders>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80" w:type="dxa"/>
            <w:vAlign w:val="bottom"/>
            <w:gridSpan w:val="8"/>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30"/>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Securities and Exchange Act of 1934, as</w:t>
              </w:r>
            </w:hyperlink>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2"/>
              </w:rPr>
            </w:pPr>
            <w:hyperlink r:id="rId155">
              <w:r>
                <w:rPr>
                  <w:rFonts w:ascii="Arial" w:cs="Arial" w:eastAsia="Arial" w:hAnsi="Arial"/>
                  <w:sz w:val="18"/>
                  <w:szCs w:val="18"/>
                  <w:color w:val="0000EE"/>
                  <w:w w:val="82"/>
                </w:rPr>
                <w:t>amended</w:t>
              </w:r>
            </w:hyperlink>
          </w:p>
        </w:tc>
        <w:tc>
          <w:tcPr>
            <w:tcW w:w="2260" w:type="dxa"/>
            <w:vAlign w:val="bottom"/>
            <w:tcBorders>
              <w:top w:val="single" w:sz="8" w:color="0000EE"/>
            </w:tcBorders>
            <w:gridSpan w:val="11"/>
          </w:tcPr>
          <w:p>
            <w:pPr>
              <w:spacing w:after="0"/>
              <w:rPr>
                <w:sz w:val="15"/>
                <w:szCs w:val="15"/>
                <w:color w:val="auto"/>
              </w:rPr>
            </w:pPr>
          </w:p>
        </w:tc>
        <w:tc>
          <w:tcPr>
            <w:tcW w:w="160" w:type="dxa"/>
            <w:vAlign w:val="bottom"/>
            <w:gridSpan w:val="3"/>
          </w:tcPr>
          <w:p>
            <w:pPr>
              <w:spacing w:after="0"/>
              <w:rPr>
                <w:sz w:val="15"/>
                <w:szCs w:val="15"/>
                <w:color w:val="auto"/>
              </w:rPr>
            </w:pPr>
          </w:p>
        </w:tc>
        <w:tc>
          <w:tcPr>
            <w:tcW w:w="380" w:type="dxa"/>
            <w:vAlign w:val="bottom"/>
            <w:gridSpan w:val="8"/>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11">
              <w:r>
                <w:rPr>
                  <w:rFonts w:ascii="Arial" w:cs="Arial" w:eastAsia="Arial" w:hAnsi="Arial"/>
                  <w:sz w:val="18"/>
                  <w:szCs w:val="18"/>
                  <w:color w:val="0000EE"/>
                  <w:w w:val="92"/>
                </w:rPr>
                <w:t>Opinion of Goodwin Procter LLP</w:t>
              </w:r>
            </w:hyperlink>
          </w:p>
        </w:tc>
        <w:tc>
          <w:tcPr>
            <w:tcW w:w="1300" w:type="dxa"/>
            <w:vAlign w:val="bottom"/>
            <w:gridSpan w:val="22"/>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w w:val="95"/>
              </w:rPr>
            </w:pPr>
            <w:hyperlink r:id="rId156">
              <w:r>
                <w:rPr>
                  <w:rFonts w:ascii="Arial" w:cs="Arial" w:eastAsia="Arial" w:hAnsi="Arial"/>
                  <w:sz w:val="18"/>
                  <w:szCs w:val="18"/>
                  <w:color w:val="0000EE"/>
                  <w:w w:val="95"/>
                </w:rPr>
                <w:t>2011 Stock Option and Grant Plan, as amended,</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333-202938</w:t>
            </w: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top w:val="single" w:sz="8" w:color="0000EE"/>
            </w:tcBorders>
            <w:gridSpan w:val="24"/>
          </w:tcPr>
          <w:p>
            <w:pPr>
              <w:spacing w:after="0" w:line="182" w:lineRule="exact"/>
              <w:rPr>
                <w:rFonts w:ascii="Arial" w:cs="Arial" w:eastAsia="Arial" w:hAnsi="Arial"/>
                <w:sz w:val="18"/>
                <w:szCs w:val="18"/>
                <w:color w:val="0000EE"/>
                <w:w w:val="98"/>
              </w:rPr>
            </w:pPr>
            <w:hyperlink r:id="rId156">
              <w:r>
                <w:rPr>
                  <w:rFonts w:ascii="Arial" w:cs="Arial" w:eastAsia="Arial" w:hAnsi="Arial"/>
                  <w:sz w:val="18"/>
                  <w:szCs w:val="18"/>
                  <w:color w:val="0000EE"/>
                  <w:w w:val="98"/>
                </w:rPr>
                <w:t>and forms of award agreements thereunder</w:t>
              </w:r>
            </w:hyperlink>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2015 Stock Option and Incentive Plan and forms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of award agreements thereunder</w:t>
              </w:r>
            </w:hyperlink>
          </w:p>
        </w:tc>
        <w:tc>
          <w:tcPr>
            <w:tcW w:w="1220" w:type="dxa"/>
            <w:vAlign w:val="bottom"/>
            <w:tcBorders>
              <w:top w:val="single" w:sz="8" w:color="0000EE"/>
            </w:tcBorders>
            <w:gridSpan w:val="20"/>
          </w:tcPr>
          <w:p>
            <w:pPr>
              <w:spacing w:after="0"/>
              <w:rPr>
                <w:sz w:val="15"/>
                <w:szCs w:val="15"/>
                <w:color w:val="auto"/>
              </w:rPr>
            </w:pPr>
          </w:p>
        </w:tc>
        <w:tc>
          <w:tcPr>
            <w:tcW w:w="2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3720" w:type="dxa"/>
            <w:vAlign w:val="bottom"/>
            <w:gridSpan w:val="30"/>
          </w:tcPr>
          <w:p>
            <w:pPr>
              <w:spacing w:after="0"/>
              <w:rPr>
                <w:rFonts w:ascii="Arial" w:cs="Arial" w:eastAsia="Arial" w:hAnsi="Arial"/>
                <w:sz w:val="18"/>
                <w:szCs w:val="18"/>
                <w:color w:val="0000EE"/>
              </w:rPr>
            </w:pPr>
            <w:hyperlink r:id="rId158">
              <w:r>
                <w:rPr>
                  <w:rFonts w:ascii="Arial" w:cs="Arial" w:eastAsia="Arial" w:hAnsi="Arial"/>
                  <w:sz w:val="18"/>
                  <w:szCs w:val="18"/>
                  <w:color w:val="0000EE"/>
                </w:rPr>
                <w:t>2015 Employee Stock Purchase Plan</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001-37359</w:t>
            </w: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57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top w:val="single" w:sz="8" w:color="0000EE"/>
            </w:tcBorders>
            <w:gridSpan w:val="10"/>
          </w:tcPr>
          <w:p>
            <w:pPr>
              <w:spacing w:after="0"/>
              <w:rPr>
                <w:sz w:val="24"/>
                <w:szCs w:val="24"/>
                <w:color w:val="auto"/>
              </w:rPr>
            </w:pPr>
          </w:p>
        </w:tc>
        <w:tc>
          <w:tcPr>
            <w:tcW w:w="1060" w:type="dxa"/>
            <w:vAlign w:val="bottom"/>
            <w:gridSpan w:val="20"/>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1" w:name="page122"/>
    <w:bookmarkEnd w:id="12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20" w:type="dxa"/>
            <w:vAlign w:val="bottom"/>
            <w:gridSpan w:val="40"/>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938"/>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760" w:type="dxa"/>
            <w:vAlign w:val="bottom"/>
            <w:gridSpan w:val="38"/>
          </w:tcPr>
          <w:p>
            <w:pPr>
              <w:spacing w:after="0"/>
              <w:rPr>
                <w:rFonts w:ascii="Arial" w:cs="Arial" w:eastAsia="Arial" w:hAnsi="Arial"/>
                <w:sz w:val="18"/>
                <w:szCs w:val="18"/>
                <w:color w:val="0000EE"/>
              </w:rPr>
            </w:pPr>
            <w:hyperlink r:id="rId159">
              <w:r>
                <w:rPr>
                  <w:rFonts w:ascii="Arial" w:cs="Arial" w:eastAsia="Arial" w:hAnsi="Arial"/>
                  <w:sz w:val="18"/>
                  <w:szCs w:val="18"/>
                  <w:color w:val="0000EE"/>
                </w:rPr>
                <w:t>2020 Inducement Plan and form of award</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2"/>
              </w:rPr>
              <w:t>S-8</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333-238039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0"/>
              </w:rPr>
              <w:t>May 6, 2020</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agreements thereunder</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3420" w:type="dxa"/>
            <w:vAlign w:val="bottom"/>
            <w:tcBorders>
              <w:bottom w:val="single" w:sz="8" w:color="0000EE"/>
            </w:tcBorders>
            <w:gridSpan w:val="28"/>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Lease Agreement, dated February 11, 2015, by</w:t>
              </w:r>
            </w:hyperlink>
          </w:p>
        </w:tc>
        <w:tc>
          <w:tcPr>
            <w:tcW w:w="340" w:type="dxa"/>
            <w:vAlign w:val="bottom"/>
            <w:gridSpan w:val="10"/>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333-202938</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1"/>
              </w:rPr>
              <w:t>March 23, 2015</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38"/>
          </w:tcPr>
          <w:p>
            <w:pPr>
              <w:spacing w:after="0" w:line="182"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and between the Registrant and 38 Sidney Street</w:t>
              </w:r>
            </w:hyperlink>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2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Limited Partnership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3260" w:type="dxa"/>
            <w:vAlign w:val="bottom"/>
            <w:tcBorders>
              <w:bottom w:val="single" w:sz="8" w:color="0000EE"/>
            </w:tcBorders>
            <w:gridSpan w:val="21"/>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First Amendment to Lease Agreement, dated</w:t>
              </w:r>
            </w:hyperlink>
          </w:p>
        </w:tc>
        <w:tc>
          <w:tcPr>
            <w:tcW w:w="500" w:type="dxa"/>
            <w:vAlign w:val="bottom"/>
            <w:gridSpan w:val="17"/>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1"/>
              </w:rPr>
              <w:t>February 26,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38"/>
          </w:tcPr>
          <w:p>
            <w:pPr>
              <w:spacing w:after="0" w:line="182"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January 26, 2018, by and between the Registrant</w:t>
              </w:r>
            </w:hyperlink>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and 38 Sidney Street Limited Partnership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3760" w:type="dxa"/>
            <w:vAlign w:val="bottom"/>
            <w:gridSpan w:val="38"/>
          </w:tcPr>
          <w:p>
            <w:pPr>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Second Amendment to Lease Agreement, dated</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6"/>
              </w:rPr>
              <w:t>April 29,2021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April 6, 2021, by and between Blueprint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5"/>
              </w:rPr>
            </w:pPr>
            <w:hyperlink r:id="rId162">
              <w:r>
                <w:rPr>
                  <w:rFonts w:ascii="Arial" w:cs="Arial" w:eastAsia="Arial" w:hAnsi="Arial"/>
                  <w:sz w:val="18"/>
                  <w:szCs w:val="18"/>
                  <w:color w:val="0000EE"/>
                  <w:w w:val="95"/>
                </w:rPr>
                <w:t>Medicines Corporation and BRE-BMR</w:t>
              </w:r>
            </w:hyperlink>
          </w:p>
        </w:tc>
        <w:tc>
          <w:tcPr>
            <w:tcW w:w="140" w:type="dxa"/>
            <w:vAlign w:val="bottom"/>
            <w:tcBorders>
              <w:bottom w:val="single" w:sz="8" w:color="0000EE"/>
            </w:tcBorders>
            <w:gridSpan w:val="3"/>
          </w:tcPr>
          <w:p>
            <w:pPr>
              <w:spacing w:after="0"/>
              <w:rPr>
                <w:rFonts w:ascii="Arial" w:cs="Arial" w:eastAsia="Arial" w:hAnsi="Arial"/>
                <w:sz w:val="15"/>
                <w:szCs w:val="15"/>
                <w:color w:val="0000EE"/>
                <w:w w:val="71"/>
              </w:rPr>
            </w:pPr>
            <w:hyperlink r:id="rId162">
              <w:r>
                <w:rPr>
                  <w:rFonts w:ascii="Arial" w:cs="Arial" w:eastAsia="Arial" w:hAnsi="Arial"/>
                  <w:sz w:val="15"/>
                  <w:szCs w:val="15"/>
                  <w:color w:val="0000EE"/>
                  <w:w w:val="71"/>
                </w:rPr>
                <w:t>38</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r:id="rId162">
              <w:r>
                <w:rPr>
                  <w:rFonts w:ascii="Arial" w:cs="Arial" w:eastAsia="Arial" w:hAnsi="Arial"/>
                  <w:sz w:val="18"/>
                  <w:szCs w:val="18"/>
                  <w:color w:val="0000EE"/>
                  <w:w w:val="97"/>
                </w:rPr>
                <w:t>SIDNEY LLC</w:t>
              </w:r>
            </w:hyperlink>
          </w:p>
        </w:tc>
        <w:tc>
          <w:tcPr>
            <w:tcW w:w="200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3760" w:type="dxa"/>
            <w:vAlign w:val="bottom"/>
            <w:gridSpan w:val="38"/>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Third Amendment to Lease Agreement, dated</w:t>
              </w:r>
            </w:hyperlink>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jc w:val="center"/>
              <w:ind w:left="130"/>
              <w:spacing w:after="0"/>
              <w:rPr>
                <w:sz w:val="20"/>
                <w:szCs w:val="20"/>
                <w:color w:val="auto"/>
              </w:rPr>
            </w:pPr>
            <w:r>
              <w:rPr>
                <w:rFonts w:ascii="Arial" w:cs="Arial" w:eastAsia="Arial" w:hAnsi="Arial"/>
                <w:sz w:val="18"/>
                <w:szCs w:val="18"/>
                <w:color w:val="auto"/>
              </w:rPr>
              <w:t>*</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88"/>
              </w:rPr>
            </w:pPr>
            <w:hyperlink w:anchor="page213">
              <w:r>
                <w:rPr>
                  <w:rFonts w:ascii="Arial" w:cs="Arial" w:eastAsia="Arial" w:hAnsi="Arial"/>
                  <w:sz w:val="18"/>
                  <w:szCs w:val="18"/>
                  <w:color w:val="0000EE"/>
                  <w:w w:val="88"/>
                </w:rPr>
                <w:t>December 15, 2021, by and between Blueprint</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gridSpan w:val="26"/>
          </w:tcPr>
          <w:p>
            <w:pPr>
              <w:spacing w:after="0" w:line="182" w:lineRule="exact"/>
              <w:rPr>
                <w:rFonts w:ascii="Arial" w:cs="Arial" w:eastAsia="Arial" w:hAnsi="Arial"/>
                <w:sz w:val="18"/>
                <w:szCs w:val="18"/>
                <w:color w:val="0000EE"/>
              </w:rPr>
            </w:pPr>
            <w:hyperlink w:anchor="page213">
              <w:r>
                <w:rPr>
                  <w:rFonts w:ascii="Arial" w:cs="Arial" w:eastAsia="Arial" w:hAnsi="Arial"/>
                  <w:sz w:val="18"/>
                  <w:szCs w:val="18"/>
                  <w:color w:val="0000EE"/>
                </w:rPr>
                <w:t>Medicines Corporation and BRE-BMR 38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13">
              <w:r>
                <w:rPr>
                  <w:rFonts w:ascii="Arial" w:cs="Arial" w:eastAsia="Arial" w:hAnsi="Arial"/>
                  <w:sz w:val="18"/>
                  <w:szCs w:val="18"/>
                  <w:color w:val="0000EE"/>
                  <w:w w:val="97"/>
                </w:rPr>
                <w:t>SIDNEY LLC</w:t>
              </w:r>
            </w:hyperlink>
          </w:p>
        </w:tc>
        <w:tc>
          <w:tcPr>
            <w:tcW w:w="2000" w:type="dxa"/>
            <w:vAlign w:val="bottom"/>
            <w:tcBorders>
              <w:top w:val="single" w:sz="8" w:color="0000EE"/>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3760" w:type="dxa"/>
            <w:vAlign w:val="bottom"/>
            <w:gridSpan w:val="38"/>
          </w:tcPr>
          <w:p>
            <w:pPr>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Lease Agreement, dated April 28, 2017, by and</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0"/>
              </w:rPr>
              <w:t>May 3, 2017</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tcBorders>
              <w:top w:val="single" w:sz="8" w:color="0000EE"/>
            </w:tcBorders>
            <w:gridSpan w:val="28"/>
          </w:tcPr>
          <w:p>
            <w:pPr>
              <w:spacing w:after="0" w:line="182" w:lineRule="exact"/>
              <w:rPr>
                <w:rFonts w:ascii="Arial" w:cs="Arial" w:eastAsia="Arial" w:hAnsi="Arial"/>
                <w:sz w:val="18"/>
                <w:szCs w:val="18"/>
                <w:color w:val="0000EE"/>
                <w:w w:val="94"/>
              </w:rPr>
            </w:pPr>
            <w:hyperlink r:id="rId163">
              <w:r>
                <w:rPr>
                  <w:rFonts w:ascii="Arial" w:cs="Arial" w:eastAsia="Arial" w:hAnsi="Arial"/>
                  <w:sz w:val="18"/>
                  <w:szCs w:val="18"/>
                  <w:color w:val="0000EE"/>
                  <w:w w:val="94"/>
                </w:rPr>
                <w:t>between the Registrant and UP 45/75 Sidney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Street, LLC</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3760" w:type="dxa"/>
            <w:vAlign w:val="bottom"/>
            <w:gridSpan w:val="38"/>
          </w:tcPr>
          <w:p>
            <w:pPr>
              <w:spacing w:after="0"/>
              <w:rPr>
                <w:rFonts w:ascii="Arial" w:cs="Arial" w:eastAsia="Arial" w:hAnsi="Arial"/>
                <w:sz w:val="18"/>
                <w:szCs w:val="18"/>
                <w:color w:val="0000EE"/>
                <w:w w:val="96"/>
              </w:rPr>
            </w:pPr>
            <w:hyperlink r:id="rId164">
              <w:r>
                <w:rPr>
                  <w:rFonts w:ascii="Arial" w:cs="Arial" w:eastAsia="Arial" w:hAnsi="Arial"/>
                  <w:sz w:val="18"/>
                  <w:szCs w:val="18"/>
                  <w:color w:val="0000EE"/>
                  <w:w w:val="96"/>
                </w:rPr>
                <w:t>First Amendment of Lease, dated September 19,</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9"/>
              </w:rPr>
              <w:t>September 25, 2018</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Borders>
              <w:top w:val="single" w:sz="8" w:color="0000EE"/>
            </w:tcBorders>
            <w:gridSpan w:val="32"/>
          </w:tcPr>
          <w:p>
            <w:pPr>
              <w:spacing w:after="0" w:line="182"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2018, between Blueprint Medicines Corporation</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and UP 45/75 Sidney Street, LLC</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3260" w:type="dxa"/>
            <w:vAlign w:val="bottom"/>
            <w:tcBorders>
              <w:bottom w:val="single" w:sz="8" w:color="0000EE"/>
            </w:tcBorders>
            <w:gridSpan w:val="21"/>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Employment Agreement, dated November 6,</w:t>
              </w:r>
            </w:hyperlink>
          </w:p>
        </w:tc>
        <w:tc>
          <w:tcPr>
            <w:tcW w:w="500" w:type="dxa"/>
            <w:vAlign w:val="bottom"/>
            <w:gridSpan w:val="17"/>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0"/>
              </w:rPr>
              <w:t>November 9, 2015</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38"/>
          </w:tcPr>
          <w:p>
            <w:pPr>
              <w:spacing w:after="0" w:line="182"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2015, by and between the Registrant and Jeffrey</w:t>
              </w:r>
            </w:hyperlink>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W. Albers</w:t>
              </w:r>
            </w:hyperlink>
          </w:p>
        </w:tc>
        <w:tc>
          <w:tcPr>
            <w:tcW w:w="2740" w:type="dxa"/>
            <w:vAlign w:val="bottom"/>
            <w:tcBorders>
              <w:top w:val="single" w:sz="8" w:color="0000EE"/>
            </w:tcBorders>
            <w:gridSpan w:val="27"/>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3760" w:type="dxa"/>
            <w:vAlign w:val="bottom"/>
            <w:gridSpan w:val="38"/>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dated December 22, 2021, by and between the</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60" w:type="dxa"/>
            <w:vAlign w:val="bottom"/>
            <w:gridSpan w:val="25"/>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Registrant and Jeffrey W. Albers</w:t>
              </w:r>
            </w:hyperlink>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3760" w:type="dxa"/>
            <w:vAlign w:val="bottom"/>
            <w:gridSpan w:val="38"/>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Amended and Restated Employment Agreement,</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8"/>
              </w:rPr>
              <w:t>January 5, 2022</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36"/>
          </w:tcPr>
          <w:p>
            <w:pPr>
              <w:spacing w:after="0" w:line="182"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dated January 4, 2022 and effective as of April 4,</w:t>
              </w:r>
            </w:hyperlink>
          </w:p>
        </w:tc>
        <w:tc>
          <w:tcPr>
            <w:tcW w:w="20" w:type="dxa"/>
            <w:vAlign w:val="bottom"/>
            <w:tcBorders>
              <w:bottom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0" w:type="dxa"/>
            <w:vAlign w:val="bottom"/>
            <w:gridSpan w:val="37"/>
          </w:tcPr>
          <w:p>
            <w:pPr>
              <w:spacing w:after="0" w:line="182"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2022, by and between the Registrant and Jeffrey</w:t>
              </w:r>
            </w:hyperlink>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W. Albers</w:t>
              </w:r>
            </w:hyperlink>
          </w:p>
        </w:tc>
        <w:tc>
          <w:tcPr>
            <w:tcW w:w="2740" w:type="dxa"/>
            <w:vAlign w:val="bottom"/>
            <w:tcBorders>
              <w:top w:val="single" w:sz="8" w:color="0000EE"/>
            </w:tcBorders>
            <w:gridSpan w:val="27"/>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3760" w:type="dxa"/>
            <w:vAlign w:val="bottom"/>
            <w:gridSpan w:val="38"/>
          </w:tcPr>
          <w:p>
            <w:pPr>
              <w:spacing w:after="0"/>
              <w:rPr>
                <w:rFonts w:ascii="Arial" w:cs="Arial" w:eastAsia="Arial" w:hAnsi="Arial"/>
                <w:sz w:val="18"/>
                <w:szCs w:val="18"/>
                <w:color w:val="0000EE"/>
              </w:rPr>
            </w:pPr>
            <w:hyperlink r:id="rId168">
              <w:r>
                <w:rPr>
                  <w:rFonts w:ascii="Arial" w:cs="Arial" w:eastAsia="Arial" w:hAnsi="Arial"/>
                  <w:sz w:val="18"/>
                  <w:szCs w:val="18"/>
                  <w:color w:val="0000EE"/>
                </w:rPr>
                <w:t>Employment Agreement, dated November 6,</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0"/>
              </w:rPr>
              <w:t>November 9, 2015</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40" w:type="dxa"/>
            <w:vAlign w:val="bottom"/>
            <w:tcBorders>
              <w:top w:val="single" w:sz="8" w:color="0000EE"/>
            </w:tcBorders>
            <w:gridSpan w:val="20"/>
          </w:tcPr>
          <w:p>
            <w:pPr>
              <w:spacing w:after="0" w:line="182" w:lineRule="exact"/>
              <w:rPr>
                <w:rFonts w:ascii="Arial" w:cs="Arial" w:eastAsia="Arial" w:hAnsi="Arial"/>
                <w:sz w:val="18"/>
                <w:szCs w:val="18"/>
                <w:color w:val="0000EE"/>
                <w:w w:val="97"/>
              </w:rPr>
            </w:pPr>
            <w:hyperlink r:id="rId168">
              <w:r>
                <w:rPr>
                  <w:rFonts w:ascii="Arial" w:cs="Arial" w:eastAsia="Arial" w:hAnsi="Arial"/>
                  <w:sz w:val="18"/>
                  <w:szCs w:val="18"/>
                  <w:color w:val="0000EE"/>
                  <w:w w:val="97"/>
                </w:rPr>
                <w:t>2015, by and between the Registrant and</w:t>
              </w:r>
            </w:hyperlink>
          </w:p>
        </w:tc>
        <w:tc>
          <w:tcPr>
            <w:tcW w:w="8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Anthony L. Boral</w:t>
              </w:r>
            </w:hyperlink>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3760" w:type="dxa"/>
            <w:vAlign w:val="bottom"/>
            <w:gridSpan w:val="38"/>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7"/>
              </w:rPr>
              <w:t>January 11,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dated January 11, 2021, by and between</w:t>
              </w:r>
            </w:hyperlink>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80" w:type="dxa"/>
            <w:vAlign w:val="bottom"/>
            <w:tcBorders>
              <w:top w:val="single" w:sz="8" w:color="0000EE"/>
            </w:tcBorders>
            <w:gridSpan w:val="12"/>
          </w:tcPr>
          <w:p>
            <w:pPr>
              <w:spacing w:after="0" w:line="182" w:lineRule="exact"/>
              <w:rPr>
                <w:rFonts w:ascii="Arial" w:cs="Arial" w:eastAsia="Arial" w:hAnsi="Arial"/>
                <w:sz w:val="18"/>
                <w:szCs w:val="18"/>
                <w:color w:val="0000EE"/>
                <w:w w:val="98"/>
              </w:rPr>
            </w:pPr>
            <w:hyperlink r:id="rId169">
              <w:r>
                <w:rPr>
                  <w:rFonts w:ascii="Arial" w:cs="Arial" w:eastAsia="Arial" w:hAnsi="Arial"/>
                  <w:sz w:val="18"/>
                  <w:szCs w:val="18"/>
                  <w:color w:val="0000EE"/>
                  <w:w w:val="98"/>
                </w:rPr>
                <w:t>Blueprint Medicines Corporation and</w:t>
              </w:r>
            </w:hyperlink>
          </w:p>
        </w:tc>
        <w:tc>
          <w:tcPr>
            <w:tcW w:w="880" w:type="dxa"/>
            <w:vAlign w:val="bottom"/>
            <w:gridSpan w:val="26"/>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Anthony</w:t>
              </w:r>
            </w:hyperlink>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L. Boral, M.D., Ph.D.</w:t>
              </w:r>
            </w:hyperlink>
          </w:p>
        </w:tc>
        <w:tc>
          <w:tcPr>
            <w:tcW w:w="160" w:type="dxa"/>
            <w:vAlign w:val="bottom"/>
            <w:gridSpan w:val="8"/>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3760" w:type="dxa"/>
            <w:vAlign w:val="bottom"/>
            <w:gridSpan w:val="38"/>
          </w:tcPr>
          <w:p>
            <w:pPr>
              <w:spacing w:after="0"/>
              <w:rPr>
                <w:rFonts w:ascii="Arial" w:cs="Arial" w:eastAsia="Arial" w:hAnsi="Arial"/>
                <w:sz w:val="18"/>
                <w:szCs w:val="18"/>
                <w:color w:val="0000EE"/>
                <w:w w:val="97"/>
              </w:rPr>
            </w:pPr>
            <w:hyperlink r:id="rId170">
              <w:r>
                <w:rPr>
                  <w:rFonts w:ascii="Arial" w:cs="Arial" w:eastAsia="Arial" w:hAnsi="Arial"/>
                  <w:sz w:val="18"/>
                  <w:szCs w:val="18"/>
                  <w:color w:val="0000EE"/>
                  <w:w w:val="97"/>
                </w:rPr>
                <w:t>Employment Agreement, dated March 10, 2016,</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1"/>
              </w:rPr>
              <w:t>March 11, 2016</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by and between the Registrant and Kathryn</w:t>
              </w:r>
            </w:hyperlink>
          </w:p>
        </w:tc>
        <w:tc>
          <w:tcPr>
            <w:tcW w:w="60" w:type="dxa"/>
            <w:vAlign w:val="bottom"/>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Haviland</w:t>
              </w:r>
            </w:hyperlink>
          </w:p>
        </w:tc>
        <w:tc>
          <w:tcPr>
            <w:tcW w:w="246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17"/>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3760" w:type="dxa"/>
            <w:vAlign w:val="bottom"/>
            <w:gridSpan w:val="38"/>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8"/>
              </w:rPr>
              <w:t>February 5,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Borders>
              <w:top w:val="single" w:sz="8" w:color="0000EE"/>
            </w:tcBorders>
            <w:gridSpan w:val="23"/>
          </w:tcPr>
          <w:p>
            <w:pPr>
              <w:spacing w:after="0" w:line="182"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dated January 30, 2019, by and between the</w:t>
              </w:r>
            </w:hyperlink>
          </w:p>
        </w:tc>
        <w:tc>
          <w:tcPr>
            <w:tcW w:w="240" w:type="dxa"/>
            <w:vAlign w:val="bottom"/>
            <w:gridSpan w:val="12"/>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Registrant and Kathryn Haviland</w:t>
              </w:r>
            </w:hyperlink>
          </w:p>
        </w:tc>
        <w:tc>
          <w:tcPr>
            <w:tcW w:w="720" w:type="dxa"/>
            <w:vAlign w:val="bottom"/>
            <w:tcBorders>
              <w:top w:val="single" w:sz="8" w:color="0000EE"/>
            </w:tcBorders>
            <w:gridSpan w:val="7"/>
          </w:tcPr>
          <w:p>
            <w:pPr>
              <w:spacing w:after="0"/>
              <w:rPr>
                <w:sz w:val="15"/>
                <w:szCs w:val="15"/>
                <w:color w:val="auto"/>
              </w:rPr>
            </w:pPr>
          </w:p>
        </w:tc>
        <w:tc>
          <w:tcPr>
            <w:tcW w:w="420" w:type="dxa"/>
            <w:vAlign w:val="bottom"/>
            <w:gridSpan w:val="17"/>
          </w:tcPr>
          <w:p>
            <w:pPr>
              <w:spacing w:after="0"/>
              <w:rPr>
                <w:sz w:val="15"/>
                <w:szCs w:val="15"/>
                <w:color w:val="auto"/>
              </w:rPr>
            </w:pPr>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3760" w:type="dxa"/>
            <w:vAlign w:val="bottom"/>
            <w:gridSpan w:val="38"/>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Second Amendment to Employment Agreement,</w:t>
              </w:r>
            </w:hyperlink>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001-37359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60" w:type="dxa"/>
            <w:vAlign w:val="bottom"/>
            <w:tcBorders>
              <w:top w:val="single" w:sz="8" w:color="0000EE"/>
            </w:tcBorders>
            <w:gridSpan w:val="35"/>
          </w:tcPr>
          <w:p>
            <w:pPr>
              <w:spacing w:after="0" w:line="182"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dated December 22, 2021, by and between the</w:t>
              </w:r>
            </w:hyperlink>
          </w:p>
        </w:tc>
        <w:tc>
          <w:tcPr>
            <w:tcW w:w="20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Registrant and Kathryn Haviland</w:t>
              </w:r>
            </w:hyperlink>
          </w:p>
        </w:tc>
        <w:tc>
          <w:tcPr>
            <w:tcW w:w="980" w:type="dxa"/>
            <w:vAlign w:val="bottom"/>
            <w:tcBorders>
              <w:top w:val="single" w:sz="8" w:color="0000EE"/>
            </w:tcBorders>
            <w:gridSpan w:val="15"/>
          </w:tcPr>
          <w:p>
            <w:pPr>
              <w:spacing w:after="0"/>
              <w:rPr>
                <w:sz w:val="15"/>
                <w:szCs w:val="15"/>
                <w:color w:val="auto"/>
              </w:rPr>
            </w:pPr>
          </w:p>
        </w:tc>
        <w:tc>
          <w:tcPr>
            <w:tcW w:w="400" w:type="dxa"/>
            <w:vAlign w:val="bottom"/>
            <w:gridSpan w:val="13"/>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57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gridSpan w:val="38"/>
          </w:tcPr>
          <w:p>
            <w:pPr>
              <w:ind w:left="3460"/>
              <w:spacing w:after="0"/>
              <w:rPr>
                <w:sz w:val="20"/>
                <w:szCs w:val="20"/>
                <w:color w:val="auto"/>
              </w:rPr>
            </w:pPr>
            <w:r>
              <w:rPr>
                <w:rFonts w:ascii="Arial" w:cs="Arial" w:eastAsia="Arial" w:hAnsi="Arial"/>
                <w:sz w:val="18"/>
                <w:szCs w:val="18"/>
                <w:color w:val="auto"/>
                <w:w w:val="93"/>
              </w:rPr>
              <w:t>120</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2" w:name="page123"/>
    <w:bookmarkEnd w:id="12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500" w:type="dxa"/>
            <w:vAlign w:val="bottom"/>
            <w:gridSpan w:val="3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938"/>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3660" w:type="dxa"/>
            <w:vAlign w:val="bottom"/>
            <w:gridSpan w:val="31"/>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Amended and Restated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8"/>
              </w:rPr>
              <w:t>January 5, 2022</w:t>
            </w:r>
          </w:p>
        </w:tc>
      </w:tr>
      <w:tr>
        <w:trPr>
          <w:trHeight w:val="183"/>
        </w:trPr>
        <w:tc>
          <w:tcPr>
            <w:tcW w:w="8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dated January 4, 2022 and effective as of April 4,</w:t>
              </w:r>
            </w:hyperlink>
          </w:p>
        </w:tc>
        <w:tc>
          <w:tcPr>
            <w:tcW w:w="2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2022, by and between the Registrant and</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9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Kathryn Haviland</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3260" w:type="dxa"/>
            <w:vAlign w:val="bottom"/>
            <w:tcBorders>
              <w:bottom w:val="single" w:sz="8" w:color="0000EE"/>
            </w:tcBorders>
            <w:gridSpan w:val="17"/>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Employment Agreement, dated September 6,</w:t>
              </w:r>
            </w:hyperlink>
          </w:p>
        </w:tc>
        <w:tc>
          <w:tcPr>
            <w:tcW w:w="400" w:type="dxa"/>
            <w:vAlign w:val="bottom"/>
            <w:gridSpan w:val="14"/>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November 10, 2016</w:t>
            </w:r>
          </w:p>
        </w:tc>
      </w:tr>
      <w:tr>
        <w:trPr>
          <w:trHeight w:val="183"/>
        </w:trPr>
        <w:tc>
          <w:tcPr>
            <w:tcW w:w="840" w:type="dxa"/>
            <w:vAlign w:val="bottom"/>
          </w:tcPr>
          <w:p>
            <w:pPr>
              <w:spacing w:after="0"/>
              <w:rPr>
                <w:sz w:val="15"/>
                <w:szCs w:val="15"/>
                <w:color w:val="auto"/>
              </w:rPr>
            </w:pPr>
          </w:p>
        </w:tc>
        <w:tc>
          <w:tcPr>
            <w:tcW w:w="3660" w:type="dxa"/>
            <w:vAlign w:val="bottom"/>
            <w:gridSpan w:val="31"/>
          </w:tcPr>
          <w:p>
            <w:pPr>
              <w:spacing w:after="0" w:line="182"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2016, by and between the Registrant and Tracey</w:t>
              </w:r>
            </w:hyperlink>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7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L. McCain</w:t>
              </w:r>
            </w:hyperlink>
          </w:p>
        </w:tc>
        <w:tc>
          <w:tcPr>
            <w:tcW w:w="2680" w:type="dxa"/>
            <w:vAlign w:val="bottom"/>
            <w:tcBorders>
              <w:top w:val="single" w:sz="8" w:color="0000EE"/>
            </w:tcBorders>
            <w:gridSpan w:val="2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3660" w:type="dxa"/>
            <w:vAlign w:val="bottom"/>
            <w:gridSpan w:val="31"/>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First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23, 2021</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dated December 22, 2021, by and between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00" w:type="dxa"/>
            <w:vAlign w:val="bottom"/>
            <w:tcBorders>
              <w:bottom w:val="single" w:sz="8" w:color="0000EE"/>
            </w:tcBorders>
            <w:gridSpan w:val="10"/>
          </w:tcPr>
          <w:p>
            <w:pPr>
              <w:spacing w:after="0" w:line="182"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Registrant and Tracey L. McCain</w:t>
              </w:r>
            </w:hyperlink>
          </w:p>
        </w:tc>
        <w:tc>
          <w:tcPr>
            <w:tcW w:w="9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3240" w:type="dxa"/>
            <w:vAlign w:val="bottom"/>
            <w:tcBorders>
              <w:bottom w:val="single" w:sz="8" w:color="0000EE"/>
            </w:tcBorders>
            <w:gridSpan w:val="16"/>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Employment Agreement, dated November 9,</w:t>
              </w:r>
            </w:hyperlink>
          </w:p>
        </w:tc>
        <w:tc>
          <w:tcPr>
            <w:tcW w:w="420" w:type="dxa"/>
            <w:vAlign w:val="bottom"/>
            <w:gridSpan w:val="15"/>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November 14, 2016</w:t>
            </w:r>
          </w:p>
        </w:tc>
      </w:tr>
      <w:tr>
        <w:trPr>
          <w:trHeight w:val="183"/>
        </w:trPr>
        <w:tc>
          <w:tcPr>
            <w:tcW w:w="840" w:type="dxa"/>
            <w:vAlign w:val="bottom"/>
          </w:tcPr>
          <w:p>
            <w:pPr>
              <w:spacing w:after="0"/>
              <w:rPr>
                <w:sz w:val="15"/>
                <w:szCs w:val="15"/>
                <w:color w:val="auto"/>
              </w:rPr>
            </w:pPr>
          </w:p>
        </w:tc>
        <w:tc>
          <w:tcPr>
            <w:tcW w:w="3660" w:type="dxa"/>
            <w:vAlign w:val="bottom"/>
            <w:gridSpan w:val="31"/>
          </w:tcPr>
          <w:p>
            <w:pPr>
              <w:spacing w:after="0" w:line="182"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2016, by and between the Registrant and Marion</w:t>
              </w:r>
            </w:hyperlink>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Dorsch</w:t>
              </w:r>
            </w:hyperlink>
          </w:p>
        </w:tc>
        <w:tc>
          <w:tcPr>
            <w:tcW w:w="2980" w:type="dxa"/>
            <w:vAlign w:val="bottom"/>
            <w:tcBorders>
              <w:top w:val="single" w:sz="8" w:color="0000EE"/>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3660" w:type="dxa"/>
            <w:vAlign w:val="bottom"/>
            <w:gridSpan w:val="31"/>
          </w:tcPr>
          <w:p>
            <w:pPr>
              <w:spacing w:after="0"/>
              <w:rPr>
                <w:rFonts w:ascii="Arial" w:cs="Arial" w:eastAsia="Arial" w:hAnsi="Arial"/>
                <w:sz w:val="18"/>
                <w:szCs w:val="18"/>
                <w:color w:val="0000EE"/>
              </w:rPr>
            </w:pPr>
            <w:hyperlink r:id="rId177">
              <w:r>
                <w:rPr>
                  <w:rFonts w:ascii="Arial" w:cs="Arial" w:eastAsia="Arial" w:hAnsi="Arial"/>
                  <w:sz w:val="18"/>
                  <w:szCs w:val="18"/>
                  <w:color w:val="0000EE"/>
                </w:rPr>
                <w:t>Employment Agreement, dated October 10,</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October 31, 2017</w:t>
            </w:r>
          </w:p>
        </w:tc>
      </w:tr>
      <w:tr>
        <w:trPr>
          <w:trHeight w:val="183"/>
        </w:trPr>
        <w:tc>
          <w:tcPr>
            <w:tcW w:w="840" w:type="dxa"/>
            <w:vAlign w:val="bottom"/>
          </w:tcPr>
          <w:p>
            <w:pPr>
              <w:spacing w:after="0"/>
              <w:rPr>
                <w:sz w:val="15"/>
                <w:szCs w:val="15"/>
                <w:color w:val="auto"/>
              </w:rPr>
            </w:pPr>
          </w:p>
        </w:tc>
        <w:tc>
          <w:tcPr>
            <w:tcW w:w="3140" w:type="dxa"/>
            <w:vAlign w:val="bottom"/>
            <w:tcBorders>
              <w:top w:val="single" w:sz="8" w:color="0000EE"/>
            </w:tcBorders>
            <w:gridSpan w:val="14"/>
          </w:tcPr>
          <w:p>
            <w:pPr>
              <w:spacing w:after="0" w:line="182" w:lineRule="exact"/>
              <w:rPr>
                <w:rFonts w:ascii="Arial" w:cs="Arial" w:eastAsia="Arial" w:hAnsi="Arial"/>
                <w:sz w:val="18"/>
                <w:szCs w:val="18"/>
                <w:color w:val="0000EE"/>
                <w:w w:val="94"/>
              </w:rPr>
            </w:pPr>
            <w:hyperlink r:id="rId177">
              <w:r>
                <w:rPr>
                  <w:rFonts w:ascii="Arial" w:cs="Arial" w:eastAsia="Arial" w:hAnsi="Arial"/>
                  <w:sz w:val="18"/>
                  <w:szCs w:val="18"/>
                  <w:color w:val="0000EE"/>
                  <w:w w:val="94"/>
                </w:rPr>
                <w:t>2017, by and between the Registrant and</w:t>
              </w:r>
            </w:hyperlink>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9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Christopher Murray</w:t>
              </w:r>
            </w:hyperlink>
          </w:p>
        </w:tc>
        <w:tc>
          <w:tcPr>
            <w:tcW w:w="2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3660" w:type="dxa"/>
            <w:vAlign w:val="bottom"/>
            <w:gridSpan w:val="31"/>
          </w:tcPr>
          <w:p>
            <w:pPr>
              <w:spacing w:after="0"/>
              <w:rPr>
                <w:rFonts w:ascii="Arial" w:cs="Arial" w:eastAsia="Arial" w:hAnsi="Arial"/>
                <w:sz w:val="18"/>
                <w:szCs w:val="18"/>
                <w:color w:val="0000EE"/>
              </w:rPr>
            </w:pPr>
            <w:hyperlink r:id="rId178">
              <w:r>
                <w:rPr>
                  <w:rFonts w:ascii="Arial" w:cs="Arial" w:eastAsia="Arial" w:hAnsi="Arial"/>
                  <w:sz w:val="18"/>
                  <w:szCs w:val="18"/>
                  <w:color w:val="0000EE"/>
                </w:rPr>
                <w:t>First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23, 2021</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dated December 22, 2021, by and between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Registrant and Christopher Murray</w:t>
              </w:r>
            </w:hyperlink>
          </w:p>
        </w:tc>
        <w:tc>
          <w:tcPr>
            <w:tcW w:w="86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3660" w:type="dxa"/>
            <w:vAlign w:val="bottom"/>
            <w:gridSpan w:val="31"/>
          </w:tcPr>
          <w:p>
            <w:pPr>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Employment Agreement, dated November 22,</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November 22, 2017</w:t>
            </w:r>
          </w:p>
        </w:tc>
      </w:tr>
      <w:tr>
        <w:trPr>
          <w:trHeight w:val="183"/>
        </w:trPr>
        <w:tc>
          <w:tcPr>
            <w:tcW w:w="840" w:type="dxa"/>
            <w:vAlign w:val="bottom"/>
          </w:tcPr>
          <w:p>
            <w:pPr>
              <w:spacing w:after="0"/>
              <w:rPr>
                <w:sz w:val="15"/>
                <w:szCs w:val="15"/>
                <w:color w:val="auto"/>
              </w:rPr>
            </w:pPr>
          </w:p>
        </w:tc>
        <w:tc>
          <w:tcPr>
            <w:tcW w:w="33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2017, by and between the Registrant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9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Michael Landsittel</w:t>
              </w:r>
            </w:hyperlink>
          </w:p>
        </w:tc>
        <w:tc>
          <w:tcPr>
            <w:tcW w:w="2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3660" w:type="dxa"/>
            <w:vAlign w:val="bottom"/>
            <w:gridSpan w:val="31"/>
          </w:tcPr>
          <w:p>
            <w:pPr>
              <w:spacing w:after="0"/>
              <w:rPr>
                <w:rFonts w:ascii="Arial" w:cs="Arial" w:eastAsia="Arial" w:hAnsi="Arial"/>
                <w:sz w:val="18"/>
                <w:szCs w:val="18"/>
                <w:color w:val="0000EE"/>
              </w:rPr>
            </w:pPr>
            <w:hyperlink r:id="rId180">
              <w:r>
                <w:rPr>
                  <w:rFonts w:ascii="Arial" w:cs="Arial" w:eastAsia="Arial" w:hAnsi="Arial"/>
                  <w:sz w:val="18"/>
                  <w:szCs w:val="18"/>
                  <w:color w:val="0000EE"/>
                </w:rPr>
                <w:t>First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8"/>
              </w:rPr>
              <w:t>February 5, 2019</w:t>
            </w:r>
          </w:p>
        </w:tc>
      </w:tr>
      <w:tr>
        <w:trPr>
          <w:trHeight w:val="183"/>
        </w:trPr>
        <w:tc>
          <w:tcPr>
            <w:tcW w:w="840" w:type="dxa"/>
            <w:vAlign w:val="bottom"/>
          </w:tcPr>
          <w:p>
            <w:pPr>
              <w:spacing w:after="0"/>
              <w:rPr>
                <w:sz w:val="15"/>
                <w:szCs w:val="15"/>
                <w:color w:val="auto"/>
              </w:rPr>
            </w:pPr>
          </w:p>
        </w:tc>
        <w:tc>
          <w:tcPr>
            <w:tcW w:w="3300" w:type="dxa"/>
            <w:vAlign w:val="bottom"/>
            <w:tcBorders>
              <w:top w:val="single" w:sz="8" w:color="0000EE"/>
            </w:tcBorders>
            <w:gridSpan w:val="18"/>
          </w:tcPr>
          <w:p>
            <w:pPr>
              <w:spacing w:after="0" w:line="182"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dated January 30, 2019, by and between the</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Registrant and Michael Landsittel</w:t>
              </w:r>
            </w:hyperlink>
          </w:p>
        </w:tc>
        <w:tc>
          <w:tcPr>
            <w:tcW w:w="720" w:type="dxa"/>
            <w:vAlign w:val="bottom"/>
            <w:tcBorders>
              <w:top w:val="single" w:sz="8" w:color="0000EE"/>
            </w:tcBorders>
            <w:gridSpan w:val="4"/>
          </w:tcPr>
          <w:p>
            <w:pPr>
              <w:spacing w:after="0"/>
              <w:rPr>
                <w:sz w:val="15"/>
                <w:szCs w:val="15"/>
                <w:color w:val="auto"/>
              </w:rPr>
            </w:pPr>
          </w:p>
        </w:tc>
        <w:tc>
          <w:tcPr>
            <w:tcW w:w="20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3660" w:type="dxa"/>
            <w:vAlign w:val="bottom"/>
            <w:gridSpan w:val="31"/>
          </w:tcPr>
          <w:p>
            <w:pPr>
              <w:spacing w:after="0"/>
              <w:rPr>
                <w:rFonts w:ascii="Arial" w:cs="Arial" w:eastAsia="Arial" w:hAnsi="Arial"/>
                <w:sz w:val="18"/>
                <w:szCs w:val="18"/>
                <w:color w:val="0000EE"/>
                <w:w w:val="94"/>
              </w:rPr>
            </w:pPr>
            <w:hyperlink r:id="rId181">
              <w:r>
                <w:rPr>
                  <w:rFonts w:ascii="Arial" w:cs="Arial" w:eastAsia="Arial" w:hAnsi="Arial"/>
                  <w:sz w:val="18"/>
                  <w:szCs w:val="18"/>
                  <w:color w:val="0000EE"/>
                  <w:w w:val="94"/>
                </w:rPr>
                <w:t>Second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23, 2021</w:t>
            </w:r>
          </w:p>
        </w:tc>
      </w:tr>
      <w:tr>
        <w:trPr>
          <w:trHeight w:val="183"/>
        </w:trPr>
        <w:tc>
          <w:tcPr>
            <w:tcW w:w="840" w:type="dxa"/>
            <w:vAlign w:val="bottom"/>
          </w:tcPr>
          <w:p>
            <w:pPr>
              <w:spacing w:after="0"/>
              <w:rPr>
                <w:sz w:val="15"/>
                <w:szCs w:val="15"/>
                <w:color w:val="auto"/>
              </w:rPr>
            </w:pPr>
          </w:p>
        </w:tc>
        <w:tc>
          <w:tcPr>
            <w:tcW w:w="3520" w:type="dxa"/>
            <w:vAlign w:val="bottom"/>
            <w:tcBorders>
              <w:top w:val="single" w:sz="8" w:color="0000EE"/>
            </w:tcBorders>
            <w:gridSpan w:val="28"/>
          </w:tcPr>
          <w:p>
            <w:pPr>
              <w:spacing w:after="0" w:line="182"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dated December 22, 2021, by and between the</w:t>
              </w:r>
            </w:hyperlink>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Registrant and Michael Landsittel</w:t>
              </w:r>
            </w:hyperlink>
          </w:p>
        </w:tc>
        <w:tc>
          <w:tcPr>
            <w:tcW w:w="94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3660" w:type="dxa"/>
            <w:vAlign w:val="bottom"/>
            <w:gridSpan w:val="31"/>
          </w:tcPr>
          <w:p>
            <w:pPr>
              <w:spacing w:after="0"/>
              <w:rPr>
                <w:rFonts w:ascii="Arial" w:cs="Arial" w:eastAsia="Arial" w:hAnsi="Arial"/>
                <w:sz w:val="18"/>
                <w:szCs w:val="18"/>
                <w:color w:val="0000EE"/>
              </w:rPr>
            </w:pPr>
            <w:hyperlink r:id="rId182">
              <w:r>
                <w:rPr>
                  <w:rFonts w:ascii="Arial" w:cs="Arial" w:eastAsia="Arial" w:hAnsi="Arial"/>
                  <w:sz w:val="18"/>
                  <w:szCs w:val="18"/>
                  <w:color w:val="0000EE"/>
                </w:rPr>
                <w:t>Employment Agreement, dated October 29,</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0"/>
              </w:rPr>
              <w:t>October 29, 2018</w:t>
            </w:r>
          </w:p>
        </w:tc>
      </w:tr>
      <w:tr>
        <w:trPr>
          <w:trHeight w:val="183"/>
        </w:trPr>
        <w:tc>
          <w:tcPr>
            <w:tcW w:w="840" w:type="dxa"/>
            <w:vAlign w:val="bottom"/>
          </w:tcPr>
          <w:p>
            <w:pPr>
              <w:spacing w:after="0"/>
              <w:rPr>
                <w:sz w:val="15"/>
                <w:szCs w:val="15"/>
                <w:color w:val="auto"/>
              </w:rPr>
            </w:pPr>
          </w:p>
        </w:tc>
        <w:tc>
          <w:tcPr>
            <w:tcW w:w="3140" w:type="dxa"/>
            <w:vAlign w:val="bottom"/>
            <w:tcBorders>
              <w:top w:val="single" w:sz="8" w:color="0000EE"/>
            </w:tcBorders>
            <w:gridSpan w:val="14"/>
          </w:tcPr>
          <w:p>
            <w:pPr>
              <w:spacing w:after="0" w:line="182"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2018, by and between the Registrant and</w:t>
              </w:r>
            </w:hyperlink>
          </w:p>
        </w:tc>
        <w:tc>
          <w:tcPr>
            <w:tcW w:w="22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Christina Rossi</w:t>
              </w:r>
            </w:hyperlink>
          </w:p>
        </w:tc>
        <w:tc>
          <w:tcPr>
            <w:tcW w:w="1820" w:type="dxa"/>
            <w:vAlign w:val="bottom"/>
            <w:tcBorders>
              <w:top w:val="single" w:sz="8" w:color="0000EE"/>
            </w:tcBorders>
            <w:gridSpan w:val="9"/>
          </w:tcPr>
          <w:p>
            <w:pPr>
              <w:spacing w:after="0"/>
              <w:rPr>
                <w:sz w:val="15"/>
                <w:szCs w:val="15"/>
                <w:color w:val="auto"/>
              </w:rPr>
            </w:pPr>
          </w:p>
        </w:tc>
        <w:tc>
          <w:tcPr>
            <w:tcW w:w="44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3660" w:type="dxa"/>
            <w:vAlign w:val="bottom"/>
            <w:gridSpan w:val="31"/>
          </w:tcPr>
          <w:p>
            <w:pPr>
              <w:spacing w:after="0"/>
              <w:rPr>
                <w:rFonts w:ascii="Arial" w:cs="Arial" w:eastAsia="Arial" w:hAnsi="Arial"/>
                <w:sz w:val="18"/>
                <w:szCs w:val="18"/>
                <w:color w:val="0000EE"/>
              </w:rPr>
            </w:pPr>
            <w:hyperlink r:id="rId183">
              <w:r>
                <w:rPr>
                  <w:rFonts w:ascii="Arial" w:cs="Arial" w:eastAsia="Arial" w:hAnsi="Arial"/>
                  <w:sz w:val="18"/>
                  <w:szCs w:val="18"/>
                  <w:color w:val="0000EE"/>
                </w:rPr>
                <w:t>First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23, 2021</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183">
              <w:r>
                <w:rPr>
                  <w:rFonts w:ascii="Arial" w:cs="Arial" w:eastAsia="Arial" w:hAnsi="Arial"/>
                  <w:sz w:val="18"/>
                  <w:szCs w:val="18"/>
                  <w:color w:val="0000EE"/>
                  <w:w w:val="87"/>
                </w:rPr>
                <w:t>dated December 22, 2021, by and between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3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Registrant and Christina Rossi</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3660" w:type="dxa"/>
            <w:vAlign w:val="bottom"/>
            <w:gridSpan w:val="31"/>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Amended and Restated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8"/>
              </w:rPr>
              <w:t>January 5, 2022</w:t>
            </w:r>
          </w:p>
        </w:tc>
      </w:tr>
      <w:tr>
        <w:trPr>
          <w:trHeight w:val="183"/>
        </w:trPr>
        <w:tc>
          <w:tcPr>
            <w:tcW w:w="840" w:type="dxa"/>
            <w:vAlign w:val="bottom"/>
          </w:tcPr>
          <w:p>
            <w:pPr>
              <w:spacing w:after="0"/>
              <w:rPr>
                <w:sz w:val="15"/>
                <w:szCs w:val="15"/>
                <w:color w:val="auto"/>
              </w:rPr>
            </w:pPr>
          </w:p>
        </w:tc>
        <w:tc>
          <w:tcPr>
            <w:tcW w:w="3540" w:type="dxa"/>
            <w:vAlign w:val="bottom"/>
            <w:tcBorders>
              <w:top w:val="single" w:sz="8" w:color="0000EE"/>
            </w:tcBorders>
            <w:gridSpan w:val="29"/>
          </w:tcPr>
          <w:p>
            <w:pPr>
              <w:spacing w:after="0" w:line="182" w:lineRule="exact"/>
              <w:rPr>
                <w:rFonts w:ascii="Arial" w:cs="Arial" w:eastAsia="Arial" w:hAnsi="Arial"/>
                <w:sz w:val="18"/>
                <w:szCs w:val="18"/>
                <w:color w:val="0000EE"/>
                <w:w w:val="89"/>
              </w:rPr>
            </w:pPr>
            <w:hyperlink r:id="rId184">
              <w:r>
                <w:rPr>
                  <w:rFonts w:ascii="Arial" w:cs="Arial" w:eastAsia="Arial" w:hAnsi="Arial"/>
                  <w:sz w:val="18"/>
                  <w:szCs w:val="18"/>
                  <w:color w:val="0000EE"/>
                  <w:w w:val="89"/>
                </w:rPr>
                <w:t>dated January 4, 2022 and effective as of April 4,</w:t>
              </w:r>
            </w:hyperlink>
          </w:p>
        </w:tc>
        <w:tc>
          <w:tcPr>
            <w:tcW w:w="12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2022, by and between the Registrant and</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9"/>
              </w:rPr>
            </w:pPr>
            <w:hyperlink r:id="rId184">
              <w:r>
                <w:rPr>
                  <w:rFonts w:ascii="Arial" w:cs="Arial" w:eastAsia="Arial" w:hAnsi="Arial"/>
                  <w:sz w:val="18"/>
                  <w:szCs w:val="18"/>
                  <w:color w:val="0000EE"/>
                  <w:w w:val="89"/>
                </w:rPr>
                <w:t>Christina Rossi</w:t>
              </w:r>
            </w:hyperlink>
          </w:p>
        </w:tc>
        <w:tc>
          <w:tcPr>
            <w:tcW w:w="1820" w:type="dxa"/>
            <w:vAlign w:val="bottom"/>
            <w:tcBorders>
              <w:top w:val="single" w:sz="8" w:color="0000EE"/>
            </w:tcBorders>
            <w:gridSpan w:val="9"/>
          </w:tcPr>
          <w:p>
            <w:pPr>
              <w:spacing w:after="0"/>
              <w:rPr>
                <w:sz w:val="15"/>
                <w:szCs w:val="15"/>
                <w:color w:val="auto"/>
              </w:rPr>
            </w:pPr>
          </w:p>
        </w:tc>
        <w:tc>
          <w:tcPr>
            <w:tcW w:w="44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3660" w:type="dxa"/>
            <w:vAlign w:val="bottom"/>
            <w:gridSpan w:val="31"/>
          </w:tcPr>
          <w:p>
            <w:pPr>
              <w:spacing w:after="0"/>
              <w:rPr>
                <w:rFonts w:ascii="Arial" w:cs="Arial" w:eastAsia="Arial" w:hAnsi="Arial"/>
                <w:sz w:val="18"/>
                <w:szCs w:val="18"/>
                <w:color w:val="0000EE"/>
                <w:w w:val="97"/>
              </w:rPr>
            </w:pPr>
            <w:hyperlink r:id="rId185">
              <w:r>
                <w:rPr>
                  <w:rFonts w:ascii="Arial" w:cs="Arial" w:eastAsia="Arial" w:hAnsi="Arial"/>
                  <w:sz w:val="18"/>
                  <w:szCs w:val="18"/>
                  <w:color w:val="0000EE"/>
                  <w:w w:val="97"/>
                </w:rPr>
                <w:t>Employment Agreement, dated March 6, 2019,</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2"/>
              </w:rPr>
              <w:t>March 8, 2019</w:t>
            </w:r>
          </w:p>
        </w:tc>
      </w:tr>
      <w:tr>
        <w:trPr>
          <w:trHeight w:val="183"/>
        </w:trPr>
        <w:tc>
          <w:tcPr>
            <w:tcW w:w="84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by and between the Registrant and Ariel Hurley</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3660" w:type="dxa"/>
            <w:vAlign w:val="bottom"/>
            <w:gridSpan w:val="31"/>
          </w:tcPr>
          <w:p>
            <w:pPr>
              <w:spacing w:after="0"/>
              <w:rPr>
                <w:rFonts w:ascii="Arial" w:cs="Arial" w:eastAsia="Arial" w:hAnsi="Arial"/>
                <w:sz w:val="18"/>
                <w:szCs w:val="18"/>
                <w:color w:val="0000EE"/>
              </w:rPr>
            </w:pPr>
            <w:hyperlink r:id="rId186">
              <w:r>
                <w:rPr>
                  <w:rFonts w:ascii="Arial" w:cs="Arial" w:eastAsia="Arial" w:hAnsi="Arial"/>
                  <w:sz w:val="18"/>
                  <w:szCs w:val="18"/>
                  <w:color w:val="0000EE"/>
                </w:rPr>
                <w:t>First Amendment to Employment Agreement,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89"/>
              </w:rPr>
              <w:t>December 23, 2021</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dated December 22, 2021, by and between the</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Registrant and Ariel Hurley</w:t>
              </w:r>
            </w:hyperlink>
          </w:p>
        </w:tc>
        <w:tc>
          <w:tcPr>
            <w:tcW w:w="138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3660" w:type="dxa"/>
            <w:vAlign w:val="bottom"/>
            <w:gridSpan w:val="31"/>
          </w:tcPr>
          <w:p>
            <w:pPr>
              <w:spacing w:after="0"/>
              <w:rPr>
                <w:rFonts w:ascii="Arial" w:cs="Arial" w:eastAsia="Arial" w:hAnsi="Arial"/>
                <w:sz w:val="18"/>
                <w:szCs w:val="18"/>
                <w:color w:val="0000EE"/>
                <w:w w:val="99"/>
              </w:rPr>
            </w:pPr>
            <w:hyperlink r:id="rId187">
              <w:r>
                <w:rPr>
                  <w:rFonts w:ascii="Arial" w:cs="Arial" w:eastAsia="Arial" w:hAnsi="Arial"/>
                  <w:sz w:val="18"/>
                  <w:szCs w:val="18"/>
                  <w:color w:val="0000EE"/>
                  <w:w w:val="99"/>
                </w:rPr>
                <w:t>Employment Agreement, dated November 22,</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February 13, 2020</w:t>
            </w:r>
          </w:p>
        </w:tc>
      </w:tr>
      <w:tr>
        <w:trPr>
          <w:trHeight w:val="183"/>
        </w:trPr>
        <w:tc>
          <w:tcPr>
            <w:tcW w:w="84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87"/>
              </w:rPr>
            </w:pPr>
            <w:hyperlink r:id="rId187">
              <w:r>
                <w:rPr>
                  <w:rFonts w:ascii="Arial" w:cs="Arial" w:eastAsia="Arial" w:hAnsi="Arial"/>
                  <w:sz w:val="18"/>
                  <w:szCs w:val="18"/>
                  <w:color w:val="0000EE"/>
                  <w:w w:val="87"/>
                </w:rPr>
                <w:t>2017, by and between the Registrant and Debra</w:t>
              </w:r>
            </w:hyperlink>
          </w:p>
        </w:tc>
        <w:tc>
          <w:tcPr>
            <w:tcW w:w="60" w:type="dxa"/>
            <w:vAlign w:val="bottom"/>
            <w:tcBorders>
              <w:bottom w:val="single" w:sz="8" w:color="0000EE"/>
            </w:tcBorders>
            <w:gridSpan w:val="3"/>
          </w:tcPr>
          <w:p>
            <w:pPr>
              <w:spacing w:after="0"/>
              <w:rPr>
                <w:sz w:val="15"/>
                <w:szCs w:val="15"/>
                <w:color w:val="auto"/>
              </w:rPr>
            </w:pPr>
          </w:p>
        </w:tc>
        <w:tc>
          <w:tcPr>
            <w:tcW w:w="24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ind w:left="90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Durso-Bumpus, as amended by the First</w:t>
        </w:r>
      </w:hyperlink>
    </w:p>
    <w:p>
      <w:pPr>
        <w:spacing w:after="0" w:line="6" w:lineRule="exact"/>
        <w:rPr>
          <w:sz w:val="20"/>
          <w:szCs w:val="20"/>
          <w:color w:val="auto"/>
        </w:rPr>
      </w:pPr>
    </w:p>
    <w:p>
      <w:pPr>
        <w:ind w:left="90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Amendment to Employment Agreement, dated</w:t>
        </w:r>
      </w:hyperlink>
    </w:p>
    <w:p>
      <w:pPr>
        <w:ind w:left="900"/>
        <w:spacing w:after="0" w:line="234"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February 10, 2020, by and between the</w:t>
        </w:r>
      </w:hyperlink>
    </w:p>
    <w:p>
      <w:pPr>
        <w:spacing w:after="0" w:line="1" w:lineRule="exact"/>
        <w:rPr>
          <w:sz w:val="20"/>
          <w:szCs w:val="20"/>
          <w:color w:val="auto"/>
        </w:rPr>
      </w:pPr>
    </w:p>
    <w:p>
      <w:pPr>
        <w:ind w:left="90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Registrant and Debra Durso-Bumpus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23" w:name="page124"/>
    <w:bookmarkEnd w:id="123"/>
    <w:tbl>
      <w:tblPr>
        <w:tblLayout w:type="fixed"/>
        <w:tblInd w:w="40" w:type="dxa"/>
        <w:tblCellMar>
          <w:top w:w="0" w:type="dxa"/>
          <w:left w:w="0" w:type="dxa"/>
          <w:bottom w:w="0" w:type="dxa"/>
          <w:right w:w="0" w:type="dxa"/>
        </w:tblCellMar>
      </w:tblPr>
      <w:tr>
        <w:trPr>
          <w:trHeight w:val="207"/>
        </w:trPr>
        <w:tc>
          <w:tcPr>
            <w:tcW w:w="4540" w:type="dxa"/>
            <w:vAlign w:val="bottom"/>
            <w:gridSpan w:val="38"/>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938"/>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10.34#</w:t>
            </w:r>
          </w:p>
        </w:tc>
        <w:tc>
          <w:tcPr>
            <w:tcW w:w="3680" w:type="dxa"/>
            <w:vAlign w:val="bottom"/>
            <w:gridSpan w:val="36"/>
          </w:tcPr>
          <w:p>
            <w:pPr>
              <w:spacing w:after="0"/>
              <w:rPr>
                <w:rFonts w:ascii="Arial" w:cs="Arial" w:eastAsia="Arial" w:hAnsi="Arial"/>
                <w:sz w:val="18"/>
                <w:szCs w:val="18"/>
                <w:color w:val="0000EE"/>
                <w:w w:val="94"/>
              </w:rPr>
            </w:pPr>
            <w:hyperlink r:id="rId189">
              <w:r>
                <w:rPr>
                  <w:rFonts w:ascii="Arial" w:cs="Arial" w:eastAsia="Arial" w:hAnsi="Arial"/>
                  <w:sz w:val="18"/>
                  <w:szCs w:val="18"/>
                  <w:color w:val="0000EE"/>
                  <w:w w:val="94"/>
                </w:rPr>
                <w:t>Second Amendment to Employment Agreement,</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20" w:type="dxa"/>
            <w:vAlign w:val="bottom"/>
            <w:tcBorders>
              <w:top w:val="single" w:sz="8" w:color="0000EE"/>
            </w:tcBorders>
            <w:gridSpan w:val="33"/>
          </w:tcPr>
          <w:p>
            <w:pPr>
              <w:spacing w:after="0" w:line="182" w:lineRule="exact"/>
              <w:rPr>
                <w:rFonts w:ascii="Arial" w:cs="Arial" w:eastAsia="Arial" w:hAnsi="Arial"/>
                <w:sz w:val="18"/>
                <w:szCs w:val="18"/>
                <w:color w:val="0000EE"/>
                <w:w w:val="95"/>
              </w:rPr>
            </w:pPr>
            <w:hyperlink r:id="rId189">
              <w:r>
                <w:rPr>
                  <w:rFonts w:ascii="Arial" w:cs="Arial" w:eastAsia="Arial" w:hAnsi="Arial"/>
                  <w:sz w:val="18"/>
                  <w:szCs w:val="18"/>
                  <w:color w:val="0000EE"/>
                  <w:w w:val="95"/>
                </w:rPr>
                <w:t>dated December 22, 2021, by and between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Registrant and Debra Durso-Bumpus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3680" w:type="dxa"/>
            <w:vAlign w:val="bottom"/>
            <w:gridSpan w:val="36"/>
          </w:tcPr>
          <w:p>
            <w:pPr>
              <w:spacing w:after="0"/>
              <w:rPr>
                <w:rFonts w:ascii="Arial" w:cs="Arial" w:eastAsia="Arial" w:hAnsi="Arial"/>
                <w:sz w:val="18"/>
                <w:szCs w:val="18"/>
                <w:color w:val="0000EE"/>
                <w:w w:val="95"/>
              </w:rPr>
            </w:pPr>
            <w:hyperlink r:id="rId190">
              <w:r>
                <w:rPr>
                  <w:rFonts w:ascii="Arial" w:cs="Arial" w:eastAsia="Arial" w:hAnsi="Arial"/>
                  <w:sz w:val="18"/>
                  <w:szCs w:val="18"/>
                  <w:color w:val="0000EE"/>
                  <w:w w:val="95"/>
                </w:rPr>
                <w:t>Employment Agreement, effective September 1,</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7"/>
              </w:rPr>
              <w:t>September 1, 2020</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60" w:type="dxa"/>
            <w:vAlign w:val="bottom"/>
            <w:tcBorders>
              <w:top w:val="single" w:sz="8" w:color="0000EE"/>
            </w:tcBorders>
            <w:gridSpan w:val="30"/>
          </w:tcPr>
          <w:p>
            <w:pPr>
              <w:spacing w:after="0" w:line="182"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2020, by and between the Registrant and Fouad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Namouni, M.D.</w:t>
              </w:r>
            </w:hyperlink>
          </w:p>
        </w:tc>
        <w:tc>
          <w:tcPr>
            <w:tcW w:w="230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10.36#</w:t>
            </w:r>
          </w:p>
        </w:tc>
        <w:tc>
          <w:tcPr>
            <w:tcW w:w="3680" w:type="dxa"/>
            <w:vAlign w:val="bottom"/>
            <w:gridSpan w:val="36"/>
          </w:tcPr>
          <w:p>
            <w:pPr>
              <w:spacing w:after="0"/>
              <w:rPr>
                <w:rFonts w:ascii="Arial" w:cs="Arial" w:eastAsia="Arial" w:hAnsi="Arial"/>
                <w:sz w:val="18"/>
                <w:szCs w:val="18"/>
                <w:color w:val="0000EE"/>
              </w:rPr>
            </w:pPr>
            <w:hyperlink r:id="rId191">
              <w:r>
                <w:rPr>
                  <w:rFonts w:ascii="Arial" w:cs="Arial" w:eastAsia="Arial" w:hAnsi="Arial"/>
                  <w:sz w:val="18"/>
                  <w:szCs w:val="18"/>
                  <w:color w:val="0000EE"/>
                </w:rPr>
                <w:t>First Amendment to Employment Agreement,</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191">
              <w:r>
                <w:rPr>
                  <w:rFonts w:ascii="Arial" w:cs="Arial" w:eastAsia="Arial" w:hAnsi="Arial"/>
                  <w:sz w:val="18"/>
                  <w:szCs w:val="18"/>
                  <w:color w:val="0000EE"/>
                  <w:w w:val="87"/>
                </w:rPr>
                <w:t>dated December 22, 2021, by and between the</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Registrant and Fouad Namouni</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3680" w:type="dxa"/>
            <w:vAlign w:val="bottom"/>
            <w:gridSpan w:val="36"/>
          </w:tcPr>
          <w:p>
            <w:pPr>
              <w:spacing w:after="0"/>
              <w:rPr>
                <w:rFonts w:ascii="Arial" w:cs="Arial" w:eastAsia="Arial" w:hAnsi="Arial"/>
                <w:sz w:val="18"/>
                <w:szCs w:val="18"/>
                <w:color w:val="0000EE"/>
                <w:w w:val="93"/>
              </w:rPr>
            </w:pPr>
            <w:hyperlink r:id="rId192">
              <w:r>
                <w:rPr>
                  <w:rFonts w:ascii="Arial" w:cs="Arial" w:eastAsia="Arial" w:hAnsi="Arial"/>
                  <w:sz w:val="18"/>
                  <w:szCs w:val="18"/>
                  <w:color w:val="0000EE"/>
                  <w:w w:val="93"/>
                </w:rPr>
                <w:t>Amended and Restated Employment Agreement,</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7"/>
              </w:rPr>
              <w:t>January 11,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6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92">
              <w:r>
                <w:rPr>
                  <w:rFonts w:ascii="Arial" w:cs="Arial" w:eastAsia="Arial" w:hAnsi="Arial"/>
                  <w:sz w:val="18"/>
                  <w:szCs w:val="18"/>
                  <w:color w:val="0000EE"/>
                </w:rPr>
                <w:t>dated January 11, 2021, by and between the</w:t>
              </w:r>
            </w:hyperlink>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Registrant and Becker Hewes, M.D.</w:t>
              </w:r>
            </w:hyperlink>
          </w:p>
        </w:tc>
        <w:tc>
          <w:tcPr>
            <w:tcW w:w="5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10.38#</w:t>
            </w:r>
          </w:p>
        </w:tc>
        <w:tc>
          <w:tcPr>
            <w:tcW w:w="3180" w:type="dxa"/>
            <w:vAlign w:val="bottom"/>
            <w:tcBorders>
              <w:bottom w:val="single" w:sz="8" w:color="0000EE"/>
            </w:tcBorders>
            <w:gridSpan w:val="16"/>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First Amendment to Amended and Restated</w:t>
              </w:r>
            </w:hyperlink>
          </w:p>
        </w:tc>
        <w:tc>
          <w:tcPr>
            <w:tcW w:w="500" w:type="dxa"/>
            <w:vAlign w:val="bottom"/>
            <w:gridSpan w:val="20"/>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36"/>
          </w:tcPr>
          <w:p>
            <w:pPr>
              <w:spacing w:after="0" w:line="182" w:lineRule="exact"/>
              <w:rPr>
                <w:rFonts w:ascii="Arial" w:cs="Arial" w:eastAsia="Arial" w:hAnsi="Arial"/>
                <w:sz w:val="18"/>
                <w:szCs w:val="18"/>
                <w:color w:val="0000EE"/>
                <w:w w:val="99"/>
              </w:rPr>
            </w:pPr>
            <w:hyperlink r:id="rId193">
              <w:r>
                <w:rPr>
                  <w:rFonts w:ascii="Arial" w:cs="Arial" w:eastAsia="Arial" w:hAnsi="Arial"/>
                  <w:sz w:val="18"/>
                  <w:szCs w:val="18"/>
                  <w:color w:val="0000EE"/>
                  <w:w w:val="99"/>
                </w:rPr>
                <w:t>Employment Agreement, dated December 22,</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36"/>
          </w:tcPr>
          <w:p>
            <w:pPr>
              <w:spacing w:after="0" w:line="182"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2021, by and between the Registrant and Becker</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93">
              <w:r>
                <w:rPr>
                  <w:rFonts w:ascii="Arial" w:cs="Arial" w:eastAsia="Arial" w:hAnsi="Arial"/>
                  <w:sz w:val="18"/>
                  <w:szCs w:val="18"/>
                  <w:color w:val="0000EE"/>
                </w:rPr>
                <w:t>Hewes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3680" w:type="dxa"/>
            <w:vAlign w:val="bottom"/>
            <w:gridSpan w:val="36"/>
          </w:tcPr>
          <w:p>
            <w:pPr>
              <w:spacing w:after="0"/>
              <w:rPr>
                <w:rFonts w:ascii="Arial" w:cs="Arial" w:eastAsia="Arial" w:hAnsi="Arial"/>
                <w:sz w:val="18"/>
                <w:szCs w:val="18"/>
                <w:color w:val="0000EE"/>
                <w:w w:val="95"/>
              </w:rPr>
            </w:pPr>
            <w:hyperlink r:id="rId194">
              <w:r>
                <w:rPr>
                  <w:rFonts w:ascii="Arial" w:cs="Arial" w:eastAsia="Arial" w:hAnsi="Arial"/>
                  <w:sz w:val="18"/>
                  <w:szCs w:val="18"/>
                  <w:color w:val="0000EE"/>
                  <w:w w:val="95"/>
                </w:rPr>
                <w:t>Employment Agreement, effective as of May 19,</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July 29,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40" w:type="dxa"/>
            <w:vAlign w:val="bottom"/>
            <w:tcBorders>
              <w:top w:val="single" w:sz="8" w:color="0000EE"/>
            </w:tcBorders>
            <w:gridSpan w:val="34"/>
          </w:tcPr>
          <w:p>
            <w:pPr>
              <w:spacing w:after="0" w:line="182" w:lineRule="exact"/>
              <w:rPr>
                <w:rFonts w:ascii="Arial" w:cs="Arial" w:eastAsia="Arial" w:hAnsi="Arial"/>
                <w:sz w:val="18"/>
                <w:szCs w:val="18"/>
                <w:color w:val="0000EE"/>
                <w:w w:val="95"/>
              </w:rPr>
            </w:pPr>
            <w:hyperlink r:id="rId194">
              <w:r>
                <w:rPr>
                  <w:rFonts w:ascii="Arial" w:cs="Arial" w:eastAsia="Arial" w:hAnsi="Arial"/>
                  <w:sz w:val="18"/>
                  <w:szCs w:val="18"/>
                  <w:color w:val="0000EE"/>
                  <w:w w:val="95"/>
                </w:rPr>
                <w:t>2021, by and between the Registrant and Percy</w:t>
              </w:r>
            </w:hyperlink>
          </w:p>
        </w:tc>
        <w:tc>
          <w:tcPr>
            <w:tcW w:w="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Carter</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10.40#</w:t>
            </w:r>
          </w:p>
        </w:tc>
        <w:tc>
          <w:tcPr>
            <w:tcW w:w="3680" w:type="dxa"/>
            <w:vAlign w:val="bottom"/>
            <w:gridSpan w:val="36"/>
          </w:tcPr>
          <w:p>
            <w:pPr>
              <w:spacing w:after="0"/>
              <w:rPr>
                <w:rFonts w:ascii="Arial" w:cs="Arial" w:eastAsia="Arial" w:hAnsi="Arial"/>
                <w:sz w:val="18"/>
                <w:szCs w:val="18"/>
                <w:color w:val="0000EE"/>
              </w:rPr>
            </w:pPr>
            <w:hyperlink r:id="rId195">
              <w:r>
                <w:rPr>
                  <w:rFonts w:ascii="Arial" w:cs="Arial" w:eastAsia="Arial" w:hAnsi="Arial"/>
                  <w:sz w:val="18"/>
                  <w:szCs w:val="18"/>
                  <w:color w:val="0000EE"/>
                </w:rPr>
                <w:t>First Amendment to Employment Agreement,</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December 23,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195">
              <w:r>
                <w:rPr>
                  <w:rFonts w:ascii="Arial" w:cs="Arial" w:eastAsia="Arial" w:hAnsi="Arial"/>
                  <w:sz w:val="18"/>
                  <w:szCs w:val="18"/>
                  <w:color w:val="0000EE"/>
                  <w:w w:val="87"/>
                </w:rPr>
                <w:t>dated December 22, 2021, by and between the</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95">
              <w:r>
                <w:rPr>
                  <w:rFonts w:ascii="Arial" w:cs="Arial" w:eastAsia="Arial" w:hAnsi="Arial"/>
                  <w:sz w:val="18"/>
                  <w:szCs w:val="18"/>
                  <w:color w:val="0000EE"/>
                </w:rPr>
                <w:t>Registrant and Percy H. Carter</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10.41#</w:t>
            </w:r>
          </w:p>
        </w:tc>
        <w:tc>
          <w:tcPr>
            <w:tcW w:w="3680" w:type="dxa"/>
            <w:vAlign w:val="bottom"/>
            <w:gridSpan w:val="36"/>
          </w:tcPr>
          <w:p>
            <w:pPr>
              <w:spacing w:after="0"/>
              <w:rPr>
                <w:rFonts w:ascii="Arial" w:cs="Arial" w:eastAsia="Arial" w:hAnsi="Arial"/>
                <w:sz w:val="18"/>
                <w:szCs w:val="18"/>
                <w:color w:val="0000EE"/>
                <w:w w:val="93"/>
              </w:rPr>
            </w:pPr>
            <w:hyperlink r:id="rId196">
              <w:r>
                <w:rPr>
                  <w:rFonts w:ascii="Arial" w:cs="Arial" w:eastAsia="Arial" w:hAnsi="Arial"/>
                  <w:sz w:val="18"/>
                  <w:szCs w:val="18"/>
                  <w:color w:val="0000EE"/>
                  <w:w w:val="93"/>
                </w:rPr>
                <w:t>Amended and Restated Employment Agreement,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7"/>
              </w:rPr>
              <w:t>January 20, 2022</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60" w:type="dxa"/>
            <w:vAlign w:val="bottom"/>
            <w:tcBorders>
              <w:top w:val="single" w:sz="8" w:color="0000EE"/>
            </w:tcBorders>
            <w:gridSpan w:val="35"/>
          </w:tcPr>
          <w:p>
            <w:pPr>
              <w:spacing w:after="0" w:line="182" w:lineRule="exact"/>
              <w:rPr>
                <w:rFonts w:ascii="Arial" w:cs="Arial" w:eastAsia="Arial" w:hAnsi="Arial"/>
                <w:sz w:val="18"/>
                <w:szCs w:val="18"/>
                <w:color w:val="0000EE"/>
                <w:w w:val="95"/>
              </w:rPr>
            </w:pPr>
            <w:hyperlink r:id="rId196">
              <w:r>
                <w:rPr>
                  <w:rFonts w:ascii="Arial" w:cs="Arial" w:eastAsia="Arial" w:hAnsi="Arial"/>
                  <w:sz w:val="18"/>
                  <w:szCs w:val="18"/>
                  <w:color w:val="0000EE"/>
                  <w:w w:val="95"/>
                </w:rPr>
                <w:t>dated January 19, 2022 and effective as of April</w:t>
              </w:r>
            </w:hyperlink>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Borders>
              <w:top w:val="single" w:sz="8" w:color="0000EE"/>
            </w:tcBorders>
            <w:gridSpan w:val="27"/>
          </w:tcPr>
          <w:p>
            <w:pPr>
              <w:spacing w:after="0" w:line="182" w:lineRule="exact"/>
              <w:rPr>
                <w:rFonts w:ascii="Arial" w:cs="Arial" w:eastAsia="Arial" w:hAnsi="Arial"/>
                <w:sz w:val="18"/>
                <w:szCs w:val="18"/>
                <w:color w:val="0000EE"/>
                <w:w w:val="99"/>
              </w:rPr>
            </w:pPr>
            <w:hyperlink r:id="rId196">
              <w:r>
                <w:rPr>
                  <w:rFonts w:ascii="Arial" w:cs="Arial" w:eastAsia="Arial" w:hAnsi="Arial"/>
                  <w:sz w:val="18"/>
                  <w:szCs w:val="18"/>
                  <w:color w:val="0000EE"/>
                  <w:w w:val="99"/>
                </w:rPr>
                <w:t>4, 2022, by and between the Registrant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Philina Lee</w:t>
              </w:r>
            </w:hyperlink>
          </w:p>
        </w:tc>
        <w:tc>
          <w:tcPr>
            <w:tcW w:w="2280" w:type="dxa"/>
            <w:vAlign w:val="bottom"/>
            <w:tcBorders>
              <w:top w:val="single" w:sz="8" w:color="0000EE"/>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10.42†</w:t>
            </w:r>
          </w:p>
        </w:tc>
        <w:tc>
          <w:tcPr>
            <w:tcW w:w="3680" w:type="dxa"/>
            <w:vAlign w:val="bottom"/>
            <w:gridSpan w:val="36"/>
          </w:tcPr>
          <w:p>
            <w:pPr>
              <w:spacing w:after="0"/>
              <w:rPr>
                <w:rFonts w:ascii="Arial" w:cs="Arial" w:eastAsia="Arial" w:hAnsi="Arial"/>
                <w:sz w:val="18"/>
                <w:szCs w:val="18"/>
                <w:color w:val="0000EE"/>
                <w:w w:val="96"/>
              </w:rPr>
            </w:pPr>
            <w:hyperlink r:id="rId197">
              <w:r>
                <w:rPr>
                  <w:rFonts w:ascii="Arial" w:cs="Arial" w:eastAsia="Arial" w:hAnsi="Arial"/>
                  <w:sz w:val="18"/>
                  <w:szCs w:val="18"/>
                  <w:color w:val="0000EE"/>
                  <w:w w:val="96"/>
                </w:rPr>
                <w:t>Collaboration and License Agreement, effective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July 22, 2016</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March 14, 2016, by and among F. Hoffmann-La</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20" w:type="dxa"/>
            <w:vAlign w:val="bottom"/>
            <w:gridSpan w:val="28"/>
          </w:tcPr>
          <w:p>
            <w:pPr>
              <w:spacing w:after="0" w:line="182" w:lineRule="exact"/>
              <w:rPr>
                <w:rFonts w:ascii="Arial" w:cs="Arial" w:eastAsia="Arial" w:hAnsi="Arial"/>
                <w:sz w:val="18"/>
                <w:szCs w:val="18"/>
                <w:color w:val="0000EE"/>
                <w:w w:val="99"/>
              </w:rPr>
            </w:pPr>
            <w:hyperlink r:id="rId197">
              <w:r>
                <w:rPr>
                  <w:rFonts w:ascii="Arial" w:cs="Arial" w:eastAsia="Arial" w:hAnsi="Arial"/>
                  <w:sz w:val="18"/>
                  <w:szCs w:val="18"/>
                  <w:color w:val="0000EE"/>
                  <w:w w:val="99"/>
                </w:rPr>
                <w:t>Roche Ltd, Hoffmann-La Roche Inc. and the</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88"/>
              </w:rPr>
            </w:pPr>
            <w:hyperlink r:id="rId197">
              <w:r>
                <w:rPr>
                  <w:rFonts w:ascii="Arial" w:cs="Arial" w:eastAsia="Arial" w:hAnsi="Arial"/>
                  <w:sz w:val="18"/>
                  <w:szCs w:val="18"/>
                  <w:color w:val="0000EE"/>
                  <w:w w:val="88"/>
                </w:rPr>
                <w:t>Registrant, as amended by Amendment to</w:t>
              </w:r>
            </w:hyperlink>
          </w:p>
        </w:tc>
        <w:tc>
          <w:tcPr>
            <w:tcW w:w="20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36"/>
          </w:tcPr>
          <w:p>
            <w:pPr>
              <w:spacing w:after="0" w:line="182" w:lineRule="exact"/>
              <w:rPr>
                <w:rFonts w:ascii="Arial" w:cs="Arial" w:eastAsia="Arial" w:hAnsi="Arial"/>
                <w:sz w:val="18"/>
                <w:szCs w:val="18"/>
                <w:color w:val="0000EE"/>
                <w:w w:val="96"/>
              </w:rPr>
            </w:pPr>
            <w:hyperlink r:id="rId197">
              <w:r>
                <w:rPr>
                  <w:rFonts w:ascii="Arial" w:cs="Arial" w:eastAsia="Arial" w:hAnsi="Arial"/>
                  <w:sz w:val="18"/>
                  <w:szCs w:val="18"/>
                  <w:color w:val="0000EE"/>
                  <w:w w:val="96"/>
                </w:rPr>
                <w:t>Collaboration and License Agreement, effective</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April 15, 2016</w:t>
              </w:r>
            </w:hyperlink>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10.43†</w:t>
            </w:r>
          </w:p>
        </w:tc>
        <w:tc>
          <w:tcPr>
            <w:tcW w:w="3680" w:type="dxa"/>
            <w:vAlign w:val="bottom"/>
            <w:gridSpan w:val="36"/>
          </w:tcPr>
          <w:p>
            <w:pPr>
              <w:spacing w:after="0"/>
              <w:rPr>
                <w:rFonts w:ascii="Arial" w:cs="Arial" w:eastAsia="Arial" w:hAnsi="Arial"/>
                <w:sz w:val="18"/>
                <w:szCs w:val="18"/>
                <w:color w:val="0000EE"/>
              </w:rPr>
            </w:pPr>
            <w:hyperlink r:id="rId198">
              <w:r>
                <w:rPr>
                  <w:rFonts w:ascii="Arial" w:cs="Arial" w:eastAsia="Arial" w:hAnsi="Arial"/>
                  <w:sz w:val="18"/>
                  <w:szCs w:val="18"/>
                  <w:color w:val="0000EE"/>
                </w:rPr>
                <w:t>Second Amendment to Collaboration and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August 9, 2016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36"/>
          </w:tcPr>
          <w:p>
            <w:pPr>
              <w:spacing w:after="0" w:line="182"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License Agreement, effective April 27, 2016, by</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and among F. Hoffmann-La Roche Ltd,</w:t>
              </w:r>
            </w:hyperlink>
          </w:p>
        </w:tc>
        <w:tc>
          <w:tcPr>
            <w:tcW w:w="760" w:type="dxa"/>
            <w:vAlign w:val="bottom"/>
            <w:tcBorders>
              <w:top w:val="single" w:sz="8" w:color="0000EE"/>
            </w:tcBorders>
            <w:gridSpan w:val="22"/>
          </w:tcPr>
          <w:p>
            <w:pPr>
              <w:spacing w:after="0"/>
              <w:rPr>
                <w:sz w:val="15"/>
                <w:szCs w:val="15"/>
                <w:color w:val="auto"/>
              </w:rPr>
            </w:pPr>
          </w:p>
        </w:tc>
        <w:tc>
          <w:tcPr>
            <w:tcW w:w="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80" w:type="dxa"/>
            <w:vAlign w:val="bottom"/>
            <w:tcBorders>
              <w:bottom w:val="single" w:sz="8" w:color="0000EE"/>
            </w:tcBorders>
            <w:gridSpan w:val="16"/>
          </w:tcPr>
          <w:p>
            <w:pPr>
              <w:spacing w:after="0" w:line="182"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Hoffmann-La Roche Inc. and the Registrant</w:t>
              </w:r>
            </w:hyperlink>
          </w:p>
        </w:tc>
        <w:tc>
          <w:tcPr>
            <w:tcW w:w="50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10.44</w:t>
            </w:r>
          </w:p>
        </w:tc>
        <w:tc>
          <w:tcPr>
            <w:tcW w:w="3680" w:type="dxa"/>
            <w:vAlign w:val="bottom"/>
            <w:gridSpan w:val="36"/>
          </w:tcPr>
          <w:p>
            <w:pPr>
              <w:spacing w:after="0"/>
              <w:rPr>
                <w:rFonts w:ascii="Arial" w:cs="Arial" w:eastAsia="Arial" w:hAnsi="Arial"/>
                <w:sz w:val="18"/>
                <w:szCs w:val="18"/>
                <w:color w:val="0000EE"/>
                <w:w w:val="97"/>
              </w:rPr>
            </w:pPr>
            <w:hyperlink r:id="rId199">
              <w:r>
                <w:rPr>
                  <w:rFonts w:ascii="Arial" w:cs="Arial" w:eastAsia="Arial" w:hAnsi="Arial"/>
                  <w:sz w:val="18"/>
                  <w:szCs w:val="18"/>
                  <w:color w:val="0000EE"/>
                  <w:w w:val="97"/>
                </w:rPr>
                <w:t>Third Amendment to Collaboration and License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November 10, 2016</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tcBorders>
              <w:top w:val="single" w:sz="8" w:color="0000EE"/>
            </w:tcBorders>
            <w:gridSpan w:val="29"/>
          </w:tcPr>
          <w:p>
            <w:pPr>
              <w:spacing w:after="0" w:line="182" w:lineRule="exact"/>
              <w:rPr>
                <w:rFonts w:ascii="Arial" w:cs="Arial" w:eastAsia="Arial" w:hAnsi="Arial"/>
                <w:sz w:val="18"/>
                <w:szCs w:val="18"/>
                <w:color w:val="0000EE"/>
                <w:w w:val="99"/>
              </w:rPr>
            </w:pPr>
            <w:hyperlink r:id="rId199">
              <w:r>
                <w:rPr>
                  <w:rFonts w:ascii="Arial" w:cs="Arial" w:eastAsia="Arial" w:hAnsi="Arial"/>
                  <w:sz w:val="18"/>
                  <w:szCs w:val="18"/>
                  <w:color w:val="0000EE"/>
                  <w:w w:val="99"/>
                </w:rPr>
                <w:t>Agreement, effective August 4, 2016, by and</w:t>
              </w:r>
            </w:hyperlink>
          </w:p>
        </w:tc>
        <w:tc>
          <w:tcPr>
            <w:tcW w:w="14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00" w:type="dxa"/>
            <w:vAlign w:val="bottom"/>
            <w:tcBorders>
              <w:top w:val="single" w:sz="8" w:color="0000EE"/>
            </w:tcBorders>
            <w:gridSpan w:val="18"/>
          </w:tcPr>
          <w:p>
            <w:pPr>
              <w:spacing w:after="0" w:line="182"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among F. Hoffmann-La Roche Ltd, Hoffmann</w:t>
              </w:r>
            </w:hyperlink>
          </w:p>
        </w:tc>
        <w:tc>
          <w:tcPr>
            <w:tcW w:w="120" w:type="dxa"/>
            <w:vAlign w:val="bottom"/>
            <w:gridSpan w:val="5"/>
          </w:tcPr>
          <w:p>
            <w:pPr>
              <w:jc w:val="right"/>
              <w:ind w:right="40"/>
              <w:spacing w:after="0" w:line="182" w:lineRule="exact"/>
              <w:rPr>
                <w:rFonts w:ascii="Arial" w:cs="Arial" w:eastAsia="Arial" w:hAnsi="Arial"/>
                <w:sz w:val="18"/>
                <w:szCs w:val="18"/>
                <w:color w:val="0000EE"/>
                <w:w w:val="99"/>
              </w:rPr>
            </w:pPr>
            <w:hyperlink r:id="rId199">
              <w:r>
                <w:rPr>
                  <w:rFonts w:ascii="Arial" w:cs="Arial" w:eastAsia="Arial" w:hAnsi="Arial"/>
                  <w:sz w:val="18"/>
                  <w:szCs w:val="18"/>
                  <w:color w:val="0000EE"/>
                  <w:w w:val="99"/>
                </w:rPr>
                <w:t>-</w:t>
              </w:r>
            </w:hyperlink>
          </w:p>
        </w:tc>
        <w:tc>
          <w:tcPr>
            <w:tcW w:w="26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La Roche Inc. and the Registrant</w:t>
              </w:r>
            </w:hyperlink>
          </w:p>
        </w:tc>
        <w:tc>
          <w:tcPr>
            <w:tcW w:w="100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10.45†</w:t>
            </w:r>
          </w:p>
        </w:tc>
        <w:tc>
          <w:tcPr>
            <w:tcW w:w="3680" w:type="dxa"/>
            <w:vAlign w:val="bottom"/>
            <w:tcBorders>
              <w:bottom w:val="single" w:sz="8" w:color="0000EE"/>
            </w:tcBorders>
            <w:gridSpan w:val="36"/>
          </w:tcPr>
          <w:p>
            <w:pPr>
              <w:spacing w:after="0"/>
              <w:rPr>
                <w:rFonts w:ascii="Arial" w:cs="Arial" w:eastAsia="Arial" w:hAnsi="Arial"/>
                <w:sz w:val="18"/>
                <w:szCs w:val="18"/>
                <w:color w:val="0000EE"/>
                <w:w w:val="94"/>
              </w:rPr>
            </w:pPr>
            <w:hyperlink r:id="rId200">
              <w:r>
                <w:rPr>
                  <w:rFonts w:ascii="Arial" w:cs="Arial" w:eastAsia="Arial" w:hAnsi="Arial"/>
                  <w:sz w:val="18"/>
                  <w:szCs w:val="18"/>
                  <w:color w:val="0000EE"/>
                  <w:w w:val="94"/>
                </w:rPr>
                <w:t>Fourth Amendment to Collaboration and License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February 26,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36"/>
          </w:tcPr>
          <w:p>
            <w:pPr>
              <w:spacing w:after="0" w:line="182"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Agreement, effective February 25, 2019, by and</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Borders>
              <w:top w:val="single" w:sz="8" w:color="0000EE"/>
            </w:tcBorders>
            <w:gridSpan w:val="27"/>
          </w:tcPr>
          <w:p>
            <w:pPr>
              <w:spacing w:after="0" w:line="182"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among F. Hoffmann-La Roche Ltd, Hoffmann-</w:t>
              </w:r>
            </w:hyperlink>
          </w:p>
        </w:tc>
        <w:tc>
          <w:tcPr>
            <w:tcW w:w="18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La Roche Inc. and the Registrant</w:t>
              </w:r>
            </w:hyperlink>
          </w:p>
        </w:tc>
        <w:tc>
          <w:tcPr>
            <w:tcW w:w="100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10.46††</w:t>
            </w:r>
          </w:p>
        </w:tc>
        <w:tc>
          <w:tcPr>
            <w:tcW w:w="3680" w:type="dxa"/>
            <w:vAlign w:val="bottom"/>
            <w:gridSpan w:val="36"/>
          </w:tcPr>
          <w:p>
            <w:pPr>
              <w:spacing w:after="0"/>
              <w:rPr>
                <w:rFonts w:ascii="Arial" w:cs="Arial" w:eastAsia="Arial" w:hAnsi="Arial"/>
                <w:sz w:val="18"/>
                <w:szCs w:val="18"/>
                <w:color w:val="0000EE"/>
                <w:w w:val="98"/>
              </w:rPr>
            </w:pPr>
            <w:hyperlink r:id="rId201">
              <w:r>
                <w:rPr>
                  <w:rFonts w:ascii="Arial" w:cs="Arial" w:eastAsia="Arial" w:hAnsi="Arial"/>
                  <w:sz w:val="18"/>
                  <w:szCs w:val="18"/>
                  <w:color w:val="0000EE"/>
                  <w:w w:val="98"/>
                </w:rPr>
                <w:t>Fifth Amendment to Collaboration and License</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001-37359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2"/>
              </w:rPr>
              <w:t>July 3,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tcBorders>
              <w:top w:val="single" w:sz="8" w:color="0000EE"/>
            </w:tcBorders>
            <w:gridSpan w:val="23"/>
          </w:tcPr>
          <w:p>
            <w:pPr>
              <w:spacing w:after="0" w:line="182" w:lineRule="exact"/>
              <w:rPr>
                <w:rFonts w:ascii="Arial" w:cs="Arial" w:eastAsia="Arial" w:hAnsi="Arial"/>
                <w:sz w:val="18"/>
                <w:szCs w:val="18"/>
                <w:color w:val="0000EE"/>
                <w:w w:val="97"/>
              </w:rPr>
            </w:pPr>
            <w:hyperlink r:id="rId201">
              <w:r>
                <w:rPr>
                  <w:rFonts w:ascii="Arial" w:cs="Arial" w:eastAsia="Arial" w:hAnsi="Arial"/>
                  <w:sz w:val="18"/>
                  <w:szCs w:val="18"/>
                  <w:color w:val="0000EE"/>
                  <w:w w:val="97"/>
                </w:rPr>
                <w:t>Agreement, effective June 28, 2019, by and</w:t>
              </w:r>
            </w:hyperlink>
          </w:p>
        </w:tc>
        <w:tc>
          <w:tcPr>
            <w:tcW w:w="26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40" w:type="dxa"/>
            <w:vAlign w:val="bottom"/>
            <w:tcBorders>
              <w:top w:val="single" w:sz="8" w:color="0000EE"/>
            </w:tcBorders>
            <w:gridSpan w:val="14"/>
          </w:tcPr>
          <w:p>
            <w:pPr>
              <w:spacing w:after="0" w:line="182" w:lineRule="exact"/>
              <w:rPr>
                <w:rFonts w:ascii="Arial" w:cs="Arial" w:eastAsia="Arial" w:hAnsi="Arial"/>
                <w:sz w:val="18"/>
                <w:szCs w:val="18"/>
                <w:color w:val="0000EE"/>
                <w:w w:val="86"/>
              </w:rPr>
            </w:pPr>
            <w:hyperlink r:id="rId201">
              <w:r>
                <w:rPr>
                  <w:rFonts w:ascii="Arial" w:cs="Arial" w:eastAsia="Arial" w:hAnsi="Arial"/>
                  <w:sz w:val="18"/>
                  <w:szCs w:val="18"/>
                  <w:color w:val="0000EE"/>
                  <w:w w:val="86"/>
                </w:rPr>
                <w:t>among F. Hoffmann-La Roche Ltd, Hoffmann</w:t>
              </w:r>
            </w:hyperlink>
          </w:p>
        </w:tc>
        <w:tc>
          <w:tcPr>
            <w:tcW w:w="540" w:type="dxa"/>
            <w:vAlign w:val="bottom"/>
            <w:gridSpan w:val="22"/>
          </w:tcPr>
          <w:p>
            <w:pPr>
              <w:jc w:val="right"/>
              <w:ind w:right="300"/>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w:t>
              </w:r>
            </w:hyperlink>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La Roche Inc. and the Registrant</w:t>
              </w:r>
            </w:hyperlink>
          </w:p>
        </w:tc>
        <w:tc>
          <w:tcPr>
            <w:tcW w:w="30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57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Borders>
              <w:top w:val="single" w:sz="8" w:color="0000EE"/>
            </w:tcBorders>
            <w:gridSpan w:val="7"/>
          </w:tcPr>
          <w:p>
            <w:pPr>
              <w:spacing w:after="0"/>
              <w:rPr>
                <w:sz w:val="24"/>
                <w:szCs w:val="24"/>
                <w:color w:val="auto"/>
              </w:rPr>
            </w:pPr>
          </w:p>
        </w:tc>
        <w:tc>
          <w:tcPr>
            <w:tcW w:w="1980" w:type="dxa"/>
            <w:vAlign w:val="bottom"/>
            <w:gridSpan w:val="30"/>
          </w:tcPr>
          <w:p>
            <w:pPr>
              <w:jc w:val="right"/>
              <w:ind w:right="510"/>
              <w:spacing w:after="0"/>
              <w:rPr>
                <w:sz w:val="20"/>
                <w:szCs w:val="20"/>
                <w:color w:val="auto"/>
              </w:rPr>
            </w:pPr>
            <w:r>
              <w:rPr>
                <w:rFonts w:ascii="Arial" w:cs="Arial" w:eastAsia="Arial" w:hAnsi="Arial"/>
                <w:sz w:val="18"/>
                <w:szCs w:val="18"/>
                <w:color w:val="auto"/>
              </w:rPr>
              <w:t>122</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4" w:name="page125"/>
    <w:bookmarkEnd w:id="12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20" w:type="dxa"/>
            <w:vAlign w:val="bottom"/>
            <w:gridSpan w:val="43"/>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939"/>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10.47††</w:t>
            </w:r>
          </w:p>
        </w:tc>
        <w:tc>
          <w:tcPr>
            <w:tcW w:w="3760" w:type="dxa"/>
            <w:vAlign w:val="bottom"/>
            <w:gridSpan w:val="41"/>
          </w:tcPr>
          <w:p>
            <w:pPr>
              <w:spacing w:after="0"/>
              <w:rPr>
                <w:rFonts w:ascii="Arial" w:cs="Arial" w:eastAsia="Arial" w:hAnsi="Arial"/>
                <w:sz w:val="18"/>
                <w:szCs w:val="18"/>
                <w:color w:val="0000EE"/>
                <w:w w:val="99"/>
              </w:rPr>
            </w:pPr>
            <w:hyperlink r:id="rId202">
              <w:r>
                <w:rPr>
                  <w:rFonts w:ascii="Arial" w:cs="Arial" w:eastAsia="Arial" w:hAnsi="Arial"/>
                  <w:sz w:val="18"/>
                  <w:szCs w:val="18"/>
                  <w:color w:val="0000EE"/>
                  <w:w w:val="99"/>
                </w:rPr>
                <w:t>Sixth Amendment to Collaboration and License</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November 5, 2019</w:t>
            </w: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Agreement, effective November 1, 2019, by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gridSpan w:val="33"/>
          </w:tcPr>
          <w:p>
            <w:pPr>
              <w:spacing w:after="0" w:line="182" w:lineRule="exact"/>
              <w:rPr>
                <w:rFonts w:ascii="Arial" w:cs="Arial" w:eastAsia="Arial" w:hAnsi="Arial"/>
                <w:sz w:val="18"/>
                <w:szCs w:val="18"/>
                <w:color w:val="0000EE"/>
                <w:w w:val="96"/>
              </w:rPr>
            </w:pPr>
            <w:hyperlink r:id="rId202">
              <w:r>
                <w:rPr>
                  <w:rFonts w:ascii="Arial" w:cs="Arial" w:eastAsia="Arial" w:hAnsi="Arial"/>
                  <w:sz w:val="18"/>
                  <w:szCs w:val="18"/>
                  <w:color w:val="0000EE"/>
                  <w:w w:val="96"/>
                </w:rPr>
                <w:t>among F. Hoffmann-La Roche Ltd, Hoffmann-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202">
              <w:r>
                <w:rPr>
                  <w:rFonts w:ascii="Arial" w:cs="Arial" w:eastAsia="Arial" w:hAnsi="Arial"/>
                  <w:sz w:val="18"/>
                  <w:szCs w:val="18"/>
                  <w:color w:val="0000EE"/>
                </w:rPr>
                <w:t>La Roche Inc. and the Registrant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10.48††</w:t>
            </w:r>
          </w:p>
        </w:tc>
        <w:tc>
          <w:tcPr>
            <w:tcW w:w="3040" w:type="dxa"/>
            <w:vAlign w:val="bottom"/>
            <w:tcBorders>
              <w:bottom w:val="single" w:sz="8" w:color="0000EE"/>
            </w:tcBorders>
            <w:gridSpan w:val="14"/>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Seventh Amendment to Collaboration and</w:t>
              </w:r>
            </w:hyperlink>
          </w:p>
        </w:tc>
        <w:tc>
          <w:tcPr>
            <w:tcW w:w="720" w:type="dxa"/>
            <w:vAlign w:val="bottom"/>
            <w:gridSpan w:val="27"/>
          </w:tcPr>
          <w:p>
            <w:pPr>
              <w:spacing w:after="0"/>
              <w:rPr>
                <w:sz w:val="21"/>
                <w:szCs w:val="21"/>
                <w:color w:val="auto"/>
              </w:rPr>
            </w:pPr>
          </w:p>
        </w:tc>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December 20,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41"/>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License Agreement, effective December 17,</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60" w:type="dxa"/>
            <w:vAlign w:val="bottom"/>
            <w:tcBorders>
              <w:top w:val="single" w:sz="8" w:color="0000EE"/>
            </w:tcBorders>
            <w:gridSpan w:val="18"/>
          </w:tcPr>
          <w:p>
            <w:pPr>
              <w:spacing w:after="0" w:line="182"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2019, by and among F. Hoffmann-La Roche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0"/>
          </w:tcPr>
          <w:p>
            <w:pPr>
              <w:jc w:val="center"/>
              <w:ind w:right="240"/>
              <w:spacing w:after="0" w:line="182" w:lineRule="exact"/>
              <w:rPr>
                <w:rFonts w:ascii="Arial" w:cs="Arial" w:eastAsia="Arial" w:hAnsi="Arial"/>
                <w:sz w:val="18"/>
                <w:szCs w:val="18"/>
                <w:color w:val="0000EE"/>
                <w:w w:val="93"/>
              </w:rPr>
            </w:pPr>
            <w:hyperlink r:id="rId203">
              <w:r>
                <w:rPr>
                  <w:rFonts w:ascii="Arial" w:cs="Arial" w:eastAsia="Arial" w:hAnsi="Arial"/>
                  <w:sz w:val="18"/>
                  <w:szCs w:val="18"/>
                  <w:color w:val="0000EE"/>
                  <w:w w:val="93"/>
                </w:rPr>
                <w:t>Ltd,</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Hoffmann-La Roche Inc. and the Registrant</w:t>
              </w:r>
            </w:hyperlink>
          </w:p>
        </w:tc>
        <w:tc>
          <w:tcPr>
            <w:tcW w:w="42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10.49††</w:t>
            </w:r>
          </w:p>
        </w:tc>
        <w:tc>
          <w:tcPr>
            <w:tcW w:w="3760" w:type="dxa"/>
            <w:vAlign w:val="bottom"/>
            <w:gridSpan w:val="41"/>
          </w:tcPr>
          <w:p>
            <w:pPr>
              <w:spacing w:after="0"/>
              <w:rPr>
                <w:rFonts w:ascii="Arial" w:cs="Arial" w:eastAsia="Arial" w:hAnsi="Arial"/>
                <w:sz w:val="18"/>
                <w:szCs w:val="18"/>
                <w:color w:val="0000EE"/>
                <w:w w:val="96"/>
              </w:rPr>
            </w:pPr>
            <w:hyperlink r:id="rId204">
              <w:r>
                <w:rPr>
                  <w:rFonts w:ascii="Arial" w:cs="Arial" w:eastAsia="Arial" w:hAnsi="Arial"/>
                  <w:sz w:val="18"/>
                  <w:szCs w:val="18"/>
                  <w:color w:val="0000EE"/>
                  <w:w w:val="96"/>
                </w:rPr>
                <w:t>Eighth Amendment to Collaboration and License</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May 6, 2020</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6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Agreement, effective April 30, 2020, by and</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80" w:type="dxa"/>
            <w:vAlign w:val="bottom"/>
            <w:tcBorders>
              <w:top w:val="single" w:sz="8" w:color="0000EE"/>
            </w:tcBorders>
            <w:gridSpan w:val="19"/>
          </w:tcPr>
          <w:p>
            <w:pPr>
              <w:spacing w:after="0" w:line="182" w:lineRule="exact"/>
              <w:rPr>
                <w:rFonts w:ascii="Arial" w:cs="Arial" w:eastAsia="Arial" w:hAnsi="Arial"/>
                <w:sz w:val="18"/>
                <w:szCs w:val="18"/>
                <w:color w:val="0000EE"/>
                <w:w w:val="87"/>
              </w:rPr>
            </w:pPr>
            <w:hyperlink r:id="rId204">
              <w:r>
                <w:rPr>
                  <w:rFonts w:ascii="Arial" w:cs="Arial" w:eastAsia="Arial" w:hAnsi="Arial"/>
                  <w:sz w:val="18"/>
                  <w:szCs w:val="18"/>
                  <w:color w:val="0000EE"/>
                  <w:w w:val="87"/>
                </w:rPr>
                <w:t>among F. Hoffmann-La Roche Ltd, Hoffmann</w:t>
              </w:r>
            </w:hyperlink>
          </w:p>
        </w:tc>
        <w:tc>
          <w:tcPr>
            <w:tcW w:w="220" w:type="dxa"/>
            <w:vAlign w:val="bottom"/>
            <w:gridSpan w:val="7"/>
          </w:tcPr>
          <w:p>
            <w:pPr>
              <w:jc w:val="center"/>
              <w:ind w:left="30"/>
              <w:spacing w:after="0" w:line="182" w:lineRule="exact"/>
              <w:rPr>
                <w:rFonts w:ascii="Arial" w:cs="Arial" w:eastAsia="Arial" w:hAnsi="Arial"/>
                <w:sz w:val="18"/>
                <w:szCs w:val="18"/>
                <w:color w:val="0000EE"/>
                <w:w w:val="99"/>
              </w:rPr>
            </w:pPr>
            <w:hyperlink r:id="rId204">
              <w:r>
                <w:rPr>
                  <w:rFonts w:ascii="Arial" w:cs="Arial" w:eastAsia="Arial" w:hAnsi="Arial"/>
                  <w:sz w:val="18"/>
                  <w:szCs w:val="18"/>
                  <w:color w:val="0000EE"/>
                  <w:w w:val="99"/>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La Roche Inc. and the Registrant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10.50††</w:t>
            </w:r>
          </w:p>
        </w:tc>
        <w:tc>
          <w:tcPr>
            <w:tcW w:w="3760" w:type="dxa"/>
            <w:vAlign w:val="bottom"/>
            <w:gridSpan w:val="41"/>
          </w:tcPr>
          <w:p>
            <w:pPr>
              <w:spacing w:after="0"/>
              <w:rPr>
                <w:rFonts w:ascii="Arial" w:cs="Arial" w:eastAsia="Arial" w:hAnsi="Arial"/>
                <w:sz w:val="18"/>
                <w:szCs w:val="18"/>
                <w:color w:val="0000EE"/>
                <w:w w:val="99"/>
              </w:rPr>
            </w:pPr>
            <w:hyperlink r:id="rId205">
              <w:r>
                <w:rPr>
                  <w:rFonts w:ascii="Arial" w:cs="Arial" w:eastAsia="Arial" w:hAnsi="Arial"/>
                  <w:sz w:val="18"/>
                  <w:szCs w:val="18"/>
                  <w:color w:val="0000EE"/>
                  <w:w w:val="99"/>
                </w:rPr>
                <w:t>Ninth Amendment to Collaboration and License</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February 17, 2021</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20" w:type="dxa"/>
            <w:vAlign w:val="bottom"/>
            <w:tcBorders>
              <w:top w:val="single" w:sz="8" w:color="0000EE"/>
            </w:tcBorders>
            <w:gridSpan w:val="32"/>
          </w:tcPr>
          <w:p>
            <w:pPr>
              <w:spacing w:after="0" w:line="182" w:lineRule="exact"/>
              <w:rPr>
                <w:rFonts w:ascii="Arial" w:cs="Arial" w:eastAsia="Arial" w:hAnsi="Arial"/>
                <w:sz w:val="18"/>
                <w:szCs w:val="18"/>
                <w:color w:val="0000EE"/>
                <w:w w:val="96"/>
              </w:rPr>
            </w:pPr>
            <w:hyperlink r:id="rId205">
              <w:r>
                <w:rPr>
                  <w:rFonts w:ascii="Arial" w:cs="Arial" w:eastAsia="Arial" w:hAnsi="Arial"/>
                  <w:sz w:val="18"/>
                  <w:szCs w:val="18"/>
                  <w:color w:val="0000EE"/>
                  <w:w w:val="96"/>
                </w:rPr>
                <w:t>Agreement, effective January 8, 2021, by and</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Borders>
              <w:top w:val="single" w:sz="8" w:color="0000EE"/>
            </w:tcBorders>
            <w:gridSpan w:val="23"/>
          </w:tcPr>
          <w:p>
            <w:pPr>
              <w:spacing w:after="0" w:line="182"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among F. Hoffmann-La Roche Ltd, Hoffmann</w:t>
              </w:r>
            </w:hyperlink>
          </w:p>
        </w:tc>
        <w:tc>
          <w:tcPr>
            <w:tcW w:w="120" w:type="dxa"/>
            <w:vAlign w:val="bottom"/>
            <w:gridSpan w:val="3"/>
          </w:tcPr>
          <w:p>
            <w:pPr>
              <w:jc w:val="center"/>
              <w:spacing w:after="0" w:line="182" w:lineRule="exact"/>
              <w:rPr>
                <w:rFonts w:ascii="Arial" w:cs="Arial" w:eastAsia="Arial" w:hAnsi="Arial"/>
                <w:sz w:val="18"/>
                <w:szCs w:val="18"/>
                <w:color w:val="0000EE"/>
                <w:w w:val="99"/>
              </w:rPr>
            </w:pPr>
            <w:hyperlink r:id="rId205">
              <w:r>
                <w:rPr>
                  <w:rFonts w:ascii="Arial" w:cs="Arial" w:eastAsia="Arial" w:hAnsi="Arial"/>
                  <w:sz w:val="18"/>
                  <w:szCs w:val="18"/>
                  <w:color w:val="0000EE"/>
                  <w:w w:val="99"/>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La Roche Inc. and the Registrant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10.51††</w:t>
            </w:r>
          </w:p>
        </w:tc>
        <w:tc>
          <w:tcPr>
            <w:tcW w:w="3320" w:type="dxa"/>
            <w:vAlign w:val="bottom"/>
            <w:tcBorders>
              <w:bottom w:val="single" w:sz="8" w:color="0000EE"/>
            </w:tcBorders>
            <w:gridSpan w:val="24"/>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Collaboration Agreement, dated as of July 13,</w:t>
              </w:r>
            </w:hyperlink>
          </w:p>
        </w:tc>
        <w:tc>
          <w:tcPr>
            <w:tcW w:w="440" w:type="dxa"/>
            <w:vAlign w:val="bottom"/>
            <w:gridSpan w:val="17"/>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July 30, 2020</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41"/>
          </w:tcPr>
          <w:p>
            <w:pPr>
              <w:spacing w:after="0" w:line="182" w:lineRule="exact"/>
              <w:rPr>
                <w:rFonts w:ascii="Arial" w:cs="Arial" w:eastAsia="Arial" w:hAnsi="Arial"/>
                <w:sz w:val="18"/>
                <w:szCs w:val="18"/>
                <w:color w:val="0000EE"/>
                <w:w w:val="96"/>
              </w:rPr>
            </w:pPr>
            <w:hyperlink r:id="rId206">
              <w:r>
                <w:rPr>
                  <w:rFonts w:ascii="Arial" w:cs="Arial" w:eastAsia="Arial" w:hAnsi="Arial"/>
                  <w:sz w:val="18"/>
                  <w:szCs w:val="18"/>
                  <w:color w:val="0000EE"/>
                  <w:w w:val="96"/>
                </w:rPr>
                <w:t>2020, by and among F. Hoffmann-La Roche Ltd,</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8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Genentech, Inc. and the Registrant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10.52†</w:t>
            </w:r>
          </w:p>
        </w:tc>
        <w:tc>
          <w:tcPr>
            <w:tcW w:w="3240" w:type="dxa"/>
            <w:vAlign w:val="bottom"/>
            <w:tcBorders>
              <w:bottom w:val="single" w:sz="8" w:color="0000EE"/>
            </w:tcBorders>
            <w:gridSpan w:val="21"/>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License and Collaboration Agreement, dated</w:t>
              </w:r>
            </w:hyperlink>
          </w:p>
        </w:tc>
        <w:tc>
          <w:tcPr>
            <w:tcW w:w="520" w:type="dxa"/>
            <w:vAlign w:val="bottom"/>
            <w:gridSpan w:val="20"/>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August 1, 2018</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41"/>
          </w:tcPr>
          <w:p>
            <w:pPr>
              <w:spacing w:after="0" w:line="182"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June 1, 2018, between the Registrant and CStone</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r:id="rId207">
              <w:r>
                <w:rPr>
                  <w:rFonts w:ascii="Arial" w:cs="Arial" w:eastAsia="Arial" w:hAnsi="Arial"/>
                  <w:sz w:val="18"/>
                  <w:szCs w:val="18"/>
                  <w:color w:val="0000EE"/>
                  <w:w w:val="87"/>
                </w:rPr>
                <w:t>Pharmaceuticals</w:t>
              </w:r>
            </w:hyperlink>
          </w:p>
        </w:tc>
        <w:tc>
          <w:tcPr>
            <w:tcW w:w="2460" w:type="dxa"/>
            <w:vAlign w:val="bottom"/>
            <w:tcBorders>
              <w:top w:val="single" w:sz="8" w:color="0000EE"/>
            </w:tcBorders>
            <w:gridSpan w:val="36"/>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10.53††</w:t>
            </w:r>
          </w:p>
        </w:tc>
        <w:tc>
          <w:tcPr>
            <w:tcW w:w="3760" w:type="dxa"/>
            <w:vAlign w:val="bottom"/>
            <w:gridSpan w:val="41"/>
          </w:tcPr>
          <w:p>
            <w:pPr>
              <w:spacing w:after="0"/>
              <w:rPr>
                <w:rFonts w:ascii="Arial" w:cs="Arial" w:eastAsia="Arial" w:hAnsi="Arial"/>
                <w:sz w:val="18"/>
                <w:szCs w:val="18"/>
                <w:color w:val="0000EE"/>
                <w:w w:val="98"/>
              </w:rPr>
            </w:pPr>
            <w:hyperlink r:id="rId208">
              <w:r>
                <w:rPr>
                  <w:rFonts w:ascii="Arial" w:cs="Arial" w:eastAsia="Arial" w:hAnsi="Arial"/>
                  <w:sz w:val="18"/>
                  <w:szCs w:val="18"/>
                  <w:color w:val="0000EE"/>
                  <w:w w:val="98"/>
                </w:rPr>
                <w:t>License Agreement, effective October 15, 2019,</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November 5, 2019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Borders>
              <w:top w:val="single" w:sz="8" w:color="0000EE"/>
            </w:tcBorders>
            <w:gridSpan w:val="31"/>
          </w:tcPr>
          <w:p>
            <w:pPr>
              <w:spacing w:after="0" w:line="182" w:lineRule="exact"/>
              <w:rPr>
                <w:rFonts w:ascii="Arial" w:cs="Arial" w:eastAsia="Arial" w:hAnsi="Arial"/>
                <w:sz w:val="18"/>
                <w:szCs w:val="18"/>
                <w:color w:val="0000EE"/>
                <w:w w:val="95"/>
              </w:rPr>
            </w:pPr>
            <w:hyperlink r:id="rId208">
              <w:r>
                <w:rPr>
                  <w:rFonts w:ascii="Arial" w:cs="Arial" w:eastAsia="Arial" w:hAnsi="Arial"/>
                  <w:sz w:val="18"/>
                  <w:szCs w:val="18"/>
                  <w:color w:val="0000EE"/>
                  <w:w w:val="95"/>
                </w:rPr>
                <w:t>by and between the Registrant and Clementia</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Pharmaceuticals, Inc.</w:t>
              </w:r>
            </w:hyperlink>
          </w:p>
        </w:tc>
        <w:tc>
          <w:tcPr>
            <w:tcW w:w="1720" w:type="dxa"/>
            <w:vAlign w:val="bottom"/>
            <w:tcBorders>
              <w:top w:val="single" w:sz="8" w:color="0000EE"/>
            </w:tcBorders>
            <w:gridSpan w:val="18"/>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10.54~††</w:t>
            </w:r>
          </w:p>
        </w:tc>
        <w:tc>
          <w:tcPr>
            <w:tcW w:w="3760" w:type="dxa"/>
            <w:vAlign w:val="bottom"/>
            <w:gridSpan w:val="41"/>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Collaboration and License Agreement, dated</w:t>
              </w:r>
            </w:hyperlink>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227">
              <w:r>
                <w:rPr>
                  <w:rFonts w:ascii="Arial" w:cs="Arial" w:eastAsia="Arial" w:hAnsi="Arial"/>
                  <w:sz w:val="18"/>
                  <w:szCs w:val="18"/>
                  <w:color w:val="0000EE"/>
                </w:rPr>
                <w:t>November 8, 2021, by and between the</w:t>
              </w:r>
            </w:hyperlink>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Registrant and Zai Lab (Shanghai) Co.</w:t>
              </w:r>
            </w:hyperlink>
          </w:p>
        </w:tc>
        <w:tc>
          <w:tcPr>
            <w:tcW w:w="26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227">
              <w:r>
                <w:rPr>
                  <w:rFonts w:ascii="Arial" w:cs="Arial" w:eastAsia="Arial" w:hAnsi="Arial"/>
                  <w:sz w:val="18"/>
                  <w:szCs w:val="18"/>
                  <w:color w:val="0000EE"/>
                  <w:w w:val="95"/>
                </w:rPr>
                <w:t>Ltd</w:t>
              </w:r>
            </w:hyperlink>
          </w:p>
        </w:tc>
        <w:tc>
          <w:tcPr>
            <w:tcW w:w="680" w:type="dxa"/>
            <w:vAlign w:val="bottom"/>
            <w:gridSpan w:val="25"/>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10.55</w:t>
            </w:r>
          </w:p>
        </w:tc>
        <w:tc>
          <w:tcPr>
            <w:tcW w:w="3760" w:type="dxa"/>
            <w:vAlign w:val="bottom"/>
            <w:gridSpan w:val="41"/>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Form of Indemnification Agreement entered into</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9"/>
              </w:rPr>
              <w:t>333-202938</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March 23, 2015</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between the Registrant and its directors</w:t>
              </w:r>
            </w:hyperlink>
          </w:p>
        </w:tc>
        <w:tc>
          <w:tcPr>
            <w:tcW w:w="76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10.56</w:t>
            </w:r>
          </w:p>
        </w:tc>
        <w:tc>
          <w:tcPr>
            <w:tcW w:w="3760" w:type="dxa"/>
            <w:vAlign w:val="bottom"/>
            <w:gridSpan w:val="41"/>
          </w:tcPr>
          <w:p>
            <w:pPr>
              <w:spacing w:after="0"/>
              <w:rPr>
                <w:rFonts w:ascii="Arial" w:cs="Arial" w:eastAsia="Arial" w:hAnsi="Arial"/>
                <w:sz w:val="18"/>
                <w:szCs w:val="18"/>
                <w:color w:val="0000EE"/>
                <w:w w:val="98"/>
              </w:rPr>
            </w:pPr>
            <w:hyperlink r:id="rId210">
              <w:r>
                <w:rPr>
                  <w:rFonts w:ascii="Arial" w:cs="Arial" w:eastAsia="Arial" w:hAnsi="Arial"/>
                  <w:sz w:val="18"/>
                  <w:szCs w:val="18"/>
                  <w:color w:val="0000EE"/>
                  <w:w w:val="98"/>
                </w:rPr>
                <w:t>Form of Indemnification Agreement entered into</w:t>
              </w:r>
            </w:hyperlink>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9"/>
              </w:rPr>
              <w:t>333-202938</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March 23, 2015</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between the Registrant and its officers</w:t>
              </w:r>
            </w:hyperlink>
          </w:p>
        </w:tc>
        <w:tc>
          <w:tcPr>
            <w:tcW w:w="840" w:type="dxa"/>
            <w:vAlign w:val="bottom"/>
            <w:tcBorders>
              <w:top w:val="single" w:sz="8" w:color="0000EE"/>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10.57</w:t>
            </w:r>
          </w:p>
        </w:tc>
        <w:tc>
          <w:tcPr>
            <w:tcW w:w="3240" w:type="dxa"/>
            <w:vAlign w:val="bottom"/>
            <w:tcBorders>
              <w:bottom w:val="single" w:sz="8" w:color="0000EE"/>
            </w:tcBorders>
            <w:gridSpan w:val="21"/>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Senior Executive Cash Incentive Bonus Plan</w:t>
              </w:r>
            </w:hyperlink>
          </w:p>
        </w:tc>
        <w:tc>
          <w:tcPr>
            <w:tcW w:w="520" w:type="dxa"/>
            <w:vAlign w:val="bottom"/>
            <w:gridSpan w:val="20"/>
          </w:tcPr>
          <w:p>
            <w:pPr>
              <w:spacing w:after="0"/>
              <w:rPr>
                <w:sz w:val="21"/>
                <w:szCs w:val="21"/>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0"/>
              </w:rPr>
              <w:t>001-37359</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March 11, 2016</w:t>
            </w: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36">
              <w:r>
                <w:rPr>
                  <w:rFonts w:ascii="Arial" w:cs="Arial" w:eastAsia="Arial" w:hAnsi="Arial"/>
                  <w:sz w:val="18"/>
                  <w:szCs w:val="18"/>
                  <w:color w:val="0000EE"/>
                  <w:w w:val="89"/>
                </w:rPr>
                <w:t>Subsidiaries of the Registrant</w:t>
              </w:r>
            </w:hyperlink>
          </w:p>
        </w:tc>
        <w:tc>
          <w:tcPr>
            <w:tcW w:w="1640" w:type="dxa"/>
            <w:vAlign w:val="bottom"/>
            <w:gridSpan w:val="36"/>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3760" w:type="dxa"/>
            <w:vAlign w:val="bottom"/>
            <w:gridSpan w:val="41"/>
          </w:tcPr>
          <w:p>
            <w:pPr>
              <w:spacing w:after="0"/>
              <w:rPr>
                <w:rFonts w:ascii="Arial" w:cs="Arial" w:eastAsia="Arial" w:hAnsi="Arial"/>
                <w:sz w:val="18"/>
                <w:szCs w:val="18"/>
                <w:color w:val="0000EE"/>
              </w:rPr>
            </w:pPr>
            <w:hyperlink w:anchor="page337">
              <w:r>
                <w:rPr>
                  <w:rFonts w:ascii="Arial" w:cs="Arial" w:eastAsia="Arial" w:hAnsi="Arial"/>
                  <w:sz w:val="18"/>
                  <w:szCs w:val="18"/>
                  <w:color w:val="0000EE"/>
                </w:rPr>
                <w:t>Consent of Ernst &amp; Young LLP</w:t>
              </w:r>
            </w:hyperlink>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20"/>
        </w:trPr>
        <w:tc>
          <w:tcPr>
            <w:tcW w:w="860" w:type="dxa"/>
            <w:vAlign w:val="bottom"/>
            <w:gridSpan w:val="2"/>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23.2</w:t>
            </w:r>
          </w:p>
        </w:tc>
        <w:tc>
          <w:tcPr>
            <w:tcW w:w="3760" w:type="dxa"/>
            <w:vAlign w:val="bottom"/>
            <w:gridSpan w:val="41"/>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Consent of Goodwin Procter LLP (contained in</w:t>
              </w:r>
            </w:hyperlink>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1"/>
              </w:rPr>
            </w:pPr>
            <w:hyperlink w:anchor="page211">
              <w:r>
                <w:rPr>
                  <w:rFonts w:ascii="Arial" w:cs="Arial" w:eastAsia="Arial" w:hAnsi="Arial"/>
                  <w:sz w:val="18"/>
                  <w:szCs w:val="18"/>
                  <w:color w:val="0000EE"/>
                  <w:w w:val="91"/>
                </w:rPr>
                <w:t>its opinion filed as Exhibit 5.1 and incorporated</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40" w:type="dxa"/>
            <w:vAlign w:val="bottom"/>
            <w:gridSpan w:val="28"/>
          </w:tcPr>
          <w:p>
            <w:pPr>
              <w:spacing w:after="0" w:line="182" w:lineRule="exact"/>
              <w:rPr>
                <w:rFonts w:ascii="Arial" w:cs="Arial" w:eastAsia="Arial" w:hAnsi="Arial"/>
                <w:sz w:val="18"/>
                <w:szCs w:val="18"/>
                <w:color w:val="0000EE"/>
              </w:rPr>
            </w:pPr>
            <w:hyperlink w:anchor="page211">
              <w:r>
                <w:rPr>
                  <w:rFonts w:ascii="Arial" w:cs="Arial" w:eastAsia="Arial" w:hAnsi="Arial"/>
                  <w:sz w:val="18"/>
                  <w:szCs w:val="18"/>
                  <w:color w:val="0000EE"/>
                </w:rPr>
                <w:t>herein by reference)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31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338">
              <w:r>
                <w:rPr>
                  <w:rFonts w:ascii="Arial" w:cs="Arial" w:eastAsia="Arial" w:hAnsi="Arial"/>
                  <w:sz w:val="18"/>
                  <w:szCs w:val="18"/>
                  <w:color w:val="0000EE"/>
                  <w:w w:val="93"/>
                </w:rPr>
                <w:t>Certification of Principal Executive Officer</w:t>
              </w:r>
            </w:hyperlink>
          </w:p>
        </w:tc>
        <w:tc>
          <w:tcPr>
            <w:tcW w:w="640" w:type="dxa"/>
            <w:vAlign w:val="bottom"/>
            <w:gridSpan w:val="24"/>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41"/>
          </w:tcPr>
          <w:p>
            <w:pPr>
              <w:spacing w:after="0" w:line="182" w:lineRule="exact"/>
              <w:rPr>
                <w:rFonts w:ascii="Arial" w:cs="Arial" w:eastAsia="Arial" w:hAnsi="Arial"/>
                <w:sz w:val="18"/>
                <w:szCs w:val="18"/>
                <w:color w:val="0000EE"/>
                <w:w w:val="98"/>
              </w:rPr>
            </w:pPr>
            <w:hyperlink w:anchor="page338">
              <w:r>
                <w:rPr>
                  <w:rFonts w:ascii="Arial" w:cs="Arial" w:eastAsia="Arial" w:hAnsi="Arial"/>
                  <w:sz w:val="18"/>
                  <w:szCs w:val="18"/>
                  <w:color w:val="0000EE"/>
                  <w:w w:val="98"/>
                </w:rPr>
                <w:t>pursuant to Rule 13a-14(a) or Rule 15d-14(a) of</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8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338">
              <w:r>
                <w:rPr>
                  <w:rFonts w:ascii="Arial" w:cs="Arial" w:eastAsia="Arial" w:hAnsi="Arial"/>
                  <w:sz w:val="18"/>
                  <w:szCs w:val="18"/>
                  <w:color w:val="0000EE"/>
                </w:rPr>
                <w:t>the Exchange Act, as adopted pursuant to</w:t>
              </w:r>
            </w:hyperlink>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80" w:type="dxa"/>
            <w:vAlign w:val="bottom"/>
            <w:tcBorders>
              <w:top w:val="single" w:sz="8" w:color="0000EE"/>
            </w:tcBorders>
            <w:gridSpan w:val="13"/>
          </w:tcPr>
          <w:p>
            <w:pPr>
              <w:spacing w:after="0" w:line="182" w:lineRule="exact"/>
              <w:rPr>
                <w:rFonts w:ascii="Arial" w:cs="Arial" w:eastAsia="Arial" w:hAnsi="Arial"/>
                <w:sz w:val="18"/>
                <w:szCs w:val="18"/>
                <w:color w:val="0000EE"/>
                <w:w w:val="89"/>
              </w:rPr>
            </w:pPr>
            <w:hyperlink w:anchor="page338">
              <w:r>
                <w:rPr>
                  <w:rFonts w:ascii="Arial" w:cs="Arial" w:eastAsia="Arial" w:hAnsi="Arial"/>
                  <w:sz w:val="18"/>
                  <w:szCs w:val="18"/>
                  <w:color w:val="0000EE"/>
                  <w:w w:val="89"/>
                </w:rPr>
                <w:t>Section 302 of the Sarbanes-Oxley Act of</w:t>
              </w:r>
            </w:hyperlink>
          </w:p>
        </w:tc>
        <w:tc>
          <w:tcPr>
            <w:tcW w:w="580" w:type="dxa"/>
            <w:vAlign w:val="bottom"/>
            <w:gridSpan w:val="21"/>
          </w:tcPr>
          <w:p>
            <w:pPr>
              <w:jc w:val="right"/>
              <w:ind w:right="160"/>
              <w:spacing w:after="0" w:line="182" w:lineRule="exact"/>
              <w:rPr>
                <w:rFonts w:ascii="Arial" w:cs="Arial" w:eastAsia="Arial" w:hAnsi="Arial"/>
                <w:sz w:val="18"/>
                <w:szCs w:val="18"/>
                <w:color w:val="0000EE"/>
                <w:w w:val="99"/>
              </w:rPr>
            </w:pPr>
            <w:hyperlink w:anchor="page338">
              <w:r>
                <w:rPr>
                  <w:rFonts w:ascii="Arial" w:cs="Arial" w:eastAsia="Arial" w:hAnsi="Arial"/>
                  <w:sz w:val="18"/>
                  <w:szCs w:val="18"/>
                  <w:color w:val="0000EE"/>
                  <w:w w:val="99"/>
                </w:rPr>
                <w:t>2002</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3400" w:type="dxa"/>
            <w:vAlign w:val="bottom"/>
            <w:tcBorders>
              <w:top w:val="single" w:sz="8" w:color="0000EE"/>
            </w:tcBorders>
            <w:gridSpan w:val="26"/>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Certification of Principal Financial Officer</w:t>
              </w:r>
            </w:hyperlink>
          </w:p>
        </w:tc>
        <w:tc>
          <w:tcPr>
            <w:tcW w:w="360" w:type="dxa"/>
            <w:vAlign w:val="bottom"/>
            <w:gridSpan w:val="15"/>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gridSpan w:val="41"/>
          </w:tcPr>
          <w:p>
            <w:pPr>
              <w:spacing w:after="0" w:line="182" w:lineRule="exact"/>
              <w:rPr>
                <w:rFonts w:ascii="Arial" w:cs="Arial" w:eastAsia="Arial" w:hAnsi="Arial"/>
                <w:sz w:val="18"/>
                <w:szCs w:val="18"/>
                <w:color w:val="0000EE"/>
                <w:w w:val="98"/>
              </w:rPr>
            </w:pPr>
            <w:hyperlink w:anchor="page339">
              <w:r>
                <w:rPr>
                  <w:rFonts w:ascii="Arial" w:cs="Arial" w:eastAsia="Arial" w:hAnsi="Arial"/>
                  <w:sz w:val="18"/>
                  <w:szCs w:val="18"/>
                  <w:color w:val="0000EE"/>
                  <w:w w:val="98"/>
                </w:rPr>
                <w:t>pursuant to Rule 13a-14(a) or Rule 15d-14(a) of</w:t>
              </w:r>
            </w:hyperlink>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8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339">
              <w:r>
                <w:rPr>
                  <w:rFonts w:ascii="Arial" w:cs="Arial" w:eastAsia="Arial" w:hAnsi="Arial"/>
                  <w:sz w:val="18"/>
                  <w:szCs w:val="18"/>
                  <w:color w:val="0000EE"/>
                </w:rPr>
                <w:t>the Exchange Act, as adopted pursuant to</w:t>
              </w:r>
            </w:hyperlink>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80" w:type="dxa"/>
            <w:vAlign w:val="bottom"/>
            <w:tcBorders>
              <w:top w:val="single" w:sz="8" w:color="0000EE"/>
            </w:tcBorders>
            <w:gridSpan w:val="13"/>
          </w:tcPr>
          <w:p>
            <w:pPr>
              <w:spacing w:after="0" w:line="182" w:lineRule="exact"/>
              <w:rPr>
                <w:rFonts w:ascii="Arial" w:cs="Arial" w:eastAsia="Arial" w:hAnsi="Arial"/>
                <w:sz w:val="18"/>
                <w:szCs w:val="18"/>
                <w:color w:val="0000EE"/>
                <w:w w:val="89"/>
              </w:rPr>
            </w:pPr>
            <w:hyperlink w:anchor="page339">
              <w:r>
                <w:rPr>
                  <w:rFonts w:ascii="Arial" w:cs="Arial" w:eastAsia="Arial" w:hAnsi="Arial"/>
                  <w:sz w:val="18"/>
                  <w:szCs w:val="18"/>
                  <w:color w:val="0000EE"/>
                  <w:w w:val="89"/>
                </w:rPr>
                <w:t>Section 302 of the Sarbanes-Oxley Act of</w:t>
              </w:r>
            </w:hyperlink>
          </w:p>
        </w:tc>
        <w:tc>
          <w:tcPr>
            <w:tcW w:w="580" w:type="dxa"/>
            <w:vAlign w:val="bottom"/>
            <w:gridSpan w:val="21"/>
          </w:tcPr>
          <w:p>
            <w:pPr>
              <w:jc w:val="right"/>
              <w:ind w:right="160"/>
              <w:spacing w:after="0" w:line="182" w:lineRule="exact"/>
              <w:rPr>
                <w:rFonts w:ascii="Arial" w:cs="Arial" w:eastAsia="Arial" w:hAnsi="Arial"/>
                <w:sz w:val="18"/>
                <w:szCs w:val="18"/>
                <w:color w:val="0000EE"/>
                <w:w w:val="99"/>
              </w:rPr>
            </w:pPr>
            <w:hyperlink w:anchor="page339">
              <w:r>
                <w:rPr>
                  <w:rFonts w:ascii="Arial" w:cs="Arial" w:eastAsia="Arial" w:hAnsi="Arial"/>
                  <w:sz w:val="18"/>
                  <w:szCs w:val="18"/>
                  <w:color w:val="0000EE"/>
                  <w:w w:val="99"/>
                </w:rPr>
                <w:t>2002</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900" w:type="dxa"/>
            <w:vAlign w:val="bottom"/>
            <w:gridSpan w:val="17"/>
            <w:shd w:val="clear" w:color="auto" w:fill="0000EE"/>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3760" w:type="dxa"/>
            <w:vAlign w:val="bottom"/>
            <w:gridSpan w:val="41"/>
          </w:tcPr>
          <w:p>
            <w:pPr>
              <w:spacing w:after="0"/>
              <w:rPr>
                <w:rFonts w:ascii="Arial" w:cs="Arial" w:eastAsia="Arial" w:hAnsi="Arial"/>
                <w:sz w:val="18"/>
                <w:szCs w:val="18"/>
                <w:color w:val="0000EE"/>
                <w:w w:val="99"/>
              </w:rPr>
            </w:pPr>
            <w:hyperlink w:anchor="page340">
              <w:r>
                <w:rPr>
                  <w:rFonts w:ascii="Arial" w:cs="Arial" w:eastAsia="Arial" w:hAnsi="Arial"/>
                  <w:sz w:val="18"/>
                  <w:szCs w:val="18"/>
                  <w:color w:val="0000EE"/>
                  <w:w w:val="99"/>
                </w:rPr>
                <w:t>Certifications of Principal Executive Officer and</w:t>
              </w:r>
            </w:hyperlink>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4"/>
              </w:rPr>
              <w:t>+</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34"/>
          </w:tcPr>
          <w:p>
            <w:pPr>
              <w:spacing w:after="0" w:line="182" w:lineRule="exact"/>
              <w:rPr>
                <w:rFonts w:ascii="Arial" w:cs="Arial" w:eastAsia="Arial" w:hAnsi="Arial"/>
                <w:sz w:val="18"/>
                <w:szCs w:val="18"/>
                <w:color w:val="0000EE"/>
                <w:w w:val="92"/>
              </w:rPr>
            </w:pPr>
            <w:hyperlink w:anchor="page340">
              <w:r>
                <w:rPr>
                  <w:rFonts w:ascii="Arial" w:cs="Arial" w:eastAsia="Arial" w:hAnsi="Arial"/>
                  <w:sz w:val="18"/>
                  <w:szCs w:val="18"/>
                  <w:color w:val="0000EE"/>
                  <w:w w:val="92"/>
                </w:rPr>
                <w:t>Principal Financial Officer pursuant to 18 U.S.C.</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20" w:type="dxa"/>
            <w:vAlign w:val="bottom"/>
            <w:tcBorders>
              <w:bottom w:val="single" w:sz="8" w:color="0000EE"/>
            </w:tcBorders>
            <w:gridSpan w:val="37"/>
          </w:tcPr>
          <w:p>
            <w:pPr>
              <w:spacing w:after="0" w:line="182" w:lineRule="exact"/>
              <w:rPr>
                <w:rFonts w:ascii="Arial" w:cs="Arial" w:eastAsia="Arial" w:hAnsi="Arial"/>
                <w:sz w:val="18"/>
                <w:szCs w:val="18"/>
                <w:color w:val="0000EE"/>
                <w:w w:val="90"/>
              </w:rPr>
            </w:pPr>
            <w:hyperlink w:anchor="page340">
              <w:r>
                <w:rPr>
                  <w:rFonts w:ascii="Arial" w:cs="Arial" w:eastAsia="Arial" w:hAnsi="Arial"/>
                  <w:sz w:val="18"/>
                  <w:szCs w:val="18"/>
                  <w:color w:val="0000EE"/>
                  <w:w w:val="90"/>
                </w:rPr>
                <w:t>Section 1350, as adopted pursuant to Section 906</w:t>
              </w:r>
            </w:hyperlink>
          </w:p>
        </w:tc>
        <w:tc>
          <w:tcPr>
            <w:tcW w:w="60" w:type="dxa"/>
            <w:vAlign w:val="bottom"/>
            <w:tcBorders>
              <w:bottom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gridSpan w:val="40"/>
          </w:tcPr>
          <w:p>
            <w:pPr>
              <w:spacing w:after="0" w:line="182" w:lineRule="exact"/>
              <w:rPr>
                <w:rFonts w:ascii="Arial" w:cs="Arial" w:eastAsia="Arial" w:hAnsi="Arial"/>
                <w:sz w:val="18"/>
                <w:szCs w:val="18"/>
                <w:color w:val="0000EE"/>
              </w:rPr>
            </w:pPr>
            <w:hyperlink w:anchor="page340">
              <w:r>
                <w:rPr>
                  <w:rFonts w:ascii="Arial" w:cs="Arial" w:eastAsia="Arial" w:hAnsi="Arial"/>
                  <w:sz w:val="18"/>
                  <w:szCs w:val="18"/>
                  <w:color w:val="0000EE"/>
                </w:rPr>
                <w:t>of the Sarbanes-Oxley Act of 2002</w:t>
              </w:r>
            </w:hyperlink>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57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Borders>
              <w:top w:val="single" w:sz="8" w:color="0000EE"/>
            </w:tcBorders>
            <w:gridSpan w:val="9"/>
          </w:tcPr>
          <w:p>
            <w:pPr>
              <w:spacing w:after="0"/>
              <w:rPr>
                <w:sz w:val="24"/>
                <w:szCs w:val="24"/>
                <w:color w:val="auto"/>
              </w:rPr>
            </w:pPr>
          </w:p>
        </w:tc>
        <w:tc>
          <w:tcPr>
            <w:tcW w:w="1260" w:type="dxa"/>
            <w:vAlign w:val="bottom"/>
            <w:gridSpan w:val="32"/>
          </w:tcPr>
          <w:p>
            <w:pPr>
              <w:jc w:val="right"/>
              <w:ind w:right="20"/>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5" w:name="page126"/>
    <w:bookmarkEnd w:id="12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2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951"/>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Instance Document - the instance</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760" w:type="dxa"/>
            <w:vAlign w:val="bottom"/>
          </w:tcPr>
          <w:p>
            <w:pPr>
              <w:spacing w:after="0"/>
              <w:rPr>
                <w:sz w:val="17"/>
                <w:szCs w:val="17"/>
                <w:color w:val="auto"/>
              </w:rPr>
            </w:pPr>
          </w:p>
        </w:tc>
        <w:tc>
          <w:tcPr>
            <w:tcW w:w="54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document does not appear in the Interactive Data</w:t>
            </w:r>
          </w:p>
        </w:tc>
        <w:tc>
          <w:tcPr>
            <w:tcW w:w="196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54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File because its XBRL tags are embedded within</w:t>
            </w:r>
          </w:p>
        </w:tc>
        <w:tc>
          <w:tcPr>
            <w:tcW w:w="196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the Inline XBRL Document</w:t>
            </w:r>
          </w:p>
        </w:tc>
        <w:tc>
          <w:tcPr>
            <w:tcW w:w="1960" w:type="dxa"/>
            <w:vAlign w:val="bottom"/>
          </w:tcPr>
          <w:p>
            <w:pPr>
              <w:spacing w:after="0"/>
              <w:rPr>
                <w:sz w:val="20"/>
                <w:szCs w:val="20"/>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1960" w:type="dxa"/>
            <w:vAlign w:val="bottom"/>
          </w:tcPr>
          <w:p>
            <w:pPr>
              <w:spacing w:after="0"/>
              <w:rPr>
                <w:sz w:val="20"/>
                <w:szCs w:val="20"/>
                <w:color w:val="auto"/>
              </w:rPr>
            </w:pP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Definition Linkbase</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Document</w:t>
            </w:r>
          </w:p>
        </w:tc>
        <w:tc>
          <w:tcPr>
            <w:tcW w:w="1960" w:type="dxa"/>
            <w:vAlign w:val="bottom"/>
          </w:tcPr>
          <w:p>
            <w:pPr>
              <w:spacing w:after="0"/>
              <w:rPr>
                <w:sz w:val="20"/>
                <w:szCs w:val="20"/>
                <w:color w:val="auto"/>
              </w:rPr>
            </w:pP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Document</w:t>
            </w:r>
          </w:p>
        </w:tc>
        <w:tc>
          <w:tcPr>
            <w:tcW w:w="1960" w:type="dxa"/>
            <w:vAlign w:val="bottom"/>
          </w:tcPr>
          <w:p>
            <w:pPr>
              <w:spacing w:after="0"/>
              <w:rPr>
                <w:sz w:val="20"/>
                <w:szCs w:val="20"/>
                <w:color w:val="auto"/>
              </w:rPr>
            </w:pP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1960" w:type="dxa"/>
            <w:vAlign w:val="bottom"/>
          </w:tcPr>
          <w:p>
            <w:pPr>
              <w:spacing w:after="0"/>
              <w:rPr>
                <w:sz w:val="20"/>
                <w:szCs w:val="20"/>
                <w:color w:val="auto"/>
              </w:rPr>
            </w:pPr>
          </w:p>
        </w:tc>
      </w:tr>
    </w:tbl>
    <w:p>
      <w:pPr>
        <w:spacing w:after="0" w:line="40" w:lineRule="exact"/>
        <w:rPr>
          <w:sz w:val="20"/>
          <w:szCs w:val="20"/>
          <w:color w:val="auto"/>
        </w:rPr>
      </w:pPr>
    </w:p>
    <w:p>
      <w:pPr>
        <w:ind w:left="900" w:right="4759" w:hanging="844"/>
        <w:spacing w:after="0" w:line="243"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376" w:lineRule="exact"/>
        <w:rPr>
          <w:rFonts w:ascii="Arial" w:cs="Arial" w:eastAsia="Arial" w:hAnsi="Arial"/>
          <w:sz w:val="18"/>
          <w:szCs w:val="18"/>
          <w:color w:val="auto"/>
        </w:rPr>
      </w:pPr>
    </w:p>
    <w:p>
      <w:pPr>
        <w:ind w:left="240" w:hanging="190"/>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-267335</wp:posOffset>
            </wp:positionV>
            <wp:extent cx="14141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4" w:lineRule="exact"/>
        <w:rPr>
          <w:sz w:val="20"/>
          <w:szCs w:val="20"/>
          <w:color w:val="auto"/>
        </w:rPr>
      </w:pPr>
    </w:p>
    <w:p>
      <w:pPr>
        <w:ind w:left="240" w:right="159" w:hanging="190"/>
        <w:spacing w:after="0" w:line="324" w:lineRule="auto"/>
        <w:tabs>
          <w:tab w:leader="none" w:pos="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327" w:lineRule="exact"/>
        <w:rPr>
          <w:sz w:val="20"/>
          <w:szCs w:val="20"/>
          <w:color w:val="auto"/>
        </w:rPr>
      </w:pPr>
    </w:p>
    <w:p>
      <w:pPr>
        <w:ind w:left="240" w:right="299" w:hanging="190"/>
        <w:spacing w:after="0" w:line="261"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63" w:lineRule="exact"/>
        <w:rPr>
          <w:sz w:val="20"/>
          <w:szCs w:val="20"/>
          <w:color w:val="auto"/>
        </w:rPr>
      </w:pPr>
    </w:p>
    <w:p>
      <w:pPr>
        <w:ind w:left="240" w:right="559" w:hanging="18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12529"/>
        </w:rPr>
        <w:t>Certain portions of the exhibit have been omitted pursuant to Regulation S-K Item 601(b) because it is both (i) not</w:t>
      </w:r>
      <w:r>
        <w:rPr>
          <w:rFonts w:ascii="Arial" w:cs="Arial" w:eastAsia="Arial" w:hAnsi="Arial"/>
          <w:sz w:val="17"/>
          <w:szCs w:val="17"/>
          <w:color w:val="auto"/>
        </w:rPr>
        <w:t xml:space="preserve"> </w:t>
      </w:r>
      <w:r>
        <w:rPr>
          <w:rFonts w:ascii="Arial" w:cs="Arial" w:eastAsia="Arial" w:hAnsi="Arial"/>
          <w:sz w:val="17"/>
          <w:szCs w:val="17"/>
          <w:color w:val="212529"/>
        </w:rPr>
        <w:t>material to investors and (ii) likely to cause competitive harm to the Company if publicly disclosed.</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ind w:left="240" w:right="339" w:hanging="190"/>
        <w:spacing w:after="0" w:line="243"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70" w:lineRule="exact"/>
        <w:rPr>
          <w:sz w:val="20"/>
          <w:szCs w:val="20"/>
          <w:color w:val="auto"/>
        </w:rPr>
      </w:pPr>
    </w:p>
    <w:p>
      <w:pPr>
        <w:jc w:val="center"/>
        <w:ind w:right="6539"/>
        <w:spacing w:after="0"/>
        <w:rPr>
          <w:sz w:val="20"/>
          <w:szCs w:val="20"/>
          <w:color w:val="auto"/>
        </w:rPr>
      </w:pPr>
      <w:r>
        <w:rPr>
          <w:rFonts w:ascii="Arial" w:cs="Arial" w:eastAsia="Arial" w:hAnsi="Arial"/>
          <w:sz w:val="16"/>
          <w:szCs w:val="16"/>
          <w:b w:val="1"/>
          <w:bCs w:val="1"/>
          <w:color w:val="auto"/>
        </w:rPr>
        <w:t>Item 16. Form 10-K Summary.</w:t>
      </w:r>
    </w:p>
    <w:p>
      <w:pPr>
        <w:spacing w:after="0" w:line="131"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60" w:right="59" w:firstLine="64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5240" w:val="left"/>
          <w:tab w:leader="none" w:pos="682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1346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President and Chief</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8" w:lineRule="exact"/>
        <w:rPr>
          <w:sz w:val="20"/>
          <w:szCs w:val="20"/>
          <w:color w:val="auto"/>
        </w:rPr>
      </w:pPr>
    </w:p>
    <w:p>
      <w:pPr>
        <w:ind w:left="60" w:right="399"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Signature</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7"/>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w w:val="99"/>
              </w:rPr>
              <w:t>President, Chief Executive Officer and Chairman of</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4140" w:type="dxa"/>
            <w:vAlign w:val="bottom"/>
            <w:gridSpan w:val="2"/>
            <w:vMerge w:val="restart"/>
          </w:tcPr>
          <w:p>
            <w:pPr>
              <w:ind w:left="60"/>
              <w:spacing w:after="0"/>
              <w:rPr>
                <w:sz w:val="20"/>
                <w:szCs w:val="20"/>
                <w:color w:val="auto"/>
              </w:rPr>
            </w:pPr>
            <w:r>
              <w:rPr>
                <w:rFonts w:ascii="Arial" w:cs="Arial" w:eastAsia="Arial" w:hAnsi="Arial"/>
                <w:sz w:val="18"/>
                <w:szCs w:val="18"/>
                <w:color w:val="auto"/>
              </w:rPr>
              <w:t>the Board</w:t>
            </w: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40" w:type="dxa"/>
            <w:vAlign w:val="bottom"/>
          </w:tcPr>
          <w:p>
            <w:pPr>
              <w:spacing w:after="0" w:line="142" w:lineRule="exact"/>
              <w:rPr>
                <w:sz w:val="20"/>
                <w:szCs w:val="20"/>
                <w:color w:val="auto"/>
              </w:rPr>
            </w:pPr>
            <w:r>
              <w:rPr>
                <w:rFonts w:ascii="Arial" w:cs="Arial" w:eastAsia="Arial" w:hAnsi="Arial"/>
                <w:sz w:val="16"/>
                <w:szCs w:val="16"/>
                <w:color w:val="auto"/>
              </w:rPr>
              <w:t>Jeffrey W. Albers</w:t>
            </w:r>
          </w:p>
        </w:tc>
        <w:tc>
          <w:tcPr>
            <w:tcW w:w="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14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414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(Principal Financial Officer)</w:t>
            </w: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Michael Landsittel</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Vice President, Finance and Controller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8"/>
        </w:trPr>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14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Ariel Hurley</w:t>
            </w: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Nicholas Lydon, Ph.D.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Alexis Borisy</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Mark Goldberg,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Charles A. Rowland, Jr.</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George Demetri,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Lonnel Coats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Lynn Seely,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Daniella Beckman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Daniella Beckman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w w:val="91"/>
              </w:rPr>
              <w:t>Blueprint Medicines Corporation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80" w:type="dxa"/>
            <w:vAlign w:val="bottom"/>
          </w:tcPr>
          <w:p>
            <w:pPr>
              <w:spacing w:after="0"/>
              <w:rPr>
                <w:sz w:val="24"/>
                <w:szCs w:val="24"/>
                <w:color w:val="auto"/>
              </w:rPr>
            </w:pPr>
          </w:p>
        </w:tc>
        <w:tc>
          <w:tcPr>
            <w:tcW w:w="526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40" w:type="dxa"/>
            <w:vAlign w:val="bottom"/>
            <w:gridSpan w:val="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Balance Sheets</w:t>
              </w:r>
            </w:hyperlink>
          </w:p>
        </w:tc>
        <w:tc>
          <w:tcPr>
            <w:tcW w:w="1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2080" w:type="dxa"/>
            <w:vAlign w:val="bottom"/>
            <w:tcBorders>
              <w:top w:val="single" w:sz="8" w:color="0000EE"/>
            </w:tcBorders>
          </w:tcPr>
          <w:p>
            <w:pPr>
              <w:spacing w:after="0" w:line="182"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Consolidated Statements of</w:t>
              </w:r>
            </w:hyperlink>
          </w:p>
        </w:tc>
        <w:tc>
          <w:tcPr>
            <w:tcW w:w="5260" w:type="dxa"/>
            <w:vAlign w:val="bottom"/>
            <w:gridSpan w:val="6"/>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Operations and Comprehensive Income (Loss)</w:t>
              </w:r>
            </w:hyperlink>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53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Stockholders’ Equity</w:t>
              </w:r>
            </w:hyperlink>
          </w:p>
        </w:tc>
        <w:tc>
          <w:tcPr>
            <w:tcW w:w="196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Cash Flows</w:t>
              </w:r>
            </w:hyperlink>
          </w:p>
        </w:tc>
        <w:tc>
          <w:tcPr>
            <w:tcW w:w="3800" w:type="dxa"/>
            <w:vAlign w:val="bottom"/>
            <w:gridSpan w:val="3"/>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F-10</w:t>
            </w:r>
          </w:p>
        </w:tc>
        <w:tc>
          <w:tcPr>
            <w:tcW w:w="0" w:type="dxa"/>
            <w:vAlign w:val="bottom"/>
          </w:tcPr>
          <w:p>
            <w:pPr>
              <w:spacing w:after="0" w:line="20" w:lineRule="exact"/>
              <w:rPr>
                <w:sz w:val="1"/>
                <w:szCs w:val="1"/>
                <w:color w:val="auto"/>
              </w:rPr>
            </w:pPr>
          </w:p>
        </w:tc>
      </w:tr>
      <w:tr>
        <w:trPr>
          <w:trHeight w:val="183"/>
        </w:trPr>
        <w:tc>
          <w:tcPr>
            <w:tcW w:w="7340" w:type="dxa"/>
            <w:vAlign w:val="bottom"/>
            <w:gridSpan w:val="7"/>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Notes to Consolidated Financial Statements</w:t>
              </w:r>
            </w:hyperlink>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Blueprint Medicines Corporation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audited the accompanying consolidated balance sheets of Blueprint Medicines Corporation as of December 31, 2021 and 2020, the related consolidated statements of operations and comprehensive income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17, 2022 expressed an unqualified opinion thereon.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ind w:left="60" w:right="79"/>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5" w:lineRule="exact"/>
        <w:rPr>
          <w:sz w:val="20"/>
          <w:szCs w:val="20"/>
          <w:color w:val="auto"/>
        </w:rPr>
      </w:pPr>
    </w:p>
    <w:p>
      <w:pPr>
        <w:ind w:left="1780"/>
        <w:spacing w:after="0"/>
        <w:rPr>
          <w:sz w:val="20"/>
          <w:szCs w:val="20"/>
          <w:color w:val="auto"/>
        </w:rPr>
      </w:pPr>
      <w:r>
        <w:rPr>
          <w:rFonts w:ascii="Arial" w:cs="Arial" w:eastAsia="Arial" w:hAnsi="Arial"/>
          <w:sz w:val="18"/>
          <w:szCs w:val="18"/>
          <w:b w:val="1"/>
          <w:bCs w:val="1"/>
          <w:i w:val="1"/>
          <w:iCs w:val="1"/>
          <w:color w:val="auto"/>
        </w:rPr>
        <w:t>Accrued Clinical Trial Expenses</w:t>
      </w:r>
    </w:p>
    <w:p>
      <w:pPr>
        <w:spacing w:after="0" w:line="212"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6"/>
          <w:szCs w:val="16"/>
          <w:color w:val="auto"/>
        </w:rPr>
        <w:t>As discussed in Note 2 to the consolidated financial statements, the Company records costs for</w:t>
      </w:r>
    </w:p>
    <w:p>
      <w:pPr>
        <w:spacing w:after="0" w:line="7"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6"/>
          <w:szCs w:val="16"/>
          <w:color w:val="auto"/>
        </w:rPr>
        <w:t>clinical trial activities based upon estimates of costs incurred through the balance sheet date that</w:t>
      </w:r>
    </w:p>
    <w:p>
      <w:pPr>
        <w:ind w:left="1780"/>
        <w:spacing w:after="0"/>
        <w:rPr>
          <w:sz w:val="20"/>
          <w:szCs w:val="20"/>
          <w:color w:val="auto"/>
        </w:rPr>
      </w:pPr>
      <w:r>
        <w:rPr>
          <w:rFonts w:ascii="Arial" w:cs="Arial" w:eastAsia="Arial" w:hAnsi="Arial"/>
          <w:sz w:val="18"/>
          <w:szCs w:val="18"/>
          <w:color w:val="auto"/>
        </w:rPr>
        <w:t>have yet to be invoiced by the contract research organizations and other vendors.</w:t>
      </w:r>
    </w:p>
    <w:p>
      <w:pPr>
        <w:spacing w:after="0" w:line="182" w:lineRule="exact"/>
        <w:rPr>
          <w:sz w:val="20"/>
          <w:szCs w:val="20"/>
          <w:color w:val="auto"/>
        </w:rPr>
      </w:pPr>
    </w:p>
    <w:p>
      <w:pPr>
        <w:ind w:left="1780" w:right="239"/>
        <w:spacing w:after="0" w:line="259" w:lineRule="auto"/>
        <w:rPr>
          <w:sz w:val="20"/>
          <w:szCs w:val="20"/>
          <w:color w:val="auto"/>
        </w:rPr>
      </w:pPr>
      <w:r>
        <w:rPr>
          <w:rFonts w:ascii="Arial" w:cs="Arial" w:eastAsia="Arial" w:hAnsi="Arial"/>
          <w:sz w:val="17"/>
          <w:szCs w:val="17"/>
          <w:color w:val="auto"/>
        </w:rPr>
        <w:t>Auditing the Company’s accruals for clinical trials is challenging due to the fact that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may be delays in invoicing from clinical study sites and other vendors.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How We</w:t>
            </w:r>
          </w:p>
        </w:tc>
        <w:tc>
          <w:tcPr>
            <w:tcW w:w="7640" w:type="dxa"/>
            <w:vAlign w:val="bottom"/>
          </w:tcPr>
          <w:p>
            <w:pPr>
              <w:ind w:left="460"/>
              <w:spacing w:after="0"/>
              <w:rPr>
                <w:sz w:val="20"/>
                <w:szCs w:val="20"/>
                <w:color w:val="auto"/>
              </w:rPr>
            </w:pPr>
            <w:r>
              <w:rPr>
                <w:rFonts w:ascii="Arial" w:cs="Arial" w:eastAsia="Arial" w:hAnsi="Arial"/>
                <w:sz w:val="18"/>
                <w:szCs w:val="18"/>
                <w:color w:val="auto"/>
                <w:w w:val="92"/>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w w:val="99"/>
              </w:rPr>
              <w:t>Addressed the</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1"/>
              </w:rPr>
              <w:t>internal controls that addressed the identified risks related to the Company’s process for recording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Matter in Our</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accrued clinical expenses.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Audit</w:t>
            </w:r>
          </w:p>
        </w:tc>
        <w:tc>
          <w:tcPr>
            <w:tcW w:w="7640" w:type="dxa"/>
            <w:vAlign w:val="bottom"/>
            <w:vMerge w:val="restart"/>
          </w:tcPr>
          <w:p>
            <w:pPr>
              <w:ind w:left="460"/>
              <w:spacing w:after="0"/>
              <w:rPr>
                <w:sz w:val="20"/>
                <w:szCs w:val="20"/>
                <w:color w:val="auto"/>
              </w:rPr>
            </w:pPr>
            <w:r>
              <w:rPr>
                <w:rFonts w:ascii="Arial" w:cs="Arial" w:eastAsia="Arial" w:hAnsi="Arial"/>
                <w:sz w:val="18"/>
                <w:szCs w:val="18"/>
                <w:color w:val="auto"/>
                <w:w w:val="98"/>
              </w:rPr>
              <w:t>To evaluate the accrual for clinical expenses, our audit procedures included, among others,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testing the completeness and accuracy of the underlying data used in the estimates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4"/>
              </w:rPr>
              <w:t>evaluating the significant assumptions including, but not limited to, expected patient enrollment,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3"/>
              </w:rPr>
              <w:t>costs per patient, site activation and estimated project duration, that are used by management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2"/>
              </w:rPr>
              <w:t>estimate the recorded accruals. To assess the reasonableness of the significant assumptions, we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corroborated the progress of clinical trials with the Company’s clinical team and obtained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information directly from third parties related to active patient sites and currently enrolled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3"/>
              </w:rPr>
              <w:t>patients. We also tested subsequent invoicing received from such third parties and inspected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1"/>
              </w:rPr>
              <w:t>Company’s contracts with third parties and any pending change orders to assess the impact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accrual through the balance sheet date and compared that to the Company’s estimates.</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Collaboration Agreement with Zai Lab</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Description of</w:t>
            </w:r>
          </w:p>
        </w:tc>
        <w:tc>
          <w:tcPr>
            <w:tcW w:w="7640" w:type="dxa"/>
            <w:vAlign w:val="bottom"/>
          </w:tcPr>
          <w:p>
            <w:pPr>
              <w:ind w:left="460"/>
              <w:spacing w:after="0"/>
              <w:rPr>
                <w:sz w:val="20"/>
                <w:szCs w:val="20"/>
                <w:color w:val="auto"/>
              </w:rPr>
            </w:pPr>
            <w:r>
              <w:rPr>
                <w:rFonts w:ascii="Arial" w:cs="Arial" w:eastAsia="Arial" w:hAnsi="Arial"/>
                <w:sz w:val="18"/>
                <w:szCs w:val="18"/>
                <w:color w:val="auto"/>
                <w:w w:val="92"/>
              </w:rPr>
              <w:t>As discussed in Note 11 to the consolidated financial statements, the Company recognized $25.0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the Matter</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7"/>
              </w:rPr>
              <w:t>million in revenue under the collaboration agreement with Zai Lab (Shanghai) Co., Ltd., (“Zai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Lab”).</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w w:val="99"/>
              </w:rPr>
              <w:t>The Company determined that agreement contained two material components: (i) licenses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9"/>
              </w:rPr>
              <w:t>granted to Zai Lab to exploit and develop each licensed product in the Zai Lab territory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related activities in the Zai Lab territory, including manufacturing, and (ii) the parties’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4"/>
              </w:rPr>
              <w:t>participation in the global development of the licensed products. The Company accounts for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6"/>
              </w:rPr>
              <w:t>licenses and related activities pursuant to ASC 606, Revenue from Contracts with Customers,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and the global development activities under ASC 808, Collaborative Arrangements.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w w:val="94"/>
              </w:rPr>
              <w:t>The Company evaluated the Zai Lab territory specific licenses and related activities under ASC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9"/>
              </w:rPr>
              <w:t>606 as these transactions are considered transactions with a customer and identified three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8"/>
              </w:rPr>
              <w:t>material promises at the outset of the Zai Lab agreement, which consists of the following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each licensed product: (1) the exclusive license, (2) the initial know-how transfer and (3)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5"/>
              </w:rPr>
              <w:t>manufacturing activities related to development and commercial supply of the licensed product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in the Zai Lab territory.</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w w:val="95"/>
              </w:rPr>
              <w:t>Auditing management’s identification of the material promises were challenging as the contract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includes implicit and explicit goods and services. Significant judgment was required 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evaluation of the identification of the promises.</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How We</w:t>
            </w:r>
          </w:p>
        </w:tc>
        <w:tc>
          <w:tcPr>
            <w:tcW w:w="7640" w:type="dxa"/>
            <w:vAlign w:val="bottom"/>
          </w:tcPr>
          <w:p>
            <w:pPr>
              <w:ind w:left="460"/>
              <w:spacing w:after="0"/>
              <w:rPr>
                <w:sz w:val="20"/>
                <w:szCs w:val="20"/>
                <w:color w:val="auto"/>
              </w:rPr>
            </w:pPr>
            <w:r>
              <w:rPr>
                <w:rFonts w:ascii="Arial" w:cs="Arial" w:eastAsia="Arial" w:hAnsi="Arial"/>
                <w:sz w:val="18"/>
                <w:szCs w:val="18"/>
                <w:color w:val="auto"/>
                <w:w w:val="92"/>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w w:val="99"/>
              </w:rPr>
              <w:t>Addressed the</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internal controls that addressed the identified risks related to the Company’s process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Matter in Our</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identifying material promises in its contracts.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Audit</w:t>
            </w:r>
          </w:p>
        </w:tc>
        <w:tc>
          <w:tcPr>
            <w:tcW w:w="7640" w:type="dxa"/>
            <w:vAlign w:val="bottom"/>
            <w:vMerge w:val="restart"/>
          </w:tcPr>
          <w:p>
            <w:pPr>
              <w:ind w:left="460"/>
              <w:spacing w:after="0"/>
              <w:rPr>
                <w:sz w:val="20"/>
                <w:szCs w:val="20"/>
                <w:color w:val="auto"/>
              </w:rPr>
            </w:pPr>
            <w:r>
              <w:rPr>
                <w:rFonts w:ascii="Arial" w:cs="Arial" w:eastAsia="Arial" w:hAnsi="Arial"/>
                <w:sz w:val="18"/>
                <w:szCs w:val="18"/>
                <w:color w:val="auto"/>
                <w:w w:val="91"/>
              </w:rPr>
              <w:t>To test the identification of material promises , we assessed, among other things, the stated terms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4"/>
              </w:rPr>
              <w:t>of the Company’s arrangement with Zai Lab. We also conducted meetings with personnel at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2"/>
              </w:rPr>
              <w:t>Company responsible for negotiating the contract and overseeing the delivery of the components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8"/>
              </w:rPr>
              <w:t>in order to understand the nature as well as understand whether they were capable of being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w w:val="95"/>
              </w:rPr>
              <w:t>distinct in the context of the contract. Finally, we assessed the Company’s analyses to support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their conclusion of the amount of revenue to recognize in 2021.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Lengo Therapeutics Inc. Acquisition</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Description of</w:t>
            </w:r>
          </w:p>
        </w:tc>
        <w:tc>
          <w:tcPr>
            <w:tcW w:w="7640" w:type="dxa"/>
            <w:vAlign w:val="bottom"/>
          </w:tcPr>
          <w:p>
            <w:pPr>
              <w:ind w:left="460"/>
              <w:spacing w:after="0"/>
              <w:rPr>
                <w:sz w:val="20"/>
                <w:szCs w:val="20"/>
                <w:color w:val="auto"/>
              </w:rPr>
            </w:pPr>
            <w:r>
              <w:rPr>
                <w:rFonts w:ascii="Arial" w:cs="Arial" w:eastAsia="Arial" w:hAnsi="Arial"/>
                <w:sz w:val="18"/>
                <w:szCs w:val="18"/>
                <w:color w:val="auto"/>
              </w:rPr>
              <w:t>As described in Note 3 to the Company’s consolidated financial statements, the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the Matter</w:t>
            </w:r>
          </w:p>
        </w:tc>
        <w:tc>
          <w:tcPr>
            <w:tcW w:w="7640" w:type="dxa"/>
            <w:vAlign w:val="bottom"/>
          </w:tcPr>
          <w:p>
            <w:pPr>
              <w:ind w:left="460"/>
              <w:spacing w:after="0"/>
              <w:rPr>
                <w:sz w:val="20"/>
                <w:szCs w:val="20"/>
                <w:color w:val="auto"/>
              </w:rPr>
            </w:pPr>
            <w:r>
              <w:rPr>
                <w:rFonts w:ascii="Arial" w:cs="Arial" w:eastAsia="Arial" w:hAnsi="Arial"/>
                <w:sz w:val="18"/>
                <w:szCs w:val="18"/>
                <w:color w:val="auto"/>
                <w:w w:val="98"/>
              </w:rPr>
              <w:t>completed the acquisition of all the outstanding shares of Lengo Therapeutics Inc. (“Lengo”)</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40" w:type="dxa"/>
            <w:vAlign w:val="bottom"/>
          </w:tcPr>
          <w:p>
            <w:pPr>
              <w:ind w:left="30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9" w:right="1440" w:bottom="1440" w:gutter="0" w:footer="0" w:header="0"/>
        </w:sectPr>
      </w:pPr>
    </w:p>
    <w:bookmarkStart w:id="130" w:name="page131"/>
    <w:bookmarkEnd w:id="13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7480" w:type="dxa"/>
            <w:vAlign w:val="bottom"/>
          </w:tcPr>
          <w:p>
            <w:pPr>
              <w:spacing w:after="0"/>
              <w:rPr>
                <w:sz w:val="17"/>
                <w:szCs w:val="17"/>
                <w:color w:val="auto"/>
              </w:rPr>
            </w:pPr>
          </w:p>
        </w:tc>
      </w:tr>
      <w:tr>
        <w:trPr>
          <w:trHeight w:val="951"/>
        </w:trPr>
        <w:tc>
          <w:tcPr>
            <w:tcW w:w="1260" w:type="dxa"/>
            <w:vAlign w:val="bottom"/>
          </w:tcPr>
          <w:p>
            <w:pPr>
              <w:spacing w:after="0"/>
              <w:rPr>
                <w:sz w:val="24"/>
                <w:szCs w:val="24"/>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w w:val="93"/>
              </w:rPr>
              <w:t>for upfront consideration of $250.0 million, subject to customary net indebtedness, transaction</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0"/>
              </w:rPr>
              <w:t>expenses, and other adjustments and future contingent cash milestone payments of up to $215.0</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1"/>
              </w:rPr>
              <w:t>million, upon achievement of specified regulatory approval and sales milestones. The acquisition</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2"/>
              </w:rPr>
              <w:t>was accounted for as an acquisition of assets that did not meet the definition of a business. The</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4"/>
              </w:rPr>
              <w:t>asset acquisition did not constitute a business as substantially all of the fair value of the gross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0"/>
              </w:rPr>
              <w:t>assets acquired was concentrated in Lengo’s lead compound LNG-451, now known as BLU-451.</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3"/>
              </w:rPr>
              <w:t>The acquired assets and liabilities were recorded at their relative fair values and the Company</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9"/>
              </w:rPr>
              <w:t>immediately expensed the acquired intellectual property in the consolidated statement of</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7"/>
              </w:rPr>
              <w:t>operations and comprehensive loss in the amount of $260.0 million as the acquired assets</w:t>
            </w:r>
          </w:p>
        </w:tc>
      </w:tr>
      <w:tr>
        <w:trPr>
          <w:trHeight w:val="230"/>
        </w:trPr>
        <w:tc>
          <w:tcPr>
            <w:tcW w:w="1260" w:type="dxa"/>
            <w:vAlign w:val="bottom"/>
          </w:tcPr>
          <w:p>
            <w:pPr>
              <w:spacing w:after="0"/>
              <w:rPr>
                <w:sz w:val="20"/>
                <w:szCs w:val="20"/>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rPr>
              <w:t>represent in-process research and development with no alternative future use.</w:t>
            </w:r>
          </w:p>
        </w:tc>
      </w:tr>
      <w:tr>
        <w:trPr>
          <w:trHeight w:val="377"/>
        </w:trPr>
        <w:tc>
          <w:tcPr>
            <w:tcW w:w="1260" w:type="dxa"/>
            <w:vAlign w:val="bottom"/>
          </w:tcPr>
          <w:p>
            <w:pPr>
              <w:spacing w:after="0"/>
              <w:rPr>
                <w:sz w:val="24"/>
                <w:szCs w:val="24"/>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w w:val="96"/>
              </w:rPr>
              <w:t>Auditing management’s conclusion that substantially all of the fair value of the gross assets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2"/>
              </w:rPr>
              <w:t>acquired is concentrated in a single identifiable asset or group of similar identifiable assets and</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9"/>
              </w:rPr>
              <w:t>therefore the Lengo acquisition should be accounted for as an asset acquisition required</w:t>
            </w:r>
          </w:p>
        </w:tc>
      </w:tr>
      <w:tr>
        <w:trPr>
          <w:trHeight w:val="230"/>
        </w:trPr>
        <w:tc>
          <w:tcPr>
            <w:tcW w:w="1260" w:type="dxa"/>
            <w:vAlign w:val="bottom"/>
          </w:tcPr>
          <w:p>
            <w:pPr>
              <w:spacing w:after="0"/>
              <w:rPr>
                <w:sz w:val="20"/>
                <w:szCs w:val="20"/>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rPr>
              <w:t>significant auditor judgment.</w:t>
            </w:r>
          </w:p>
        </w:tc>
      </w:tr>
      <w:tr>
        <w:trPr>
          <w:trHeight w:val="377"/>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How We</w:t>
            </w:r>
          </w:p>
        </w:tc>
        <w:tc>
          <w:tcPr>
            <w:tcW w:w="7480" w:type="dxa"/>
            <w:vAlign w:val="bottom"/>
          </w:tcPr>
          <w:p>
            <w:pPr>
              <w:ind w:left="46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w:t>
            </w:r>
          </w:p>
        </w:tc>
      </w:tr>
      <w:tr>
        <w:trPr>
          <w:trHeight w:val="203"/>
        </w:trPr>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w w:val="99"/>
              </w:rPr>
              <w:t>Addressed the</w:t>
            </w: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1"/>
              </w:rPr>
              <w:t>management’s controls over the identification and aggregation of the Lengo assets acquired and</w:t>
            </w:r>
          </w:p>
        </w:tc>
      </w:tr>
      <w:tr>
        <w:trPr>
          <w:trHeight w:val="203"/>
        </w:trPr>
        <w:tc>
          <w:tcPr>
            <w:tcW w:w="126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Matter in Our</w:t>
            </w: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7"/>
              </w:rPr>
              <w:t>the application of the qualitative and quantitative considerations in applying the accounting</w:t>
            </w:r>
          </w:p>
        </w:tc>
      </w:tr>
      <w:tr>
        <w:trPr>
          <w:trHeight w:val="230"/>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Audit</w:t>
            </w:r>
          </w:p>
        </w:tc>
        <w:tc>
          <w:tcPr>
            <w:tcW w:w="7480" w:type="dxa"/>
            <w:vAlign w:val="bottom"/>
          </w:tcPr>
          <w:p>
            <w:pPr>
              <w:ind w:left="460"/>
              <w:spacing w:after="0"/>
              <w:rPr>
                <w:sz w:val="20"/>
                <w:szCs w:val="20"/>
                <w:color w:val="auto"/>
              </w:rPr>
            </w:pPr>
            <w:r>
              <w:rPr>
                <w:rFonts w:ascii="Arial" w:cs="Arial" w:eastAsia="Arial" w:hAnsi="Arial"/>
                <w:sz w:val="18"/>
                <w:szCs w:val="18"/>
                <w:color w:val="auto"/>
              </w:rPr>
              <w:t>guidance.</w:t>
            </w:r>
          </w:p>
        </w:tc>
      </w:tr>
      <w:tr>
        <w:trPr>
          <w:trHeight w:val="377"/>
        </w:trPr>
        <w:tc>
          <w:tcPr>
            <w:tcW w:w="1260" w:type="dxa"/>
            <w:vAlign w:val="bottom"/>
          </w:tcPr>
          <w:p>
            <w:pPr>
              <w:spacing w:after="0"/>
              <w:rPr>
                <w:sz w:val="24"/>
                <w:szCs w:val="24"/>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w w:val="94"/>
              </w:rPr>
              <w:t>To test the Lengo asset acquisition conclusion, our audit procedures included, among others,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3"/>
              </w:rPr>
              <w:t>reviewing the agreement between the Company and Lengo and other information to determine</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89"/>
              </w:rPr>
              <w:t>the completeness of identified assets acquired. We assessed the reasonableness of the qualitative</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3"/>
              </w:rPr>
              <w:t>and quantitative considerations utilized when determining if substantially all of the fair value of</w:t>
            </w:r>
          </w:p>
        </w:tc>
      </w:tr>
      <w:tr>
        <w:trPr>
          <w:trHeight w:val="202"/>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9"/>
              </w:rPr>
              <w:t>the gross assets acquired is concentrated in a single identifiable asset or group of similar</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2"/>
              </w:rPr>
              <w:t>identifiable assets by comparing it to evidence obtained about Lengo and its legacy operations.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89"/>
              </w:rPr>
              <w:t>As part of our testing of the assessment made by management, we evaluated the reasonableness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89"/>
              </w:rPr>
              <w:t>of the significant assumptions used in the Company’s estimate of the gross fair value of the assets</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rPr>
              <w:t>acquired. We involved our valuation professionals to assist with our evaluation of the</w:t>
            </w:r>
          </w:p>
        </w:tc>
      </w:tr>
      <w:tr>
        <w:trPr>
          <w:trHeight w:val="203"/>
        </w:trPr>
        <w:tc>
          <w:tcPr>
            <w:tcW w:w="1260" w:type="dxa"/>
            <w:vAlign w:val="bottom"/>
          </w:tcPr>
          <w:p>
            <w:pPr>
              <w:spacing w:after="0"/>
              <w:rPr>
                <w:sz w:val="17"/>
                <w:szCs w:val="17"/>
                <w:color w:val="auto"/>
              </w:rPr>
            </w:pPr>
          </w:p>
        </w:tc>
        <w:tc>
          <w:tcPr>
            <w:tcW w:w="7480" w:type="dxa"/>
            <w:vAlign w:val="bottom"/>
          </w:tcPr>
          <w:p>
            <w:pPr>
              <w:ind w:left="460"/>
              <w:spacing w:after="0" w:line="202" w:lineRule="exact"/>
              <w:rPr>
                <w:sz w:val="20"/>
                <w:szCs w:val="20"/>
                <w:color w:val="auto"/>
              </w:rPr>
            </w:pPr>
            <w:r>
              <w:rPr>
                <w:rFonts w:ascii="Arial" w:cs="Arial" w:eastAsia="Arial" w:hAnsi="Arial"/>
                <w:sz w:val="18"/>
                <w:szCs w:val="18"/>
                <w:color w:val="auto"/>
                <w:w w:val="98"/>
              </w:rPr>
              <w:t>methodology used by the Company and significant assumptions included in the fair value</w:t>
            </w:r>
          </w:p>
        </w:tc>
      </w:tr>
      <w:tr>
        <w:trPr>
          <w:trHeight w:val="230"/>
        </w:trPr>
        <w:tc>
          <w:tcPr>
            <w:tcW w:w="1260" w:type="dxa"/>
            <w:vAlign w:val="bottom"/>
          </w:tcPr>
          <w:p>
            <w:pPr>
              <w:spacing w:after="0"/>
              <w:rPr>
                <w:sz w:val="20"/>
                <w:szCs w:val="20"/>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rPr>
              <w:t>estimates.</w:t>
            </w: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6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ind w:left="3080"/>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267,166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187,213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20"/>
              <w:spacing w:after="0"/>
              <w:rPr>
                <w:sz w:val="20"/>
                <w:szCs w:val="20"/>
                <w:color w:val="auto"/>
              </w:rPr>
            </w:pPr>
            <w:r>
              <w:rPr>
                <w:rFonts w:ascii="Arial" w:cs="Arial" w:eastAsia="Arial" w:hAnsi="Arial"/>
                <w:sz w:val="16"/>
                <w:szCs w:val="16"/>
                <w:color w:val="auto"/>
              </w:rPr>
              <w:t>Unbilled accounts receivable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11,875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18,064</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22,020</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554,025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927,759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557,529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677,873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67,539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1,252,225</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5"/>
              </w:rPr>
              <w:t>1,718,393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121,829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105,938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8,093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deferred revenue</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11,510</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149,765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130,802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net of current portion</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103,315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281,490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248,305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w w:val="95"/>
              </w:rPr>
              <w:t>Preferred stock, $0.001 par value; 5,000,000 shares authorized; no shares issued and outstanding</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6660" w:type="dxa"/>
            <w:vAlign w:val="bottom"/>
          </w:tcPr>
          <w:p>
            <w:pPr>
              <w:spacing w:after="0" w:line="179" w:lineRule="exact"/>
              <w:rPr>
                <w:sz w:val="20"/>
                <w:szCs w:val="20"/>
                <w:color w:val="auto"/>
              </w:rPr>
            </w:pPr>
            <w:r>
              <w:rPr>
                <w:rFonts w:ascii="Arial" w:cs="Arial" w:eastAsia="Arial" w:hAnsi="Arial"/>
                <w:sz w:val="16"/>
                <w:szCs w:val="16"/>
                <w:color w:val="auto"/>
                <w:w w:val="92"/>
              </w:rPr>
              <w:t>Common stock, $0.001 par value; 120,000,000 shares authorized; 59,141,086 and 57,793,533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Arial" w:cs="Arial" w:eastAsia="Arial" w:hAnsi="Arial"/>
                <w:sz w:val="16"/>
                <w:szCs w:val="16"/>
                <w:color w:val="auto"/>
              </w:rPr>
              <w:t>issued and outstanding at December 31, 2021 and December 31, 2020, respectively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2,250,250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2,106,600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(1,275,441)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(631,356)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970,735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5"/>
              </w:rPr>
              <w:t>1,470,088</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1,252,225</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5"/>
              </w:rPr>
              <w:t>1,718,393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8"/>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0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57,687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22,134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122,393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771,601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180,080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5"/>
              </w:rPr>
              <w:t>793,735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66,512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and operating expenses: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17,934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loss sharing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601,033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5"/>
              </w:rPr>
              <w:t>326,860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331,450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195,293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157,743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line="196" w:lineRule="exact"/>
              <w:rPr>
                <w:sz w:val="20"/>
                <w:szCs w:val="20"/>
                <w:color w:val="auto"/>
              </w:rPr>
            </w:pPr>
            <w:r>
              <w:rPr>
                <w:rFonts w:ascii="Arial" w:cs="Arial" w:eastAsia="Arial" w:hAnsi="Arial"/>
                <w:sz w:val="18"/>
                <w:szCs w:val="18"/>
                <w:color w:val="auto"/>
              </w:rPr>
              <w:t>Total cost and operating expenses</w:t>
            </w: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822,061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5"/>
              </w:rPr>
              <w:t>485,028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427,838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6,233</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(641,084)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314,940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(347,694)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(644,085)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313,882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(347,694)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 (loss) on pension benefit obligations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(2,843)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 (loss) on available-for-sale investments</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(3,649)</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(643,004)</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311,202</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(350,048)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per share — basic</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(11.01)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5.76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(11.01)</w:t>
            </w:r>
          </w:p>
        </w:tc>
        <w:tc>
          <w:tcPr>
            <w:tcW w:w="1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 net income (loss) per</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share — basic</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line="182" w:lineRule="exact"/>
              <w:rPr>
                <w:sz w:val="20"/>
                <w:szCs w:val="20"/>
                <w:color w:val="auto"/>
              </w:rPr>
            </w:pPr>
            <w:r>
              <w:rPr>
                <w:rFonts w:ascii="Arial" w:cs="Arial" w:eastAsia="Arial" w:hAnsi="Arial"/>
                <w:sz w:val="18"/>
                <w:szCs w:val="18"/>
                <w:color w:val="auto"/>
                <w:w w:val="99"/>
              </w:rPr>
              <w:t>Weighted-average number of common shares used in net income (loss) per</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58,518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56,168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Arial" w:cs="Arial" w:eastAsia="Arial" w:hAnsi="Arial"/>
                <w:sz w:val="18"/>
                <w:szCs w:val="18"/>
                <w:color w:val="auto"/>
              </w:rPr>
              <w:t>share — diluted</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Blueprint Medicines Corporation</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Accumulated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Stockholders’</w:t>
            </w:r>
          </w:p>
        </w:tc>
      </w:tr>
      <w:tr>
        <w:trPr>
          <w:trHeight w:val="156"/>
        </w:trPr>
        <w:tc>
          <w:tcPr>
            <w:tcW w:w="3880" w:type="dxa"/>
            <w:vAlign w:val="bottom"/>
          </w:tcPr>
          <w:p>
            <w:pPr>
              <w:spacing w:after="0"/>
              <w:rPr>
                <w:sz w:val="13"/>
                <w:szCs w:val="13"/>
                <w:color w:val="auto"/>
              </w:rPr>
            </w:pPr>
          </w:p>
        </w:tc>
        <w:tc>
          <w:tcPr>
            <w:tcW w:w="9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3"/>
                <w:szCs w:val="13"/>
                <w:color w:val="auto"/>
              </w:rPr>
            </w:pPr>
          </w:p>
        </w:tc>
        <w:tc>
          <w:tcPr>
            <w:tcW w:w="9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38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at December 31, 2018</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44,037,026</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44</w:t>
            </w:r>
          </w:p>
        </w:tc>
        <w:tc>
          <w:tcPr>
            <w:tcW w:w="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2"/>
              </w:rPr>
              <w:t>$ 1,016,689</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(180)</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(597,544)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419,009</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Issuance of common stock under stock plan</w:t>
            </w:r>
          </w:p>
        </w:tc>
        <w:tc>
          <w:tcPr>
            <w:tcW w:w="860" w:type="dxa"/>
            <w:vAlign w:val="bottom"/>
          </w:tcPr>
          <w:p>
            <w:pPr>
              <w:jc w:val="right"/>
              <w:spacing w:after="0"/>
              <w:rPr>
                <w:sz w:val="20"/>
                <w:szCs w:val="20"/>
                <w:color w:val="auto"/>
              </w:rPr>
            </w:pPr>
            <w:r>
              <w:rPr>
                <w:rFonts w:ascii="Arial" w:cs="Arial" w:eastAsia="Arial" w:hAnsi="Arial"/>
                <w:sz w:val="16"/>
                <w:szCs w:val="16"/>
                <w:color w:val="auto"/>
              </w:rPr>
              <w:t>552,311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12,130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12,131</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20,724</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54,653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54,653</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Follow on offering, net of issuance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4,662,162</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327,462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327,466</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(2,354)</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(347,694)</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(347,694)</w:t>
            </w:r>
          </w:p>
        </w:tc>
      </w:tr>
      <w:tr>
        <w:trPr>
          <w:trHeight w:val="183"/>
        </w:trPr>
        <w:tc>
          <w:tcPr>
            <w:tcW w:w="388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2019</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49,272,223</w:t>
            </w:r>
          </w:p>
        </w:tc>
        <w:tc>
          <w:tcPr>
            <w:tcW w:w="40" w:type="dxa"/>
            <w:vAlign w:val="bottom"/>
          </w:tcPr>
          <w:p>
            <w:pPr>
              <w:spacing w:after="0"/>
              <w:rPr>
                <w:sz w:val="15"/>
                <w:szCs w:val="15"/>
                <w:color w:val="auto"/>
              </w:rPr>
            </w:pPr>
          </w:p>
        </w:tc>
        <w:tc>
          <w:tcPr>
            <w:tcW w:w="280" w:type="dxa"/>
            <w:vAlign w:val="bottom"/>
            <w:tcBorders>
              <w:top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49</w:t>
            </w:r>
          </w:p>
        </w:tc>
        <w:tc>
          <w:tcPr>
            <w:tcW w:w="40" w:type="dxa"/>
            <w:vAlign w:val="bottom"/>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2"/>
              </w:rPr>
              <w:t>$ 1,412,082</w:t>
            </w:r>
          </w:p>
        </w:tc>
        <w:tc>
          <w:tcPr>
            <w:tcW w:w="40" w:type="dxa"/>
            <w:vAlign w:val="bottom"/>
          </w:tcPr>
          <w:p>
            <w:pPr>
              <w:spacing w:after="0"/>
              <w:rPr>
                <w:sz w:val="15"/>
                <w:szCs w:val="15"/>
                <w:color w:val="auto"/>
              </w:rPr>
            </w:pPr>
          </w:p>
        </w:tc>
        <w:tc>
          <w:tcPr>
            <w:tcW w:w="200" w:type="dxa"/>
            <w:vAlign w:val="bottom"/>
            <w:tcBorders>
              <w:top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(2,534)</w:t>
            </w:r>
          </w:p>
        </w:tc>
        <w:tc>
          <w:tcPr>
            <w:tcW w:w="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(945,238)</w:t>
            </w: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464,359</w:t>
            </w:r>
          </w:p>
        </w:tc>
        <w:tc>
          <w:tcPr>
            <w:tcW w:w="40" w:type="dxa"/>
            <w:vAlign w:val="bottom"/>
          </w:tcPr>
          <w:p>
            <w:pPr>
              <w:spacing w:after="0"/>
              <w:rPr>
                <w:sz w:val="15"/>
                <w:szCs w:val="15"/>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plan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952,205</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33,283</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Purchase of common stock under ESPP</w:t>
            </w:r>
          </w:p>
        </w:tc>
        <w:tc>
          <w:tcPr>
            <w:tcW w:w="860" w:type="dxa"/>
            <w:vAlign w:val="bottom"/>
          </w:tcPr>
          <w:p>
            <w:pPr>
              <w:jc w:val="right"/>
              <w:spacing w:after="0"/>
              <w:rPr>
                <w:sz w:val="20"/>
                <w:szCs w:val="20"/>
                <w:color w:val="auto"/>
              </w:rPr>
            </w:pPr>
            <w:r>
              <w:rPr>
                <w:rFonts w:ascii="Arial" w:cs="Arial" w:eastAsia="Arial" w:hAnsi="Arial"/>
                <w:sz w:val="16"/>
                <w:szCs w:val="16"/>
                <w:color w:val="auto"/>
              </w:rPr>
              <w:t>38,516</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2,154</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76,602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76,602</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Follow on offering, net of issuance costs</w:t>
            </w:r>
          </w:p>
        </w:tc>
        <w:tc>
          <w:tcPr>
            <w:tcW w:w="860" w:type="dxa"/>
            <w:vAlign w:val="bottom"/>
          </w:tcPr>
          <w:p>
            <w:pPr>
              <w:jc w:val="right"/>
              <w:spacing w:after="0"/>
              <w:rPr>
                <w:sz w:val="20"/>
                <w:szCs w:val="20"/>
                <w:color w:val="auto"/>
              </w:rPr>
            </w:pPr>
            <w:r>
              <w:rPr>
                <w:rFonts w:ascii="Arial" w:cs="Arial" w:eastAsia="Arial" w:hAnsi="Arial"/>
                <w:sz w:val="16"/>
                <w:szCs w:val="16"/>
                <w:color w:val="auto"/>
              </w:rPr>
              <w:t>6,495,070</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503,176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503,182</w:t>
            </w:r>
          </w:p>
        </w:tc>
        <w:tc>
          <w:tcPr>
            <w:tcW w:w="40" w:type="dxa"/>
            <w:vAlign w:val="bottom"/>
          </w:tcPr>
          <w:p>
            <w:pPr>
              <w:spacing w:after="0"/>
              <w:rPr>
                <w:sz w:val="16"/>
                <w:szCs w:val="16"/>
                <w:color w:val="auto"/>
              </w:rPr>
            </w:pPr>
          </w:p>
        </w:tc>
      </w:tr>
      <w:tr>
        <w:trPr>
          <w:trHeight w:val="179"/>
        </w:trPr>
        <w:tc>
          <w:tcPr>
            <w:tcW w:w="38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Issuance of common stock related to collaboration</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agreement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1,035,519</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79,306</w:t>
            </w:r>
          </w:p>
        </w:tc>
        <w:tc>
          <w:tcPr>
            <w:tcW w:w="40" w:type="dxa"/>
            <w:vAlign w:val="bottom"/>
            <w:shd w:val="clear" w:color="auto" w:fill="CCEEFF"/>
          </w:tcPr>
          <w:p>
            <w:pPr>
              <w:spacing w:after="0"/>
              <w:rPr>
                <w:sz w:val="17"/>
                <w:szCs w:val="17"/>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(2,680)</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(2,680)</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313,882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313,882</w:t>
            </w:r>
          </w:p>
        </w:tc>
        <w:tc>
          <w:tcPr>
            <w:tcW w:w="40" w:type="dxa"/>
            <w:vAlign w:val="bottom"/>
            <w:shd w:val="clear" w:color="auto" w:fill="CCEEFF"/>
          </w:tcPr>
          <w:p>
            <w:pPr>
              <w:spacing w:after="0"/>
              <w:rPr>
                <w:sz w:val="16"/>
                <w:szCs w:val="16"/>
                <w:color w:val="auto"/>
              </w:rPr>
            </w:pPr>
          </w:p>
        </w:tc>
      </w:tr>
      <w:tr>
        <w:trPr>
          <w:trHeight w:val="183"/>
        </w:trPr>
        <w:tc>
          <w:tcPr>
            <w:tcW w:w="388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2020</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57,793,533</w:t>
            </w:r>
          </w:p>
        </w:tc>
        <w:tc>
          <w:tcPr>
            <w:tcW w:w="40" w:type="dxa"/>
            <w:vAlign w:val="bottom"/>
          </w:tcPr>
          <w:p>
            <w:pPr>
              <w:spacing w:after="0"/>
              <w:rPr>
                <w:sz w:val="15"/>
                <w:szCs w:val="15"/>
                <w:color w:val="auto"/>
              </w:rPr>
            </w:pPr>
          </w:p>
        </w:tc>
        <w:tc>
          <w:tcPr>
            <w:tcW w:w="280" w:type="dxa"/>
            <w:vAlign w:val="bottom"/>
            <w:tcBorders>
              <w:top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58</w:t>
            </w:r>
          </w:p>
        </w:tc>
        <w:tc>
          <w:tcPr>
            <w:tcW w:w="40" w:type="dxa"/>
            <w:vAlign w:val="bottom"/>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2"/>
              </w:rPr>
              <w:t>$ 2,106,600</w:t>
            </w:r>
          </w:p>
        </w:tc>
        <w:tc>
          <w:tcPr>
            <w:tcW w:w="40" w:type="dxa"/>
            <w:vAlign w:val="bottom"/>
          </w:tcPr>
          <w:p>
            <w:pPr>
              <w:spacing w:after="0"/>
              <w:rPr>
                <w:sz w:val="15"/>
                <w:szCs w:val="15"/>
                <w:color w:val="auto"/>
              </w:rPr>
            </w:pPr>
          </w:p>
        </w:tc>
        <w:tc>
          <w:tcPr>
            <w:tcW w:w="200" w:type="dxa"/>
            <w:vAlign w:val="bottom"/>
            <w:tcBorders>
              <w:top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(5,214)</w:t>
            </w:r>
          </w:p>
        </w:tc>
        <w:tc>
          <w:tcPr>
            <w:tcW w:w="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(631,356)</w:t>
            </w: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5"/>
              </w:rPr>
              <w:t>1,470,088</w:t>
            </w:r>
          </w:p>
        </w:tc>
        <w:tc>
          <w:tcPr>
            <w:tcW w:w="40" w:type="dxa"/>
            <w:vAlign w:val="bottom"/>
          </w:tcPr>
          <w:p>
            <w:pPr>
              <w:spacing w:after="0"/>
              <w:rPr>
                <w:sz w:val="15"/>
                <w:szCs w:val="15"/>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plan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1,304,386</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47,303</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Purchase of common stock under ESPP</w:t>
            </w:r>
          </w:p>
        </w:tc>
        <w:tc>
          <w:tcPr>
            <w:tcW w:w="860" w:type="dxa"/>
            <w:vAlign w:val="bottom"/>
          </w:tcPr>
          <w:p>
            <w:pPr>
              <w:jc w:val="right"/>
              <w:spacing w:after="0"/>
              <w:rPr>
                <w:sz w:val="20"/>
                <w:szCs w:val="20"/>
                <w:color w:val="auto"/>
              </w:rPr>
            </w:pPr>
            <w:r>
              <w:rPr>
                <w:rFonts w:ascii="Arial" w:cs="Arial" w:eastAsia="Arial" w:hAnsi="Arial"/>
                <w:sz w:val="16"/>
                <w:szCs w:val="16"/>
                <w:color w:val="auto"/>
              </w:rPr>
              <w:t>43,167</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3,313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3,313</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93,035</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1,081</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(644,085)</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(644,085)</w:t>
            </w:r>
          </w:p>
        </w:tc>
      </w:tr>
      <w:tr>
        <w:trPr>
          <w:trHeight w:val="183"/>
        </w:trPr>
        <w:tc>
          <w:tcPr>
            <w:tcW w:w="388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2021</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59,141,086</w:t>
            </w: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59</w:t>
            </w:r>
          </w:p>
        </w:tc>
        <w:tc>
          <w:tcPr>
            <w:tcW w:w="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2"/>
              </w:rPr>
              <w:t>$ 2,250,250</w:t>
            </w: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(4,133)</w:t>
            </w: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2"/>
              </w:rPr>
              <w:t>(1,275,441)</w:t>
            </w: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970,735</w:t>
            </w:r>
          </w:p>
        </w:tc>
        <w:tc>
          <w:tcPr>
            <w:tcW w:w="40" w:type="dxa"/>
            <w:vAlign w:val="bottom"/>
          </w:tcPr>
          <w:p>
            <w:pPr>
              <w:spacing w:after="0"/>
              <w:rPr>
                <w:sz w:val="15"/>
                <w:szCs w:val="15"/>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ind w:right="55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(644,085)</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313,882</w:t>
            </w:r>
          </w:p>
        </w:tc>
        <w:tc>
          <w:tcPr>
            <w:tcW w:w="6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5"/>
              </w:rPr>
              <w:t>(347,694)</w:t>
            </w:r>
          </w:p>
        </w:tc>
      </w:tr>
      <w:tr>
        <w:trPr>
          <w:trHeight w:val="188"/>
        </w:trPr>
        <w:tc>
          <w:tcPr>
            <w:tcW w:w="6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(loss) to net cash provided by (used in)</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5,259</w:t>
            </w: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4,991</w:t>
            </w: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91,630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75,526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54,653</w:t>
            </w: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259,957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color w:val="auto"/>
              </w:rPr>
              <w:t>Accretion of premiums and discounts on investments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(4,949)</w:t>
            </w: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(18,143)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r>
      <w:tr>
        <w:trPr>
          <w:trHeight w:val="203"/>
        </w:trPr>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Unbilled accounts receivable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(22,597)</w:t>
            </w: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(12,561)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(3,338)</w:t>
            </w: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1,448</w:t>
            </w: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36,980</w:t>
            </w:r>
          </w:p>
        </w:tc>
      </w:tr>
      <w:tr>
        <w:trPr>
          <w:trHeight w:val="203"/>
        </w:trPr>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(4,915)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(7,955)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(2,095)</w:t>
            </w:r>
          </w:p>
        </w:tc>
      </w:tr>
      <w:tr>
        <w:trPr>
          <w:trHeight w:val="196"/>
        </w:trPr>
        <w:tc>
          <w:tcPr>
            <w:tcW w:w="6100" w:type="dxa"/>
            <w:vAlign w:val="bottom"/>
          </w:tcPr>
          <w:p>
            <w:pPr>
              <w:ind w:left="64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(298,653)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387,035</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(278,015)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(3,089)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(3,159)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(14,013)</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Purchase of in-process research and development asset, net of cash acquired</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(258,152)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(655,449)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(969,437)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5"/>
              </w:rPr>
              <w:t>(738,387)</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investments</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690,830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538,347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735,934</w:t>
            </w:r>
          </w:p>
        </w:tc>
      </w:tr>
      <w:tr>
        <w:trPr>
          <w:trHeight w:val="196"/>
        </w:trPr>
        <w:tc>
          <w:tcPr>
            <w:tcW w:w="6100" w:type="dxa"/>
            <w:vAlign w:val="bottom"/>
          </w:tcPr>
          <w:p>
            <w:pPr>
              <w:ind w:left="640"/>
              <w:spacing w:after="0" w:line="196" w:lineRule="exact"/>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3"/>
              </w:rPr>
              <w:t>(225,860)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3"/>
              </w:rPr>
              <w:t>(434,249)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(16,466)</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Proceeds from common stock offerings, net of issuance costs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503,189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327,466</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13,288</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w w:val="99"/>
              </w:rPr>
              <w:t>Proceeds from issuance of common stock related to collaboration agreement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79,305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23"/>
        </w:trPr>
        <w:tc>
          <w:tcPr>
            <w:tcW w:w="6100" w:type="dxa"/>
            <w:vAlign w:val="bottom"/>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50,716</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617,759</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340,638</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(473,797)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570,545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46,157</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689,804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119,604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73,429</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Effect of exchange rate changes on cash, cash equivalents and restricted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36"/>
        </w:trPr>
        <w:tc>
          <w:tcPr>
            <w:tcW w:w="61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215,119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689,804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119,604</w:t>
            </w:r>
          </w:p>
        </w:tc>
      </w:tr>
      <w:tr>
        <w:trPr>
          <w:trHeight w:val="183"/>
        </w:trPr>
        <w:tc>
          <w:tcPr>
            <w:tcW w:w="61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5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purchases unpaid at period end</w:t>
            </w: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183"/>
        </w:trPr>
        <w:tc>
          <w:tcPr>
            <w:tcW w:w="61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Cash paid for taxes, net</w:t>
            </w: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694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4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778</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4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185</w:t>
            </w:r>
          </w:p>
        </w:tc>
      </w:tr>
      <w:tr>
        <w:trPr>
          <w:trHeight w:val="20"/>
        </w:trPr>
        <w:tc>
          <w:tcPr>
            <w:tcW w:w="6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6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55"/>
        </w:trPr>
        <w:tc>
          <w:tcPr>
            <w:tcW w:w="62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209,948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684,636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113,938</w:t>
            </w:r>
          </w:p>
        </w:tc>
        <w:tc>
          <w:tcPr>
            <w:tcW w:w="80" w:type="dxa"/>
            <w:vAlign w:val="bottom"/>
            <w:shd w:val="clear" w:color="auto" w:fill="CCEEFF"/>
          </w:tcPr>
          <w:p>
            <w:pPr>
              <w:spacing w:after="0"/>
              <w:rPr>
                <w:sz w:val="13"/>
                <w:szCs w:val="13"/>
                <w:color w:val="auto"/>
              </w:rPr>
            </w:pPr>
          </w:p>
        </w:tc>
      </w:tr>
      <w:tr>
        <w:trPr>
          <w:trHeight w:val="162"/>
        </w:trPr>
        <w:tc>
          <w:tcPr>
            <w:tcW w:w="6220" w:type="dxa"/>
            <w:vAlign w:val="bottom"/>
          </w:tcPr>
          <w:p>
            <w:pPr>
              <w:ind w:left="20"/>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4"/>
                <w:szCs w:val="14"/>
                <w:color w:val="auto"/>
              </w:rPr>
            </w:pPr>
          </w:p>
        </w:tc>
      </w:tr>
      <w:tr>
        <w:trPr>
          <w:trHeight w:val="16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5,166</w:t>
            </w:r>
          </w:p>
        </w:tc>
        <w:tc>
          <w:tcPr>
            <w:tcW w:w="80" w:type="dxa"/>
            <w:vAlign w:val="bottom"/>
            <w:shd w:val="clear" w:color="auto" w:fill="CCEEFF"/>
          </w:tcPr>
          <w:p>
            <w:pPr>
              <w:spacing w:after="0"/>
              <w:rPr>
                <w:sz w:val="14"/>
                <w:szCs w:val="14"/>
                <w:color w:val="auto"/>
              </w:rPr>
            </w:pPr>
          </w:p>
        </w:tc>
      </w:tr>
      <w:tr>
        <w:trPr>
          <w:trHeight w:val="156"/>
        </w:trPr>
        <w:tc>
          <w:tcPr>
            <w:tcW w:w="6220" w:type="dxa"/>
            <w:vAlign w:val="bottom"/>
          </w:tcPr>
          <w:p>
            <w:pPr>
              <w:ind w:left="20"/>
              <w:spacing w:after="0" w:line="155" w:lineRule="exact"/>
              <w:rPr>
                <w:sz w:val="20"/>
                <w:szCs w:val="20"/>
                <w:color w:val="auto"/>
              </w:rPr>
            </w:pPr>
            <w:r>
              <w:rPr>
                <w:rFonts w:ascii="Arial" w:cs="Arial" w:eastAsia="Arial" w:hAnsi="Arial"/>
                <w:sz w:val="14"/>
                <w:szCs w:val="14"/>
                <w:color w:val="auto"/>
              </w:rPr>
              <w:t>Total cash, cash equivalents, and restricted cash shown in consolidated statements of cash flows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215,119</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689,804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119,604</w:t>
            </w:r>
          </w:p>
        </w:tc>
        <w:tc>
          <w:tcPr>
            <w:tcW w:w="8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219"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provide significant and durable clinical responses to patients.</w:t>
      </w:r>
    </w:p>
    <w:p>
      <w:pPr>
        <w:spacing w:after="0" w:line="189"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The Company has two approved precision therapies and is globally advancing multiple programs for systemic mastocytosis, lung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55"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The Company is subject to a number of risks similar to those of other companies transitioning to a commercial stage,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out-license certain of its research and development programs or future commercialization efforts.</w:t>
      </w:r>
    </w:p>
    <w:p>
      <w:pPr>
        <w:spacing w:after="0" w:line="163"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As of December 31, 2021, the Company had cash, cash equivalents and marketable securities of $1,034.6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 (ASU) of the Financial Accounting Standards Board (FASB) and the rules and regulations of the Securities and Exchange Commission (SEC).</w:t>
      </w:r>
    </w:p>
    <w:p>
      <w:pPr>
        <w:spacing w:after="0" w:line="188"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Blueprint Medicines (Italy) S.r.L., and Lengo Therapeutics Inc (Lengo), which was acquired on December 30, 2021. All intercompany transactions and balances have been eliminated.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acquisitions, inventory, operating lease right-of-use assets, operating lease liabilities, stock-based compensation expense, accrued expenses, and income taxes. The length of time and full extent to which the ongoing COVID-19 pandemic will directly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The Company accounts for contracts with customers in accordance with ASC Topic 606, </w:t>
      </w:r>
      <w:r>
        <w:rPr>
          <w:rFonts w:ascii="Arial" w:cs="Arial" w:eastAsia="Arial" w:hAnsi="Arial"/>
          <w:sz w:val="16"/>
          <w:szCs w:val="16"/>
          <w:i w:val="1"/>
          <w:iCs w:val="1"/>
          <w:color w:val="auto"/>
        </w:rPr>
        <w:t>Revenue from Contracts</w:t>
      </w:r>
    </w:p>
    <w:p>
      <w:pPr>
        <w:spacing w:after="0" w:line="73" w:lineRule="exact"/>
        <w:rPr>
          <w:sz w:val="20"/>
          <w:szCs w:val="20"/>
          <w:color w:val="auto"/>
        </w:rPr>
      </w:pPr>
    </w:p>
    <w:p>
      <w:pPr>
        <w:ind w:left="60" w:right="99"/>
        <w:spacing w:after="0" w:line="271" w:lineRule="auto"/>
        <w:rPr>
          <w:sz w:val="20"/>
          <w:szCs w:val="20"/>
          <w:color w:val="auto"/>
        </w:rPr>
      </w:pP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(ASC 606). The Company recognizes revenue when its customer obtains control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 xml:space="preserve">The Company generated product revenue from sales of </w:t>
      </w:r>
      <w:r>
        <w:rPr>
          <w:rFonts w:ascii="Arial" w:cs="Arial" w:eastAsia="Arial" w:hAnsi="Arial"/>
          <w:sz w:val="18"/>
          <w:szCs w:val="18"/>
          <w:color w:val="0A0A0A"/>
          <w:highlight w:val="white"/>
        </w:rPr>
        <w:t>AYVAKIT and GAVRETO</w:t>
      </w:r>
      <w:r>
        <w:rPr>
          <w:rFonts w:ascii="Arial" w:cs="Arial" w:eastAsia="Arial" w:hAnsi="Arial"/>
          <w:sz w:val="18"/>
          <w:szCs w:val="18"/>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Arial" w:cs="Arial" w:eastAsia="Arial" w:hAnsi="Arial"/>
          <w:sz w:val="18"/>
          <w:szCs w:val="18"/>
          <w:color w:val="0A0A0A"/>
          <w:highlight w:val="white"/>
        </w:rPr>
        <w:t>its products</w:t>
      </w:r>
      <w:r>
        <w:rPr>
          <w:rFonts w:ascii="Arial" w:cs="Arial" w:eastAsia="Arial" w:hAnsi="Arial"/>
          <w:sz w:val="18"/>
          <w:szCs w:val="18"/>
          <w:color w:val="auto"/>
        </w:rPr>
        <w:t>.</w:t>
      </w:r>
    </w:p>
    <w:p>
      <w:pPr>
        <w:spacing w:after="0" w:line="189"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6"/>
          <w:szCs w:val="16"/>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the Company’s current contractual and statutory requirements, specific known market events and trends, industry data and forecasted customer buying and payment patterns, the percentage of our products that are sold via these programs, and our product pricing.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6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for fees and discounts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expected value method based upon a range of possible outcomes and are established in the same period that the related revenue is recognized, resulting in a reduction of product revenue.</w:t>
      </w:r>
    </w:p>
    <w:p>
      <w:pPr>
        <w:spacing w:after="0" w:line="17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Government rebates consist of Medicare, Tricare and Medicaid rebates,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89" w:lineRule="exact"/>
        <w:rPr>
          <w:sz w:val="20"/>
          <w:szCs w:val="20"/>
          <w:color w:val="auto"/>
        </w:rPr>
      </w:pPr>
    </w:p>
    <w:p>
      <w:pPr>
        <w:jc w:val="both"/>
        <w:ind w:left="60" w:right="79" w:firstLine="648"/>
        <w:spacing w:after="0" w:line="243" w:lineRule="auto"/>
        <w:rPr>
          <w:sz w:val="20"/>
          <w:szCs w:val="20"/>
          <w:color w:val="auto"/>
        </w:rPr>
      </w:pPr>
      <w:r>
        <w:rPr>
          <w:rFonts w:ascii="Arial" w:cs="Arial" w:eastAsia="Arial" w:hAnsi="Arial"/>
          <w:sz w:val="18"/>
          <w:szCs w:val="18"/>
          <w:i w:val="1"/>
          <w:iCs w:val="1"/>
          <w:color w:val="auto"/>
        </w:rPr>
        <w:t xml:space="preserve">Trade discounts and allowances: </w:t>
      </w:r>
      <w:r>
        <w:rPr>
          <w:rFonts w:ascii="Arial" w:cs="Arial" w:eastAsia="Arial" w:hAnsi="Arial"/>
          <w:sz w:val="18"/>
          <w:szCs w:val="18"/>
          <w:color w:val="auto"/>
        </w:rPr>
        <w:t>The Company provides the customers with discounts that are explicitly stated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88"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estimates the amount of its product sales that may be returned by its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74"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i w:val="1"/>
          <w:iCs w:val="1"/>
          <w:color w:val="auto"/>
        </w:rPr>
        <w:t xml:space="preserve">Other deductions: </w:t>
      </w:r>
      <w:r>
        <w:rPr>
          <w:rFonts w:ascii="Arial" w:cs="Arial" w:eastAsia="Arial" w:hAnsi="Arial"/>
          <w:sz w:val="18"/>
          <w:szCs w:val="18"/>
          <w:color w:val="auto"/>
        </w:rPr>
        <w:t>Co-pay assistance relates to financial assistance provided to qualified patients,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181"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 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income (loss).</w:t>
      </w:r>
    </w:p>
    <w:p>
      <w:pPr>
        <w:spacing w:after="0" w:line="18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0" w:lineRule="auto"/>
        <w:rPr>
          <w:sz w:val="20"/>
          <w:szCs w:val="20"/>
          <w:color w:val="auto"/>
        </w:rPr>
      </w:pPr>
      <w:r>
        <w:rPr>
          <w:rFonts w:ascii="Arial" w:cs="Arial" w:eastAsia="Arial" w:hAnsi="Arial"/>
          <w:sz w:val="17"/>
          <w:szCs w:val="17"/>
          <w:color w:val="auto"/>
        </w:rPr>
        <w:t>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64"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If the license to the Company’s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9"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16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84"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or development milestone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3"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upon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sales and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color w:val="auto"/>
        </w:rPr>
        <w:t>or all of the royalty has been allocated has been satisfied or partially satisfied. To date, the Company has not recognized any royalty revenue resulting from any of its licensing arrangements.</w:t>
      </w:r>
    </w:p>
    <w:p>
      <w:pPr>
        <w:spacing w:after="0" w:line="171"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If the Company transfer goods or services to a customer before the customer pays consideration or before payment is due, the Company records a contract asset as unbilled accounts receivable on the consolidated balance sheets.</w:t>
      </w:r>
    </w:p>
    <w:p>
      <w:pPr>
        <w:spacing w:after="0" w:line="162" w:lineRule="exact"/>
        <w:rPr>
          <w:sz w:val="20"/>
          <w:szCs w:val="20"/>
          <w:color w:val="auto"/>
        </w:rPr>
      </w:pPr>
    </w:p>
    <w:p>
      <w:pPr>
        <w:ind w:left="60" w:right="539" w:firstLine="648"/>
        <w:spacing w:after="0" w:line="261" w:lineRule="auto"/>
        <w:rPr>
          <w:sz w:val="20"/>
          <w:szCs w:val="20"/>
          <w:color w:val="auto"/>
        </w:rPr>
      </w:pPr>
      <w:r>
        <w:rPr>
          <w:rFonts w:ascii="Arial" w:cs="Arial" w:eastAsia="Arial" w:hAnsi="Arial"/>
          <w:sz w:val="18"/>
          <w:szCs w:val="18"/>
          <w:color w:val="auto"/>
        </w:rPr>
        <w:t xml:space="preserve">For a complete discussion of accounting for collaboration revenues, see Note 11, </w:t>
      </w:r>
      <w:r>
        <w:rPr>
          <w:rFonts w:ascii="Arial" w:cs="Arial" w:eastAsia="Arial" w:hAnsi="Arial"/>
          <w:sz w:val="18"/>
          <w:szCs w:val="18"/>
          <w:i w:val="1"/>
          <w:iCs w:val="1"/>
          <w:color w:val="auto"/>
        </w:rPr>
        <w:t>Collaboration and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 net</w:t>
      </w:r>
    </w:p>
    <w:p>
      <w:pPr>
        <w:spacing w:after="0" w:line="21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Accounts receivable arise from product sales and amounts due from the Company’s collaboration partners. The amount from product sales represents amounts due from specialty distributors and specialty pharmacy providers in the U.S. and in the European Union. The Company monitors economic conditions and the financial performance and credit worthiness of its counterparties to identify facts or circumstances that may indicate that its receivables are at risk of collection. The Company provides reserves against accounts receivable for estimated losses that may result from a customer’s inability to pay based on the composition of its accounts receivable, considering past events, current economic conditions, and reasonable and supportable forecasts about the future economic conditions. The contractual life of our accounts receivable is generally short-term. Amounts determined to be uncollectible are charged or written-off against the reserve. For the years ended December 31, 2021 and 2020, the Company did not record any expected credit losses related to outstanding accounts receivable.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12"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89" w:lineRule="exact"/>
        <w:rPr>
          <w:sz w:val="20"/>
          <w:szCs w:val="20"/>
          <w:color w:val="auto"/>
        </w:rPr>
      </w:pPr>
    </w:p>
    <w:p>
      <w:pPr>
        <w:ind w:left="60" w:right="199" w:firstLine="648"/>
        <w:spacing w:after="0" w:line="262" w:lineRule="auto"/>
        <w:rPr>
          <w:sz w:val="20"/>
          <w:szCs w:val="20"/>
          <w:color w:val="auto"/>
        </w:rPr>
      </w:pPr>
      <w:r>
        <w:rPr>
          <w:rFonts w:ascii="Arial" w:cs="Arial" w:eastAsia="Arial" w:hAnsi="Arial"/>
          <w:sz w:val="17"/>
          <w:szCs w:val="17"/>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7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212" w:lineRule="exact"/>
        <w:rPr>
          <w:sz w:val="20"/>
          <w:szCs w:val="20"/>
          <w:color w:val="auto"/>
        </w:rPr>
      </w:pPr>
    </w:p>
    <w:p>
      <w:pPr>
        <w:ind w:left="60" w:right="559" w:firstLine="648"/>
        <w:spacing w:after="0" w:line="324" w:lineRule="auto"/>
        <w:rPr>
          <w:sz w:val="20"/>
          <w:szCs w:val="20"/>
          <w:color w:val="auto"/>
        </w:rPr>
      </w:pPr>
      <w:r>
        <w:rPr>
          <w:rFonts w:ascii="Arial" w:cs="Arial" w:eastAsia="Arial" w:hAnsi="Arial"/>
          <w:sz w:val="16"/>
          <w:szCs w:val="16"/>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24" w:lineRule="exact"/>
        <w:rPr>
          <w:sz w:val="20"/>
          <w:szCs w:val="20"/>
          <w:color w:val="auto"/>
        </w:rPr>
      </w:pPr>
    </w:p>
    <w:p>
      <w:pPr>
        <w:ind w:left="1380" w:right="119" w:hanging="331"/>
        <w:spacing w:after="0" w:line="261"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Fair values are determined utilizing quoted prices (unadjusted) in active markets for identical assets or liabilities that the Company has the ability to access;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439" w:hanging="331"/>
        <w:spacing w:after="0" w:line="248"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81" w:lineRule="exact"/>
        <w:rPr>
          <w:rFonts w:ascii="Arial" w:cs="Arial" w:eastAsia="Arial" w:hAnsi="Arial"/>
          <w:sz w:val="18"/>
          <w:szCs w:val="18"/>
          <w:color w:val="auto"/>
        </w:rPr>
      </w:pPr>
    </w:p>
    <w:p>
      <w:pPr>
        <w:ind w:left="1380" w:right="119" w:hanging="331"/>
        <w:spacing w:after="0" w:line="243"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88" w:lineRule="exact"/>
        <w:rPr>
          <w:sz w:val="20"/>
          <w:szCs w:val="20"/>
          <w:color w:val="auto"/>
        </w:rPr>
      </w:pPr>
    </w:p>
    <w:p>
      <w:pPr>
        <w:ind w:left="60" w:right="239" w:firstLine="648"/>
        <w:spacing w:after="0" w:line="243" w:lineRule="auto"/>
        <w:rPr>
          <w:sz w:val="20"/>
          <w:szCs w:val="20"/>
          <w:color w:val="auto"/>
        </w:rPr>
      </w:pPr>
      <w:r>
        <w:rPr>
          <w:rFonts w:ascii="Arial" w:cs="Arial" w:eastAsia="Arial" w:hAnsi="Arial"/>
          <w:sz w:val="18"/>
          <w:szCs w:val="18"/>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have been no changes to the valuation methods during the years ended December 31, 2021 and 2020.</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2"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from the date of purchase to be cash equivalents. As of December 31, 2021 and 2020, the Company’s cash equivalents comprised of money market funds with less than 90 days from the date of purchase. Cash equivalents are reported at fair value.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Available-for-Sale Investments</w:t>
      </w:r>
    </w:p>
    <w:p>
      <w:pPr>
        <w:spacing w:after="0" w:line="212"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The Company classifies marketable debt securities with a remaining maturity when purchased of greater than three months available-for-sale, and marketable debt securities with a remaining maturity date greater than one year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Comprehensive Income (Loss)</w:t>
      </w:r>
    </w:p>
    <w:p>
      <w:pPr>
        <w:spacing w:after="0" w:line="212" w:lineRule="exact"/>
        <w:rPr>
          <w:sz w:val="20"/>
          <w:szCs w:val="20"/>
          <w:color w:val="auto"/>
        </w:rPr>
      </w:pPr>
    </w:p>
    <w:p>
      <w:pPr>
        <w:ind w:left="60" w:right="59" w:firstLine="648"/>
        <w:spacing w:after="0" w:line="243"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7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future use for the research and development, until related goods or services are provided. In circumstances where amounts have been paid in excess of costs incurred, the Company records a prepaid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2" w:lineRule="exact"/>
        <w:rPr>
          <w:sz w:val="20"/>
          <w:szCs w:val="20"/>
          <w:color w:val="auto"/>
        </w:rPr>
      </w:pPr>
    </w:p>
    <w:p>
      <w:pPr>
        <w:ind w:left="60" w:right="399" w:firstLine="648"/>
        <w:spacing w:after="0" w:line="241" w:lineRule="auto"/>
        <w:rPr>
          <w:sz w:val="20"/>
          <w:szCs w:val="20"/>
          <w:color w:val="auto"/>
        </w:rPr>
      </w:pPr>
      <w:r>
        <w:rPr>
          <w:rFonts w:ascii="Arial" w:cs="Arial" w:eastAsia="Arial" w:hAnsi="Arial"/>
          <w:sz w:val="18"/>
          <w:szCs w:val="18"/>
          <w:color w:val="auto"/>
        </w:rPr>
        <w:t>Selling, general and administrative expenses are primarily comprised of compensation and benefits associated with sales and marketing, finance, human resources, legal, information technology and other administrative personnel, business development, advertising and legal expenses and other general and administrative costs. Advertising costs are expensed as incurred. For years ended December 31, 2021, 2020 and 2019, advertising costs totaled $13.5 million, $9.4 million and $3.3 million, respectively.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2"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212"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associated with long-lived assets for the years ended December 31, 2021, 2020 and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 xml:space="preserve">Leases are accounted for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7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59" w:lineRule="exact"/>
        <w:rPr>
          <w:sz w:val="20"/>
          <w:szCs w:val="20"/>
          <w:color w:val="auto"/>
        </w:rPr>
      </w:pPr>
    </w:p>
    <w:p>
      <w:pPr>
        <w:jc w:val="both"/>
        <w:ind w:left="60" w:right="159" w:firstLine="648"/>
        <w:spacing w:after="0" w:line="248"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8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89" w:lineRule="exact"/>
        <w:rPr>
          <w:sz w:val="20"/>
          <w:szCs w:val="20"/>
          <w:color w:val="auto"/>
        </w:rPr>
      </w:pPr>
    </w:p>
    <w:p>
      <w:pPr>
        <w:ind w:left="60" w:right="59" w:firstLine="648"/>
        <w:spacing w:after="0" w:line="294"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7" w:lineRule="exact"/>
        <w:rPr>
          <w:sz w:val="20"/>
          <w:szCs w:val="20"/>
          <w:color w:val="auto"/>
        </w:rPr>
      </w:pPr>
    </w:p>
    <w:p>
      <w:pPr>
        <w:ind w:left="60" w:right="359" w:firstLine="648"/>
        <w:spacing w:after="0" w:line="324" w:lineRule="auto"/>
        <w:rPr>
          <w:sz w:val="20"/>
          <w:szCs w:val="20"/>
          <w:color w:val="auto"/>
        </w:rPr>
      </w:pPr>
      <w:r>
        <w:rPr>
          <w:rFonts w:ascii="Arial" w:cs="Arial" w:eastAsia="Arial" w:hAnsi="Arial"/>
          <w:sz w:val="16"/>
          <w:szCs w:val="16"/>
          <w:color w:val="auto"/>
        </w:rPr>
        <w:t>Lease cost for operating leases consists of the lease payments plus any initial direct costs, primarily brokerage commissions, and is recognized on a straight-line basis over the lease term. Included in lease cost are any variable lease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55"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The Company has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1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 xml:space="preserve">Stock-based compensation awards are accounted for in accordance with ASC Topic 718, </w:t>
      </w:r>
      <w:r>
        <w:rPr>
          <w:rFonts w:ascii="Arial" w:cs="Arial" w:eastAsia="Arial" w:hAnsi="Arial"/>
          <w:sz w:val="16"/>
          <w:szCs w:val="16"/>
          <w:i w:val="1"/>
          <w:iCs w:val="1"/>
          <w:color w:val="auto"/>
        </w:rPr>
        <w:t>Compensation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718). The Company expenses the fair value of stock awards granted to employees and members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over the requisite service period, which is typically the vesting period. Compensation cost for stock-based awards issued to employees is measured using the estimated fair value at the grant date and is adjusted to reflect actual forfeitures. Fair value of options granted to employees at the date of grant are estimated using the Black-Scholes option-pricing model that requires management to apply judgment and make estimates, including:</w:t>
      </w:r>
    </w:p>
    <w:p>
      <w:pPr>
        <w:spacing w:after="0" w:line="162" w:lineRule="exact"/>
        <w:rPr>
          <w:sz w:val="20"/>
          <w:szCs w:val="20"/>
          <w:color w:val="auto"/>
        </w:rPr>
      </w:pPr>
    </w:p>
    <w:p>
      <w:pPr>
        <w:ind w:left="1380" w:right="79" w:hanging="331"/>
        <w:spacing w:after="0" w:line="253" w:lineRule="auto"/>
        <w:tabs>
          <w:tab w:leader="none" w:pos="1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expected volatility, which is calculated based on a blend of the Company’s reported volatility data for the length of time that market data is available for the Company’s stock and the historical data for a representative group of publicly traded companies, for which historical information is available. For these analyses, the Company selects companies with comparable characteristics to itself including enterprise value, risk profiles, position within the industry, and with historical share price information sufficient to meet the expected life of the stock-based awards. Until a sufficient amount of historical information regarding volatility of the Company’s own share price became available, the Company computed the historical volatility data using the daily closing prices for the selected companies’ shares during the equivalent period of the calculated expected term of its stock-based awards;</w:t>
      </w:r>
    </w:p>
    <w:p>
      <w:pPr>
        <w:spacing w:after="0" w:line="183" w:lineRule="exact"/>
        <w:rPr>
          <w:rFonts w:ascii="Arial" w:cs="Arial" w:eastAsia="Arial" w:hAnsi="Arial"/>
          <w:sz w:val="17"/>
          <w:szCs w:val="17"/>
          <w:color w:val="auto"/>
        </w:rPr>
      </w:pPr>
    </w:p>
    <w:p>
      <w:pPr>
        <w:ind w:left="1380" w:right="559" w:hanging="331"/>
        <w:spacing w:after="0" w:line="261"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risk-free interest rate, which is based on the U.S. Treasury yield curve in effect at the time of grant commensurate with the expected term assumption;</w:t>
      </w:r>
    </w:p>
    <w:p>
      <w:pPr>
        <w:spacing w:after="0" w:line="170" w:lineRule="exact"/>
        <w:rPr>
          <w:rFonts w:ascii="Arial" w:cs="Arial" w:eastAsia="Arial" w:hAnsi="Arial"/>
          <w:sz w:val="18"/>
          <w:szCs w:val="18"/>
          <w:color w:val="auto"/>
        </w:rPr>
      </w:pPr>
    </w:p>
    <w:p>
      <w:pPr>
        <w:ind w:left="1380" w:right="219" w:hanging="331"/>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expected term, which is calculated using the simplified method, as prescribed by the Securities and Exchange Commission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89"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the Company never paid cash dividends and does not expect to pay any cash dividends in the foreseeable future.</w:t>
      </w:r>
    </w:p>
    <w:p>
      <w:pPr>
        <w:spacing w:after="0" w:line="171" w:lineRule="exact"/>
        <w:rPr>
          <w:sz w:val="20"/>
          <w:szCs w:val="20"/>
          <w:color w:val="auto"/>
        </w:rPr>
      </w:pPr>
    </w:p>
    <w:p>
      <w:pPr>
        <w:ind w:left="60" w:right="59" w:firstLine="648"/>
        <w:spacing w:after="0" w:line="243" w:lineRule="auto"/>
        <w:rPr>
          <w:sz w:val="20"/>
          <w:szCs w:val="20"/>
          <w:color w:val="auto"/>
        </w:rPr>
      </w:pPr>
      <w:r>
        <w:rPr>
          <w:rFonts w:ascii="Arial" w:cs="Arial" w:eastAsia="Arial" w:hAnsi="Arial"/>
          <w:sz w:val="18"/>
          <w:szCs w:val="18"/>
          <w:color w:val="auto"/>
        </w:rPr>
        <w:t>Stock-based awards issued to non-employees, including directors for non-board-related services, are accounted for based on the fair value of such services received or the fair value of the awards granted on the grant date, whichever is more reliably measured. Stock-based awards subject to service-based vesting conditions are expensed on a straight-line basis over the vesting period.</w:t>
      </w:r>
    </w:p>
    <w:p>
      <w:pPr>
        <w:spacing w:after="0" w:line="188"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6"/>
          <w:szCs w:val="16"/>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w:t>
      </w:r>
    </w:p>
    <w:p>
      <w:pPr>
        <w:spacing w:after="0" w:line="212" w:lineRule="exact"/>
        <w:rPr>
          <w:sz w:val="20"/>
          <w:szCs w:val="20"/>
          <w:color w:val="auto"/>
        </w:rPr>
      </w:pPr>
    </w:p>
    <w:p>
      <w:pPr>
        <w:ind w:left="60" w:right="479" w:firstLine="648"/>
        <w:spacing w:after="0" w:line="324" w:lineRule="auto"/>
        <w:rPr>
          <w:sz w:val="20"/>
          <w:szCs w:val="20"/>
          <w:color w:val="auto"/>
        </w:rPr>
      </w:pPr>
      <w:r>
        <w:rPr>
          <w:rFonts w:ascii="Arial" w:cs="Arial" w:eastAsia="Arial" w:hAnsi="Arial"/>
          <w:sz w:val="16"/>
          <w:szCs w:val="16"/>
          <w:color w:val="auto"/>
        </w:rPr>
        <w:t xml:space="preserve">When entering an acquisition transaction, the Company first determines whether the transaction is a business combination by applying the definition in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definition of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“business”, requires considerations in the form of two steps: (1) determination of whether “substantially all” of the fair value of the gross assets acquired is concentrated in a single identifiable asset or a group of similar identifiable assets (i.e., “screen test”); if not, then (2) evaluate whether the set of transferred assets and activities meets the definition of a business which includes, at a minimum, an input and a substantive process that together significantly contribute to the ability to create outputs. If the assets acquired are not a business, the Company accounts for the transaction as an asset acquisition. If the transaction is a business combination, it is accounted for by applying the acquisition method.</w:t>
      </w:r>
    </w:p>
    <w:p>
      <w:pPr>
        <w:spacing w:after="0" w:line="16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 xml:space="preserve">In asset acquisitions, the Company allocates the cost of a group of assets acquired to the individual assets acquired or liabilities assumed based on their relative fair values. Goodwill is not recognized in an asset acquisition. Any difference between the cost of an asset acquisition and the fair value of the net assets acquired is allocated to the non-monetary identifiable assets based on their relative fair values. The Company follows the guidance in ASC Topic 730 </w:t>
      </w:r>
      <w:r>
        <w:rPr>
          <w:rFonts w:ascii="Arial" w:cs="Arial" w:eastAsia="Arial" w:hAnsi="Arial"/>
          <w:sz w:val="17"/>
          <w:szCs w:val="17"/>
          <w:i w:val="1"/>
          <w:iCs w:val="1"/>
          <w:color w:val="auto"/>
        </w:rPr>
        <w:t>Research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 </w:t>
      </w:r>
      <w:r>
        <w:rPr>
          <w:rFonts w:ascii="Arial" w:cs="Arial" w:eastAsia="Arial" w:hAnsi="Arial"/>
          <w:sz w:val="17"/>
          <w:szCs w:val="17"/>
          <w:color w:val="auto"/>
        </w:rPr>
        <w:t>(ASC 730) and determines whether any acquired research and development assets have alternative use. If</w:t>
      </w:r>
      <w:r>
        <w:rPr>
          <w:rFonts w:ascii="Arial" w:cs="Arial" w:eastAsia="Arial" w:hAnsi="Arial"/>
          <w:sz w:val="17"/>
          <w:szCs w:val="17"/>
          <w:i w:val="1"/>
          <w:iCs w:val="1"/>
          <w:color w:val="auto"/>
        </w:rPr>
        <w:t xml:space="preserve"> </w:t>
      </w:r>
      <w:r>
        <w:rPr>
          <w:rFonts w:ascii="Arial" w:cs="Arial" w:eastAsia="Arial" w:hAnsi="Arial"/>
          <w:sz w:val="17"/>
          <w:szCs w:val="17"/>
          <w:color w:val="auto"/>
        </w:rPr>
        <w:t>they have an alternative future use, they are recognized as assets by the Company. If they have no alternative future use, they are charged to research and development expense at the acquisition date.</w:t>
      </w:r>
    </w:p>
    <w:p>
      <w:pPr>
        <w:spacing w:after="0" w:line="180" w:lineRule="exact"/>
        <w:rPr>
          <w:sz w:val="20"/>
          <w:szCs w:val="20"/>
          <w:color w:val="auto"/>
        </w:rPr>
      </w:pPr>
    </w:p>
    <w:p>
      <w:pPr>
        <w:jc w:val="both"/>
        <w:ind w:left="60" w:right="219" w:firstLine="648"/>
        <w:spacing w:after="0" w:line="248" w:lineRule="auto"/>
        <w:rPr>
          <w:sz w:val="20"/>
          <w:szCs w:val="20"/>
          <w:color w:val="auto"/>
        </w:rPr>
      </w:pPr>
      <w:r>
        <w:rPr>
          <w:rFonts w:ascii="Arial" w:cs="Arial" w:eastAsia="Arial" w:hAnsi="Arial"/>
          <w:sz w:val="18"/>
          <w:szCs w:val="18"/>
          <w:color w:val="auto"/>
        </w:rPr>
        <w:t>In business combinations, the acquisition method is applied, where the identifiable assets acquired, the liabilities assumed, and any noncontrolling interest in the acquiree as well as any goodwill is measured and recognized based on its fair value at acquisition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1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 and Off-Balance-Sheet Risk</w:t>
      </w:r>
    </w:p>
    <w:p>
      <w:pPr>
        <w:spacing w:after="0" w:line="212"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w:t>
      </w:r>
    </w:p>
    <w:p>
      <w:pPr>
        <w:spacing w:after="0" w:line="147" w:lineRule="exact"/>
        <w:rPr>
          <w:sz w:val="20"/>
          <w:szCs w:val="20"/>
          <w:color w:val="auto"/>
        </w:rPr>
      </w:pPr>
    </w:p>
    <w:p>
      <w:pPr>
        <w:ind w:left="60" w:right="139" w:firstLine="648"/>
        <w:spacing w:after="0" w:line="239" w:lineRule="auto"/>
        <w:rPr>
          <w:sz w:val="20"/>
          <w:szCs w:val="20"/>
          <w:color w:val="auto"/>
        </w:rPr>
      </w:pPr>
      <w:r>
        <w:rPr>
          <w:rFonts w:ascii="Arial" w:cs="Arial" w:eastAsia="Arial" w:hAnsi="Arial"/>
          <w:sz w:val="18"/>
          <w:szCs w:val="18"/>
          <w:color w:val="auto"/>
        </w:rPr>
        <w:t>The Company maintains its cash, cash equivalents and marketable securities in custodian accounts at high quality financial institutions, and as of December 31, 2021 and 2020,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12"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U.S. and Europe. All material long-lived assets of the Company reside in the U.S.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 assistance</w:t>
      </w:r>
    </w:p>
    <w:p>
      <w:pPr>
        <w:spacing w:after="0" w:line="212"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(Topic 832) – Disclosures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Entities about Government Assistance </w:t>
      </w:r>
      <w:r>
        <w:rPr>
          <w:rFonts w:ascii="Arial" w:cs="Arial" w:eastAsia="Arial" w:hAnsi="Arial"/>
          <w:sz w:val="17"/>
          <w:szCs w:val="17"/>
          <w:color w:val="auto"/>
        </w:rPr>
        <w:t>to add annual disclosure requirements related to transactions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that are accounted for by applying a grant or contribution accounting model by analogy. The standard is effective for annual periods beginning after December 15, 2021, with early adoption permitted. The Company adopted the new standard on January 1, 2022 and does not expect the adoption of this standard to have a significant impact on the disclosures of its consolidated financial statements.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w:t>
      </w:r>
    </w:p>
    <w:p>
      <w:pPr>
        <w:spacing w:after="0" w:line="202"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On November 27, 2021, the Company entered into a merger agreement for the acquisition of all the outstanding shares of Lengo Therapeutics Inc. (“Lengo”), a biopharmaceutical company committed to developing novel, best-in-class precision medicines targeting driver mutations in oncology to improve the lives of patients with cancer. The acquisition was completed on December 30, 2021.</w:t>
      </w:r>
    </w:p>
    <w:p>
      <w:pPr>
        <w:spacing w:after="0" w:line="188" w:lineRule="exact"/>
        <w:rPr>
          <w:sz w:val="20"/>
          <w:szCs w:val="20"/>
          <w:color w:val="auto"/>
        </w:rPr>
      </w:pPr>
    </w:p>
    <w:p>
      <w:pPr>
        <w:ind w:left="60" w:right="339" w:firstLine="648"/>
        <w:spacing w:after="0"/>
        <w:rPr>
          <w:sz w:val="20"/>
          <w:szCs w:val="20"/>
          <w:color w:val="auto"/>
        </w:rPr>
      </w:pPr>
      <w:r>
        <w:rPr>
          <w:rFonts w:ascii="Arial" w:cs="Arial" w:eastAsia="Arial" w:hAnsi="Arial"/>
          <w:sz w:val="18"/>
          <w:szCs w:val="18"/>
          <w:color w:val="auto"/>
        </w:rPr>
        <w:t>Under the terms of the acquisition, the Company agreed to pay Lengo shareholders an upfront consideration of $250.0 million, subject to customary net indebtedness, transaction expenses, and other adjustments, as set forth in the acquisition agreement, and future contingent cash milestone payments of up to $215.0 million, upon achievement of specified regulatory approval and sales milestones. The milestone payments were determined to be contingent consideration which will be recognized when the contingency is resolved, and the consideration is paid or becomes payable.</w:t>
      </w:r>
    </w:p>
    <w:p>
      <w:pPr>
        <w:spacing w:after="0" w:line="189"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The total net purchase price was $258.4 million upon closing of the transaction, which consists of the $250.0 million upfront payment, and $8.4 million of adjustments associated with net indebtedness, transaction expenses, and other adjustments per the terms of the agreement.</w:t>
      </w:r>
    </w:p>
    <w:p>
      <w:pPr>
        <w:spacing w:after="0" w:line="18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The acquisition was accounted for as acquisition of assets that did not meet the definition of a business. The asset acquisition did not constitute a business as substantially all of the fair value of the gross assets acquired was concentrated in Lengo’s lead compound LNG-451, now known as BLU-451. The acquired assets and liabilities were recorded at their relative fair values and the Company immediately expensed the acquired intellectual property in the consolidated statement of operations and comprehensive loss in the amount of $260.0 million as the acquired assets represent in-process research and development with no alternative future use.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net purchase price and the allocation of the consideration is as follows (in thousands):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net of cash acquired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258,377</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Identifiable assets and liabilities acquired: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current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30"/>
        </w:trPr>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259,957</w:t>
            </w:r>
          </w:p>
        </w:tc>
      </w:tr>
      <w:tr>
        <w:trPr>
          <w:trHeight w:val="196"/>
        </w:trPr>
        <w:tc>
          <w:tcPr>
            <w:tcW w:w="7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identifiable net assets acquired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258,377</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Marketable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consisted of the following at December 31, 2021 and 2020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6"/>
                <w:szCs w:val="16"/>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6"/>
                <w:szCs w:val="16"/>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available-for-sale:</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498,582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(1,460)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497,143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327,552</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827,383</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(2,709)</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824,695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24"/>
                <w:szCs w:val="2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24"/>
                <w:szCs w:val="24"/>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available-for-sale:</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746,770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747,269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117,817</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864,138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865,086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auto"/>
        </w:rPr>
        <w:t>As of December 31, 2021 and 2020, the Company held 74 and 8 securities, respectively, that were in an unrealized loss position. The aggregate fair value of securities held by the Company in an unrealized loss position for less than twelve months as of December 31, 2021 and 2020 were $750.5 million and $125.7 million, respectively, and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years ended December 31, 2021 and 2020</w:t>
      </w:r>
      <w:r>
        <w:rPr>
          <w:rFonts w:ascii="Arial" w:cs="Arial" w:eastAsia="Arial" w:hAnsi="Arial"/>
          <w:sz w:val="16"/>
          <w:szCs w:val="16"/>
          <w:color w:val="212529"/>
        </w:rPr>
        <w:t>.</w:t>
      </w:r>
    </w:p>
    <w:p>
      <w:pPr>
        <w:spacing w:after="0" w:line="161"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212529"/>
        </w:rPr>
        <w:t>As of December 31, 2021, 56 securities with an aggregate fair value of $557.5 million had remaining maturities between one and five years. As of December 31, 2020, 65 securities with an aggregate fair value of $677.9 million had remaining maturities between one and five years.</w:t>
      </w:r>
    </w:p>
    <w:p>
      <w:pPr>
        <w:spacing w:after="0" w:line="182" w:lineRule="exact"/>
        <w:rPr>
          <w:sz w:val="20"/>
          <w:szCs w:val="20"/>
          <w:color w:val="auto"/>
        </w:rPr>
      </w:pPr>
    </w:p>
    <w:p>
      <w:pPr>
        <w:jc w:val="both"/>
        <w:ind w:left="60" w:right="259" w:firstLine="648"/>
        <w:spacing w:after="0" w:line="248" w:lineRule="auto"/>
        <w:rPr>
          <w:sz w:val="20"/>
          <w:szCs w:val="20"/>
          <w:color w:val="auto"/>
        </w:rPr>
      </w:pPr>
      <w:r>
        <w:rPr>
          <w:rFonts w:ascii="Arial" w:cs="Arial" w:eastAsia="Arial" w:hAnsi="Arial"/>
          <w:sz w:val="18"/>
          <w:szCs w:val="18"/>
          <w:color w:val="212529"/>
        </w:rPr>
        <w:t>The Company received proceeds of $690.8 million and $538.3 million from maturities of debt securities for the years ended December 31, 2021 and 2020, respectively. The Company did not realize any gains or losses from maturities of debt securities for the years ended December 31, 2021 and 2020.</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48"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color w:val="auto"/>
        </w:rPr>
        <w:t>The following table summarizes the Company’s cash equivalents and marketable securities measured at fair value on a recurring basis as of December 31, 2021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1"/>
        </w:trPr>
        <w:tc>
          <w:tcPr>
            <w:tcW w:w="40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118,880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$ 118,880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327,552</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943,575</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$ 446,432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right="119" w:firstLine="648"/>
        <w:spacing w:after="0" w:line="261" w:lineRule="auto"/>
        <w:rPr>
          <w:sz w:val="20"/>
          <w:szCs w:val="20"/>
          <w:color w:val="auto"/>
        </w:rPr>
      </w:pPr>
      <w:r>
        <w:rPr>
          <w:rFonts w:ascii="Arial" w:cs="Arial" w:eastAsia="Arial" w:hAnsi="Arial"/>
          <w:sz w:val="18"/>
          <w:szCs w:val="18"/>
          <w:color w:val="auto"/>
        </w:rPr>
        <w:t>The following table summarizes the Company’s cash equivalents and marketable securities measured at fair value on a recurring basis as of December 31, 2020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420,567</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$ 420,567</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747,269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1,285,653</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$ 538,384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Product Revenue Reserves and Allowances</w:t>
      </w:r>
    </w:p>
    <w:p>
      <w:pPr>
        <w:spacing w:after="0" w:line="216"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w:t>
      </w:r>
    </w:p>
    <w:p>
      <w:pPr>
        <w:spacing w:after="0" w:line="163" w:lineRule="exact"/>
        <w:rPr>
          <w:sz w:val="20"/>
          <w:szCs w:val="20"/>
          <w:color w:val="auto"/>
        </w:rPr>
      </w:pPr>
    </w:p>
    <w:p>
      <w:pPr>
        <w:ind w:left="60" w:right="239" w:firstLine="648"/>
        <w:spacing w:after="0" w:line="276" w:lineRule="auto"/>
        <w:rPr>
          <w:sz w:val="20"/>
          <w:szCs w:val="20"/>
          <w:color w:val="auto"/>
        </w:rPr>
      </w:pPr>
      <w:r>
        <w:rPr>
          <w:rFonts w:ascii="Arial" w:cs="Arial" w:eastAsia="Arial" w:hAnsi="Arial"/>
          <w:sz w:val="16"/>
          <w:szCs w:val="16"/>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61" w:lineRule="exact"/>
        <w:rPr>
          <w:sz w:val="20"/>
          <w:szCs w:val="20"/>
          <w:color w:val="auto"/>
        </w:rPr>
      </w:pPr>
    </w:p>
    <w:p>
      <w:pPr>
        <w:ind w:left="60" w:right="239" w:firstLine="648"/>
        <w:spacing w:after="0" w:line="276" w:lineRule="auto"/>
        <w:rPr>
          <w:sz w:val="20"/>
          <w:szCs w:val="20"/>
          <w:color w:val="auto"/>
        </w:rPr>
      </w:pPr>
      <w:r>
        <w:rPr>
          <w:rFonts w:ascii="Arial" w:cs="Arial" w:eastAsia="Arial" w:hAnsi="Arial"/>
          <w:sz w:val="16"/>
          <w:szCs w:val="16"/>
          <w:color w:val="auto"/>
        </w:rPr>
        <w:t xml:space="preserve">The Company recorded net product revenue from the U.S. product sales of GAVRETO through June 30, 2021, and on July 1, 2021, the Company transferred certain responsibilities associated with product sales to customers, pricing and distribution matters related to U.S. product sales of GAVRETO to its collaboration partner and did not record any net product revenue from product sales of GAVRETO during the second half of 2021. Products sales of GAVRETO were reflected as part of collaboration loss sharing in the consolidated statements of operations and comprehensive income (loss). For additional information, see Note 11, </w:t>
      </w:r>
      <w:r>
        <w:rPr>
          <w:rFonts w:ascii="Arial" w:cs="Arial" w:eastAsia="Arial" w:hAnsi="Arial"/>
          <w:sz w:val="16"/>
          <w:szCs w:val="16"/>
          <w:i w:val="1"/>
          <w:iCs w:val="1"/>
          <w:color w:val="auto"/>
        </w:rPr>
        <w:t>Collaboration and License Agreements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The following table summarizes revenue recognized from product sales for the years ended December 31, 2021 2020, and 2019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89"/>
              </w:rPr>
              <w:t>2019</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AYVAKIT/AYVAKYT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GAVRETO</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r>
      <w:tr>
        <w:trPr>
          <w:trHeight w:val="196"/>
        </w:trPr>
        <w:tc>
          <w:tcPr>
            <w:tcW w:w="6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product revenue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57,687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22,134</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for the years ended December 31, 2021 and 2020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Provision related to sales in the current period</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Adjustment related to prior periods sales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Credits and payments made</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(5,075)</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(1,323)</w:t>
            </w:r>
          </w:p>
        </w:tc>
      </w:tr>
      <w:tr>
        <w:trPr>
          <w:trHeight w:val="196"/>
        </w:trPr>
        <w:tc>
          <w:tcPr>
            <w:tcW w:w="64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Ending balance at December 31</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The total reserves above, which are included in the Company’s consolidated balance sheets as of December 31, 2021 and 2020, are summarized as follows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196"/>
        </w:trPr>
        <w:tc>
          <w:tcPr>
            <w:tcW w:w="6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Inventory</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Capitalized inventory consists of the following at December 31, 2021 and 2020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10,788</w:t>
            </w:r>
          </w:p>
        </w:tc>
        <w:tc>
          <w:tcPr>
            <w:tcW w:w="2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17,702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32,406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67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21,817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32,406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are charged to cost of sales. For the year ended December 31, 2021, the Company recognized a write-down of $0.6 million. For the year ended December 31, 2020, no write-down was recorded. Long-term inventory, which primarily consists of work in process, is included in other assets in the consolidated balance sheets.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Restricted Cash</w:t>
      </w:r>
    </w:p>
    <w:p>
      <w:pPr>
        <w:spacing w:after="0" w:line="216" w:lineRule="exact"/>
        <w:rPr>
          <w:sz w:val="20"/>
          <w:szCs w:val="20"/>
          <w:color w:val="auto"/>
        </w:rPr>
      </w:pPr>
    </w:p>
    <w:p>
      <w:pPr>
        <w:jc w:val="both"/>
        <w:ind w:left="60" w:right="219" w:firstLine="648"/>
        <w:spacing w:after="0" w:line="248" w:lineRule="auto"/>
        <w:rPr>
          <w:sz w:val="20"/>
          <w:szCs w:val="20"/>
          <w:color w:val="auto"/>
        </w:rPr>
      </w:pPr>
      <w:r>
        <w:rPr>
          <w:rFonts w:ascii="Arial" w:cs="Arial" w:eastAsia="Arial" w:hAnsi="Arial"/>
          <w:sz w:val="18"/>
          <w:szCs w:val="18"/>
          <w:color w:val="auto"/>
        </w:rPr>
        <w:t xml:space="preserve">At December 31, 2021 and 2020, respectively, $5.2 million and $5.2 million, of the Company’s cash is restricted by a bank primarily related to security deposits for the lease agreements for the Company’s current and former corporate headquarters. For additional information, see Note 16,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Property and Equipment, Net</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5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7"/>
                <w:szCs w:val="17"/>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13,120</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11,418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3,714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3,420</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3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Term of lease</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36,945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36,946</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cost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56,118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53,860</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(25,418)</w:t>
            </w:r>
          </w:p>
        </w:tc>
        <w:tc>
          <w:tcPr>
            <w:tcW w:w="2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(19,731)</w:t>
            </w:r>
          </w:p>
        </w:tc>
      </w:tr>
      <w:tr>
        <w:trPr>
          <w:trHeight w:val="196"/>
        </w:trPr>
        <w:tc>
          <w:tcPr>
            <w:tcW w:w="5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579" w:firstLine="648"/>
        <w:spacing w:after="0" w:line="248" w:lineRule="auto"/>
        <w:rPr>
          <w:sz w:val="20"/>
          <w:szCs w:val="20"/>
          <w:color w:val="auto"/>
        </w:rPr>
      </w:pPr>
      <w:r>
        <w:rPr>
          <w:rFonts w:ascii="Arial" w:cs="Arial" w:eastAsia="Arial" w:hAnsi="Arial"/>
          <w:sz w:val="18"/>
          <w:szCs w:val="18"/>
          <w:color w:val="auto"/>
        </w:rPr>
        <w:t>Property, plant and equipment are recorded at historical cost, net of accumulated depreciation. Depreciation expense for the years ended December 31, 2021, 2020 and 2019 was $6.5 million, $6.6 million and $5.3 million,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As of December 31,</w:t>
            </w:r>
          </w:p>
        </w:tc>
      </w:tr>
      <w:tr>
        <w:trPr>
          <w:trHeight w:val="182"/>
        </w:trPr>
        <w:tc>
          <w:tcPr>
            <w:tcW w:w="6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60,255</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Employee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27,622</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10,986</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Revenue-related reserves</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966</w:t>
            </w:r>
          </w:p>
        </w:tc>
      </w:tr>
      <w:tr>
        <w:trPr>
          <w:trHeight w:val="202"/>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7,962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6,109</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121,829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105,938</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Collaboration and License Agreements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Zai Lab</w:t>
      </w:r>
    </w:p>
    <w:p>
      <w:pPr>
        <w:spacing w:after="0" w:line="212" w:lineRule="exact"/>
        <w:rPr>
          <w:sz w:val="20"/>
          <w:szCs w:val="20"/>
          <w:color w:val="auto"/>
        </w:rPr>
      </w:pPr>
    </w:p>
    <w:p>
      <w:pPr>
        <w:ind w:left="60" w:right="299" w:firstLine="648"/>
        <w:spacing w:after="0"/>
        <w:rPr>
          <w:sz w:val="20"/>
          <w:szCs w:val="20"/>
          <w:color w:val="auto"/>
        </w:rPr>
      </w:pPr>
      <w:r>
        <w:rPr>
          <w:rFonts w:ascii="Arial" w:cs="Arial" w:eastAsia="Arial" w:hAnsi="Arial"/>
          <w:sz w:val="18"/>
          <w:szCs w:val="18"/>
          <w:color w:val="auto"/>
        </w:rPr>
        <w:t>On November 8, 2021, the Company entered into a collaboration (the Zai Lab agreement) with Zai Lab (Shanghai) Co., Ltd., (Zai Lab), pursuant to which the Company granted Zai Lab exclusive rights to develop and commercialize the Company’s drug candidates BLU-701 and BLU-945 for the treatment of EGFR-driven non-small cell lung cancer in in Greater China, including Mainland China, Hong Kong, Macau and Taiwan (collectively, the Zai Lab territory), either as a monotherapy or as part of a combination therapy. The Company retains exclusive rights to the licensed products outside the Zai Lab territory.</w:t>
      </w:r>
    </w:p>
    <w:p>
      <w:pPr>
        <w:spacing w:after="0" w:line="18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The Company received an upfront cash payment of $25.0 million through December 31, 2021, and subject to the term of Zai Lab agreement,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91" w:lineRule="auto"/>
        <w:rPr>
          <w:sz w:val="20"/>
          <w:szCs w:val="20"/>
          <w:color w:val="auto"/>
        </w:rPr>
      </w:pPr>
      <w:r>
        <w:rPr>
          <w:rFonts w:ascii="Arial" w:cs="Arial" w:eastAsia="Arial" w:hAnsi="Arial"/>
          <w:sz w:val="17"/>
          <w:szCs w:val="17"/>
          <w:color w:val="auto"/>
        </w:rPr>
        <w:t>Lab will be responsible for costs related to clinical trials in the Zai Lab territory, other than the specified shared services costs as defined in the Zai Lab agreement which will be shared by the Company and Zai Lab.</w:t>
      </w:r>
    </w:p>
    <w:p>
      <w:pPr>
        <w:spacing w:after="0" w:line="147"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59" w:lineRule="exact"/>
        <w:rPr>
          <w:sz w:val="20"/>
          <w:szCs w:val="20"/>
          <w:color w:val="auto"/>
        </w:rPr>
      </w:pPr>
    </w:p>
    <w:p>
      <w:pPr>
        <w:jc w:val="both"/>
        <w:ind w:left="60" w:right="79" w:firstLine="648"/>
        <w:spacing w:after="0" w:line="236" w:lineRule="auto"/>
        <w:rPr>
          <w:sz w:val="20"/>
          <w:szCs w:val="20"/>
          <w:color w:val="auto"/>
        </w:rPr>
      </w:pPr>
      <w:r>
        <w:rPr>
          <w:rFonts w:ascii="Arial" w:cs="Arial" w:eastAsia="Arial" w:hAnsi="Arial"/>
          <w:sz w:val="16"/>
          <w:szCs w:val="16"/>
          <w:color w:val="auto"/>
        </w:rPr>
        <w:t>The Zai Lab agreement will continue on a licensed product-by-product and region-by-region basis until the later of (i)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anniversary of the date of the first commercial sale of a licensed product in the Zai Lab territory, (ii) the date of expiration of the last valid patent claim related to the Company’s patent rights of the product in the Zai Lab territory, and</w:t>
      </w:r>
    </w:p>
    <w:p>
      <w:pPr>
        <w:spacing w:after="0" w:line="2" w:lineRule="exact"/>
        <w:rPr>
          <w:sz w:val="20"/>
          <w:szCs w:val="20"/>
          <w:color w:val="auto"/>
        </w:rPr>
      </w:pPr>
    </w:p>
    <w:p>
      <w:pPr>
        <w:ind w:left="60" w:right="179" w:hanging="10"/>
        <w:spacing w:after="0" w:line="236"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92"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6"/>
          <w:szCs w:val="16"/>
          <w:color w:val="auto"/>
        </w:rPr>
        <w:t>The Company evaluated the Zai Lab agreement to determine whether it is a collaborative arrangement in scope of ASC 808. The Company concluded that the Zai Lab agreement is a collaborative agreement under ASC 808 as both parties are expected to participate in the activities at least through the completion of the clinical trials, both parties will incur significant costs to support the development activities, and the parties will share in the reward.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w:t>
      </w:r>
    </w:p>
    <w:p>
      <w:pPr>
        <w:spacing w:after="0" w:line="3" w:lineRule="exact"/>
        <w:rPr>
          <w:sz w:val="20"/>
          <w:szCs w:val="20"/>
          <w:color w:val="auto"/>
        </w:rPr>
      </w:pPr>
    </w:p>
    <w:p>
      <w:pPr>
        <w:ind w:left="60" w:right="179" w:hanging="10"/>
        <w:spacing w:after="0" w:line="239" w:lineRule="auto"/>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371"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91" w:lineRule="auto"/>
        <w:rPr>
          <w:sz w:val="20"/>
          <w:szCs w:val="20"/>
          <w:color w:val="auto"/>
        </w:rPr>
      </w:pPr>
      <w:r>
        <w:rPr>
          <w:rFonts w:ascii="Arial" w:cs="Arial" w:eastAsia="Arial" w:hAnsi="Arial"/>
          <w:sz w:val="17"/>
          <w:szCs w:val="17"/>
          <w:color w:val="auto"/>
        </w:rPr>
        <w:t>Zai Lab territory, and revenue will be recognized when the related sales occur. Costs that are incurred associated with Zai Lab territory specific activities are reimbursable from Zai and will be recognized as revenue.</w:t>
      </w:r>
    </w:p>
    <w:p>
      <w:pPr>
        <w:spacing w:after="0" w:line="147"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For the purposes of ASC 606, the transaction price of the Zai Lab agreement as of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during the year ended December 31, 2021.</w:t>
      </w:r>
    </w:p>
    <w:p>
      <w:pPr>
        <w:spacing w:after="0" w:line="189"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12"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6"/>
          <w:szCs w:val="16"/>
          <w:color w:val="auto"/>
        </w:rPr>
        <w:t>Under the Roche pralsetinib collaboration agreement, the Company received an upfront cash payment of $675.0 million, and through December 31, 2021, the Company has achieved $105.0 million in specified regulatory and commercialization milestones. In addition to upfront and milestone payments received through December 31, 2021, the Company is eligible to receive up to $822.0 million in contingent payments, including specified development, regulatory and sales-based milestones for pralsetinib and any licensed product containing a next-generation RET compound.</w:t>
      </w:r>
    </w:p>
    <w:p>
      <w:pPr>
        <w:spacing w:after="0" w:line="15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6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1"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determined that the Roche pralsetinib collaboration agreement contained four material components:</w:t>
      </w:r>
    </w:p>
    <w:p>
      <w:pPr>
        <w:spacing w:after="0" w:line="35" w:lineRule="exact"/>
        <w:rPr>
          <w:sz w:val="20"/>
          <w:szCs w:val="20"/>
          <w:color w:val="auto"/>
        </w:rPr>
      </w:pPr>
    </w:p>
    <w:p>
      <w:pPr>
        <w:ind w:left="60" w:right="199" w:hanging="10"/>
        <w:spacing w:after="0" w:line="270" w:lineRule="auto"/>
        <w:tabs>
          <w:tab w:leader="none" w:pos="2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will be recognized as revenue.</w:t>
      </w:r>
    </w:p>
    <w:p>
      <w:pPr>
        <w:spacing w:after="0" w:line="17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For the purposes of ASC 606, the transaction price of the Roche collaboration agreement as of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During the years ended December 31, 2021 and 2020, cash consideration associated with regulatory or commercialization milestones of $50.0 million and $55.0 million respectively, were added to the estimated transaction price of the Roche pralsetinib agreement and recognized revenue in such periods.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The following table summarizes revenue recognized under the Roche pralsetinib collaboration during the years ended December 31, 2021, 2020 and 2019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right"/>
              <w:ind w:right="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Upfront license revenue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695,694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License milestone revenue</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6"/>
              </w:rPr>
              <w:t>Manufacturing and other services related to Roche territory-specific activities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196"/>
        </w:trPr>
        <w:tc>
          <w:tcPr>
            <w:tcW w:w="5880" w:type="dxa"/>
            <w:vAlign w:val="bottom"/>
          </w:tcPr>
          <w:p>
            <w:pPr>
              <w:spacing w:after="0" w:line="196" w:lineRule="exact"/>
              <w:rPr>
                <w:sz w:val="20"/>
                <w:szCs w:val="20"/>
                <w:color w:val="auto"/>
              </w:rPr>
            </w:pPr>
            <w:r>
              <w:rPr>
                <w:rFonts w:ascii="Arial" w:cs="Arial" w:eastAsia="Arial" w:hAnsi="Arial"/>
                <w:sz w:val="18"/>
                <w:szCs w:val="18"/>
                <w:color w:val="auto"/>
              </w:rPr>
              <w:t>Total Roche pralsetinib collaboration revenue</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56,022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753,100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w:t>
            </w: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consolidated statements of operations and comprehensive income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income (loss).</w:t>
      </w:r>
    </w:p>
    <w:p>
      <w:pPr>
        <w:spacing w:after="0" w:line="183" w:lineRule="exact"/>
        <w:rPr>
          <w:sz w:val="20"/>
          <w:szCs w:val="20"/>
          <w:color w:val="auto"/>
        </w:rPr>
      </w:pPr>
    </w:p>
    <w:p>
      <w:pPr>
        <w:ind w:left="60" w:right="179" w:firstLine="648"/>
        <w:spacing w:after="0" w:line="261" w:lineRule="auto"/>
        <w:rPr>
          <w:sz w:val="20"/>
          <w:szCs w:val="20"/>
          <w:color w:val="auto"/>
        </w:rPr>
      </w:pPr>
      <w:r>
        <w:rPr>
          <w:rFonts w:ascii="Arial" w:cs="Arial" w:eastAsia="Arial" w:hAnsi="Arial"/>
          <w:sz w:val="18"/>
          <w:szCs w:val="18"/>
          <w:color w:val="auto"/>
        </w:rPr>
        <w:t>The following table summarizes the amount from collaboration loss sharing after Roche became the principal for product sales of GAVRETO to customers in the U.S. (in thousands):</w:t>
      </w:r>
    </w:p>
    <w:p>
      <w:pPr>
        <w:spacing w:after="0" w:line="216"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15240</wp:posOffset>
            </wp:positionV>
            <wp:extent cx="19030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9" w:lineRule="exact"/>
        <w:rPr>
          <w:sz w:val="20"/>
          <w:szCs w:val="20"/>
          <w:color w:val="auto"/>
        </w:rPr>
      </w:pPr>
    </w:p>
    <w:p>
      <w:pPr>
        <w:ind w:left="6260"/>
        <w:spacing w:after="0"/>
        <w:tabs>
          <w:tab w:leader="none" w:pos="7300" w:val="left"/>
          <w:tab w:leader="none" w:pos="83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5940" w:val="left"/>
          <w:tab w:leader="none" w:pos="6380" w:val="left"/>
          <w:tab w:leader="none" w:pos="7000" w:val="left"/>
          <w:tab w:leader="none" w:pos="7660" w:val="left"/>
          <w:tab w:leader="none" w:pos="8020" w:val="left"/>
          <w:tab w:leader="none" w:pos="8700" w:val="left"/>
        </w:tabs>
        <w:rPr>
          <w:sz w:val="20"/>
          <w:szCs w:val="20"/>
          <w:color w:val="auto"/>
        </w:rPr>
      </w:pPr>
      <w:r>
        <w:rPr>
          <w:rFonts w:ascii="Arial" w:cs="Arial" w:eastAsia="Arial" w:hAnsi="Arial"/>
          <w:sz w:val="18"/>
          <w:szCs w:val="18"/>
          <w:color w:val="auto"/>
        </w:rPr>
        <w:t>The Company's share of loss in the U.S. for pralsetinib</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7,801</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The following table summarizes the amounts recognized as reductions to selling, general and administrative expenses related to the commercialization of GAVRETO in the U.S., and reductions to research and development expenses related to global development activities for pralsetinib under the Roche pralsetinib collaboration during the years ended December 31, 2021, 2020 and 2019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r>
      <w:tr>
        <w:trPr>
          <w:trHeight w:val="196"/>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Reductions to selling, general and administrative expenses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18,753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10,631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Reductions to research and development expenses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11,192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3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assets associated with the Roche pralsetinib collaboration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201"/>
        </w:trPr>
        <w:tc>
          <w:tcPr>
            <w:tcW w:w="6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6,802</w:t>
            </w:r>
          </w:p>
        </w:tc>
        <w:tc>
          <w:tcPr>
            <w:tcW w:w="18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17,600</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94" w:lineRule="auto"/>
        <w:rPr>
          <w:sz w:val="20"/>
          <w:szCs w:val="20"/>
          <w:color w:val="auto"/>
        </w:rPr>
      </w:pPr>
      <w:r>
        <w:rPr>
          <w:rFonts w:ascii="Arial" w:cs="Arial" w:eastAsia="Arial" w:hAnsi="Arial"/>
          <w:sz w:val="16"/>
          <w:szCs w:val="16"/>
          <w:color w:val="1F2328"/>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324" w:lineRule="auto"/>
        <w:rPr>
          <w:sz w:val="20"/>
          <w:szCs w:val="20"/>
          <w:color w:val="auto"/>
        </w:rPr>
      </w:pPr>
      <w:r>
        <w:rPr>
          <w:rFonts w:ascii="Arial" w:cs="Arial" w:eastAsia="Arial" w:hAnsi="Arial"/>
          <w:sz w:val="16"/>
          <w:szCs w:val="16"/>
          <w:color w:val="1F2328"/>
        </w:rPr>
        <w:t>782, the Company’s oral, highly selective investigational ALK2 inhibitor in clinical development for the treatment of fibrodysplasia ossificans progressive (FOP), as well as specified other compounds related to the BLU-782 program.</w:t>
      </w:r>
    </w:p>
    <w:p>
      <w:pPr>
        <w:spacing w:after="0" w:line="111"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7"/>
          <w:szCs w:val="17"/>
          <w:color w:val="1F2328"/>
        </w:rPr>
        <w:t xml:space="preserve">Under the Clementia agreement, the Company received an upfront cash payment of $25.0 million and through December 31, 2021, the Company has received $20.0 million cash milestone payments. Subject to the terms of the Clementia agreement, in addition to the upfront and milestone payments </w:t>
      </w:r>
      <w:r>
        <w:rPr>
          <w:rFonts w:ascii="Arial" w:cs="Arial" w:eastAsia="Arial" w:hAnsi="Arial"/>
          <w:sz w:val="17"/>
          <w:szCs w:val="17"/>
          <w:color w:val="000000"/>
        </w:rPr>
        <w:t>received through December 31, 2021</w:t>
      </w:r>
      <w:r>
        <w:rPr>
          <w:rFonts w:ascii="Arial" w:cs="Arial" w:eastAsia="Arial" w:hAnsi="Arial"/>
          <w:sz w:val="17"/>
          <w:szCs w:val="17"/>
          <w:color w:val="1F2328"/>
        </w:rPr>
        <w:t>, the Company is eligible to receive up to $490.0 million in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1"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4"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The Company determined that the transaction price as of the outset of the arrangement was $46.5 million, which consisted of the upfront amount of $25.0 million, the $20.0 million cash milestone payment due and received in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 on a relative stand-alone selling price basis. The Company satisfies the performance obligations upon delivery of the license and completion of the technology transfer and inventory transfers.</w:t>
      </w:r>
    </w:p>
    <w:p>
      <w:pPr>
        <w:spacing w:after="0" w:line="163"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During the year ended December 31, 2021 and 2020, no material revenue was recognized from the Clementia collaboration. During the year ended December 31, 2019, the Company recognized $46.2 million as revenue for the delivery of the license, the technology transfer and the transfer of existing manufacturing inventory. There was no revenue deferred as a contract liability associated with the Clementia agreement as of December 31, 2021 and 2020.</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74"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The Company received an upfront cash payment of $40.0 million, and through December 31, 2021, the Company has achieved $23.0 million in milestone payments under this collaboration. Subject to the terms of the CStone agreement, in addition to the upfront payments received and milestones achieved through December 31, 2021, the Company will be eligible to receive up to approximately $323.0 million in additional milestone payments, including $95.5 million related to development and regulatory milestones and $227.5 million related to sales-based milestones. In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color w:val="auto"/>
        </w:rPr>
        <w:t>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7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8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9"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80" w:lineRule="exact"/>
        <w:rPr>
          <w:sz w:val="20"/>
          <w:szCs w:val="20"/>
          <w:color w:val="auto"/>
        </w:rPr>
      </w:pPr>
    </w:p>
    <w:p>
      <w:pPr>
        <w:jc w:val="both"/>
        <w:ind w:left="60" w:right="139" w:firstLine="648"/>
        <w:spacing w:after="0" w:line="324" w:lineRule="auto"/>
        <w:rPr>
          <w:sz w:val="20"/>
          <w:szCs w:val="20"/>
          <w:color w:val="auto"/>
        </w:rPr>
      </w:pPr>
      <w:r>
        <w:rPr>
          <w:rFonts w:ascii="Arial" w:cs="Arial" w:eastAsia="Arial" w:hAnsi="Arial"/>
          <w:sz w:val="16"/>
          <w:szCs w:val="16"/>
          <w:color w:val="auto"/>
        </w:rPr>
        <w:t>A summary of manufacturing and research and development services related to the global development activities net of expenses payable to CStone during the years ended December 31, 2021, 2020 and 2019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382"/>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58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68"/>
        </w:trPr>
        <w:tc>
          <w:tcPr>
            <w:tcW w:w="58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Manufacturing and research and development services related to global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activities, net of expenses payable to CStone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20" w:type="dxa"/>
            <w:vAlign w:val="bottom"/>
          </w:tcPr>
          <w:p>
            <w:pPr>
              <w:spacing w:after="0"/>
              <w:rPr>
                <w:sz w:val="18"/>
                <w:szCs w:val="18"/>
                <w:color w:val="auto"/>
              </w:rPr>
            </w:pPr>
          </w:p>
        </w:tc>
      </w:tr>
      <w:tr>
        <w:trPr>
          <w:trHeight w:val="729"/>
        </w:trPr>
        <w:tc>
          <w:tcPr>
            <w:tcW w:w="5880" w:type="dxa"/>
            <w:vAlign w:val="bottom"/>
          </w:tcPr>
          <w:p>
            <w:pPr>
              <w:ind w:left="4280"/>
              <w:spacing w:after="0"/>
              <w:rPr>
                <w:sz w:val="20"/>
                <w:szCs w:val="20"/>
                <w:color w:val="auto"/>
              </w:rPr>
            </w:pPr>
            <w:r>
              <w:rPr>
                <w:rFonts w:ascii="Arial" w:cs="Arial" w:eastAsia="Arial" w:hAnsi="Arial"/>
                <w:sz w:val="18"/>
                <w:szCs w:val="18"/>
                <w:color w:val="auto"/>
              </w:rPr>
              <w:t>F-29</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year ended December 31, 2018.</w:t>
      </w:r>
    </w:p>
    <w:p>
      <w:pPr>
        <w:spacing w:after="0" w:line="163"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During the years ended December 31, 2021, 2020, and 2019, cash consideration associated with achieved development milestones of $9.0 million, $2.0 million and $12.0 million, respectively, were added to the estimated transaction price for the CStone agreement and recognized as revenue in such periods. The Company will continue to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91"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During the year ended December 31, 2021, the Company entered into commercial supply agreements and an avapritinib manufacturing technology transfer agreement with CStone related to drug substance of avapritinib and drug product of avapritinib and pralsetinib to assist CStone’s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9"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A summary of revenue recognized under the CStone agreement during the years ended December 31, 2021, 2020 and 2019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80" w:type="dxa"/>
            <w:vAlign w:val="bottom"/>
          </w:tcPr>
          <w:p>
            <w:pPr>
              <w:ind w:left="20"/>
              <w:spacing w:after="0" w:line="189" w:lineRule="exact"/>
              <w:rPr>
                <w:sz w:val="20"/>
                <w:szCs w:val="20"/>
                <w:color w:val="auto"/>
              </w:rPr>
            </w:pPr>
            <w:r>
              <w:rPr>
                <w:rFonts w:ascii="Arial" w:cs="Arial" w:eastAsia="Arial" w:hAnsi="Arial"/>
                <w:sz w:val="18"/>
                <w:szCs w:val="18"/>
                <w:color w:val="auto"/>
              </w:rPr>
              <w:t>Manufacturing services and royalty revenue related to CStone territory-</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specific activities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33,395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3,630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4280"/>
              <w:spacing w:after="0"/>
              <w:rPr>
                <w:sz w:val="20"/>
                <w:szCs w:val="20"/>
                <w:color w:val="auto"/>
              </w:rPr>
            </w:pPr>
            <w:r>
              <w:rPr>
                <w:rFonts w:ascii="Arial" w:cs="Arial" w:eastAsia="Arial" w:hAnsi="Arial"/>
                <w:sz w:val="18"/>
                <w:szCs w:val="18"/>
                <w:color w:val="auto"/>
              </w:rPr>
              <w:t>F-30</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61" w:lineRule="auto"/>
        <w:rPr>
          <w:sz w:val="20"/>
          <w:szCs w:val="20"/>
          <w:color w:val="auto"/>
        </w:rPr>
      </w:pPr>
      <w:r>
        <w:rPr>
          <w:rFonts w:ascii="Arial" w:cs="Arial" w:eastAsia="Arial" w:hAnsi="Arial"/>
          <w:sz w:val="18"/>
          <w:szCs w:val="18"/>
          <w:color w:val="auto"/>
        </w:rPr>
        <w:t>The following table presents the contract assets associated with the CStone collaboration as of December 31, 2021 and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6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As of December 31, 2021, the Company had $4.8 million of deferred revenue as a contract liability associated with the CStone collaboration. This contract liability mainly resulted from advance payments made by CStone in connection with commercial supply of pralsetinib for the CStone territory. The contract liability associated with the CStone collaboration was $6.5 million at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1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59"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6"/>
          <w:szCs w:val="16"/>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prior periods,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6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8"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The Company received an upfront cash payment of $45.0 million in March 2016 upon execution of the Roche immunotherapy agreement, and through December 31, 2021, the Company has achieved $23.5 million in milestone payments under this collaboration. Subject to the terms of the Roche immunotherapy agreement, as amended, in addition to upfront payments received and milestones achieved through December 31, 2021, the Company is eligible to receive up to approximately $319.3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83" w:lineRule="exact"/>
        <w:rPr>
          <w:sz w:val="20"/>
          <w:szCs w:val="20"/>
          <w:color w:val="auto"/>
        </w:rPr>
      </w:pPr>
    </w:p>
    <w:p>
      <w:pPr>
        <w:ind w:left="60" w:right="259" w:firstLine="648"/>
        <w:spacing w:after="0" w:line="294"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8"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59" w:hanging="10"/>
        <w:spacing w:after="0" w:line="269" w:lineRule="auto"/>
        <w:tabs>
          <w:tab w:leader="none" w:pos="3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7"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9"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Through December 31, 2021, the Company has achieved $23.5 million in milestone payments under this collaboration, and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revenue recognized under the Roche immunotherapy agreement during the years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2020 and 2019 is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56"/>
        </w:trPr>
        <w:tc>
          <w:tcPr>
            <w:tcW w:w="56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Roche collaboration research and development services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7,636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14,580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8,165</w:t>
            </w:r>
          </w:p>
        </w:tc>
      </w:tr>
    </w:tbl>
    <w:p>
      <w:pPr>
        <w:spacing w:after="0" w:line="242"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color w:val="auto"/>
        </w:rPr>
        <w:t>During the years ended December 31, 2021, 2020 and 2019, the Company recognized the following revenue due to the changes in the contract liability balances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56"/>
        </w:trPr>
        <w:tc>
          <w:tcPr>
            <w:tcW w:w="56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Amounts included in the contract liability at the beginning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11,546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4,578</w:t>
            </w:r>
          </w:p>
        </w:tc>
      </w:tr>
    </w:tbl>
    <w:p>
      <w:pPr>
        <w:spacing w:after="0" w:line="188"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6"/>
          <w:szCs w:val="16"/>
          <w:color w:val="auto"/>
        </w:rPr>
        <w:t>As of December 31, 2021, the Company had revenue deferred as a contract liability related to the Roche immunotherapy agreement of $31.4 million, of which $6.3 million was included in current liabilities, and the research and development services related to the performance obligation are expected to be performed over a remaining period of approximately 3.25 years. As of December 31, 2020, the Company had revenue deferred as a contract liability related to the Roche immunotherapy agreement of $34.7 million, of which $6.1 million was included in current liabilities.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Stockholder’s Equity</w:t>
      </w:r>
    </w:p>
    <w:p>
      <w:pPr>
        <w:spacing w:after="0" w:line="216" w:lineRule="exact"/>
        <w:rPr>
          <w:sz w:val="20"/>
          <w:szCs w:val="20"/>
          <w:color w:val="auto"/>
        </w:rPr>
      </w:pPr>
    </w:p>
    <w:p>
      <w:pPr>
        <w:ind w:left="60" w:right="119" w:firstLine="648"/>
        <w:spacing w:after="0" w:line="248" w:lineRule="auto"/>
        <w:rPr>
          <w:sz w:val="20"/>
          <w:szCs w:val="20"/>
          <w:color w:val="auto"/>
        </w:rPr>
      </w:pPr>
      <w:r>
        <w:rPr>
          <w:rFonts w:ascii="Arial" w:cs="Arial" w:eastAsia="Arial" w:hAnsi="Arial"/>
          <w:sz w:val="18"/>
          <w:szCs w:val="18"/>
          <w:color w:val="auto"/>
        </w:rPr>
        <w:t>On January 27, 2020, the Company closed a follow-on public offering of 4,710,144 shares of its common stock at a price to the public of $69.00 per share and received net proceeds of $308.4 million, after deducting underwriting discounts and commissions and offering expenses paid by the Company.</w:t>
      </w:r>
    </w:p>
    <w:p>
      <w:pPr>
        <w:spacing w:after="0" w:line="182" w:lineRule="exact"/>
        <w:rPr>
          <w:sz w:val="20"/>
          <w:szCs w:val="20"/>
          <w:color w:val="auto"/>
        </w:rPr>
      </w:pPr>
    </w:p>
    <w:p>
      <w:pPr>
        <w:jc w:val="both"/>
        <w:ind w:left="60" w:right="179" w:firstLine="648"/>
        <w:spacing w:after="0" w:line="279" w:lineRule="auto"/>
        <w:rPr>
          <w:sz w:val="20"/>
          <w:szCs w:val="20"/>
          <w:color w:val="auto"/>
        </w:rPr>
      </w:pPr>
      <w:r>
        <w:rPr>
          <w:rFonts w:ascii="Arial" w:cs="Arial" w:eastAsia="Arial" w:hAnsi="Arial"/>
          <w:sz w:val="16"/>
          <w:szCs w:val="16"/>
          <w:color w:val="auto"/>
        </w:rPr>
        <w:t>On July 30, 2020, the Company entered into the ATM Facility with Cowen, pursuant to which the Company may offer and sell, from time to time at its sole discretion, shares of its common stock having an aggregate offering price of up to $250.0 million through Cowen as sales agent. During the year ended December 31, 2020, the Company issued and sold 1,784,926 shares of its common stock under the ATM Facility and received net proceeds of $194.7 million. The Company did not sell any shares of its common stock under ATM Facility during the year ended December 31, 2021.</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years beginning January 1, 2021 and 2022, the number of shares reserved for issuance under the 2015 Plan was increased by 2,311,741 and 2,365,643 shares, respectively. In addition, the total number of shares reserved for issuance is subject to adjustment in the event of a stock split, stock dividend or other change in the Company’s capitalization. As of December 31, 2021, there were 3,027,882 shares available for future grant under the 2015 Plan.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212"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at any time with the approval of the Company’s board of directors. The Inducement Plan permits the board of directors or a committee thereof to use the stock-based awards available under the Inducement Plan to attract key employees for the growth of the Company. As of December 31, 2021, there were 288,982 shares available for future grant under the Inducement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The Company recognized stock-based compensation expense totaling $91.6 million, $75.5 million and $54.7 million for the years ended December 31, 2021, 2020 and 2019, respectively.</w:t>
      </w:r>
    </w:p>
    <w:p>
      <w:pPr>
        <w:spacing w:after="0" w:line="171"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color w:val="auto"/>
        </w:rPr>
        <w:t>Stock-based compensation expense by award type included within the consolidated statements of operations and comprehensive income (loss) is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47,726</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6,445</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612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54,653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120" w:type="dxa"/>
            <w:vAlign w:val="bottom"/>
          </w:tcPr>
          <w:p>
            <w:pPr>
              <w:ind w:left="20"/>
              <w:spacing w:after="0" w:line="196" w:lineRule="exact"/>
              <w:rPr>
                <w:sz w:val="20"/>
                <w:szCs w:val="20"/>
                <w:color w:val="auto"/>
              </w:rPr>
            </w:pPr>
            <w:r>
              <w:rPr>
                <w:rFonts w:ascii="Arial" w:cs="Arial" w:eastAsia="Arial" w:hAnsi="Arial"/>
                <w:sz w:val="18"/>
                <w:szCs w:val="18"/>
                <w:color w:val="auto"/>
                <w:w w:val="92"/>
              </w:rPr>
              <w:t>Stock-based compensation expense included in total cost and operating expenses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91,630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75,526</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54,653</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39" w:firstLine="648"/>
        <w:spacing w:after="0" w:line="248" w:lineRule="auto"/>
        <w:rPr>
          <w:sz w:val="20"/>
          <w:szCs w:val="20"/>
          <w:color w:val="auto"/>
        </w:rPr>
      </w:pPr>
      <w:r>
        <w:rPr>
          <w:rFonts w:ascii="Arial" w:cs="Arial" w:eastAsia="Arial" w:hAnsi="Arial"/>
          <w:sz w:val="18"/>
          <w:szCs w:val="18"/>
          <w:color w:val="auto"/>
        </w:rPr>
        <w:t>The following table presents stock-based compensation expense that is included in operating expenses by classification within the consolidated statements of operations and comprehensive income (loss) is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59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3"/>
                <w:szCs w:val="13"/>
                <w:color w:val="auto"/>
              </w:rPr>
            </w:pP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39,670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33,642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28,596</w:t>
            </w:r>
          </w:p>
        </w:tc>
        <w:tc>
          <w:tcPr>
            <w:tcW w:w="40" w:type="dxa"/>
            <w:vAlign w:val="bottom"/>
            <w:shd w:val="clear" w:color="auto" w:fill="CCEEFF"/>
          </w:tcPr>
          <w:p>
            <w:pPr>
              <w:spacing w:after="0"/>
              <w:rPr>
                <w:sz w:val="17"/>
                <w:szCs w:val="17"/>
                <w:color w:val="auto"/>
              </w:rPr>
            </w:pPr>
          </w:p>
        </w:tc>
      </w:tr>
      <w:tr>
        <w:trPr>
          <w:trHeight w:val="203"/>
        </w:trPr>
        <w:tc>
          <w:tcPr>
            <w:tcW w:w="59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w w:val="94"/>
              </w:rPr>
              <w:t>51,960</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41,884</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26,057</w:t>
            </w:r>
          </w:p>
        </w:tc>
        <w:tc>
          <w:tcPr>
            <w:tcW w:w="40" w:type="dxa"/>
            <w:vAlign w:val="bottom"/>
            <w:tcBorders>
              <w:bottom w:val="single" w:sz="8" w:color="CCEEFF"/>
            </w:tcBorders>
          </w:tcPr>
          <w:p>
            <w:pPr>
              <w:spacing w:after="0"/>
              <w:rPr>
                <w:sz w:val="17"/>
                <w:szCs w:val="17"/>
                <w:color w:val="auto"/>
              </w:rPr>
            </w:pPr>
          </w:p>
        </w:tc>
      </w:tr>
      <w:tr>
        <w:trPr>
          <w:trHeight w:val="196"/>
        </w:trPr>
        <w:tc>
          <w:tcPr>
            <w:tcW w:w="5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 included in operating expenses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91,630</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75,526</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54,653</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At December 31, 2021, there was $199.8 million of total unrecognized compensation cost related to non-vested stock awards, which is expected to be recognized over a weighted-average period of 2.6 years.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1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1"/>
              </w:rPr>
              <w:t>Year Ended December 31,</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5"/>
        </w:trPr>
        <w:tc>
          <w:tcPr>
            <w:tcW w:w="3240" w:type="dxa"/>
            <w:vAlign w:val="bottom"/>
            <w:tcBorders>
              <w:bottom w:val="single" w:sz="8" w:color="CCEEFF"/>
            </w:tcBorders>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3"/>
                <w:szCs w:val="13"/>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8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8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c>
          <w:tcPr>
            <w:tcW w:w="11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58.03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60.48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63.83 %</w:t>
            </w:r>
          </w:p>
        </w:tc>
      </w:tr>
      <w:tr>
        <w:trPr>
          <w:trHeight w:val="674"/>
        </w:trPr>
        <w:tc>
          <w:tcPr>
            <w:tcW w:w="3240" w:type="dxa"/>
            <w:vAlign w:val="bottom"/>
          </w:tcPr>
          <w:p>
            <w:pPr>
              <w:spacing w:after="0"/>
              <w:rPr>
                <w:sz w:val="24"/>
                <w:szCs w:val="24"/>
                <w:color w:val="auto"/>
              </w:rPr>
            </w:pPr>
          </w:p>
        </w:tc>
        <w:tc>
          <w:tcPr>
            <w:tcW w:w="3580" w:type="dxa"/>
            <w:vAlign w:val="bottom"/>
            <w:gridSpan w:val="2"/>
          </w:tcPr>
          <w:p>
            <w:pPr>
              <w:jc w:val="right"/>
              <w:ind w:right="2119"/>
              <w:spacing w:after="0"/>
              <w:rPr>
                <w:sz w:val="20"/>
                <w:szCs w:val="20"/>
                <w:color w:val="auto"/>
              </w:rPr>
            </w:pPr>
            <w:r>
              <w:rPr>
                <w:rFonts w:ascii="Arial" w:cs="Arial" w:eastAsia="Arial" w:hAnsi="Arial"/>
                <w:sz w:val="18"/>
                <w:szCs w:val="18"/>
                <w:color w:val="auto"/>
              </w:rPr>
              <w:t>F-34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stock option activity for the year ended December 31,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6,030,641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61.28</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306,810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1,125,514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(982,791)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Canceled</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(491,342)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79.27</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5,682,022</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69.37</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26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214,675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6.13</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160,313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gridSpan w:val="3"/>
            <w:vMerge w:val="continue"/>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3,499,094</w:t>
            </w:r>
          </w:p>
        </w:tc>
        <w:tc>
          <w:tcPr>
            <w:tcW w:w="14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61.30</w:t>
            </w:r>
          </w:p>
        </w:tc>
        <w:tc>
          <w:tcPr>
            <w:tcW w:w="9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00" w:right="99" w:hanging="650"/>
        <w:spacing w:after="0" w:line="275"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Intrinsic value represents the amount by which the fair market value as of December 31, 2021 of the underlying common stock exceeds the exercise price of the option.</w:t>
      </w:r>
    </w:p>
    <w:p>
      <w:pPr>
        <w:spacing w:after="0" w:line="154" w:lineRule="exact"/>
        <w:rPr>
          <w:sz w:val="20"/>
          <w:szCs w:val="20"/>
          <w:color w:val="auto"/>
        </w:rPr>
      </w:pPr>
    </w:p>
    <w:p>
      <w:pPr>
        <w:ind w:left="60" w:right="319" w:firstLine="648"/>
        <w:spacing w:after="0" w:line="270" w:lineRule="auto"/>
        <w:rPr>
          <w:sz w:val="20"/>
          <w:szCs w:val="20"/>
          <w:color w:val="auto"/>
        </w:rPr>
      </w:pPr>
      <w:r>
        <w:rPr>
          <w:rFonts w:ascii="Arial" w:cs="Arial" w:eastAsia="Arial" w:hAnsi="Arial"/>
          <w:sz w:val="17"/>
          <w:szCs w:val="17"/>
          <w:color w:val="auto"/>
        </w:rPr>
        <w:t>The weighted-average grant date fair value of options granted in the years ended December 31, 2021, 2020 and 2019 was $52.93, $34.77 and $48.96, respectively. The total intrinsic value of options exercised in the years ended December 31, 2021, 2020, and 2019 was $52.3 million, $43.3 million, and $33.8 million, respectively.</w:t>
      </w:r>
    </w:p>
    <w:p>
      <w:pPr>
        <w:spacing w:after="0" w:line="164" w:lineRule="exact"/>
        <w:rPr>
          <w:sz w:val="20"/>
          <w:szCs w:val="20"/>
          <w:color w:val="auto"/>
        </w:rPr>
      </w:pPr>
    </w:p>
    <w:p>
      <w:pPr>
        <w:ind w:left="60" w:right="119" w:firstLine="648"/>
        <w:spacing w:after="0" w:line="324" w:lineRule="auto"/>
        <w:rPr>
          <w:sz w:val="20"/>
          <w:szCs w:val="20"/>
          <w:color w:val="auto"/>
        </w:rPr>
      </w:pPr>
      <w:r>
        <w:rPr>
          <w:rFonts w:ascii="Arial" w:cs="Arial" w:eastAsia="Arial" w:hAnsi="Arial"/>
          <w:sz w:val="16"/>
          <w:szCs w:val="16"/>
          <w:color w:val="auto"/>
        </w:rPr>
        <w:t>At December 31, 2021, the total unrecognized compensation expense related to unvested stock option awards was $93.8 million, which is expected to be recognized over a weighted-average period of approximately 2.4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360" w:lineRule="exact"/>
        <w:rPr>
          <w:sz w:val="20"/>
          <w:szCs w:val="20"/>
          <w:color w:val="auto"/>
        </w:rPr>
      </w:pPr>
    </w:p>
    <w:p>
      <w:pPr>
        <w:ind w:left="60" w:right="719" w:firstLine="648"/>
        <w:spacing w:after="0" w:line="261" w:lineRule="auto"/>
        <w:rPr>
          <w:sz w:val="20"/>
          <w:szCs w:val="20"/>
          <w:color w:val="auto"/>
        </w:rPr>
      </w:pPr>
      <w:r>
        <w:rPr>
          <w:rFonts w:ascii="Arial" w:cs="Arial" w:eastAsia="Arial" w:hAnsi="Arial"/>
          <w:sz w:val="18"/>
          <w:szCs w:val="18"/>
          <w:color w:val="auto"/>
        </w:rPr>
        <w:t>Restricted stock units granted by the Company generally vest ratably over four years. The following table summarizes the restricted stock units activity for the year ended December 31, 2021:</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6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62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December 31, 2020</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1,171,686</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999,504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98.62</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(321,645)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(259,385)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78.31</w:t>
            </w:r>
          </w:p>
        </w:tc>
        <w:tc>
          <w:tcPr>
            <w:tcW w:w="100" w:type="dxa"/>
            <w:vAlign w:val="bottom"/>
            <w:tcBorders>
              <w:bottom w:val="single" w:sz="8" w:color="CCEEFF"/>
            </w:tcBorders>
          </w:tcPr>
          <w:p>
            <w:pPr>
              <w:spacing w:after="0"/>
              <w:rPr>
                <w:sz w:val="17"/>
                <w:szCs w:val="17"/>
                <w:color w:val="auto"/>
              </w:rPr>
            </w:pPr>
          </w:p>
        </w:tc>
      </w:tr>
      <w:tr>
        <w:trPr>
          <w:trHeight w:val="196"/>
        </w:trPr>
        <w:tc>
          <w:tcPr>
            <w:tcW w:w="6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December 31, 2021</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1,590,160</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99" w:firstLine="648"/>
        <w:spacing w:after="0" w:line="243" w:lineRule="auto"/>
        <w:rPr>
          <w:sz w:val="20"/>
          <w:szCs w:val="20"/>
          <w:color w:val="auto"/>
        </w:rPr>
      </w:pPr>
      <w:r>
        <w:rPr>
          <w:rFonts w:ascii="Arial" w:cs="Arial" w:eastAsia="Arial" w:hAnsi="Arial"/>
          <w:sz w:val="18"/>
          <w:szCs w:val="18"/>
          <w:color w:val="auto"/>
        </w:rPr>
        <w:t>The total fair value of restricted stock units vested during the years ended December 31, 2021, 2020 and 2019 was $31.6 million, $7.4 million and $0.7 million, respectively. As of December 31, 2021, the total unrecognized compensation expense related to unvested restricted stock units was $105.9 million, which is expected to be recognized over a weighted-average period of approximately 2.7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In 2015, the Company’s board of directors and stockholders approved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years beginning January 1, 2021 and 2022, the number of shares reserved for issuance under the 2015 ESPP was increased by 577,935 and 591,410 shares, respectively. The Company issued 43,167, 38,516, and 20,724 shares under the ESPP during the years ended December 31, 2021, 2020, and 2019 respectively.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Net income (loss) per share</w:t>
      </w:r>
    </w:p>
    <w:p>
      <w:pPr>
        <w:spacing w:after="0" w:line="216"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Basic net income (loss) per share (earnings per share, EPS) is calculated by dividing net income (loss) by the weighted average shares of common stock outstanding during the period, without consideration for common stock equivalents. Diluted net income (loss) per share is calculated by adjusting weighted average shares outstanding for the dilutive effect of common stock equivalents outstanding for the period. For purposes of the diluted net income (loss) per share calculation, the effect of stock options, unvested restricted stock units and ESPP shares on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calculation of net income (loss) and the number of shares used to compute basic and diluted net income (loss)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 share for the years ended December 31, 2021, 2020 and 2019 are as follows (in thousands, except per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6"/>
        </w:trPr>
        <w:tc>
          <w:tcPr>
            <w:tcW w:w="44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4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 basic and diluted</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(644,085)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313,882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(347,694)</w:t>
            </w: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58,518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54,534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47,829</w:t>
            </w: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460" w:type="dxa"/>
            <w:vAlign w:val="bottom"/>
          </w:tcPr>
          <w:p>
            <w:pPr>
              <w:ind w:left="140"/>
              <w:spacing w:after="0" w:line="202" w:lineRule="exact"/>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1,303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58,518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56,168</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47,829</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3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w:t>
            </w:r>
          </w:p>
        </w:tc>
      </w:tr>
    </w:tbl>
    <w:p>
      <w:pPr>
        <w:spacing w:after="0" w:line="17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7"/>
          <w:szCs w:val="17"/>
          <w:color w:val="auto"/>
        </w:rPr>
        <w:t>For the years ended December 31, 2021, 2020 and 2019, the following dilutive securities were not included in the computation of net income (loss) per share because the effect would be anti-dilutive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380" w:type="dxa"/>
            <w:vAlign w:val="bottom"/>
            <w:vMerge w:val="restart"/>
          </w:tcPr>
          <w:p>
            <w:pPr>
              <w:ind w:left="20"/>
              <w:spacing w:after="0"/>
              <w:rPr>
                <w:sz w:val="20"/>
                <w:szCs w:val="20"/>
                <w:color w:val="auto"/>
              </w:rPr>
            </w:pPr>
            <w:r>
              <w:rPr>
                <w:rFonts w:ascii="Arial" w:cs="Arial" w:eastAsia="Arial" w:hAnsi="Arial"/>
                <w:sz w:val="18"/>
                <w:szCs w:val="18"/>
                <w:color w:val="auto"/>
              </w:rPr>
              <w:t>Stock options</w:t>
            </w: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5,682</w:t>
            </w:r>
          </w:p>
        </w:tc>
        <w:tc>
          <w:tcPr>
            <w:tcW w:w="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4,480</w:t>
            </w: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ESPP shares</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7,296</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4,512</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for the years ended December 31, 2021, 2020 and 2019:</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3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income tax (benefit) at statutory rate</w:t>
            </w:r>
          </w:p>
        </w:tc>
        <w:tc>
          <w:tcPr>
            <w:tcW w:w="2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24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24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Federal research and development credits</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0.76</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(0.96)</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0.77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orphan drug credits</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State income tax, net of federal benefit</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(0.10)</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rate change</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Foreign tax credit</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0.39</w:t>
            </w:r>
          </w:p>
        </w:tc>
        <w:tc>
          <w:tcPr>
            <w:tcW w:w="240" w:type="dxa"/>
            <w:vAlign w:val="bottom"/>
          </w:tcPr>
          <w:p>
            <w:pPr>
              <w:spacing w:after="0"/>
              <w:rPr>
                <w:sz w:val="17"/>
                <w:szCs w:val="17"/>
                <w:color w:val="auto"/>
              </w:rPr>
            </w:pPr>
          </w:p>
        </w:tc>
        <w:tc>
          <w:tcPr>
            <w:tcW w:w="8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(39.26)</w:t>
            </w:r>
          </w:p>
        </w:tc>
        <w:tc>
          <w:tcPr>
            <w:tcW w:w="160" w:type="dxa"/>
            <w:vAlign w:val="bottom"/>
            <w:shd w:val="clear" w:color="auto" w:fill="CCEEFF"/>
          </w:tcPr>
          <w:p>
            <w:pPr>
              <w:spacing w:after="0"/>
              <w:rPr>
                <w:sz w:val="17"/>
                <w:szCs w:val="17"/>
                <w:color w:val="auto"/>
              </w:rPr>
            </w:pPr>
          </w:p>
        </w:tc>
      </w:tr>
      <w:tr>
        <w:trPr>
          <w:trHeight w:val="196"/>
        </w:trPr>
        <w:tc>
          <w:tcPr>
            <w:tcW w:w="3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26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3"/>
          </w:tcPr>
          <w:p>
            <w:pPr>
              <w:jc w:val="right"/>
              <w:ind w:right="2590"/>
              <w:spacing w:after="0"/>
              <w:rPr>
                <w:sz w:val="20"/>
                <w:szCs w:val="20"/>
                <w:color w:val="auto"/>
              </w:rPr>
            </w:pPr>
            <w:r>
              <w:rPr>
                <w:rFonts w:ascii="Arial" w:cs="Arial" w:eastAsia="Arial" w:hAnsi="Arial"/>
                <w:sz w:val="18"/>
                <w:szCs w:val="18"/>
                <w:color w:val="auto"/>
              </w:rPr>
              <w:t>F-36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9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243,670</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140,769</w:t>
            </w:r>
          </w:p>
        </w:tc>
        <w:tc>
          <w:tcPr>
            <w:tcW w:w="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219,935</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 credit carryforwards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36,345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23,679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19,240</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Orphan drug credit carryforwards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150,859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125,153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92,538</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other</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40,617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32,206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25,842</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10,971</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lease incentive</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24,798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19,308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26,196</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Jublient license</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asset</w:t>
            </w: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503,364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348,432</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394,722</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(4,474)</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Right of use assets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(14,539)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(19,869)</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UNICAP</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Valuation allowance</w:t>
            </w:r>
          </w:p>
        </w:tc>
        <w:tc>
          <w:tcPr>
            <w:tcW w:w="1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(476,180)</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(328,442)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(370,379)</w:t>
            </w: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Net deferred tax asset</w:t>
            </w:r>
          </w:p>
        </w:tc>
        <w:tc>
          <w:tcPr>
            <w:tcW w:w="1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80" w:firstLine="648"/>
        <w:spacing w:after="0" w:line="255"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$476.2 million, $328.4 million and $370.4 million has been established at December 31, 2021, 2020 and 2019, respectively. The change in the valuation allowance was $147.7 million, ($42.0) million and $136.9 million for the years ended December 31, 2021, 2020 and 2019, respectively. The increase of deferred tax asset between December 31, 2021 and 2020 is primarily driven by increased net operating losses (NOL) and credits generated from R&amp;D activities during the year.</w:t>
      </w:r>
    </w:p>
    <w:p>
      <w:pPr>
        <w:spacing w:after="0" w:line="180" w:lineRule="exact"/>
        <w:rPr>
          <w:sz w:val="20"/>
          <w:szCs w:val="20"/>
          <w:color w:val="auto"/>
        </w:rPr>
      </w:pPr>
    </w:p>
    <w:p>
      <w:pPr>
        <w:ind w:left="60" w:right="60" w:firstLine="648"/>
        <w:spacing w:after="0" w:line="252" w:lineRule="auto"/>
        <w:rPr>
          <w:sz w:val="20"/>
          <w:szCs w:val="20"/>
          <w:color w:val="auto"/>
        </w:rPr>
      </w:pPr>
      <w:r>
        <w:rPr>
          <w:rFonts w:ascii="Arial" w:cs="Arial" w:eastAsia="Arial" w:hAnsi="Arial"/>
          <w:sz w:val="17"/>
          <w:szCs w:val="17"/>
          <w:color w:val="auto"/>
        </w:rPr>
        <w:t>The Company has incurred NOL since inception with the exception of year 2020. As of December 31, 2021, the Company had federal and state NOL carryforwards of $872.6 million and $997.1 million, respectively, which begin to expire in 2030, and of which $851.1 million of the Company’s federal NOL is post 2017 NOL that will be carried forward indefinitely. As a result of Lengo acquisition (a stock acquisition for tax purposes) in 2021, the Company has a carryover inside tax basis in Lengo’s assets and liabilities, including its tax attributes. The Company acquired $66.6 million and $67.1 million of the federal and state NOL carryforwards, respectively, from the acquisition of Lengo. All such acquired NOL is post 2017 NOL and will be carried forward indefinitely for federal purposes. As of December 31, 2021, the Company had federal and state research and development tax credit carryforwards of $19.4 million and $17.7 million, respectively, which begin to expire in 2030. The Company acquired $0.3 million and $0.2 million of the federal and state research development tax credit carryforwards, respectively, from the acquisition of Lengo. As of December 31, 2021, the Company had federal orphan drug credits of $150.9 million, which begin to expire in 2035 and state investment tax credits of $0.6 million, which have begun to expire in 2021. As of December 31, 2021, the Company has foreign tax credits of $2.5 million which will expire in 2031.</w:t>
      </w:r>
    </w:p>
    <w:p>
      <w:pPr>
        <w:spacing w:after="0" w:line="180" w:lineRule="exact"/>
        <w:rPr>
          <w:sz w:val="20"/>
          <w:szCs w:val="20"/>
          <w:color w:val="auto"/>
        </w:rPr>
      </w:pPr>
    </w:p>
    <w:p>
      <w:pPr>
        <w:ind w:left="60" w:right="160" w:firstLine="648"/>
        <w:spacing w:after="0" w:line="274" w:lineRule="auto"/>
        <w:rPr>
          <w:sz w:val="20"/>
          <w:szCs w:val="20"/>
          <w:color w:val="auto"/>
        </w:rPr>
      </w:pPr>
      <w:r>
        <w:rPr>
          <w:rFonts w:ascii="Arial" w:cs="Arial" w:eastAsia="Arial" w:hAnsi="Arial"/>
          <w:sz w:val="16"/>
          <w:szCs w:val="16"/>
          <w:color w:val="auto"/>
        </w:rPr>
        <w:t>The Company has analyzed and validated its research and development tax credits as well as its orphan drug credits for 2011-2020. The Company generated research credits in 2021 but has not conducted a formal study to document its qualified activities. This study may result in an adjustment to the Company’s research and development credit carryforwards. No amounts are being presented as an uncertain tax position as of December 31, 2021 until such study is completed and the adjustment is known.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63" w:lineRule="exact"/>
        <w:rPr>
          <w:sz w:val="20"/>
          <w:szCs w:val="20"/>
          <w:color w:val="auto"/>
        </w:rPr>
      </w:pPr>
    </w:p>
    <w:p>
      <w:pPr>
        <w:jc w:val="both"/>
        <w:ind w:left="60" w:right="240" w:firstLine="648"/>
        <w:spacing w:after="0" w:line="284"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NOL and other tax attributes (such as research and development tax credit carryforwards) following certain ownership changes (as defined by the Code) that could limit the Company’s ability to utilize these carryforwards. We may have experienced such ownership changes in the past, and we may experience ownership changes in the future as a result of</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shifts in our stock ownership, some of which are outside our control. Approximately $2 million of the Company’s NOL carryforwards may not be available for utilization within their applicable carryforward periods based on the Section 382 study in 2020. In addition, U.S. tax laws limit the time during which these carryforwards may be applied against future taxes. Therefore, the Company may not be able to take full advantage of these carryforwards for federal or state income tax purposes.</w:t>
      </w:r>
    </w:p>
    <w:p>
      <w:pPr>
        <w:spacing w:after="0" w:line="18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With respect to the net operating losses and research and development tax credit carryforwards acquired from the acquisition of Lengo, the Company has not completed a study to assess whether an ownership change under Section 382 of the Code has occurred, or whether there have been multiple ownership changes since Lengo’s formation. Accordingly, the Company’s ability to utilize the aforementioned carryforwards may be limited and in turn, may not be able to take full advantage of these carryforwards for federal or state income tax purposes.</w:t>
      </w:r>
    </w:p>
    <w:p>
      <w:pPr>
        <w:spacing w:after="0" w:line="17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statements of operations and comprehensive loss. As of December 31, 2021 and 2020, the Company has no unrecognized tax benefits or accrued interest related to unrecognized tax benefits. As of December 31, 2021,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38 Sidney Street</w:t>
      </w:r>
    </w:p>
    <w:p>
      <w:pPr>
        <w:spacing w:after="0" w:line="21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6"/>
          <w:szCs w:val="16"/>
          <w:color w:val="auto"/>
        </w:rPr>
        <w:t>On February 12, 2015, the Company entered into a lease for approximately 39,000 rentable square feet of office and laboratory space at 38 Sidney Street in Cambridge, Massachusetts, which the initial term of the lease agreement will expire on October 31, 2022. On December 15, 2021, the Company extended the lease term to expire on November 30, 2029, and agreed to pay an initial annual base rent of approximately $4.5 million, which rises annually until it reaches approximately $5.5 million. The lease extension provided the Company with an allowance for leasehold improvements of $0.8 million improvements to be made to the premises. Security deposit of $0.9 million was recorded as restricted cash on the Company’s consolidated balance sheet as of December 31, 2021. The Company is subleasing the space to third parties and the term of the subleases will expire on February 28, 2022 and September 30,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45 Sidney Street</w:t>
      </w:r>
    </w:p>
    <w:p>
      <w:pPr>
        <w:spacing w:after="0" w:line="21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On September 19, 2018, the Company entered into an amendment to the lease agreement to expand the rentable square footage to approximately 139,216 square feet. The initial term of the lease agreement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7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7"/>
          <w:szCs w:val="17"/>
          <w:color w:val="auto"/>
        </w:rPr>
        <w:t>The Company has agreed to pay for the 99,833 rentable square feet an initial annual base rent of approximately $7.7 million, which increases annually until it reaches approximately $10.6 million in the last year of the initial term. The Company has also agreed to pay an initial annual base rent of approximately $3.2 million for the expansion premises, which increases annually until it reaches approximately $4.2 million in the last year of the initial term for the expansion premises. The amended lease provided the Company with a total tenant improvement allowance of approximately $17.4 million for improvements to be made to the premises. Security deposit of $3.8 million was recorded as restricted cash on the Company’s consolidated balance sheet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The lease agreements do not contain residual value guarantees and the components of lease cost for the years ended December 31, 2021, 2020 and 2019 were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18,299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(2,174)</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(2,919)</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has not entered into any material short-term leases or financing leases as of December 31, 2021.</w:t>
      </w:r>
    </w:p>
    <w:p>
      <w:pPr>
        <w:spacing w:after="0" w:line="235" w:lineRule="exact"/>
        <w:rPr>
          <w:sz w:val="20"/>
          <w:szCs w:val="20"/>
          <w:color w:val="auto"/>
        </w:rPr>
      </w:pPr>
    </w:p>
    <w:p>
      <w:pPr>
        <w:ind w:left="60" w:right="39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years ended December 31, 2021 and 2020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0" w:type="dxa"/>
            <w:vAlign w:val="bottom"/>
            <w:tcBorders>
              <w:bottom w:val="single" w:sz="8" w:color="CCEEFF"/>
            </w:tcBorders>
          </w:tcPr>
          <w:p>
            <w:pPr>
              <w:spacing w:after="0"/>
              <w:rPr>
                <w:sz w:val="17"/>
                <w:szCs w:val="17"/>
                <w:color w:val="auto"/>
              </w:rPr>
            </w:pPr>
          </w:p>
        </w:tc>
        <w:tc>
          <w:tcPr>
            <w:tcW w:w="6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r>
      <w:tr>
        <w:trPr>
          <w:trHeight w:val="196"/>
        </w:trPr>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14,444</w:t>
            </w:r>
          </w:p>
        </w:tc>
        <w:tc>
          <w:tcPr>
            <w:tcW w:w="40" w:type="dxa"/>
            <w:vAlign w:val="bottom"/>
            <w:shd w:val="clear" w:color="auto" w:fill="CCEEFF"/>
          </w:tcPr>
          <w:p>
            <w:pPr>
              <w:spacing w:after="0"/>
              <w:rPr>
                <w:sz w:val="17"/>
                <w:szCs w:val="17"/>
                <w:color w:val="auto"/>
              </w:rPr>
            </w:pPr>
          </w:p>
        </w:tc>
      </w:tr>
      <w:tr>
        <w:trPr>
          <w:trHeight w:val="203"/>
        </w:trPr>
        <w:tc>
          <w:tcPr>
            <w:tcW w:w="6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28,929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40" w:type="dxa"/>
            <w:vAlign w:val="bottom"/>
            <w:shd w:val="clear" w:color="auto" w:fill="CCEEFF"/>
          </w:tcPr>
          <w:p>
            <w:pPr>
              <w:spacing w:after="0"/>
              <w:rPr>
                <w:sz w:val="17"/>
                <w:szCs w:val="17"/>
                <w:color w:val="auto"/>
              </w:rPr>
            </w:pPr>
          </w:p>
        </w:tc>
      </w:tr>
      <w:tr>
        <w:trPr>
          <w:trHeight w:val="607"/>
        </w:trPr>
        <w:tc>
          <w:tcPr>
            <w:tcW w:w="40" w:type="dxa"/>
            <w:vAlign w:val="bottom"/>
          </w:tcPr>
          <w:p>
            <w:pPr>
              <w:spacing w:after="0"/>
              <w:rPr>
                <w:sz w:val="24"/>
                <w:szCs w:val="24"/>
                <w:color w:val="auto"/>
              </w:rPr>
            </w:pPr>
          </w:p>
        </w:tc>
        <w:tc>
          <w:tcPr>
            <w:tcW w:w="8940" w:type="dxa"/>
            <w:vAlign w:val="bottom"/>
            <w:gridSpan w:val="7"/>
          </w:tcPr>
          <w:p>
            <w:pPr>
              <w:ind w:left="660"/>
              <w:spacing w:after="0"/>
              <w:rPr>
                <w:sz w:val="20"/>
                <w:szCs w:val="20"/>
                <w:color w:val="auto"/>
              </w:rPr>
            </w:pPr>
            <w:r>
              <w:rPr>
                <w:rFonts w:ascii="Arial" w:cs="Arial" w:eastAsia="Arial" w:hAnsi="Arial"/>
                <w:sz w:val="18"/>
                <w:szCs w:val="18"/>
                <w:color w:val="auto"/>
                <w:w w:val="93"/>
              </w:rPr>
              <w:t>The weighted average remaining lease term and weighted average discount rate of the operating leases are as</w:t>
            </w:r>
          </w:p>
        </w:tc>
      </w:tr>
      <w:tr>
        <w:trPr>
          <w:trHeight w:val="230"/>
        </w:trPr>
        <w:tc>
          <w:tcPr>
            <w:tcW w:w="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follows: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1"/>
              </w:rPr>
              <w:t>Operating leases</w:t>
            </w:r>
          </w:p>
        </w:tc>
      </w:tr>
      <w:tr>
        <w:trPr>
          <w:trHeight w:val="196"/>
        </w:trPr>
        <w:tc>
          <w:tcPr>
            <w:tcW w:w="4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40" w:type="dxa"/>
            <w:vAlign w:val="bottom"/>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0"/>
                <w:szCs w:val="20"/>
                <w:color w:val="auto"/>
              </w:rPr>
            </w:pPr>
          </w:p>
        </w:tc>
      </w:tr>
    </w:tbl>
    <w:p>
      <w:pPr>
        <w:spacing w:after="0" w:line="160"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Future minimum lease payments under non-cancellable leases as of December 31, 2021 were as follows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17,691</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18,183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18,557</w:t>
            </w: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19,089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58,912</w:t>
            </w:r>
          </w:p>
        </w:tc>
      </w:tr>
      <w:tr>
        <w:trPr>
          <w:trHeight w:val="196"/>
        </w:trPr>
        <w:tc>
          <w:tcPr>
            <w:tcW w:w="53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future minimum lease payments</w:t>
            </w:r>
          </w:p>
        </w:tc>
        <w:tc>
          <w:tcPr>
            <w:tcW w:w="2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148,257</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(36,849)</w:t>
            </w:r>
          </w:p>
        </w:tc>
      </w:tr>
      <w:tr>
        <w:trPr>
          <w:trHeight w:val="196"/>
        </w:trPr>
        <w:tc>
          <w:tcPr>
            <w:tcW w:w="5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111,408</w:t>
            </w:r>
          </w:p>
        </w:tc>
      </w:tr>
      <w:tr>
        <w:trPr>
          <w:trHeight w:val="20"/>
        </w:trPr>
        <w:tc>
          <w:tcPr>
            <w:tcW w:w="5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100" w:right="119" w:hanging="402"/>
        <w:spacing w:after="0" w:line="248" w:lineRule="auto"/>
        <w:tabs>
          <w:tab w:leader="none" w:pos="11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Minimum lease payments have not been reduced by minimum net sublease receivables of $2.0 million due in the future under the Company’s non-cancelable subleases for the office and laboratory space located at 38 Sidney Street, Cambridge, Massachusetts.</w:t>
      </w:r>
    </w:p>
    <w:p>
      <w:pPr>
        <w:spacing w:after="0" w:line="177" w:lineRule="exact"/>
        <w:rPr>
          <w:rFonts w:ascii="Arial" w:cs="Arial" w:eastAsia="Arial" w:hAnsi="Arial"/>
          <w:sz w:val="18"/>
          <w:szCs w:val="18"/>
          <w:color w:val="auto"/>
        </w:rPr>
      </w:pPr>
    </w:p>
    <w:p>
      <w:pPr>
        <w:ind w:left="320" w:hanging="270"/>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16"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401(k) Savings Plan</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maintains a 401(k) plan for employees (the 401(k) Plan). The 401(k) Plan is intended to qualify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under Section 401(k) of the Code, so that contributions to the 401(k) Plan by employees or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The expense related to the 401(k) Plan primarily consists of the Company’s matching contributions. The expenses related to the 401(k) Plan for the years ended December 31, 2021, 2020 and 2019 were $3.0 million, $1.9 million and $1.2 million, respectively.</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Switzerland Defined Benefit Plan</w:t>
      </w:r>
    </w:p>
    <w:p>
      <w:pPr>
        <w:spacing w:after="0" w:line="17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 As of December 31, 2021, the Swiss Plan had an unfunded status of $3.4 million, which resulted from fair value of plan assets of $4.5 million and projected benefit obligation of $7.9 million. The accumulated benefit obligation at December 31, 2021 was $6.5 million. The Company’s net periodic benefit cost for the year ended December 31, 2021 was $2.0 million. The net periodic benefit cost for the years ended December 31, 2020 and 2019 were not material. The contributions to the Swiss Plan for the years ended December 31, 2021, 2020 and 2019 were not material.</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Commitments and Contingencies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Purchase Commitments Associated with Commercial Supply Agreements</w:t>
      </w:r>
    </w:p>
    <w:p>
      <w:pPr>
        <w:spacing w:after="0" w:line="171"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In connection with the commercialization of AYVAKIT/AYVAKYT and GAVRETO, the Company has negotiated manufacturing agreements with certain vendors that require the Company to meet minimum purchase obligations on an annual basis. The aggregate amount of future minimum purchase obligations under these manufacturing agreements over the period of next five years is approximately $34.2 million as of December 31, 2021.</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December 31, 2021 or 2020.</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19. Subsequent Events</w:t>
      </w:r>
    </w:p>
    <w:p>
      <w:pPr>
        <w:spacing w:after="0" w:line="175" w:lineRule="exact"/>
        <w:rPr>
          <w:sz w:val="20"/>
          <w:szCs w:val="20"/>
          <w:color w:val="auto"/>
        </w:rPr>
      </w:pPr>
    </w:p>
    <w:p>
      <w:pPr>
        <w:ind w:left="60" w:right="59" w:firstLine="648"/>
        <w:spacing w:after="0" w:line="261" w:lineRule="auto"/>
        <w:rPr>
          <w:sz w:val="20"/>
          <w:szCs w:val="20"/>
          <w:color w:val="auto"/>
        </w:rPr>
      </w:pPr>
      <w:r>
        <w:rPr>
          <w:rFonts w:ascii="Arial" w:cs="Arial" w:eastAsia="Arial" w:hAnsi="Arial"/>
          <w:sz w:val="18"/>
          <w:szCs w:val="18"/>
          <w:color w:val="212529"/>
        </w:rPr>
        <w:t>During the first quarter of 2022, a $30.0 million development milestone was achieved under our license agreement with Clementia.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BLUEPRINT MEDICINES CORPORATION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$300,000,000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17,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w:t>
      </w:r>
    </w:p>
    <w:p>
      <w:pPr>
        <w:spacing w:after="0" w:line="238" w:lineRule="auto"/>
        <w:rPr>
          <w:sz w:val="20"/>
          <w:szCs w:val="20"/>
          <w:color w:val="auto"/>
        </w:rPr>
      </w:pPr>
      <w:r>
        <w:rPr>
          <w:rFonts w:ascii="Arial" w:cs="Arial" w:eastAsia="Arial" w:hAnsi="Arial"/>
          <w:sz w:val="22"/>
          <w:szCs w:val="22"/>
          <w:color w:val="auto"/>
        </w:rPr>
        <w:t>599 Lexington Avenue</w:t>
      </w:r>
    </w:p>
    <w:p>
      <w:pPr>
        <w:spacing w:after="0"/>
        <w:rPr>
          <w:sz w:val="20"/>
          <w:szCs w:val="20"/>
          <w:color w:val="auto"/>
        </w:rPr>
      </w:pPr>
      <w:r>
        <w:rPr>
          <w:rFonts w:ascii="Arial" w:cs="Arial" w:eastAsia="Arial" w:hAnsi="Arial"/>
          <w:sz w:val="22"/>
          <w:szCs w:val="22"/>
          <w:color w:val="auto"/>
        </w:rPr>
        <w:t>New York, NY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Blueprint Medicines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confirms its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with Cowen and Company, LLC (“</w:t>
      </w:r>
      <w:r>
        <w:rPr>
          <w:rFonts w:ascii="Arial" w:cs="Arial" w:eastAsia="Arial" w:hAnsi="Arial"/>
          <w:sz w:val="22"/>
          <w:szCs w:val="22"/>
          <w:b w:val="1"/>
          <w:bCs w:val="1"/>
          <w:u w:val="single" w:color="auto"/>
          <w:color w:val="auto"/>
        </w:rPr>
        <w:t>Cowen</w:t>
      </w:r>
      <w:r>
        <w:rPr>
          <w:rFonts w:ascii="Arial" w:cs="Arial" w:eastAsia="Arial" w:hAnsi="Arial"/>
          <w:sz w:val="22"/>
          <w:szCs w:val="22"/>
          <w:color w:val="auto"/>
        </w:rPr>
        <w:t>”), as follows:</w:t>
      </w:r>
    </w:p>
    <w:p>
      <w:pPr>
        <w:spacing w:after="0" w:line="168" w:lineRule="exact"/>
        <w:rPr>
          <w:sz w:val="20"/>
          <w:szCs w:val="20"/>
          <w:color w:val="auto"/>
        </w:rPr>
      </w:pPr>
    </w:p>
    <w:p>
      <w:pPr>
        <w:jc w:val="both"/>
        <w:ind w:firstLine="656"/>
        <w:spacing w:after="0" w:line="272"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and any Terms Agreement (defined below), it may issue and sell to or through Cowen, acting as agent and/or principal, shares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of the Company’s common stock, par value $0.001 per share (the “</w:t>
      </w:r>
      <w:r>
        <w:rPr>
          <w:rFonts w:ascii="Arial" w:cs="Arial" w:eastAsia="Arial" w:hAnsi="Arial"/>
          <w:sz w:val="19"/>
          <w:szCs w:val="19"/>
          <w:b w:val="1"/>
          <w:bCs w:val="1"/>
          <w:u w:val="single" w:color="auto"/>
          <w:color w:val="auto"/>
        </w:rPr>
        <w:t>Common Stock</w:t>
      </w:r>
      <w:r>
        <w:rPr>
          <w:rFonts w:ascii="Arial" w:cs="Arial" w:eastAsia="Arial" w:hAnsi="Arial"/>
          <w:sz w:val="19"/>
          <w:szCs w:val="19"/>
          <w:color w:val="auto"/>
        </w:rPr>
        <w:t>”), having an aggregate offering price of up to $300,000,000 (the “</w:t>
      </w:r>
      <w:r>
        <w:rPr>
          <w:rFonts w:ascii="Arial" w:cs="Arial" w:eastAsia="Arial" w:hAnsi="Arial"/>
          <w:sz w:val="19"/>
          <w:szCs w:val="19"/>
          <w:b w:val="1"/>
          <w:bCs w:val="1"/>
          <w:color w:val="auto"/>
        </w:rPr>
        <w:t>Maximum Amount</w:t>
      </w:r>
      <w:r>
        <w:rPr>
          <w:rFonts w:ascii="Arial" w:cs="Arial" w:eastAsia="Arial" w:hAnsi="Arial"/>
          <w:sz w:val="19"/>
          <w:szCs w:val="19"/>
          <w:color w:val="auto"/>
        </w:rPr>
        <w:t xml:space="preserve">”). Notwithstanding anything to the contrary contained herein, the parties hereto agree that compliance with the limitation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number of shares of Common Stock issued and sold under this Agreement and any Terms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which became effective automatically upon filing with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under Rule 462(c) of the Securities Act (as defined below), although nothing in this Agreement shall be construed as requiring the Company to use the Registration Statement (as defined below) to issue the Common Stock.</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has filed, in accordance with the provisions of the Securities Act of 1933, as amended, and the rules and regulations thereunder (collectively, the “</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with the Commission a registration statement on Form S-3ASR (File No. 333-236424),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The Company has prepared a prospectus supplement specifically relating to the Shares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Supplement</w:t>
      </w:r>
      <w:r>
        <w:rPr>
          <w:rFonts w:ascii="Arial" w:cs="Arial" w:eastAsia="Arial" w:hAnsi="Arial"/>
          <w:sz w:val="19"/>
          <w:szCs w:val="19"/>
          <w:color w:val="auto"/>
        </w:rPr>
        <w:t>”) to the base prospectus included as part of such registration statement. The Company has furnished</w:t>
      </w:r>
      <w:r>
        <w:rPr>
          <w:rFonts w:ascii="Arial" w:cs="Arial" w:eastAsia="Arial" w:hAnsi="Arial"/>
          <w:sz w:val="19"/>
          <w:szCs w:val="19"/>
          <w:b w:val="1"/>
          <w:bCs w:val="1"/>
          <w:color w:val="auto"/>
        </w:rPr>
        <w:t xml:space="preserve"> </w:t>
      </w:r>
      <w:r>
        <w:rPr>
          <w:rFonts w:ascii="Arial" w:cs="Arial" w:eastAsia="Arial" w:hAnsi="Arial"/>
          <w:sz w:val="19"/>
          <w:szCs w:val="19"/>
          <w:color w:val="auto"/>
        </w:rPr>
        <w:t>to Cowen, for use by Cowen, copies of the prospectus included as part of such registration statement, as supplemented by the Prospectus Supplement, relating to the Shares. Except where the context otherwise requires, such registration statement, and any post-effective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8" w:name="page169"/>
    <w:bookmarkEnd w:id="168"/>
    <w:p>
      <w:pPr>
        <w:jc w:val="both"/>
        <w:spacing w:after="0" w:line="269" w:lineRule="auto"/>
        <w:rPr>
          <w:sz w:val="20"/>
          <w:szCs w:val="20"/>
          <w:color w:val="auto"/>
        </w:rPr>
      </w:pPr>
      <w:r>
        <w:rPr>
          <w:rFonts w:ascii="Arial" w:cs="Arial" w:eastAsia="Arial" w:hAnsi="Arial"/>
          <w:sz w:val="19"/>
          <w:szCs w:val="19"/>
          <w:color w:val="auto"/>
        </w:rPr>
        <w:t>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with respect to the Shares, is herein called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Arial" w:cs="Arial" w:eastAsia="Arial" w:hAnsi="Arial"/>
          <w:sz w:val="19"/>
          <w:szCs w:val="19"/>
          <w:b w:val="1"/>
          <w:bCs w:val="1"/>
          <w:u w:val="single" w:color="auto"/>
          <w:color w:val="auto"/>
        </w:rPr>
        <w:t>Rule 433</w:t>
      </w:r>
      <w:r>
        <w:rPr>
          <w:rFonts w:ascii="Arial" w:cs="Arial" w:eastAsia="Arial" w:hAnsi="Arial"/>
          <w:sz w:val="19"/>
          <w:szCs w:val="19"/>
          <w:color w:val="auto"/>
        </w:rPr>
        <w:t>”), relating to the Shares that (i) is consented to by Cowen (including any free writing prospectus prepared by the Company solely for use in connection with the offering contemplated by a particular Terms Agreement), hereinafter referred to as a “</w:t>
      </w:r>
      <w:r>
        <w:rPr>
          <w:rFonts w:ascii="Arial" w:cs="Arial" w:eastAsia="Arial" w:hAnsi="Arial"/>
          <w:sz w:val="19"/>
          <w:szCs w:val="19"/>
          <w:b w:val="1"/>
          <w:bCs w:val="1"/>
          <w:u w:val="single" w:color="auto"/>
          <w:color w:val="auto"/>
        </w:rPr>
        <w:t>Permitted Free Writing Prospectus</w:t>
      </w:r>
      <w:r>
        <w:rPr>
          <w:rFonts w:ascii="Arial" w:cs="Arial" w:eastAsia="Arial" w:hAnsi="Arial"/>
          <w:sz w:val="19"/>
          <w:szCs w:val="19"/>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9"/>
          <w:szCs w:val="19"/>
          <w:b w:val="1"/>
          <w:bCs w:val="1"/>
          <w:u w:val="single" w:color="auto"/>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Registration Statement is an “automatic shelf registration statement” (as defined in Rule 405 under the Securities Act) and the Shares have been and remain eligible for registration by the Company on such automatic shelf registration statement.</w:t>
      </w:r>
    </w:p>
    <w:p>
      <w:pPr>
        <w:spacing w:after="0" w:line="186" w:lineRule="exact"/>
        <w:rPr>
          <w:sz w:val="20"/>
          <w:szCs w:val="20"/>
          <w:color w:val="auto"/>
        </w:rPr>
      </w:pPr>
    </w:p>
    <w:p>
      <w:pPr>
        <w:jc w:val="both"/>
        <w:ind w:firstLine="656"/>
        <w:spacing w:after="0" w:line="271" w:lineRule="auto"/>
        <w:tabs>
          <w:tab w:leader="none" w:pos="12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Agency and Principal Transactions</w:t>
      </w:r>
      <w:r>
        <w:rPr>
          <w:rFonts w:ascii="Arial" w:cs="Arial" w:eastAsia="Arial" w:hAnsi="Arial"/>
          <w:sz w:val="19"/>
          <w:szCs w:val="19"/>
          <w:color w:val="auto"/>
        </w:rPr>
        <w:t>. (a) Each time that the Company wishes to issue and sell the Shares hereunder through Cowen, acting as agent (each, an “</w:t>
      </w:r>
      <w:r>
        <w:rPr>
          <w:rFonts w:ascii="Arial" w:cs="Arial" w:eastAsia="Arial" w:hAnsi="Arial"/>
          <w:sz w:val="19"/>
          <w:szCs w:val="19"/>
          <w:b w:val="1"/>
          <w:bCs w:val="1"/>
          <w:u w:val="single" w:color="auto"/>
          <w:color w:val="auto"/>
        </w:rPr>
        <w:t>Agency Transaction</w:t>
      </w:r>
      <w:r>
        <w:rPr>
          <w:rFonts w:ascii="Arial" w:cs="Arial" w:eastAsia="Arial" w:hAnsi="Arial"/>
          <w:sz w:val="19"/>
          <w:szCs w:val="19"/>
          <w:color w:val="auto"/>
        </w:rPr>
        <w:t>”), it will notify Cowen by email notice (or other method mutually agreed to in writing by the parties) (a “</w:t>
      </w:r>
      <w:r>
        <w:rPr>
          <w:rFonts w:ascii="Arial" w:cs="Arial" w:eastAsia="Arial" w:hAnsi="Arial"/>
          <w:sz w:val="19"/>
          <w:szCs w:val="19"/>
          <w:b w:val="1"/>
          <w:bCs w:val="1"/>
          <w:u w:val="single" w:color="auto"/>
          <w:color w:val="auto"/>
        </w:rPr>
        <w:t>Placement Notice</w:t>
      </w:r>
      <w:r>
        <w:rPr>
          <w:rFonts w:ascii="Arial" w:cs="Arial" w:eastAsia="Arial" w:hAnsi="Arial"/>
          <w:sz w:val="19"/>
          <w:szCs w:val="19"/>
          <w:color w:val="auto"/>
        </w:rPr>
        <w:t xml:space="preserve">”) containing the parameters in accordance with which it desires the Shares to be sold, which shall at a minimum include the number of Shares to be issued, the time period during which sales are requested to be made, any limitation on the number of Shares that may be sold in any one Trading Day (as defined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any minimum price below which sales may not be made, a form of which containing such minimum sales parameters necessary is attached hereto as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The Placement Notice shall originate from any of the individuals from the Company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(with a copy to each of the other individuals from the Company listed on such schedule), and shall be addressed to each of the individuals from Cowen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as such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may be amended from time to time. The Placement Notice shall be effective upon receipt by Cowen unless and until (i) in accordance with the notice 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Cowen declines to accept the terms contained therein for any reason, in its sole discretion, (ii) the entire amount of the Shares have been sold, (iii) in accordance with the notice 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the Company suspends or terminates the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9" w:name="page170"/>
    <w:bookmarkEnd w:id="169"/>
    <w:p>
      <w:pPr>
        <w:jc w:val="both"/>
        <w:spacing w:after="0" w:line="274" w:lineRule="auto"/>
        <w:rPr>
          <w:sz w:val="20"/>
          <w:szCs w:val="20"/>
          <w:color w:val="auto"/>
        </w:rPr>
      </w:pPr>
      <w:r>
        <w:rPr>
          <w:rFonts w:ascii="Arial" w:cs="Arial" w:eastAsia="Arial" w:hAnsi="Arial"/>
          <w:sz w:val="19"/>
          <w:szCs w:val="19"/>
          <w:color w:val="auto"/>
        </w:rPr>
        <w:t xml:space="preserve">Notice, (iv) the Company issues a subsequent Placement Notice with parameters superseding those on the earlier dated Placement Notice, or (v) this Agreement has been terminated under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amount of any discount, commission or other compensation to be paid by the Company to Cowen in connection with the sale of the Shares shall be calculated in accordance with the terms set forth in </w:t>
      </w:r>
      <w:r>
        <w:rPr>
          <w:rFonts w:ascii="Arial" w:cs="Arial" w:eastAsia="Arial" w:hAnsi="Arial"/>
          <w:sz w:val="19"/>
          <w:szCs w:val="19"/>
          <w:u w:val="single" w:color="auto"/>
          <w:color w:val="auto"/>
        </w:rPr>
        <w:t>Schedule 3</w:t>
      </w:r>
      <w:r>
        <w:rPr>
          <w:rFonts w:ascii="Arial" w:cs="Arial" w:eastAsia="Arial" w:hAnsi="Arial"/>
          <w:sz w:val="19"/>
          <w:szCs w:val="19"/>
          <w:b w:val="1"/>
          <w:bCs w:val="1"/>
          <w:color w:val="auto"/>
        </w:rPr>
        <w:t>.</w:t>
      </w:r>
      <w:r>
        <w:rPr>
          <w:rFonts w:ascii="Arial" w:cs="Arial" w:eastAsia="Arial" w:hAnsi="Arial"/>
          <w:sz w:val="19"/>
          <w:szCs w:val="19"/>
          <w:color w:val="auto"/>
        </w:rPr>
        <w:t xml:space="preserve"> It is expressly acknowledged and agreed that neither the Company nor Cowen will have any obligation whatsoever with respect to an Agency Transaction or any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8" w:lineRule="exact"/>
        <w:rPr>
          <w:sz w:val="20"/>
          <w:szCs w:val="20"/>
          <w:color w:val="auto"/>
        </w:rPr>
      </w:pPr>
    </w:p>
    <w:p>
      <w:pPr>
        <w:jc w:val="both"/>
        <w:ind w:firstLine="8"/>
        <w:spacing w:after="0" w:line="287" w:lineRule="auto"/>
        <w:tabs>
          <w:tab w:leader="none" w:pos="326"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may also offer to sell the Shares directly to Cowen, as principal, in which event such parties shall enter into a separate agreement (each, a “</w:t>
      </w:r>
      <w:r>
        <w:rPr>
          <w:rFonts w:ascii="Arial" w:cs="Arial" w:eastAsia="Arial" w:hAnsi="Arial"/>
          <w:sz w:val="19"/>
          <w:szCs w:val="19"/>
          <w:b w:val="1"/>
          <w:bCs w:val="1"/>
          <w:u w:val="single" w:color="auto"/>
          <w:color w:val="auto"/>
        </w:rPr>
        <w:t>Terms Agreement</w:t>
      </w:r>
      <w:r>
        <w:rPr>
          <w:rFonts w:ascii="Arial" w:cs="Arial" w:eastAsia="Arial" w:hAnsi="Arial"/>
          <w:sz w:val="19"/>
          <w:szCs w:val="19"/>
          <w:color w:val="auto"/>
        </w:rPr>
        <w:t xml:space="preserve">”) in substantially the form of </w:t>
      </w:r>
      <w:r>
        <w:rPr>
          <w:rFonts w:ascii="Arial" w:cs="Arial" w:eastAsia="Arial" w:hAnsi="Arial"/>
          <w:sz w:val="19"/>
          <w:szCs w:val="19"/>
          <w:u w:val="single" w:color="auto"/>
          <w:color w:val="auto"/>
        </w:rPr>
        <w:t>Schedule 2(b)</w:t>
      </w:r>
      <w:r>
        <w:rPr>
          <w:rFonts w:ascii="Arial" w:cs="Arial" w:eastAsia="Arial" w:hAnsi="Arial"/>
          <w:sz w:val="19"/>
          <w:szCs w:val="19"/>
          <w:color w:val="auto"/>
        </w:rPr>
        <w:t xml:space="preserve"> hereto (with such changes thereto as may be agreed upon by the Company and Cowen), relating to such sale in accordance with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hereof (each such transaction being referred to as a “</w:t>
      </w:r>
      <w:r>
        <w:rPr>
          <w:rFonts w:ascii="Arial" w:cs="Arial" w:eastAsia="Arial" w:hAnsi="Arial"/>
          <w:sz w:val="19"/>
          <w:szCs w:val="19"/>
          <w:b w:val="1"/>
          <w:bCs w:val="1"/>
          <w:u w:val="single" w:color="auto"/>
          <w:color w:val="auto"/>
        </w:rPr>
        <w:t>Principal Transaction</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firstLine="656"/>
        <w:spacing w:after="0" w:line="269" w:lineRule="auto"/>
        <w:tabs>
          <w:tab w:leader="none" w:pos="1296"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Sale of Shares by Cowen.</w:t>
      </w:r>
      <w:r>
        <w:rPr>
          <w:rFonts w:ascii="Arial" w:cs="Arial" w:eastAsia="Arial" w:hAnsi="Arial"/>
          <w:sz w:val="19"/>
          <w:szCs w:val="19"/>
          <w:color w:val="auto"/>
        </w:rPr>
        <w:t xml:space="preserve"> (a) Subject to the terms and conditions herein set forth, upon the Company’s delivery of a Placement Notice with respect to an Agency Transaction, and unless the sale of the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19"/>
          <w:szCs w:val="19"/>
          <w:b w:val="1"/>
          <w:bCs w:val="1"/>
          <w:u w:val="single" w:color="auto"/>
          <w:color w:val="auto"/>
        </w:rPr>
        <w:t>Nasdaq</w:t>
      </w:r>
      <w:r>
        <w:rPr>
          <w:rFonts w:ascii="Arial" w:cs="Arial" w:eastAsia="Arial" w:hAnsi="Arial"/>
          <w:sz w:val="19"/>
          <w:szCs w:val="19"/>
          <w:color w:val="auto"/>
        </w:rPr>
        <w:t xml:space="preserve">”) to sell such Shares up to the amount specified in such Placement Notice, and otherwise in accordance with the terms of such Placement Notice. Cowen will provide written confirmation to the Company (including by email correspondence to each of the individuals of the Company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Shares hereunder setting forth the number of Shares sold on such day, the volume-weighted average price of the Shares sold, and the Net Proceeds (as defined below) payable to the Company. In the event the Company engages Cowen for a sale of Shares in an Agency Transaction that would constitute a “block” within the meaning of Rule 10b-18(a)(5) under the Exchange Act (a “</w:t>
      </w:r>
      <w:r>
        <w:rPr>
          <w:rFonts w:ascii="Arial" w:cs="Arial" w:eastAsia="Arial" w:hAnsi="Arial"/>
          <w:sz w:val="19"/>
          <w:szCs w:val="19"/>
          <w:b w:val="1"/>
          <w:bCs w:val="1"/>
          <w:u w:val="single" w:color="auto"/>
          <w:color w:val="auto"/>
        </w:rPr>
        <w:t>Block Sale</w:t>
      </w:r>
      <w:r>
        <w:rPr>
          <w:rFonts w:ascii="Arial" w:cs="Arial" w:eastAsia="Arial" w:hAnsi="Arial"/>
          <w:sz w:val="19"/>
          <w:szCs w:val="19"/>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each dated the Settlement Date, and such other documents and information as Cowen shall reasonably request. Cowen may sell Shares by any method permitted by law deemed to be an “at the market” offering as defined in Rule 415 of the Securities Act. The Company acknowledges and agrees that (i) there can be no assurance that Cowen will be successful in selling Shares, and (ii) Cowen will incur no liability or obligation to the Company or any other person or entity if it does not sell Shares for any reason other than a failure by Cowen to use its commercially reasonable efforts consistent with its normal trading and sales practices to sell such Shares as required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For the purposes hereof, “</w:t>
      </w:r>
      <w:r>
        <w:rPr>
          <w:rFonts w:ascii="Arial" w:cs="Arial" w:eastAsia="Arial" w:hAnsi="Arial"/>
          <w:sz w:val="19"/>
          <w:szCs w:val="19"/>
          <w:b w:val="1"/>
          <w:bCs w:val="1"/>
          <w:u w:val="single" w:color="auto"/>
          <w:color w:val="auto"/>
        </w:rPr>
        <w:t>Trading Day</w:t>
      </w:r>
      <w:r>
        <w:rPr>
          <w:rFonts w:ascii="Arial" w:cs="Arial" w:eastAsia="Arial" w:hAnsi="Arial"/>
          <w:sz w:val="19"/>
          <w:szCs w:val="19"/>
          <w:color w:val="auto"/>
        </w:rPr>
        <w:t>” means any day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0" w:name="page171"/>
    <w:bookmarkEnd w:id="170"/>
    <w:p>
      <w:pPr>
        <w:spacing w:after="0" w:line="250" w:lineRule="auto"/>
        <w:rPr>
          <w:sz w:val="20"/>
          <w:szCs w:val="20"/>
          <w:color w:val="auto"/>
        </w:rPr>
      </w:pPr>
      <w:r>
        <w:rPr>
          <w:rFonts w:ascii="Arial" w:cs="Arial" w:eastAsia="Arial" w:hAnsi="Arial"/>
          <w:sz w:val="22"/>
          <w:szCs w:val="22"/>
          <w:color w:val="auto"/>
        </w:rPr>
        <w:t>the Company’s Common Stock is purchased and sold on the principal market on which the Common Stock is listed or quoted.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jc w:val="both"/>
        <w:ind w:firstLine="656"/>
        <w:spacing w:after="0" w:line="277" w:lineRule="auto"/>
        <w:tabs>
          <w:tab w:leader="none" w:pos="12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the Company wishes to issue and sell the Shares to Cowen pursuant to this Agreement in a Principal Transaction, it will notify Cowen of the proposed terms of the Principal Transaction. If Cowen, acting as principal, wishes to accept such proposed terms (which it may decline to do for any reason in its sole discretion) or, following discussions with the Company, wishes to accept amended terms, the Company and Cowen shall enter into a Terms Agreement setting forth the terms of such Principal Transaction.</w:t>
      </w:r>
    </w:p>
    <w:p>
      <w:pPr>
        <w:spacing w:after="0" w:line="179" w:lineRule="exact"/>
        <w:rPr>
          <w:rFonts w:ascii="Arial" w:cs="Arial" w:eastAsia="Arial" w:hAnsi="Arial"/>
          <w:sz w:val="19"/>
          <w:szCs w:val="19"/>
          <w:color w:val="auto"/>
        </w:rPr>
      </w:pPr>
    </w:p>
    <w:p>
      <w:pPr>
        <w:jc w:val="both"/>
        <w:ind w:firstLine="656"/>
        <w:spacing w:after="0" w:line="252" w:lineRule="auto"/>
        <w:tabs>
          <w:tab w:leader="none" w:pos="1296"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terms set forth in a Terms Agreement shall not be binding on the Company or Cowen unless and until the Company and Cowen have each executed and delivered such Terms Agreement accepting all of the terms of such Terms Agreement. In the event of a conflict between the terms of this Agreement and the terms of a Terms Agreement, the terms of such Terms Agreement shall control.</w:t>
      </w:r>
    </w:p>
    <w:p>
      <w:pPr>
        <w:spacing w:after="0" w:line="200" w:lineRule="exact"/>
        <w:rPr>
          <w:rFonts w:ascii="Arial" w:cs="Arial" w:eastAsia="Arial" w:hAnsi="Arial"/>
          <w:sz w:val="21"/>
          <w:szCs w:val="21"/>
          <w:color w:val="auto"/>
        </w:rPr>
      </w:pPr>
    </w:p>
    <w:p>
      <w:pPr>
        <w:jc w:val="both"/>
        <w:ind w:firstLine="656"/>
        <w:spacing w:after="0" w:line="273" w:lineRule="auto"/>
        <w:tabs>
          <w:tab w:leader="none" w:pos="12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Each sale of the Shares to Cowen in a Principal Transaction shall be made in accordance with the terms of this Agreement and a Terms Agreement, which shall provide for the sale of such Shares to, and the purchase thereof by, Cowen. A Terms Agreement may also specify certain provisions relating to the reoffering of such Shares by Cowen. The commitment of Cowen to purchase the Shares pursuant to any Terms Agreement shall be deemed to have been made on the basis of the representations, warranties and agreements of the Company contained, and shall be subject to the terms and conditions set forth, in this Agreement and such Terms Agreement. Any such Terms Agreement shall specify the number of the Shares to be purchased by Cowen pursuant thereto, the price to be paid to the Company for such Shares, any provisions relating to rights of, and default by, Cowen in the reoffering of the Shares, and the time, date (each such time and date being referred to herein as a “</w:t>
      </w:r>
      <w:r>
        <w:rPr>
          <w:rFonts w:ascii="Arial" w:cs="Arial" w:eastAsia="Arial" w:hAnsi="Arial"/>
          <w:sz w:val="19"/>
          <w:szCs w:val="19"/>
          <w:b w:val="1"/>
          <w:bCs w:val="1"/>
          <w:u w:val="single" w:color="auto"/>
          <w:color w:val="auto"/>
        </w:rPr>
        <w:t>Principal Settlement Date</w:t>
      </w:r>
      <w:r>
        <w:rPr>
          <w:rFonts w:ascii="Arial" w:cs="Arial" w:eastAsia="Arial" w:hAnsi="Arial"/>
          <w:sz w:val="19"/>
          <w:szCs w:val="19"/>
          <w:color w:val="auto"/>
        </w:rPr>
        <w:t>”) and place of delivery of and payment for such Shares.</w:t>
      </w:r>
    </w:p>
    <w:p>
      <w:pPr>
        <w:spacing w:after="0" w:line="187" w:lineRule="exact"/>
        <w:rPr>
          <w:rFonts w:ascii="Arial" w:cs="Arial" w:eastAsia="Arial" w:hAnsi="Arial"/>
          <w:sz w:val="19"/>
          <w:szCs w:val="19"/>
          <w:color w:val="auto"/>
        </w:rPr>
      </w:pPr>
    </w:p>
    <w:p>
      <w:pPr>
        <w:jc w:val="both"/>
        <w:ind w:firstLine="8"/>
        <w:spacing w:after="0" w:line="273" w:lineRule="auto"/>
        <w:tabs>
          <w:tab w:leader="none" w:pos="648"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Company shall not offer, sell or deliver, or request the offer or sale, of any Shares pursuant to this Agreement (whether in an Agency Transaction or a Principal Transaction) and, by notice to Cowen given by telephone (confirmed promptly by email), shall cancel any instructions for the offer or sale of any Shares, and Cowen shall not be obligated to offer or sell any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Arial" w:cs="Arial" w:eastAsia="Arial" w:hAnsi="Arial"/>
          <w:sz w:val="19"/>
          <w:szCs w:val="19"/>
          <w:b w:val="1"/>
          <w:bCs w:val="1"/>
          <w:u w:val="single" w:color="auto"/>
          <w:color w:val="auto"/>
        </w:rPr>
        <w:t>Earnings Announcement</w:t>
      </w:r>
      <w:r>
        <w:rPr>
          <w:rFonts w:ascii="Arial" w:cs="Arial" w:eastAsia="Arial" w:hAnsi="Arial"/>
          <w:sz w:val="19"/>
          <w:szCs w:val="19"/>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88"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sz w:val="20"/>
          <w:szCs w:val="20"/>
          <w:color w:val="auto"/>
        </w:rPr>
      </w:pPr>
    </w:p>
    <w:p>
      <w:pPr>
        <w:ind w:firstLine="656"/>
        <w:spacing w:after="0" w:line="250"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The Company or Cowen may, upon notice to the other party in writing (including by email correspondence to each of the individuals of the other party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1" w:name="page172"/>
    <w:bookmarkEnd w:id="171"/>
    <w:p>
      <w:pPr>
        <w:jc w:val="both"/>
        <w:spacing w:after="0" w:line="234" w:lineRule="auto"/>
        <w:rPr>
          <w:sz w:val="20"/>
          <w:szCs w:val="20"/>
          <w:color w:val="auto"/>
        </w:rPr>
      </w:pPr>
      <w:r>
        <w:rPr>
          <w:rFonts w:ascii="Arial" w:cs="Arial" w:eastAsia="Arial" w:hAnsi="Arial"/>
          <w:sz w:val="22"/>
          <w:szCs w:val="22"/>
          <w:color w:val="auto"/>
        </w:rPr>
        <w:t xml:space="preserve">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suspend any sale of Shares;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suspension shall not affect or impair either party’s obligations with respect to any Shares sold hereunder prior to the receipt of such notice. Each of the parties agrees that no such notice under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shall be effective against the other unless it is made to one of the individuals named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as such schedule may be amended from time to time.</w:t>
      </w:r>
    </w:p>
    <w:p>
      <w:pPr>
        <w:spacing w:after="0" w:line="191" w:lineRule="exact"/>
        <w:rPr>
          <w:sz w:val="20"/>
          <w:szCs w:val="20"/>
          <w:color w:val="auto"/>
        </w:rPr>
      </w:pPr>
    </w:p>
    <w:p>
      <w:pPr>
        <w:jc w:val="both"/>
        <w:ind w:firstLine="656"/>
        <w:spacing w:after="0" w:line="238"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Shares under this Agreement.</w:t>
      </w:r>
    </w:p>
    <w:p>
      <w:pPr>
        <w:spacing w:after="0" w:line="211"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Registration Statement became effective upon filing on February 13, 2020. Notwithstanding any other provision of this Agreement, during any period in which the Registration Statement is no longer effective under the Securities Act, the Company shall promptly notify Cowen, the Company shall not request the sale of any Shares, and Cowen shall not be obligated to sell or offer to sell any Shares.</w:t>
      </w:r>
    </w:p>
    <w:p>
      <w:pPr>
        <w:spacing w:after="0" w:line="170"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06" w:lineRule="exact"/>
        <w:rPr>
          <w:sz w:val="20"/>
          <w:szCs w:val="20"/>
          <w:color w:val="auto"/>
        </w:rPr>
      </w:pPr>
    </w:p>
    <w:p>
      <w:pPr>
        <w:jc w:val="both"/>
        <w:ind w:firstLine="656"/>
        <w:spacing w:after="0" w:line="273"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Settlement of Shares</w:t>
      </w:r>
      <w:r>
        <w:rPr>
          <w:rFonts w:ascii="Arial" w:cs="Arial" w:eastAsia="Arial" w:hAnsi="Arial"/>
          <w:sz w:val="19"/>
          <w:szCs w:val="19"/>
          <w:color w:val="auto"/>
        </w:rPr>
        <w:t>. Unless otherwise specified in the applicable Placement Notice, settlement for sales of Shares in an Agency Transaction will occur on the second (2</w:t>
      </w:r>
      <w:r>
        <w:rPr>
          <w:rFonts w:ascii="Arial" w:cs="Arial" w:eastAsia="Arial" w:hAnsi="Arial"/>
          <w:sz w:val="14"/>
          <w:szCs w:val="14"/>
          <w:color w:val="auto"/>
        </w:rPr>
        <w:t>nd</w:t>
      </w:r>
      <w:r>
        <w:rPr>
          <w:rFonts w:ascii="Arial" w:cs="Arial" w:eastAsia="Arial" w:hAnsi="Arial"/>
          <w:sz w:val="19"/>
          <w:szCs w:val="19"/>
          <w:color w:val="auto"/>
        </w:rPr>
        <w:t>) Trading Day (or such earlier day as is industry practice for regular-way trading) following the date on which such sales are made (each, an “</w:t>
      </w:r>
      <w:r>
        <w:rPr>
          <w:rFonts w:ascii="Arial" w:cs="Arial" w:eastAsia="Arial" w:hAnsi="Arial"/>
          <w:sz w:val="19"/>
          <w:szCs w:val="19"/>
          <w:b w:val="1"/>
          <w:bCs w:val="1"/>
          <w:u w:val="single" w:color="auto"/>
          <w:color w:val="auto"/>
        </w:rPr>
        <w:t>Agency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Settlement Date</w:t>
      </w:r>
      <w:r>
        <w:rPr>
          <w:rFonts w:ascii="Arial" w:cs="Arial" w:eastAsia="Arial" w:hAnsi="Arial"/>
          <w:sz w:val="19"/>
          <w:szCs w:val="19"/>
          <w:color w:val="auto"/>
        </w:rPr>
        <w:t>” and the first such Agency Settlement Date, the “</w:t>
      </w:r>
      <w:r>
        <w:rPr>
          <w:rFonts w:ascii="Arial" w:cs="Arial" w:eastAsia="Arial" w:hAnsi="Arial"/>
          <w:sz w:val="19"/>
          <w:szCs w:val="19"/>
          <w:b w:val="1"/>
          <w:bCs w:val="1"/>
          <w:u w:val="single" w:color="auto"/>
          <w:color w:val="auto"/>
        </w:rPr>
        <w:t>First Delivery Date</w:t>
      </w:r>
      <w:r>
        <w:rPr>
          <w:rFonts w:ascii="Arial" w:cs="Arial" w:eastAsia="Arial" w:hAnsi="Arial"/>
          <w:sz w:val="19"/>
          <w:szCs w:val="19"/>
          <w:color w:val="auto"/>
        </w:rPr>
        <w:t>”; and any Agency</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Date and Principal Settlement Date shall be referred to as a “</w:t>
      </w:r>
      <w:r>
        <w:rPr>
          <w:rFonts w:ascii="Arial" w:cs="Arial" w:eastAsia="Arial" w:hAnsi="Arial"/>
          <w:sz w:val="19"/>
          <w:szCs w:val="19"/>
          <w:b w:val="1"/>
          <w:bCs w:val="1"/>
          <w:u w:val="single" w:color="auto"/>
          <w:color w:val="auto"/>
        </w:rPr>
        <w:t>Settlement Date</w:t>
      </w:r>
      <w:r>
        <w:rPr>
          <w:rFonts w:ascii="Arial" w:cs="Arial" w:eastAsia="Arial" w:hAnsi="Arial"/>
          <w:sz w:val="19"/>
          <w:szCs w:val="19"/>
          <w:color w:val="auto"/>
        </w:rPr>
        <w:t>”). The amount of proceeds to be delivered to the Company on a Settlement Date against receipt of the Shares sold (the “</w:t>
      </w:r>
      <w:r>
        <w:rPr>
          <w:rFonts w:ascii="Arial" w:cs="Arial" w:eastAsia="Arial" w:hAnsi="Arial"/>
          <w:sz w:val="19"/>
          <w:szCs w:val="19"/>
          <w:b w:val="1"/>
          <w:bCs w:val="1"/>
          <w:u w:val="single" w:color="auto"/>
          <w:color w:val="auto"/>
        </w:rPr>
        <w:t>Net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Proceeds</w:t>
      </w:r>
      <w:r>
        <w:rPr>
          <w:rFonts w:ascii="Arial" w:cs="Arial" w:eastAsia="Arial" w:hAnsi="Arial"/>
          <w:sz w:val="19"/>
          <w:szCs w:val="19"/>
          <w:color w:val="auto"/>
        </w:rPr>
        <w:t>”) will be equal to the aggregate sales price received by Cowen at which such Shares were sold, after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deduction for (i) Cowen’s commission, discount or other compensation for such sales payable by the Company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or pursuant to any applicable Terms Agreement, (ii) any other amounts due and payable by the Company to Cowen hereunder pursuant to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(Expenses) hereof, and (iii) any transaction fees imposed by any governmental or self-regulatory organization in respect of such sales.</w:t>
      </w:r>
    </w:p>
    <w:p>
      <w:pPr>
        <w:spacing w:after="0" w:line="155"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On or before each Settlement Date, the Company will, or will cause its transfer agent to, electronically transfer the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Shares on a Settlement Date through no fault of Cowen, the Company agrees that in addition to and in no way limiting the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2" w:name="page173"/>
    <w:bookmarkEnd w:id="172"/>
    <w:p>
      <w:pPr>
        <w:jc w:val="both"/>
        <w:spacing w:after="0" w:line="236" w:lineRule="auto"/>
        <w:rPr>
          <w:sz w:val="20"/>
          <w:szCs w:val="20"/>
          <w:color w:val="auto"/>
        </w:rPr>
      </w:pP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(Indemnification and Contribution) hereto, it will (i) hold Cowen harmless against any loss, claim, damage, or reasonable and documented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87" w:lineRule="exact"/>
        <w:rPr>
          <w:sz w:val="20"/>
          <w:szCs w:val="20"/>
          <w:color w:val="auto"/>
        </w:rPr>
      </w:pPr>
    </w:p>
    <w:p>
      <w:pPr>
        <w:jc w:val="both"/>
        <w:ind w:firstLine="656"/>
        <w:spacing w:after="0" w:line="287"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The Company represents and warrants to, and agrees with, Cowen that as of (i) the date of this Agreement, (ii) each date on which the Company executes and delivers a Terms Agreement, (iii) each Time of Sale (defined below), (iv) each Settlement Date, and (v) each Bring-Down Date (as defined below)(each such date included in (i) through (v) above, a “</w:t>
      </w:r>
      <w:r>
        <w:rPr>
          <w:rFonts w:ascii="Arial" w:cs="Arial" w:eastAsia="Arial" w:hAnsi="Arial"/>
          <w:sz w:val="19"/>
          <w:szCs w:val="19"/>
          <w:b w:val="1"/>
          <w:bCs w:val="1"/>
          <w:u w:val="single" w:color="auto"/>
          <w:color w:val="auto"/>
        </w:rPr>
        <w:t>Representation Date</w:t>
      </w:r>
      <w:r>
        <w:rPr>
          <w:rFonts w:ascii="Arial" w:cs="Arial" w:eastAsia="Arial" w:hAnsi="Arial"/>
          <w:sz w:val="19"/>
          <w:szCs w:val="19"/>
          <w:color w:val="auto"/>
        </w:rPr>
        <w:t>”):</w:t>
      </w:r>
    </w:p>
    <w:p>
      <w:pPr>
        <w:spacing w:after="0" w:line="143" w:lineRule="exact"/>
        <w:rPr>
          <w:sz w:val="20"/>
          <w:szCs w:val="20"/>
          <w:color w:val="auto"/>
        </w:rPr>
      </w:pPr>
    </w:p>
    <w:p>
      <w:pPr>
        <w:jc w:val="both"/>
        <w:ind w:firstLine="656"/>
        <w:spacing w:after="0" w:line="277"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Compliance with Registration Requirements</w:t>
      </w:r>
      <w:r>
        <w:rPr>
          <w:rFonts w:ascii="Arial" w:cs="Arial" w:eastAsia="Arial" w:hAnsi="Arial"/>
          <w:sz w:val="19"/>
          <w:szCs w:val="19"/>
          <w:color w:val="auto"/>
        </w:rPr>
        <w:t>. The Registration Statement became effective automatically upon filing with the Commission under the Securities Act. The Company has complied to the Commission’s satisfaction with all requests of the Commission for additional or supplemental information. No stop order suspending the effectiveness of the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Shares hereunder meets the requirements of General Instruction I.B.1 of Form S-3ASR.</w:t>
      </w:r>
    </w:p>
    <w:p>
      <w:pPr>
        <w:spacing w:after="0" w:line="151"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 Misstatement or Omission</w:t>
      </w:r>
      <w:r>
        <w:rPr>
          <w:rFonts w:ascii="Arial" w:cs="Arial" w:eastAsia="Arial" w:hAnsi="Arial"/>
          <w:sz w:val="19"/>
          <w:szCs w:val="19"/>
          <w:color w:val="auto"/>
        </w:rPr>
        <w:t>. The Prospectus when filed complied and, as amended or supplemented, if applicable, will comply in all material respects with the Securities Act. Each of the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Agent’s Information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19"/>
          <w:szCs w:val="19"/>
          <w:b w:val="1"/>
          <w:bCs w:val="1"/>
          <w:u w:val="single" w:color="auto"/>
          <w:color w:val="auto"/>
        </w:rPr>
        <w:t>Time of Sale</w:t>
      </w:r>
      <w:r>
        <w:rPr>
          <w:rFonts w:ascii="Arial" w:cs="Arial" w:eastAsia="Arial" w:hAnsi="Arial"/>
          <w:sz w:val="19"/>
          <w:szCs w:val="19"/>
          <w:color w:val="auto"/>
        </w:rPr>
        <w:t>” means (i) with respect to each offering of Shares pursuant to this Agreement, the time of Cowen’s initial entry into contracts with purchasers for the sale of such Shares and (ii) with respect to each offering of Shares pursuant to any relevant Terms Agreement, the time of sale of such Shares to Cowen.</w:t>
      </w:r>
    </w:p>
    <w:p>
      <w:pPr>
        <w:spacing w:after="0" w:line="165"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Offering Materials Furnished to Cowen</w:t>
      </w:r>
      <w:r>
        <w:rPr>
          <w:rFonts w:ascii="Arial" w:cs="Arial" w:eastAsia="Arial" w:hAnsi="Arial"/>
          <w:sz w:val="22"/>
          <w:szCs w:val="22"/>
          <w:color w:val="auto"/>
        </w:rPr>
        <w:t>. 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3" w:name="page174"/>
    <w:bookmarkEnd w:id="173"/>
    <w:p>
      <w:pPr>
        <w:jc w:val="both"/>
        <w:spacing w:after="0" w:line="252" w:lineRule="auto"/>
        <w:rPr>
          <w:sz w:val="20"/>
          <w:szCs w:val="20"/>
          <w:color w:val="auto"/>
        </w:rPr>
      </w:pPr>
      <w:r>
        <w:rPr>
          <w:rFonts w:ascii="Arial" w:cs="Arial" w:eastAsia="Arial" w:hAnsi="Arial"/>
          <w:sz w:val="21"/>
          <w:szCs w:val="21"/>
          <w:color w:val="auto"/>
        </w:rPr>
        <w:t>Prospectus (to the extent any such Permitted Free Writing Prospectus was required to be filed with the Commission) delivered to Cowen for use in connection with the public offering of the Shares contemplated herein or by any Terms Agreement have been and will be identical to the versions of such documents transmitted to the Commission for filing via EDGAR, except to the extent permitted by Regulation S-T.</w:t>
      </w:r>
    </w:p>
    <w:p>
      <w:pPr>
        <w:spacing w:after="0" w:line="174" w:lineRule="exact"/>
        <w:rPr>
          <w:sz w:val="20"/>
          <w:szCs w:val="20"/>
          <w:color w:val="auto"/>
        </w:rPr>
      </w:pPr>
    </w:p>
    <w:p>
      <w:pPr>
        <w:jc w:val="both"/>
        <w:ind w:firstLine="656"/>
        <w:spacing w:after="0"/>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Not an Ineligible Issuer</w:t>
      </w:r>
      <w:r>
        <w:rPr>
          <w:rFonts w:ascii="Arial" w:cs="Arial" w:eastAsia="Arial" w:hAnsi="Arial"/>
          <w:sz w:val="22"/>
          <w:szCs w:val="22"/>
          <w:color w:val="auto"/>
        </w:rPr>
        <w:t>. The Company currently is not an “ineligible issuer,” as defined in Rule 405 under the Securities Act. The Company agrees to notify Cowen promptly upon the Company becoming an “ineligible issuer.”</w:t>
      </w:r>
    </w:p>
    <w:p>
      <w:pPr>
        <w:spacing w:after="0" w:line="186"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Distribution of Offering Material By the Company</w:t>
      </w:r>
      <w:r>
        <w:rPr>
          <w:rFonts w:ascii="Arial" w:cs="Arial" w:eastAsia="Arial" w:hAnsi="Arial"/>
          <w:sz w:val="19"/>
          <w:szCs w:val="19"/>
          <w:color w:val="auto"/>
        </w:rPr>
        <w:t>. The Company has not distributed and will not distribute, prior to the completion of Cowen’s distribution of the Shares, any offering material in connection with the offering and sale of the Shares other than the Prospectus or the Registration Statement.</w:t>
      </w:r>
    </w:p>
    <w:p>
      <w:pPr>
        <w:spacing w:after="0" w:line="133"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The Sales Agreement; Terms Agreement</w:t>
      </w:r>
      <w:r>
        <w:rPr>
          <w:rFonts w:ascii="Arial" w:cs="Arial" w:eastAsia="Arial" w:hAnsi="Arial"/>
          <w:sz w:val="19"/>
          <w:szCs w:val="19"/>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Any Terms Agreement will have been duly authorized, executed and delivered by the Company and, assuming due authorization, execution and delivery by the other parties thereto, will be a legal, valid and binding agreement of the Company enforceable in accordance with its terms, except as may be limited by bankruptcy, insolvency, reorganization, moratorium or similar laws affecting creditors’ rights generally, and by general equitable principles.</w:t>
      </w:r>
    </w:p>
    <w:p>
      <w:pPr>
        <w:spacing w:after="0" w:line="158" w:lineRule="exact"/>
        <w:rPr>
          <w:rFonts w:ascii="Arial" w:cs="Arial" w:eastAsia="Arial" w:hAnsi="Arial"/>
          <w:sz w:val="19"/>
          <w:szCs w:val="19"/>
          <w:color w:val="auto"/>
        </w:rPr>
      </w:pPr>
    </w:p>
    <w:p>
      <w:pPr>
        <w:jc w:val="both"/>
        <w:ind w:firstLine="656"/>
        <w:spacing w:after="0" w:line="277"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Authorization of the Common Stock</w:t>
      </w:r>
      <w:r>
        <w:rPr>
          <w:rFonts w:ascii="Arial" w:cs="Arial" w:eastAsia="Arial" w:hAnsi="Arial"/>
          <w:sz w:val="19"/>
          <w:szCs w:val="19"/>
          <w:color w:val="auto"/>
        </w:rPr>
        <w:t>. The Shares, when issued and delivered, will be duly authorized for issuance and sale pursuant to this Agreement and any Terms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Shares by the Company is not subject to preemptive or other similar rights arising by operation of law, under the organizational documents of the Company or under any agreement to which the Company or any Subsidiary (as defined below) is a party or otherwise.</w:t>
      </w:r>
    </w:p>
    <w:p>
      <w:pPr>
        <w:spacing w:after="0" w:line="151" w:lineRule="exact"/>
        <w:rPr>
          <w:rFonts w:ascii="Arial" w:cs="Arial" w:eastAsia="Arial" w:hAnsi="Arial"/>
          <w:sz w:val="19"/>
          <w:szCs w:val="19"/>
          <w:color w:val="auto"/>
        </w:rPr>
      </w:pPr>
    </w:p>
    <w:p>
      <w:pPr>
        <w:jc w:val="both"/>
        <w:ind w:firstLine="656"/>
        <w:spacing w:after="0" w:line="277"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 Applicable Registration or Other Similar Rights</w:t>
      </w:r>
      <w:r>
        <w:rPr>
          <w:rFonts w:ascii="Arial" w:cs="Arial" w:eastAsia="Arial" w:hAnsi="Arial"/>
          <w:sz w:val="19"/>
          <w:szCs w:val="19"/>
          <w:color w:val="auto"/>
        </w:rPr>
        <w:t>. There are no persons with registration or other similar rights to have any equity or debt securities registered for sale under the Registration Statement or included in the offering contemplated by this Agreement or any Terms Agreement, except for such rights as have been duly waived, and the issuance of the Shares is not subject to any preemptive rights,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151" w:lineRule="exact"/>
        <w:rPr>
          <w:rFonts w:ascii="Arial" w:cs="Arial" w:eastAsia="Arial" w:hAnsi="Arial"/>
          <w:sz w:val="19"/>
          <w:szCs w:val="19"/>
          <w:color w:val="auto"/>
        </w:rPr>
      </w:pPr>
    </w:p>
    <w:p>
      <w:pPr>
        <w:jc w:val="both"/>
        <w:ind w:firstLine="656"/>
        <w:spacing w:after="0"/>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Except as otherwise disclosed in the Prospectus, subsequent to the respective dates as of which information is given in the Prospectus: (i) there has not been any material adverse change, or any development involving a prospective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4" w:name="page175"/>
    <w:bookmarkEnd w:id="174"/>
    <w:p>
      <w:pPr>
        <w:jc w:val="both"/>
        <w:spacing w:after="0" w:line="245" w:lineRule="auto"/>
        <w:rPr>
          <w:sz w:val="20"/>
          <w:szCs w:val="20"/>
          <w:color w:val="auto"/>
        </w:rPr>
      </w:pPr>
      <w:r>
        <w:rPr>
          <w:rFonts w:ascii="Arial" w:cs="Arial" w:eastAsia="Arial" w:hAnsi="Arial"/>
          <w:sz w:val="21"/>
          <w:szCs w:val="21"/>
          <w:color w:val="auto"/>
        </w:rPr>
        <w:t>adverse change, in or affecting the general affairs, management, financial position, stockholders’ equity, results of operations or prospects of the Company and its Subsidiaries (any such change is called a “</w:t>
      </w:r>
      <w:r>
        <w:rPr>
          <w:rFonts w:ascii="Arial" w:cs="Arial" w:eastAsia="Arial" w:hAnsi="Arial"/>
          <w:sz w:val="21"/>
          <w:szCs w:val="21"/>
          <w:b w:val="1"/>
          <w:bCs w:val="1"/>
          <w:u w:val="single" w:color="auto"/>
          <w:color w:val="auto"/>
        </w:rPr>
        <w:t>Material Adverse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Change</w:t>
      </w:r>
      <w:r>
        <w:rPr>
          <w:rFonts w:ascii="Arial" w:cs="Arial" w:eastAsia="Arial" w:hAnsi="Arial"/>
          <w:sz w:val="21"/>
          <w:szCs w:val="21"/>
          <w:color w:val="auto"/>
        </w:rPr>
        <w:t>”); (ii) neither the Company nor any of its Subsidiaries has incurred any liability or obligation, direct or</w:t>
      </w:r>
      <w:r>
        <w:rPr>
          <w:rFonts w:ascii="Arial" w:cs="Arial" w:eastAsia="Arial" w:hAnsi="Arial"/>
          <w:sz w:val="21"/>
          <w:szCs w:val="21"/>
          <w:b w:val="1"/>
          <w:bCs w:val="1"/>
          <w:color w:val="auto"/>
        </w:rPr>
        <w:t xml:space="preserve"> </w:t>
      </w:r>
      <w:r>
        <w:rPr>
          <w:rFonts w:ascii="Arial" w:cs="Arial" w:eastAsia="Arial" w:hAnsi="Arial"/>
          <w:sz w:val="21"/>
          <w:szCs w:val="21"/>
          <w:color w:val="auto"/>
        </w:rPr>
        <w:t>contingent, other than liabilities and obligations which were incurred in the ordinary course of business; (iii) neither the Company nor any of its Subsidiaries has declared or paid any dividends on its capital stock and there has not been any change in the capital stock (other than as a result of the exercise of stock options or the award of stock options, restricted stock units or other equity awards in the ordinary course of business pursuant to the Company’s equity plans that are described or incorporated by reference in the Prospectus) or long-term debt of the Company or any of its Subsidiaries.</w:t>
      </w:r>
    </w:p>
    <w:p>
      <w:pPr>
        <w:spacing w:after="0" w:line="184" w:lineRule="exact"/>
        <w:rPr>
          <w:sz w:val="20"/>
          <w:szCs w:val="20"/>
          <w:color w:val="auto"/>
        </w:rPr>
      </w:pPr>
    </w:p>
    <w:p>
      <w:pPr>
        <w:jc w:val="both"/>
        <w:ind w:firstLine="656"/>
        <w:spacing w:after="0" w:line="236"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Independent Accountants</w:t>
      </w:r>
      <w:r>
        <w:rPr>
          <w:rFonts w:ascii="Arial" w:cs="Arial" w:eastAsia="Arial" w:hAnsi="Arial"/>
          <w:sz w:val="22"/>
          <w:szCs w:val="22"/>
          <w:color w:val="auto"/>
        </w:rPr>
        <w:t>. Ernst &amp; Young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87"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Preparation of the Financial Statements</w:t>
      </w:r>
      <w:r>
        <w:rPr>
          <w:rFonts w:ascii="Arial" w:cs="Arial" w:eastAsia="Arial" w:hAnsi="Arial"/>
          <w:sz w:val="19"/>
          <w:szCs w:val="19"/>
          <w:color w:val="auto"/>
        </w:rPr>
        <w:t>. The financial statements filed with the Commission as a part of or incorporated by reference in the Registration Statement and included in the Prospectus present fairly the consolidated financial position of the Company and its Subsidiaries as of and at the dates indicated and the results of their operations and cash flows for the periods specified. The supporting schedules, if any, included in or incorporated in the Registration Statement present fairly the information required to be stated therein.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or incorporated in the Registration Statement. The financial data set forth or incorporated in the Prospectus under the caption “Selected Financial Data” fairly present the information set forth therein on a basis consistent with that of the audited financial statements contained, incorporated or deemed to be incorporated in the Registration Statement.</w:t>
      </w:r>
    </w:p>
    <w:p>
      <w:pPr>
        <w:spacing w:after="0" w:line="160"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XBRL</w:t>
      </w:r>
      <w:r>
        <w:rPr>
          <w:rFonts w:ascii="Arial" w:cs="Arial" w:eastAsia="Arial" w:hAnsi="Arial"/>
          <w:sz w:val="19"/>
          <w:szCs w:val="19"/>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33"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 of the Company and its Subsidiaries</w:t>
      </w:r>
      <w:r>
        <w:rPr>
          <w:rFonts w:ascii="Arial" w:cs="Arial" w:eastAsia="Arial" w:hAnsi="Arial"/>
          <w:sz w:val="19"/>
          <w:szCs w:val="19"/>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any Terms Agreement and to consummate the transactions contemplated herein and therein. Each subsidiary of the Company (each a “</w:t>
      </w:r>
      <w:r>
        <w:rPr>
          <w:rFonts w:ascii="Arial" w:cs="Arial" w:eastAsia="Arial" w:hAnsi="Arial"/>
          <w:sz w:val="19"/>
          <w:szCs w:val="19"/>
          <w:b w:val="1"/>
          <w:bCs w:val="1"/>
          <w:u w:val="single" w:color="auto"/>
          <w:color w:val="auto"/>
        </w:rPr>
        <w:t>Subsidiary</w:t>
      </w:r>
      <w:r>
        <w:rPr>
          <w:rFonts w:ascii="Arial" w:cs="Arial" w:eastAsia="Arial" w:hAnsi="Arial"/>
          <w:sz w:val="19"/>
          <w:szCs w:val="19"/>
          <w:color w:val="auto"/>
        </w:rPr>
        <w:t>”)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Each of the Company and its Subsidiaries is duly qualified as a foreign corporation or foreign partnership to transact business and is in good standing under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21"/>
          <w:szCs w:val="21"/>
          <w:color w:val="auto"/>
        </w:rPr>
        <w:t>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88" w:lineRule="exact"/>
        <w:rPr>
          <w:sz w:val="20"/>
          <w:szCs w:val="20"/>
          <w:color w:val="auto"/>
        </w:rPr>
      </w:pPr>
    </w:p>
    <w:p>
      <w:pPr>
        <w:jc w:val="both"/>
        <w:ind w:firstLine="656"/>
        <w:spacing w:after="0" w:line="272" w:lineRule="auto"/>
        <w:tabs>
          <w:tab w:leader="none" w:pos="12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Capital Stock Matters</w:t>
      </w:r>
      <w:r>
        <w:rPr>
          <w:rFonts w:ascii="Arial" w:cs="Arial" w:eastAsia="Arial" w:hAnsi="Arial"/>
          <w:sz w:val="19"/>
          <w:szCs w:val="19"/>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equity incentive plans and other equity plans or arrangements, and the equity awards or other rights granted thereunder, set forth in the Prospectus accurately and fairly presents in all material respects the information required to be shown with respect to such plans, arrangements, equity awards and rights.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656"/>
        <w:spacing w:after="0" w:line="270" w:lineRule="auto"/>
        <w:tabs>
          <w:tab w:leader="none" w:pos="12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Non-Contravention of Existing Instruments; No Further Authorizations or Approvals Required</w:t>
      </w:r>
      <w:r>
        <w:rPr>
          <w:rFonts w:ascii="Arial" w:cs="Arial" w:eastAsia="Arial" w:hAnsi="Arial"/>
          <w:sz w:val="19"/>
          <w:szCs w:val="19"/>
          <w:color w:val="auto"/>
        </w:rPr>
        <w:t>. Neither the Company nor any of its Subsidiaries is in violation of its charter or by-laws or is in default (or, with the giving of notice or lapse of time, would be in default) (“</w:t>
      </w:r>
      <w:r>
        <w:rPr>
          <w:rFonts w:ascii="Arial" w:cs="Arial" w:eastAsia="Arial" w:hAnsi="Arial"/>
          <w:sz w:val="19"/>
          <w:szCs w:val="19"/>
          <w:b w:val="1"/>
          <w:bCs w:val="1"/>
          <w:u w:val="single" w:color="auto"/>
          <w:color w:val="auto"/>
        </w:rPr>
        <w:t>Default</w:t>
      </w:r>
      <w:r>
        <w:rPr>
          <w:rFonts w:ascii="Arial" w:cs="Arial" w:eastAsia="Arial" w:hAnsi="Arial"/>
          <w:sz w:val="19"/>
          <w:szCs w:val="19"/>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Arial" w:cs="Arial" w:eastAsia="Arial" w:hAnsi="Arial"/>
          <w:sz w:val="19"/>
          <w:szCs w:val="19"/>
          <w:b w:val="1"/>
          <w:bCs w:val="1"/>
          <w:u w:val="single" w:color="auto"/>
          <w:color w:val="auto"/>
        </w:rPr>
        <w:t>Existing Instrument</w:t>
      </w:r>
      <w:r>
        <w:rPr>
          <w:rFonts w:ascii="Arial" w:cs="Arial" w:eastAsia="Arial" w:hAnsi="Arial"/>
          <w:sz w:val="19"/>
          <w:szCs w:val="19"/>
          <w:color w:val="auto"/>
        </w:rPr>
        <w:t>”), except for such Defaults as would not, individually or in the aggregate, result in a Material Adverse Change. The Company’s execution, delivery and performance of this Agreement and any Terms Agreement and consummation of the transactions contemplated hereby and thereby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No consent, approval, authorization or other order of, or registration or filing with, any court or other governmental or regulatory authority or agency, is required for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772160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6" w:name="page177"/>
    <w:bookmarkEnd w:id="176"/>
    <w:p>
      <w:pPr>
        <w:jc w:val="both"/>
        <w:spacing w:after="0" w:line="238" w:lineRule="auto"/>
        <w:rPr>
          <w:sz w:val="20"/>
          <w:szCs w:val="20"/>
          <w:color w:val="auto"/>
        </w:rPr>
      </w:pPr>
      <w:r>
        <w:rPr>
          <w:rFonts w:ascii="Arial" w:cs="Arial" w:eastAsia="Arial" w:hAnsi="Arial"/>
          <w:sz w:val="22"/>
          <w:szCs w:val="22"/>
          <w:color w:val="auto"/>
        </w:rPr>
        <w:t>execution, delivery and performance of this Agreement and consummation of the transactions contemplated hereby or by any Terms Agreement and by the Prospectus, except such as have been obtained or made by the Company and are in full force and effect under the Securities Act, applicable state securities or blue sky laws and from the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w:t>
      </w:r>
    </w:p>
    <w:p>
      <w:pPr>
        <w:spacing w:after="0" w:line="185" w:lineRule="exact"/>
        <w:rPr>
          <w:sz w:val="20"/>
          <w:szCs w:val="20"/>
          <w:color w:val="auto"/>
        </w:rPr>
      </w:pPr>
    </w:p>
    <w:p>
      <w:pPr>
        <w:jc w:val="both"/>
        <w:ind w:firstLine="656"/>
        <w:spacing w:after="0" w:line="276" w:lineRule="auto"/>
        <w:tabs>
          <w:tab w:leader="none" w:pos="1296"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No Material Actions or Proceedings</w:t>
      </w:r>
      <w:r>
        <w:rPr>
          <w:rFonts w:ascii="Arial" w:cs="Arial" w:eastAsia="Arial" w:hAnsi="Arial"/>
          <w:sz w:val="19"/>
          <w:szCs w:val="19"/>
          <w:color w:val="auto"/>
        </w:rPr>
        <w:t>. Except as disclosed in the Prospectus, there are no legal or governmental actions, suits or proceedings pending or, to the best of the Company’s knowledge, threatened</w:t>
      </w:r>
    </w:p>
    <w:p>
      <w:pPr>
        <w:spacing w:after="0" w:line="1" w:lineRule="exact"/>
        <w:rPr>
          <w:rFonts w:ascii="Arial" w:cs="Arial" w:eastAsia="Arial" w:hAnsi="Arial"/>
          <w:sz w:val="19"/>
          <w:szCs w:val="19"/>
          <w:color w:val="auto"/>
        </w:rPr>
      </w:pPr>
    </w:p>
    <w:p>
      <w:pPr>
        <w:jc w:val="both"/>
        <w:ind w:firstLine="8"/>
        <w:spacing w:after="0" w:line="272" w:lineRule="auto"/>
        <w:tabs>
          <w:tab w:leader="none" w:pos="266" w:val="left"/>
        </w:tabs>
        <w:numPr>
          <w:ilvl w:val="0"/>
          <w:numId w:val="84"/>
        </w:numPr>
        <w:rPr>
          <w:rFonts w:ascii="Arial" w:cs="Arial" w:eastAsia="Arial" w:hAnsi="Arial"/>
          <w:sz w:val="19"/>
          <w:szCs w:val="19"/>
          <w:color w:val="auto"/>
        </w:rPr>
      </w:pPr>
      <w:r>
        <w:rPr>
          <w:rFonts w:ascii="Arial" w:cs="Arial" w:eastAsia="Arial" w:hAnsi="Arial"/>
          <w:sz w:val="19"/>
          <w:szCs w:val="19"/>
          <w:color w:val="auto"/>
        </w:rPr>
        <w:t>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or any Terms Agreement. No material labor dispute with the employees of the Company or any of its Subsidiaries exists or, to the Company’s knowledge, is threatened or imminent.</w:t>
      </w:r>
    </w:p>
    <w:p>
      <w:pPr>
        <w:spacing w:after="0" w:line="161" w:lineRule="exact"/>
        <w:rPr>
          <w:rFonts w:ascii="Arial" w:cs="Arial" w:eastAsia="Arial" w:hAnsi="Arial"/>
          <w:sz w:val="19"/>
          <w:szCs w:val="19"/>
          <w:color w:val="auto"/>
        </w:rPr>
      </w:pPr>
    </w:p>
    <w:p>
      <w:pPr>
        <w:jc w:val="both"/>
        <w:ind w:firstLine="656"/>
        <w:spacing w:after="0" w:line="271" w:lineRule="auto"/>
        <w:tabs>
          <w:tab w:leader="none" w:pos="1296"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All Necessary Permits, etc</w:t>
      </w:r>
      <w:r>
        <w:rPr>
          <w:rFonts w:ascii="Arial" w:cs="Arial" w:eastAsia="Arial" w:hAnsi="Arial"/>
          <w:sz w:val="19"/>
          <w:szCs w:val="19"/>
          <w:color w:val="auto"/>
        </w:rPr>
        <w:t>. The Company and each Subsidiary possess all material permits, licenses, approvals, clearances, exemptions, registrations, consents and other authorizations (collectively, “</w:t>
      </w:r>
      <w:r>
        <w:rPr>
          <w:rFonts w:ascii="Arial" w:cs="Arial" w:eastAsia="Arial" w:hAnsi="Arial"/>
          <w:sz w:val="19"/>
          <w:szCs w:val="19"/>
          <w:b w:val="1"/>
          <w:bCs w:val="1"/>
          <w:u w:val="single" w:color="auto"/>
          <w:color w:val="auto"/>
        </w:rPr>
        <w:t>Permits</w:t>
      </w:r>
      <w:r>
        <w:rPr>
          <w:rFonts w:ascii="Arial" w:cs="Arial" w:eastAsia="Arial" w:hAnsi="Arial"/>
          <w:sz w:val="19"/>
          <w:szCs w:val="19"/>
          <w:color w:val="auto"/>
        </w:rPr>
        <w:t>”)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result in a Material Adverse Change; the Company is in compliance with the terms and conditions of all such Permits, except where the failure to comply would not, individually or in the aggregate, reasonably be expected to have a Material Adverse Change; no event has occurred which allows, or after notice or lapse of time would allow, revocation or termination thereof, or results in any other impairment of the rights of the holder of any Permit, except where such event would not, individually or in the aggregate, reasonably be expected to have a Material Adverse Change;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656"/>
        <w:spacing w:after="0" w:line="277" w:lineRule="auto"/>
        <w:tabs>
          <w:tab w:leader="none" w:pos="1296"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Tax Law Compliance</w:t>
      </w:r>
      <w:r>
        <w:rPr>
          <w:rFonts w:ascii="Arial" w:cs="Arial" w:eastAsia="Arial" w:hAnsi="Arial"/>
          <w:sz w:val="19"/>
          <w:szCs w:val="19"/>
          <w:color w:val="auto"/>
        </w:rPr>
        <w:t xml:space="preserve">. The Company and its consolidated Subsidiaries have filed all necessary federal, state and foreign income, property and franchise tax returns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Arial" w:cs="Arial" w:eastAsia="Arial" w:hAnsi="Arial"/>
          <w:sz w:val="19"/>
          <w:szCs w:val="19"/>
          <w:u w:val="single" w:color="auto"/>
          <w:color w:val="auto"/>
        </w:rPr>
        <w:t>Section 6(k)</w:t>
      </w:r>
      <w:r>
        <w:rPr>
          <w:rFonts w:ascii="Arial" w:cs="Arial" w:eastAsia="Arial" w:hAnsi="Arial"/>
          <w:sz w:val="19"/>
          <w:szCs w:val="19"/>
          <w:color w:val="auto"/>
        </w:rPr>
        <w:t xml:space="preserve"> above in respect of all federal, state and foreign income, property and franchise taxes for all periods as to which the tax liability of the Company or any of its consolidated Subsidiaries has not been finally determined.</w:t>
      </w:r>
    </w:p>
    <w:p>
      <w:pPr>
        <w:spacing w:after="0" w:line="151" w:lineRule="exact"/>
        <w:rPr>
          <w:rFonts w:ascii="Arial" w:cs="Arial" w:eastAsia="Arial" w:hAnsi="Arial"/>
          <w:sz w:val="19"/>
          <w:szCs w:val="19"/>
          <w:color w:val="auto"/>
        </w:rPr>
      </w:pPr>
    </w:p>
    <w:p>
      <w:pPr>
        <w:ind w:right="20" w:firstLine="656"/>
        <w:spacing w:after="0" w:line="250" w:lineRule="auto"/>
        <w:tabs>
          <w:tab w:leader="none" w:pos="1296"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Company Not an “Investment Company</w:t>
      </w:r>
      <w:r>
        <w:rPr>
          <w:rFonts w:ascii="Arial" w:cs="Arial" w:eastAsia="Arial" w:hAnsi="Arial"/>
          <w:sz w:val="22"/>
          <w:szCs w:val="22"/>
          <w:color w:val="auto"/>
        </w:rPr>
        <w:t>”. The Company has been advised of the rules and requirements under the Investment Company Act of 1940, as amended (the “</w:t>
      </w:r>
      <w:r>
        <w:rPr>
          <w:rFonts w:ascii="Arial" w:cs="Arial" w:eastAsia="Arial" w:hAnsi="Arial"/>
          <w:sz w:val="22"/>
          <w:szCs w:val="22"/>
          <w:b w:val="1"/>
          <w:bCs w:val="1"/>
          <w:u w:val="single" w:color="auto"/>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7" w:name="page178"/>
    <w:bookmarkEnd w:id="177"/>
    <w:p>
      <w:pPr>
        <w:spacing w:after="0" w:line="256" w:lineRule="auto"/>
        <w:rPr>
          <w:sz w:val="20"/>
          <w:szCs w:val="20"/>
          <w:color w:val="auto"/>
        </w:rPr>
      </w:pPr>
      <w:r>
        <w:rPr>
          <w:rFonts w:ascii="Arial" w:cs="Arial" w:eastAsia="Arial" w:hAnsi="Arial"/>
          <w:sz w:val="22"/>
          <w:szCs w:val="22"/>
          <w:b w:val="1"/>
          <w:bCs w:val="1"/>
          <w:u w:val="single" w:color="auto"/>
          <w:color w:val="auto"/>
        </w:rPr>
        <w:t>Company Act</w:t>
      </w:r>
      <w:r>
        <w:rPr>
          <w:rFonts w:ascii="Arial" w:cs="Arial" w:eastAsia="Arial" w:hAnsi="Arial"/>
          <w:sz w:val="22"/>
          <w:szCs w:val="22"/>
          <w:color w:val="auto"/>
        </w:rPr>
        <w:t>”). The Company is not, and after receipt of payment for the Common Stock will not be, an</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company” within the meaning of the Investment Company Act.</w:t>
      </w:r>
    </w:p>
    <w:p>
      <w:pPr>
        <w:spacing w:after="0" w:line="168" w:lineRule="exact"/>
        <w:rPr>
          <w:sz w:val="20"/>
          <w:szCs w:val="20"/>
          <w:color w:val="auto"/>
        </w:rPr>
      </w:pPr>
    </w:p>
    <w:p>
      <w:pPr>
        <w:jc w:val="both"/>
        <w:ind w:firstLine="656"/>
        <w:spacing w:after="0" w:line="275" w:lineRule="auto"/>
        <w:tabs>
          <w:tab w:leader="none" w:pos="129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neither the Company nor any of its Subsidiaries has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from similar insurers as may be necessary to continue its business.</w:t>
      </w:r>
    </w:p>
    <w:p>
      <w:pPr>
        <w:spacing w:after="0" w:line="157"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No Price Stabilization or Manipulation</w:t>
      </w:r>
      <w:r>
        <w:rPr>
          <w:rFonts w:ascii="Arial" w:cs="Arial" w:eastAsia="Arial" w:hAnsi="Arial"/>
          <w:sz w:val="21"/>
          <w:szCs w:val="21"/>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spacing w:after="0" w:line="169" w:lineRule="exact"/>
        <w:rPr>
          <w:rFonts w:ascii="Arial" w:cs="Arial" w:eastAsia="Arial" w:hAnsi="Arial"/>
          <w:sz w:val="21"/>
          <w:szCs w:val="21"/>
          <w:color w:val="auto"/>
        </w:rPr>
      </w:pPr>
    </w:p>
    <w:p>
      <w:pPr>
        <w:jc w:val="both"/>
        <w:ind w:firstLine="656"/>
        <w:spacing w:after="0"/>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relationships, direct or indirect, or related-party transactions involving the Company or any other person required to be described in the Prospectus which have not been described as required.</w:t>
      </w:r>
    </w:p>
    <w:p>
      <w:pPr>
        <w:spacing w:after="0" w:line="186"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Exchange Act Compliance</w:t>
      </w:r>
      <w:r>
        <w:rPr>
          <w:rFonts w:ascii="Arial" w:cs="Arial" w:eastAsia="Arial" w:hAnsi="Arial"/>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0"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No Unlawful Contributions or Other Payments</w:t>
      </w:r>
      <w:r>
        <w:rPr>
          <w:rFonts w:ascii="Arial" w:cs="Arial" w:eastAsia="Arial" w:hAnsi="Arial"/>
          <w:sz w:val="21"/>
          <w:szCs w:val="21"/>
          <w:color w:val="auto"/>
        </w:rPr>
        <w:t>. 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79" w:lineRule="exact"/>
        <w:rPr>
          <w:rFonts w:ascii="Arial" w:cs="Arial" w:eastAsia="Arial" w:hAnsi="Arial"/>
          <w:sz w:val="21"/>
          <w:szCs w:val="21"/>
          <w:color w:val="auto"/>
        </w:rPr>
      </w:pPr>
    </w:p>
    <w:p>
      <w:pPr>
        <w:jc w:val="both"/>
        <w:ind w:firstLine="656"/>
        <w:spacing w:after="0" w:line="234"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Compliance with Money Laundering Laws</w:t>
      </w:r>
      <w:r>
        <w:rPr>
          <w:rFonts w:ascii="Arial" w:cs="Arial" w:eastAsia="Arial" w:hAnsi="Arial"/>
          <w:sz w:val="22"/>
          <w:szCs w:val="22"/>
          <w:color w:val="auto"/>
        </w:rPr>
        <w:t>. 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w:t>
      </w:r>
      <w:r>
        <w:rPr>
          <w:rFonts w:ascii="Arial" w:cs="Arial" w:eastAsia="Arial" w:hAnsi="Arial"/>
          <w:sz w:val="22"/>
          <w:szCs w:val="22"/>
          <w:b w:val="1"/>
          <w:bCs w:val="1"/>
          <w:u w:val="single" w:color="auto"/>
          <w:color w:val="auto"/>
        </w:rPr>
        <w:t>Money Laundering Laws</w:t>
      </w:r>
      <w:r>
        <w:rPr>
          <w:rFonts w:ascii="Arial" w:cs="Arial" w:eastAsia="Arial" w:hAnsi="Arial"/>
          <w:sz w:val="22"/>
          <w:szCs w:val="22"/>
          <w:color w:val="auto"/>
        </w:rPr>
        <w:t>”) and no action, suit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8" w:name="page179"/>
    <w:bookmarkEnd w:id="178"/>
    <w:p>
      <w:pPr>
        <w:jc w:val="both"/>
        <w:ind w:right="20"/>
        <w:spacing w:after="0"/>
        <w:rPr>
          <w:sz w:val="20"/>
          <w:szCs w:val="20"/>
          <w:color w:val="auto"/>
        </w:rPr>
      </w:pPr>
      <w:r>
        <w:rPr>
          <w:rFonts w:ascii="Arial" w:cs="Arial" w:eastAsia="Arial" w:hAnsi="Arial"/>
          <w:sz w:val="22"/>
          <w:szCs w:val="22"/>
          <w:color w:val="auto"/>
        </w:rPr>
        <w:t>by or before any court or governmental agency, authority or body or any arbitrator involving the Company or any of its Subsidiaries with respect to the Money Laundering Laws is pending or, to the knowledge of the Company, threatened.</w:t>
      </w:r>
    </w:p>
    <w:p>
      <w:pPr>
        <w:spacing w:after="0" w:line="186"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Compliance with OFAC</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20" w:hanging="324"/>
        <w:spacing w:after="0" w:line="282" w:lineRule="auto"/>
        <w:rPr>
          <w:rFonts w:ascii="Arial" w:cs="Arial" w:eastAsia="Arial" w:hAnsi="Arial"/>
          <w:sz w:val="22"/>
          <w:szCs w:val="22"/>
          <w:color w:val="auto"/>
        </w:rPr>
      </w:pPr>
      <w:r>
        <w:rPr>
          <w:rFonts w:ascii="Arial" w:cs="Arial" w:eastAsia="Arial" w:hAnsi="Arial"/>
          <w:sz w:val="19"/>
          <w:szCs w:val="19"/>
          <w:color w:val="auto"/>
        </w:rPr>
        <w:t>(A)Neither the Company,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other relevant sanctions authority (collectively, “</w:t>
      </w:r>
      <w:r>
        <w:rPr>
          <w:rFonts w:ascii="Arial" w:cs="Arial" w:eastAsia="Arial" w:hAnsi="Arial"/>
          <w:sz w:val="19"/>
          <w:szCs w:val="19"/>
          <w:b w:val="1"/>
          <w:bCs w:val="1"/>
          <w:u w:val="single" w:color="auto"/>
          <w:color w:val="auto"/>
        </w:rPr>
        <w:t>Sanctions</w:t>
      </w:r>
      <w:r>
        <w:rPr>
          <w:rFonts w:ascii="Arial" w:cs="Arial" w:eastAsia="Arial" w:hAnsi="Arial"/>
          <w:sz w:val="19"/>
          <w:szCs w:val="19"/>
          <w:color w:val="auto"/>
        </w:rPr>
        <w:t>”).</w:t>
      </w:r>
    </w:p>
    <w:p>
      <w:pPr>
        <w:spacing w:after="0" w:line="147" w:lineRule="exact"/>
        <w:rPr>
          <w:rFonts w:ascii="Arial" w:cs="Arial" w:eastAsia="Arial" w:hAnsi="Arial"/>
          <w:sz w:val="22"/>
          <w:szCs w:val="22"/>
          <w:color w:val="auto"/>
        </w:rPr>
      </w:pPr>
    </w:p>
    <w:p>
      <w:pPr>
        <w:jc w:val="both"/>
        <w:ind w:left="1620" w:hanging="316"/>
        <w:spacing w:after="0" w:line="279" w:lineRule="auto"/>
        <w:tabs>
          <w:tab w:leader="none" w:pos="16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Company will not, directly or indirectly, use the Net Proceeds,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 (including Cowen)</w:t>
      </w:r>
    </w:p>
    <w:p>
      <w:pPr>
        <w:spacing w:after="0" w:line="177" w:lineRule="exact"/>
        <w:rPr>
          <w:sz w:val="20"/>
          <w:szCs w:val="20"/>
          <w:color w:val="auto"/>
        </w:rPr>
      </w:pPr>
    </w:p>
    <w:p>
      <w:pPr>
        <w:jc w:val="both"/>
        <w:ind w:firstLine="656"/>
        <w:spacing w:after="0" w:line="270"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Company’s Accounting System</w:t>
      </w:r>
      <w:r>
        <w:rPr>
          <w:rFonts w:ascii="Arial" w:cs="Arial" w:eastAsia="Arial" w:hAnsi="Arial"/>
          <w:sz w:val="19"/>
          <w:szCs w:val="19"/>
          <w:color w:val="auto"/>
        </w:rPr>
        <w:t>. 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The Company’s internal accounting controls have 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and (iv) the recorded accountability for assets is compared with the existing assets at reasonable intervals and appropriate action is taken with respect to any differences. The Company is not aware of any material weaknesses in its internal control over financial reporting. 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65"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Disclosure Controls</w:t>
      </w:r>
      <w:r>
        <w:rPr>
          <w:rFonts w:ascii="Arial" w:cs="Arial" w:eastAsia="Arial" w:hAnsi="Arial"/>
          <w:sz w:val="22"/>
          <w:szCs w:val="22"/>
          <w:color w:val="auto"/>
        </w:rPr>
        <w:t>. 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9" w:name="page180"/>
    <w:bookmarkEnd w:id="179"/>
    <w:p>
      <w:pPr>
        <w:spacing w:after="0" w:line="250" w:lineRule="auto"/>
        <w:rPr>
          <w:sz w:val="20"/>
          <w:szCs w:val="20"/>
          <w:color w:val="auto"/>
        </w:rPr>
      </w:pPr>
      <w:r>
        <w:rPr>
          <w:rFonts w:ascii="Arial" w:cs="Arial" w:eastAsia="Arial" w:hAnsi="Arial"/>
          <w:sz w:val="22"/>
          <w:szCs w:val="22"/>
          <w:color w:val="auto"/>
        </w:rPr>
        <w:t>known to the Company’s principal executive officer and principal financial officer by others within those entities; and such disclosure controls and procedures are effective.</w:t>
      </w:r>
    </w:p>
    <w:p>
      <w:pPr>
        <w:spacing w:after="0" w:line="175" w:lineRule="exact"/>
        <w:rPr>
          <w:sz w:val="20"/>
          <w:szCs w:val="20"/>
          <w:color w:val="auto"/>
        </w:rPr>
      </w:pPr>
    </w:p>
    <w:p>
      <w:pPr>
        <w:jc w:val="both"/>
        <w:ind w:firstLine="656"/>
        <w:spacing w:after="0" w:line="268" w:lineRule="auto"/>
        <w:tabs>
          <w:tab w:leader="none" w:pos="1296"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The Company and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 (ii) 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result in a Material Adverse Change. Except as described in the Prospectus, (A) there are no proceedings that are pending against the Company under Environmental Laws in which a Regulatory Authority is also a party and</w:t>
      </w:r>
    </w:p>
    <w:p>
      <w:pPr>
        <w:spacing w:after="0" w:line="5" w:lineRule="exact"/>
        <w:rPr>
          <w:rFonts w:ascii="Arial" w:cs="Arial" w:eastAsia="Arial" w:hAnsi="Arial"/>
          <w:sz w:val="19"/>
          <w:szCs w:val="19"/>
          <w:color w:val="auto"/>
        </w:rPr>
      </w:pPr>
    </w:p>
    <w:p>
      <w:pPr>
        <w:ind w:right="20" w:firstLine="8"/>
        <w:spacing w:after="0" w:line="236" w:lineRule="auto"/>
        <w:tabs>
          <w:tab w:leader="none" w:pos="433"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Company is not aware of any non-compliance with Environmental Laws, or liabilities under Environmental Laws, which would reasonably be expected to result in a Material Adverse Change.</w:t>
      </w:r>
    </w:p>
    <w:p>
      <w:pPr>
        <w:spacing w:after="0" w:line="213" w:lineRule="exact"/>
        <w:rPr>
          <w:rFonts w:ascii="Arial" w:cs="Arial" w:eastAsia="Arial" w:hAnsi="Arial"/>
          <w:sz w:val="22"/>
          <w:szCs w:val="22"/>
          <w:color w:val="auto"/>
        </w:rPr>
      </w:pPr>
    </w:p>
    <w:p>
      <w:pPr>
        <w:jc w:val="both"/>
        <w:ind w:firstLine="656"/>
        <w:spacing w:after="0" w:line="269" w:lineRule="auto"/>
        <w:tabs>
          <w:tab w:leader="none" w:pos="1296"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Except as disclosed in the Prospectus, the Company and its Subsidiaries own or have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w:t>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 that is necessary for, or used in the conduct of, or the proposed conduct of, the business of the Company in the manner described in the Prospectus (collectively, the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To the 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 (ii) challenging the validity, enforceability or scope of any Company Intellectual Property; or (iii) asserting that the Company has infringed, misappropriated or otherwise violated, or would, upon the commercialization of any products described in the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777240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0" w:name="page181"/>
    <w:bookmarkEnd w:id="180"/>
    <w:p>
      <w:pPr>
        <w:jc w:val="both"/>
        <w:spacing w:after="0" w:line="270" w:lineRule="auto"/>
        <w:rPr>
          <w:sz w:val="20"/>
          <w:szCs w:val="20"/>
          <w:color w:val="auto"/>
        </w:rPr>
      </w:pPr>
      <w:r>
        <w:rPr>
          <w:rFonts w:ascii="Arial" w:cs="Arial" w:eastAsia="Arial" w:hAnsi="Arial"/>
          <w:sz w:val="19"/>
          <w:szCs w:val="19"/>
          <w:color w:val="auto"/>
        </w:rPr>
        <w:t>Company, (1) neither the commercial development nor the sale of any of the products, proposed products or processes of the Company, as described in the Prospectus, infringes, misappropriates or otherwise violates, or would, upon the commercialization of such products or proposed products, infringe, misappropriate or otherwise violate, any Intellectual Property rights of any third party; (2) the Company believes it can acquire, on reasonable terms, any licenses under third-party Intellectual Property that may be necessary for or used in its business, as currently conducted or as proposed to be conducted, as described in the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w:t>
      </w:r>
      <w:r>
        <w:rPr>
          <w:rFonts w:ascii="Arial" w:cs="Arial" w:eastAsia="Arial" w:hAnsi="Arial"/>
          <w:sz w:val="19"/>
          <w:szCs w:val="19"/>
          <w:b w:val="1"/>
          <w:bCs w:val="1"/>
          <w:u w:val="single" w:color="auto"/>
          <w:color w:val="auto"/>
        </w:rPr>
        <w:t>USPTO</w:t>
      </w:r>
      <w:r>
        <w:rPr>
          <w:rFonts w:ascii="Arial" w:cs="Arial" w:eastAsia="Arial" w:hAnsi="Arial"/>
          <w:sz w:val="19"/>
          <w:szCs w:val="19"/>
          <w:color w:val="auto"/>
        </w:rPr>
        <w:t>”) as co-owner of such patent or named in such patent application; (4) no third party has any ownership right in or to any Company Intellectual Property, in any field of use, other than the respective licensor to the Company of such Company Intellectual Property; (5)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 Company (A) has executed an inventions assignment and confidentiality agreement with the Company, on or about the respective date of hire, in substantially the form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Prospectus.</w:t>
      </w:r>
    </w:p>
    <w:p>
      <w:pPr>
        <w:spacing w:after="0" w:line="200" w:lineRule="exact"/>
        <w:rPr>
          <w:sz w:val="20"/>
          <w:szCs w:val="20"/>
          <w:color w:val="auto"/>
        </w:rPr>
      </w:pPr>
    </w:p>
    <w:p>
      <w:pPr>
        <w:spacing w:after="0" w:line="203" w:lineRule="exact"/>
        <w:rPr>
          <w:sz w:val="20"/>
          <w:szCs w:val="20"/>
          <w:color w:val="auto"/>
        </w:rPr>
      </w:pPr>
    </w:p>
    <w:p>
      <w:pPr>
        <w:jc w:val="both"/>
        <w:ind w:firstLine="656"/>
        <w:spacing w:after="0" w:line="277"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Patents and Patent Applications</w:t>
      </w:r>
      <w:r>
        <w:rPr>
          <w:rFonts w:ascii="Arial" w:cs="Arial" w:eastAsia="Arial" w:hAnsi="Arial"/>
          <w:sz w:val="19"/>
          <w:szCs w:val="19"/>
          <w:color w:val="auto"/>
        </w:rPr>
        <w:t>. 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51"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Listing</w:t>
      </w:r>
      <w:r>
        <w:rPr>
          <w:rFonts w:ascii="Arial" w:cs="Arial" w:eastAsia="Arial" w:hAnsi="Arial"/>
          <w:sz w:val="19"/>
          <w:szCs w:val="19"/>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Shares that have been or may be sold under this Agreement and any Terms Agreement have been approved for listing on the Nasdaq, subject to official notice of issuance; the Company has taken all necessary actions to ensure that, upon and at all times after the Nasdaq shall have approved the Shares for listing, it will be in compliance with all applicable corporate governance requirements set forth in the Nasdaq’s listing rules that are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1" w:name="page182"/>
    <w:bookmarkEnd w:id="181"/>
    <w:p>
      <w:pPr>
        <w:jc w:val="both"/>
        <w:ind w:left="-460" w:firstLine="656"/>
        <w:spacing w:after="0"/>
        <w:tabs>
          <w:tab w:leader="none" w:pos="83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for Cowen, there is no broker, finder or other party that is entitled to receive from the Company any brokerage or finder’s fee or other fee or commission as a result of any transactions contemplated by this Agreement or by any Terms Agreement.</w:t>
      </w:r>
    </w:p>
    <w:p>
      <w:pPr>
        <w:spacing w:after="0" w:line="186" w:lineRule="exact"/>
        <w:rPr>
          <w:rFonts w:ascii="Arial" w:cs="Arial" w:eastAsia="Arial" w:hAnsi="Arial"/>
          <w:sz w:val="22"/>
          <w:szCs w:val="22"/>
          <w:color w:val="auto"/>
        </w:rPr>
      </w:pPr>
    </w:p>
    <w:p>
      <w:pPr>
        <w:jc w:val="both"/>
        <w:ind w:left="-460" w:firstLine="656"/>
        <w:spacing w:after="0" w:line="252" w:lineRule="auto"/>
        <w:tabs>
          <w:tab w:leader="none" w:pos="836"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Outstanding Loans or Other Indebtedness</w:t>
      </w:r>
      <w:r>
        <w:rPr>
          <w:rFonts w:ascii="Arial" w:cs="Arial" w:eastAsia="Arial" w:hAnsi="Arial"/>
          <w:sz w:val="21"/>
          <w:szCs w:val="21"/>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their immediate families.</w:t>
      </w:r>
    </w:p>
    <w:p>
      <w:pPr>
        <w:spacing w:after="0" w:line="173" w:lineRule="exact"/>
        <w:rPr>
          <w:rFonts w:ascii="Arial" w:cs="Arial" w:eastAsia="Arial" w:hAnsi="Arial"/>
          <w:sz w:val="21"/>
          <w:szCs w:val="21"/>
          <w:color w:val="auto"/>
        </w:rPr>
      </w:pPr>
    </w:p>
    <w:p>
      <w:pPr>
        <w:ind w:left="-460" w:firstLine="656"/>
        <w:spacing w:after="0" w:line="250" w:lineRule="auto"/>
        <w:tabs>
          <w:tab w:leader="none" w:pos="83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Cowen or legal counsel for Cowen for any legal, tax or accounting advice in connection with the offering and sale of the Shares.</w:t>
      </w:r>
    </w:p>
    <w:p>
      <w:pPr>
        <w:spacing w:after="0" w:line="174" w:lineRule="exact"/>
        <w:rPr>
          <w:rFonts w:ascii="Arial" w:cs="Arial" w:eastAsia="Arial" w:hAnsi="Arial"/>
          <w:sz w:val="22"/>
          <w:szCs w:val="22"/>
          <w:color w:val="auto"/>
        </w:rPr>
      </w:pPr>
    </w:p>
    <w:p>
      <w:pPr>
        <w:jc w:val="both"/>
        <w:ind w:left="-460" w:firstLine="656"/>
        <w:spacing w:after="0"/>
        <w:tabs>
          <w:tab w:leader="none" w:pos="83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FINRA Exemption</w:t>
      </w:r>
      <w:r>
        <w:rPr>
          <w:rFonts w:ascii="Arial" w:cs="Arial" w:eastAsia="Arial" w:hAnsi="Arial"/>
          <w:sz w:val="22"/>
          <w:szCs w:val="22"/>
          <w:color w:val="auto"/>
        </w:rPr>
        <w:t>. The Company meets the requirements for use of Form S-3 under the Securities Act specified in FINRA Rule 5110(h)(1)(C) and satisfies the “experienced issuer” requirements as defined in FINRA Rule 5110(j)(6).</w:t>
      </w:r>
    </w:p>
    <w:p>
      <w:pPr>
        <w:spacing w:after="0" w:line="186" w:lineRule="exact"/>
        <w:rPr>
          <w:rFonts w:ascii="Arial" w:cs="Arial" w:eastAsia="Arial" w:hAnsi="Arial"/>
          <w:sz w:val="22"/>
          <w:szCs w:val="22"/>
          <w:color w:val="auto"/>
        </w:rPr>
      </w:pPr>
    </w:p>
    <w:p>
      <w:pPr>
        <w:jc w:val="both"/>
        <w:ind w:left="-460" w:firstLine="656"/>
        <w:spacing w:after="0" w:line="238" w:lineRule="auto"/>
        <w:tabs>
          <w:tab w:leader="none" w:pos="83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84" w:lineRule="exact"/>
        <w:rPr>
          <w:rFonts w:ascii="Arial" w:cs="Arial" w:eastAsia="Arial" w:hAnsi="Arial"/>
          <w:sz w:val="22"/>
          <w:szCs w:val="22"/>
          <w:color w:val="auto"/>
        </w:rPr>
      </w:pPr>
    </w:p>
    <w:p>
      <w:pPr>
        <w:jc w:val="both"/>
        <w:ind w:left="-460" w:firstLine="656"/>
        <w:spacing w:after="0" w:line="269" w:lineRule="auto"/>
        <w:tabs>
          <w:tab w:leader="none" w:pos="83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Privacy Laws</w:t>
      </w:r>
      <w:r>
        <w:rPr>
          <w:rFonts w:ascii="Arial" w:cs="Arial" w:eastAsia="Arial" w:hAnsi="Arial"/>
          <w:sz w:val="19"/>
          <w:szCs w:val="19"/>
          <w:color w:val="auto"/>
        </w:rPr>
        <w:t>. Except as set otherwise set forth in Section 6(mm) with respect to the GDPR Privacy Law, the Company and each of its Subsidiaries are, and at all prior times were, in material compliance with all applicable data privacy and security laws and regulations, including, without limitation, the Health Insurance Portability and Accountability Act (“</w:t>
      </w:r>
      <w:r>
        <w:rPr>
          <w:rFonts w:ascii="Arial" w:cs="Arial" w:eastAsia="Arial" w:hAnsi="Arial"/>
          <w:sz w:val="19"/>
          <w:szCs w:val="19"/>
          <w:b w:val="1"/>
          <w:bCs w:val="1"/>
          <w:u w:val="single" w:color="auto"/>
          <w:color w:val="auto"/>
        </w:rPr>
        <w:t>HIPAA</w:t>
      </w:r>
      <w:r>
        <w:rPr>
          <w:rFonts w:ascii="Arial" w:cs="Arial" w:eastAsia="Arial" w:hAnsi="Arial"/>
          <w:sz w:val="19"/>
          <w:szCs w:val="19"/>
          <w:color w:val="auto"/>
        </w:rPr>
        <w:t>”), as amended by the Health Information Technology for Economic and Clinical Health Act (the “</w:t>
      </w:r>
      <w:r>
        <w:rPr>
          <w:rFonts w:ascii="Arial" w:cs="Arial" w:eastAsia="Arial" w:hAnsi="Arial"/>
          <w:sz w:val="19"/>
          <w:szCs w:val="19"/>
          <w:b w:val="1"/>
          <w:bCs w:val="1"/>
          <w:u w:val="single" w:color="auto"/>
          <w:color w:val="auto"/>
        </w:rPr>
        <w:t>HITECH Act</w:t>
      </w:r>
      <w:r>
        <w:rPr>
          <w:rFonts w:ascii="Arial" w:cs="Arial" w:eastAsia="Arial" w:hAnsi="Arial"/>
          <w:sz w:val="19"/>
          <w:szCs w:val="19"/>
          <w:color w:val="auto"/>
        </w:rPr>
        <w:t>”) (42 U.S.C. Section 17921 et seq.) (collectively, “</w:t>
      </w:r>
      <w:r>
        <w:rPr>
          <w:rFonts w:ascii="Arial" w:cs="Arial" w:eastAsia="Arial" w:hAnsi="Arial"/>
          <w:sz w:val="19"/>
          <w:szCs w:val="19"/>
          <w:b w:val="1"/>
          <w:bCs w:val="1"/>
          <w:u w:val="single" w:color="auto"/>
          <w:color w:val="auto"/>
        </w:rPr>
        <w:t>Privacy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Laws</w:t>
      </w:r>
      <w:r>
        <w:rPr>
          <w:rFonts w:ascii="Arial" w:cs="Arial" w:eastAsia="Arial" w:hAnsi="Arial"/>
          <w:sz w:val="19"/>
          <w:szCs w:val="19"/>
          <w:color w:val="auto"/>
        </w:rPr>
        <w:t>”). To ensure compliance with the Privacy Laws, the Company and each of its Subsidiaries have in place,</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9"/>
          <w:szCs w:val="19"/>
          <w:b w:val="1"/>
          <w:bCs w:val="1"/>
          <w:u w:val="single" w:color="auto"/>
          <w:color w:val="auto"/>
        </w:rPr>
        <w:t>Policies</w:t>
      </w:r>
      <w:r>
        <w:rPr>
          <w:rFonts w:ascii="Arial" w:cs="Arial" w:eastAsia="Arial" w:hAnsi="Arial"/>
          <w:sz w:val="19"/>
          <w:szCs w:val="19"/>
          <w:color w:val="auto"/>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Arial" w:cs="Arial" w:eastAsia="Arial" w:hAnsi="Arial"/>
          <w:sz w:val="19"/>
          <w:szCs w:val="19"/>
          <w:b w:val="1"/>
          <w:bCs w:val="1"/>
          <w:u w:val="single" w:color="auto"/>
          <w:color w:val="auto"/>
        </w:rPr>
        <w:t>Personal Data</w:t>
      </w:r>
      <w:r>
        <w:rPr>
          <w:rFonts w:ascii="Arial" w:cs="Arial" w:eastAsia="Arial" w:hAnsi="Arial"/>
          <w:sz w:val="19"/>
          <w:szCs w:val="19"/>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Protected Health Information as defined by HIPAA; and (iv) any other piece of information that allows the identification of such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any Terms Agreement or any other agreement referred to in this Agreement will not result in a breach of any Privacy Laws or Policies. Neither the Company nor any of its Subsidiaries, (i) has received notice of any actual or potential liability under or relating to, or actual or potential violation of, any of the Privacy Laws, and has no knowledge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775970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182" w:name="page183"/>
    <w:bookmarkEnd w:id="182"/>
    <w:p>
      <w:pPr>
        <w:jc w:val="both"/>
        <w:spacing w:after="0" w:line="238" w:lineRule="auto"/>
        <w:rPr>
          <w:sz w:val="20"/>
          <w:szCs w:val="20"/>
          <w:color w:val="auto"/>
        </w:rPr>
      </w:pPr>
      <w:r>
        <w:rPr>
          <w:rFonts w:ascii="Arial" w:cs="Arial" w:eastAsia="Arial" w:hAnsi="Arial"/>
          <w:sz w:val="22"/>
          <w:szCs w:val="22"/>
          <w:color w:val="auto"/>
        </w:rPr>
        <w:t>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spacing w:after="0" w:line="185" w:lineRule="exact"/>
        <w:rPr>
          <w:sz w:val="20"/>
          <w:szCs w:val="20"/>
          <w:color w:val="auto"/>
        </w:rPr>
      </w:pPr>
    </w:p>
    <w:p>
      <w:pPr>
        <w:jc w:val="both"/>
        <w:ind w:firstLine="656"/>
        <w:spacing w:after="0" w:line="271" w:lineRule="auto"/>
        <w:tabs>
          <w:tab w:leader="none" w:pos="12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GDPR Privacy Law</w:t>
      </w:r>
      <w:r>
        <w:rPr>
          <w:rFonts w:ascii="Arial" w:cs="Arial" w:eastAsia="Arial" w:hAnsi="Arial"/>
          <w:sz w:val="19"/>
          <w:szCs w:val="19"/>
          <w:color w:val="auto"/>
        </w:rPr>
        <w:t>. The Company and each its Subsidiaries have taken reasonable steps to comply with the European Union General Data Protection Regulation (“</w:t>
      </w:r>
      <w:r>
        <w:rPr>
          <w:rFonts w:ascii="Arial" w:cs="Arial" w:eastAsia="Arial" w:hAnsi="Arial"/>
          <w:sz w:val="19"/>
          <w:szCs w:val="19"/>
          <w:b w:val="1"/>
          <w:bCs w:val="1"/>
          <w:u w:val="single" w:color="auto"/>
          <w:color w:val="auto"/>
        </w:rPr>
        <w:t>GDPR</w:t>
      </w:r>
      <w:r>
        <w:rPr>
          <w:rFonts w:ascii="Arial" w:cs="Arial" w:eastAsia="Arial" w:hAnsi="Arial"/>
          <w:sz w:val="19"/>
          <w:szCs w:val="19"/>
          <w:color w:val="auto"/>
        </w:rPr>
        <w:t>”) (EU 2016/679); provided, however, the Company and each of its Subsidiaries had relied upon the E.U.-U.S. Privacy Shield (the “</w:t>
      </w:r>
      <w:r>
        <w:rPr>
          <w:rFonts w:ascii="Arial" w:cs="Arial" w:eastAsia="Arial" w:hAnsi="Arial"/>
          <w:sz w:val="19"/>
          <w:szCs w:val="19"/>
          <w:b w:val="1"/>
          <w:bCs w:val="1"/>
          <w:u w:val="single" w:color="auto"/>
          <w:color w:val="auto"/>
        </w:rPr>
        <w:t>Privacy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Shield</w:t>
      </w:r>
      <w:r>
        <w:rPr>
          <w:rFonts w:ascii="Arial" w:cs="Arial" w:eastAsia="Arial" w:hAnsi="Arial"/>
          <w:sz w:val="19"/>
          <w:szCs w:val="19"/>
          <w:color w:val="auto"/>
        </w:rPr>
        <w:t>”) to legitimize its transfer of certain GDPR Personal Data (as defined below) to the United States,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European Court of Justice’s invalidation of the Privacy Shield, neither the Company nor its Subsidiaries have implemented an alternative solution to replace the Privacy Shield as a GDPR Personal Data transfer mechanism (“</w:t>
      </w:r>
      <w:r>
        <w:rPr>
          <w:rFonts w:ascii="Arial" w:cs="Arial" w:eastAsia="Arial" w:hAnsi="Arial"/>
          <w:sz w:val="19"/>
          <w:szCs w:val="19"/>
          <w:b w:val="1"/>
          <w:bCs w:val="1"/>
          <w:u w:val="single" w:color="auto"/>
          <w:color w:val="auto"/>
        </w:rPr>
        <w:t>GDPR Privacy Law</w:t>
      </w:r>
      <w:r>
        <w:rPr>
          <w:rFonts w:ascii="Arial" w:cs="Arial" w:eastAsia="Arial" w:hAnsi="Arial"/>
          <w:sz w:val="19"/>
          <w:szCs w:val="19"/>
          <w:color w:val="auto"/>
        </w:rPr>
        <w:t>”). The Company and each of its Subsidiaries have in place, comply in all material respects with, and take appropriate steps reasonably designed to comply in all material respects with their policies and procedures relating to GDPR Personal Data (the “</w:t>
      </w:r>
      <w:r>
        <w:rPr>
          <w:rFonts w:ascii="Arial" w:cs="Arial" w:eastAsia="Arial" w:hAnsi="Arial"/>
          <w:sz w:val="19"/>
          <w:szCs w:val="19"/>
          <w:b w:val="1"/>
          <w:bCs w:val="1"/>
          <w:u w:val="single" w:color="auto"/>
          <w:color w:val="auto"/>
        </w:rPr>
        <w:t>GDPR Policies</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GDPR Personal Data</w:t>
      </w:r>
      <w:r>
        <w:rPr>
          <w:rFonts w:ascii="Arial" w:cs="Arial" w:eastAsia="Arial" w:hAnsi="Arial"/>
          <w:sz w:val="19"/>
          <w:szCs w:val="19"/>
          <w:color w:val="auto"/>
        </w:rPr>
        <w:t>” means “personal data” as defined by GDPR. The execution, delivery and performance of this Agreement, any Terms Agreement or any other agreement referred to in this Agreement will not result in a breach of GDPR Privacy Law or GDPR Policies. Neither the Company nor any of its Subsidiaries, (i) has received notice of any actual or potential liability under or relating to, or actual or potential violation of, GDPR Privacy Law; (ii) is currently conducting or paying for, in whole or in part, any investigation, remediation or other corrective action pursuant to GDPR Privacy Law; or (iii) is a party to any order, decree, or agreement that imposed any obligation or liability under GDPR Privacy Law.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72" w:lineRule="auto"/>
        <w:tabs>
          <w:tab w:leader="none" w:pos="12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IT Systems</w:t>
      </w:r>
      <w:r>
        <w:rPr>
          <w:rFonts w:ascii="Arial" w:cs="Arial" w:eastAsia="Arial" w:hAnsi="Arial"/>
          <w:sz w:val="19"/>
          <w:szCs w:val="19"/>
          <w:color w:val="auto"/>
        </w:rPr>
        <w:t>. (i)(x) To the Company’s knowledge, there has been no material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Arial" w:cs="Arial" w:eastAsia="Arial" w:hAnsi="Arial"/>
          <w:sz w:val="19"/>
          <w:szCs w:val="19"/>
          <w:b w:val="1"/>
          <w:bCs w:val="1"/>
          <w:u w:val="single" w:color="auto"/>
          <w:color w:val="auto"/>
        </w:rPr>
        <w:t>IT Systems and Data</w:t>
      </w:r>
      <w:r>
        <w:rPr>
          <w:rFonts w:ascii="Arial" w:cs="Arial" w:eastAsia="Arial" w:hAnsi="Arial"/>
          <w:sz w:val="19"/>
          <w:szCs w:val="19"/>
          <w:color w:val="auto"/>
        </w:rPr>
        <w:t>”) and (y) the Company and its Subsidiaries have not been notified of, and have no knowledge of any event or condition that would reasonably be expected to result in, any material security breach; (ii) the Company and its Subsidiaries are presently in compliance with all applicable laws or statutes and all judgments, orders, rules and regulations of any court or arbitrator or governmental or regulatory authority, published privacy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result in a Material Adverse Change; and (iii) the Company and its Subsidiaries have implemented backup and disaster recovery technology consistent with industry standards and practices.</w:t>
      </w:r>
    </w:p>
    <w:p>
      <w:pPr>
        <w:spacing w:after="0" w:line="155" w:lineRule="exact"/>
        <w:rPr>
          <w:rFonts w:ascii="Arial" w:cs="Arial" w:eastAsia="Arial" w:hAnsi="Arial"/>
          <w:sz w:val="19"/>
          <w:szCs w:val="19"/>
          <w:color w:val="auto"/>
        </w:rPr>
      </w:pPr>
    </w:p>
    <w:p>
      <w:pPr>
        <w:jc w:val="both"/>
        <w:ind w:firstLine="656"/>
        <w:spacing w:after="0" w:line="279" w:lineRule="auto"/>
        <w:tabs>
          <w:tab w:leader="none" w:pos="12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Export and Import Laws</w:t>
      </w:r>
      <w:r>
        <w:rPr>
          <w:rFonts w:ascii="Arial" w:cs="Arial" w:eastAsia="Arial" w:hAnsi="Arial"/>
          <w:sz w:val="19"/>
          <w:szCs w:val="19"/>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Arial" w:cs="Arial" w:eastAsia="Arial" w:hAnsi="Arial"/>
          <w:sz w:val="19"/>
          <w:szCs w:val="19"/>
          <w:b w:val="1"/>
          <w:bCs w:val="1"/>
          <w:u w:val="single" w:color="auto"/>
          <w:color w:val="auto"/>
        </w:rPr>
        <w:t>Export and Import Laws</w:t>
      </w:r>
      <w:r>
        <w:rPr>
          <w:rFonts w:ascii="Arial" w:cs="Arial" w:eastAsia="Arial" w:hAnsi="Arial"/>
          <w:sz w:val="19"/>
          <w:szCs w:val="19"/>
          <w:color w:val="auto"/>
        </w:rPr>
        <w:t>” means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3" w:name="page184"/>
    <w:bookmarkEnd w:id="183"/>
    <w:p>
      <w:pPr>
        <w:jc w:val="both"/>
        <w:spacing w:after="0" w:line="248" w:lineRule="auto"/>
        <w:rPr>
          <w:sz w:val="20"/>
          <w:szCs w:val="20"/>
          <w:color w:val="auto"/>
        </w:rPr>
      </w:pPr>
      <w:r>
        <w:rPr>
          <w:rFonts w:ascii="Arial" w:cs="Arial" w:eastAsia="Arial" w:hAnsi="Arial"/>
          <w:sz w:val="21"/>
          <w:szCs w:val="21"/>
          <w:color w:val="auto"/>
        </w:rPr>
        <w:t>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77" w:lineRule="exact"/>
        <w:rPr>
          <w:sz w:val="20"/>
          <w:szCs w:val="20"/>
          <w:color w:val="auto"/>
        </w:rPr>
      </w:pPr>
    </w:p>
    <w:p>
      <w:pPr>
        <w:jc w:val="both"/>
        <w:ind w:firstLine="656"/>
        <w:spacing w:after="0" w:line="271"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Preclinical Studies and Clinical Trials</w:t>
      </w:r>
      <w:r>
        <w:rPr>
          <w:rFonts w:ascii="Arial" w:cs="Arial" w:eastAsia="Arial" w:hAnsi="Arial"/>
          <w:sz w:val="19"/>
          <w:szCs w:val="19"/>
          <w:color w:val="auto"/>
        </w:rPr>
        <w:t>. 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 applicable local, state and federal laws, rules and regulations, including, without limitation, the Federal Food, Drug, and Cosmetic Act and its applicable implementing regulations at 21 C.F.R. Parts 50, 54, 56, 58, 312, and 812; except where the failure to so conduct would not, individually or in the aggregate, reasonably be expected to result in a Material Adverse Change; the descriptions of the results of such studies and trials contained in any Prospectus did not include any untrue statement of a material fact or omit to state any material fact necessary in order to make the statements therein, in the light of the circumstances under which they were made, not misleading; except to the extent disclosed in the Prospectus, the Company is not aware of any studies or trials, the results of which are inconsistent with or otherwise call into question the study or trial results described or referred to in the Prospectus; and neither the U.S. Food and Drug Administration, (“</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nor any applicable foreign Regulatory Agency has commenced, or, to the knowledge of the Company, threatened to initiate, any action to place a clinical hold on, or otherwise terminate, delay or suspend, any proposed or ongoing preclinical study or clinical investigation conducted or proposed to be conducted by or on behalf of the Company.</w:t>
      </w:r>
    </w:p>
    <w:p>
      <w:pPr>
        <w:spacing w:after="0" w:line="160"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Health Care Laws</w:t>
      </w:r>
      <w:r>
        <w:rPr>
          <w:rFonts w:ascii="Arial" w:cs="Arial" w:eastAsia="Arial" w:hAnsi="Arial"/>
          <w:sz w:val="19"/>
          <w:szCs w:val="19"/>
          <w:color w:val="auto"/>
        </w:rPr>
        <w:t xml:space="preserve">. The Company has operated and currently is in compliance in all respects with all applicable Health Care Laws (as defined in this </w:t>
      </w:r>
      <w:r>
        <w:rPr>
          <w:rFonts w:ascii="Arial" w:cs="Arial" w:eastAsia="Arial" w:hAnsi="Arial"/>
          <w:sz w:val="19"/>
          <w:szCs w:val="19"/>
          <w:u w:val="single" w:color="auto"/>
          <w:color w:val="auto"/>
        </w:rPr>
        <w:t>Section 6(qq)</w:t>
      </w:r>
      <w:r>
        <w:rPr>
          <w:rFonts w:ascii="Arial" w:cs="Arial" w:eastAsia="Arial" w:hAnsi="Arial"/>
          <w:sz w:val="19"/>
          <w:szCs w:val="19"/>
          <w:color w:val="auto"/>
        </w:rPr>
        <w:t>), including, without limitation, the rules and regulations of the FDA, the U.S. Department of Health and Human Services Office of Inspector General, the Centers for Medicare &amp; Medicaid Services, the Office for Civil Rights, the Department of Justice or any other Regulatory Authority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9"/>
          <w:szCs w:val="19"/>
          <w:b w:val="1"/>
          <w:bCs w:val="1"/>
          <w:u w:val="single" w:color="auto"/>
          <w:color w:val="auto"/>
        </w:rPr>
        <w:t>HIPAA</w:t>
      </w:r>
      <w:r>
        <w:rPr>
          <w:rFonts w:ascii="Arial" w:cs="Arial" w:eastAsia="Arial" w:hAnsi="Arial"/>
          <w:sz w:val="19"/>
          <w:szCs w:val="19"/>
          <w:color w:val="auto"/>
        </w:rPr>
        <w:t>”), the exclusion laws (42 U.S.C. § 1320a-7), the civil monetary penalties law (42 U.S.C. § 1320a- 7a), HIPAA, as amended by the Health Information Technology for Economic and Clinical Health Act (42 U.S.C. §§ 17921 et seq.), Medicare (Title XVIII of the Social Security Act), Medicaid (Title XIX of the Social Security Act), the Federal Food, Drug, and Cosmetic Act (21 U.S.C. §§ 301 et seq.), the regulations promulgated pursuant to such laws, and any similar federal, state and local laws and regulations, including the collection and reporting requirements, and the processing of any applicable rebate,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772160</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4" w:name="page185"/>
    <w:bookmarkEnd w:id="184"/>
    <w:p>
      <w:pPr>
        <w:jc w:val="both"/>
        <w:spacing w:after="0" w:line="269" w:lineRule="auto"/>
        <w:rPr>
          <w:sz w:val="20"/>
          <w:szCs w:val="20"/>
          <w:color w:val="auto"/>
        </w:rPr>
      </w:pPr>
      <w:r>
        <w:rPr>
          <w:rFonts w:ascii="Arial" w:cs="Arial" w:eastAsia="Arial" w:hAnsi="Arial"/>
          <w:sz w:val="19"/>
          <w:szCs w:val="19"/>
          <w:color w:val="auto"/>
        </w:rPr>
        <w:t>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The Company has not received any FDA Form 483, notice of adverse finding, warning letter, untitled letter or other correspondence or notice from the FDA or any other Regulatory Authority alleging or asserting noncompliance with any Health Care Laws applicable to the Company. Except as would not, individually or in the aggregate, reasonably be expected to result in a Material Adverse Change, the Company has not, either voluntarily or involuntarily, initiated, conducted, or issued or caused to be initiated, conducted or issued, any post-market recall, market withdrawal or replacement, safety alert, post-sale warning, “dear doctor” letter, or other notice or action relating to any lack of safety, efficacy or regulatory compliance of any product or any alleged defect or violation with respect to any product and, to the Company’s knowledge, no third party has initiated or conducted any such notice or action and, to the Company’s knowledge, there are no facts which are reasonably likely to cause, and the Company has not received any written notice from the FDA or any other regulatory agency requesting, a post-market recall, market withdrawal or replacement of any product sold or intended to be sold by the Company, a change in the marketing classification or a change in the labeling of any such products, or a termination or suspension of the manufacturing of any such products.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16" w:lineRule="exact"/>
        <w:rPr>
          <w:sz w:val="20"/>
          <w:szCs w:val="20"/>
          <w:color w:val="auto"/>
        </w:rPr>
      </w:pPr>
    </w:p>
    <w:p>
      <w:pPr>
        <w:jc w:val="both"/>
        <w:ind w:firstLine="656"/>
        <w:spacing w:after="0" w:line="271"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ERISA Compliance</w:t>
      </w:r>
      <w:r>
        <w:rPr>
          <w:rFonts w:ascii="Arial" w:cs="Arial" w:eastAsia="Arial" w:hAnsi="Arial"/>
          <w:sz w:val="19"/>
          <w:szCs w:val="19"/>
          <w:color w:val="auto"/>
        </w:rPr>
        <w:t>. Except as would not, individually or in the aggregate, reasonably be expected to result in a material liability to the Company or any of its Subsidiaries, (i) each “employee benefit plan” within the meaning of the Employee Retirement Income Security Act of 1974, as amended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whether or not subject to ERISA,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would have any liability (each a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 (iv) 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or any of its Subsidiaries; and (v) the Company and its Subsidiaries have not incurred any liability for any prohibited transaction, the failure of any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5" w:name="page186"/>
    <w:bookmarkEnd w:id="185"/>
    <w:p>
      <w:pPr>
        <w:spacing w:after="0" w:line="250" w:lineRule="auto"/>
        <w:rPr>
          <w:sz w:val="20"/>
          <w:szCs w:val="20"/>
          <w:color w:val="auto"/>
        </w:rPr>
      </w:pPr>
      <w:r>
        <w:rPr>
          <w:rFonts w:ascii="Arial" w:cs="Arial" w:eastAsia="Arial" w:hAnsi="Arial"/>
          <w:sz w:val="22"/>
          <w:szCs w:val="22"/>
          <w:color w:val="auto"/>
        </w:rPr>
        <w:t>to meet the minimum funding standards required by law, including by ERISA or the Code, or any complete or partial withdrawal liability with respect to any Plan.</w:t>
      </w:r>
    </w:p>
    <w:p>
      <w:pPr>
        <w:spacing w:after="0" w:line="175" w:lineRule="exact"/>
        <w:rPr>
          <w:sz w:val="20"/>
          <w:szCs w:val="20"/>
          <w:color w:val="auto"/>
        </w:rPr>
      </w:pPr>
    </w:p>
    <w:p>
      <w:pPr>
        <w:jc w:val="both"/>
        <w:ind w:firstLine="656"/>
        <w:spacing w:after="0"/>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 Rated Securities</w:t>
      </w:r>
      <w:r>
        <w:rPr>
          <w:rFonts w:ascii="Arial" w:cs="Arial" w:eastAsia="Arial" w:hAnsi="Arial"/>
          <w:sz w:val="22"/>
          <w:szCs w:val="22"/>
          <w:color w:val="auto"/>
        </w:rPr>
        <w:t>. There are no debt securities or preferred stock of, or guaranteed by, the Company that are rated by a “nationally recognized statistical rating organization,” as such term is defined in Section 3(a)(62) of the Exchange Act.</w:t>
      </w:r>
    </w:p>
    <w:p>
      <w:pPr>
        <w:spacing w:after="0" w:line="186" w:lineRule="exact"/>
        <w:rPr>
          <w:rFonts w:ascii="Arial" w:cs="Arial" w:eastAsia="Arial" w:hAnsi="Arial"/>
          <w:sz w:val="22"/>
          <w:szCs w:val="22"/>
          <w:color w:val="auto"/>
        </w:rPr>
      </w:pPr>
    </w:p>
    <w:p>
      <w:pPr>
        <w:jc w:val="both"/>
        <w:ind w:firstLine="656"/>
        <w:spacing w:after="0" w:line="277" w:lineRule="auto"/>
        <w:tabs>
          <w:tab w:leader="none" w:pos="129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WKSI</w:t>
      </w:r>
      <w:r>
        <w:rPr>
          <w:rFonts w:ascii="Arial" w:cs="Arial" w:eastAsia="Arial" w:hAnsi="Arial"/>
          <w:sz w:val="19"/>
          <w:szCs w:val="19"/>
          <w:color w:val="auto"/>
        </w:rPr>
        <w:t>. (i) At the original effectiveness of the Registration Statement, (ii)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(iii) at the time the Company or any person acting on its behalf (within the meaning, for this clause only, of Rule 163(c) under the Securities Act) made any offer relating to the Shares in reliance on the exemption of Rule 163 under the Securities Act, and (iv) as of the applicable Time of Sale, the Company was and is a “well-known seasoned issuer” (as defined in Rule 405 of the Securities Act).</w:t>
      </w:r>
    </w:p>
    <w:p>
      <w:pPr>
        <w:spacing w:after="0" w:line="15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Any certificate signed by an officer of the Company and delivered to Cowen or to counsel for Cowen pursuant to or in connection with this Agreement or any Terms Agreement shall be deemed to be a representation and warranty by the Company to Cowen as to the matters set forth therein.</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The Company acknowledges that Cowen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Cowen, will rely upon the accuracy and truthfulness of the foregoing representations and hereby consents to such reliance.</w:t>
      </w:r>
    </w:p>
    <w:p>
      <w:pPr>
        <w:spacing w:after="0" w:line="186"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Cowen that:</w:t>
      </w:r>
    </w:p>
    <w:p>
      <w:pPr>
        <w:spacing w:after="0" w:line="206" w:lineRule="exact"/>
        <w:rPr>
          <w:sz w:val="20"/>
          <w:szCs w:val="20"/>
          <w:color w:val="auto"/>
        </w:rPr>
      </w:pPr>
    </w:p>
    <w:p>
      <w:pPr>
        <w:jc w:val="both"/>
        <w:ind w:firstLine="656"/>
        <w:spacing w:after="0" w:line="270" w:lineRule="auto"/>
        <w:tabs>
          <w:tab w:leader="none" w:pos="12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Registration Statement Amendments</w:t>
      </w:r>
      <w:r>
        <w:rPr>
          <w:rFonts w:ascii="Arial" w:cs="Arial" w:eastAsia="Arial" w:hAnsi="Arial"/>
          <w:sz w:val="19"/>
          <w:szCs w:val="19"/>
          <w:color w:val="auto"/>
        </w:rPr>
        <w:t>. After the date of this Agreement and during any period in which a Prospectus relating to any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(insofar as it related to the transactions contemplated hereby) or for additional information, (ii) the Company will prepare and file with the Commission, promptly upon Cowen’s request, any amendments or supplements to the Registration Statement or Prospectus that, in Cowen’s reasonable opinion, may be necessary or advisable in connection with the distribution of the Shares by Cowen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of Cowen to make such request shall not relieve the Company of any obligation or liability hereunder, or affect Cowen’s right to rely on the representations and warranties made by the Company in this Agreement or any Terms Agreement); (iii) the Company will not file any amendment or supplement to the Registration Statement or Prospectus, other than documents incorporated by reference, relating to the Shares or a security convertible into the Shares unless a copy thereof has been submitted to Cowen within a reasonable period of time before the filing and Cowen has not reasonably objected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the failure of Cowen to make such objection shall not relieve the Company of any obligation or liability hereunder, or affect Cowen’s right to rely on the representations and warranties made by the Company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770255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6" w:name="page187"/>
    <w:bookmarkEnd w:id="186"/>
    <w:p>
      <w:pPr>
        <w:jc w:val="both"/>
        <w:spacing w:after="0" w:line="271" w:lineRule="auto"/>
        <w:rPr>
          <w:sz w:val="20"/>
          <w:szCs w:val="20"/>
          <w:color w:val="auto"/>
        </w:rPr>
      </w:pPr>
      <w:r>
        <w:rPr>
          <w:rFonts w:ascii="Arial" w:cs="Arial" w:eastAsia="Arial" w:hAnsi="Arial"/>
          <w:sz w:val="19"/>
          <w:szCs w:val="19"/>
          <w:color w:val="auto"/>
        </w:rPr>
        <w:t>Agreement or any Terms Agreement, (B) the Company has no obligations to provide Cowen any advance copy of such filing or to provide Cowen an opportunity to object to such filing if the filing does not name Cowen and does not relate to the transactions herein provided, and (C) the only remedy Cowen shall have with respect to the failure by the Company to provide Cowen with such copy or the filing of such amendment or supplement despite Cowen’s objection shall be to cease making sales under this Agreement or any Terms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to file any amendment or supplement with the Commission under this Section 7(a) based on the Company’s reasonable opinion or reasonable objections, shall be made exclusively by the Company) and (v) prior to the termination of this Agreement, the Company will notify Cowen if at any time the Registration Statement shall no longer be effective as a result of the passage of time pursuant to Rule 415 under the Securities Act or otherwise.</w:t>
      </w:r>
    </w:p>
    <w:p>
      <w:pPr>
        <w:spacing w:after="0" w:line="200" w:lineRule="exact"/>
        <w:rPr>
          <w:sz w:val="20"/>
          <w:szCs w:val="20"/>
          <w:color w:val="auto"/>
        </w:rPr>
      </w:pPr>
    </w:p>
    <w:p>
      <w:pPr>
        <w:spacing w:after="0" w:line="203" w:lineRule="exact"/>
        <w:rPr>
          <w:sz w:val="20"/>
          <w:szCs w:val="20"/>
          <w:color w:val="auto"/>
        </w:rPr>
      </w:pPr>
    </w:p>
    <w:p>
      <w:pPr>
        <w:jc w:val="both"/>
        <w:ind w:firstLine="656"/>
        <w:spacing w:after="0" w:line="248" w:lineRule="auto"/>
        <w:tabs>
          <w:tab w:leader="none" w:pos="1296"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Notice of Commission Stop Orders</w:t>
      </w:r>
      <w:r>
        <w:rPr>
          <w:rFonts w:ascii="Arial" w:cs="Arial" w:eastAsia="Arial" w:hAnsi="Arial"/>
          <w:sz w:val="21"/>
          <w:szCs w:val="21"/>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76"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xml:space="preserve">. During any period in which a Prospectus relating to the Shares is required to be delivered by Cowen under the Securities Act with respect to a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may delay any such amendment or supplement if, in the reasonable judgment of the Company, it is in the best interest of the Company to do so, provided that no Placement Notice is in effect during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7" w:name="page188"/>
    <w:bookmarkEnd w:id="187"/>
    <w:p>
      <w:pPr>
        <w:jc w:val="both"/>
        <w:ind w:left="-8" w:firstLine="656"/>
        <w:spacing w:after="0" w:line="275" w:lineRule="auto"/>
        <w:tabs>
          <w:tab w:leader="none" w:pos="1288"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Listing of Shares</w:t>
      </w:r>
      <w:r>
        <w:rPr>
          <w:rFonts w:ascii="Arial" w:cs="Arial" w:eastAsia="Arial" w:hAnsi="Arial"/>
          <w:sz w:val="19"/>
          <w:szCs w:val="19"/>
          <w:color w:val="auto"/>
        </w:rPr>
        <w:t xml:space="preserve">. During any period in which the Prospectus relating to the Shares is required to be delivered by Cowen under the Securities Act with respect to a pending sale of the Shares (including in circumstances where such requirement may be satisfied pursuant to Rule 172 under the Securities Act), the Company will use its commercially reasonable efforts to cause the Shares to be listed on Nasdaq and to qualify the Shares for sale under the securities laws of such jurisdictions as Cowen reasonably designates and to continue such qualifications in effect so long as required for the distribution of the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shall not be required in connection therewith to qualify as a foreign corporation or dealer in securities or file a general consent to service of process in any jurisdiction.</w:t>
      </w:r>
    </w:p>
    <w:p>
      <w:pPr>
        <w:spacing w:after="0" w:line="157" w:lineRule="exact"/>
        <w:rPr>
          <w:rFonts w:ascii="Arial" w:cs="Arial" w:eastAsia="Arial" w:hAnsi="Arial"/>
          <w:sz w:val="19"/>
          <w:szCs w:val="19"/>
          <w:color w:val="auto"/>
        </w:rPr>
      </w:pPr>
    </w:p>
    <w:p>
      <w:pPr>
        <w:jc w:val="both"/>
        <w:ind w:left="-8" w:firstLine="656"/>
        <w:spacing w:after="0" w:line="273" w:lineRule="auto"/>
        <w:tabs>
          <w:tab w:leader="none" w:pos="1288"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w:t>
      </w:r>
      <w:r>
        <w:rPr>
          <w:rFonts w:ascii="Arial" w:cs="Arial" w:eastAsia="Arial" w:hAnsi="Arial"/>
          <w:sz w:val="19"/>
          <w:szCs w:val="19"/>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Shares may be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the Company shall not be required to furnish any document (other than the Prospectus) to Cowen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extent such document is available on EDGAR.</w:t>
      </w:r>
    </w:p>
    <w:p>
      <w:pPr>
        <w:spacing w:after="0" w:line="160" w:lineRule="exact"/>
        <w:rPr>
          <w:rFonts w:ascii="Arial" w:cs="Arial" w:eastAsia="Arial" w:hAnsi="Arial"/>
          <w:sz w:val="19"/>
          <w:szCs w:val="19"/>
          <w:color w:val="auto"/>
        </w:rPr>
      </w:pPr>
    </w:p>
    <w:p>
      <w:pPr>
        <w:jc w:val="both"/>
        <w:ind w:left="-8" w:firstLine="656"/>
        <w:spacing w:after="0" w:line="249" w:lineRule="auto"/>
        <w:tabs>
          <w:tab w:leader="none" w:pos="1288"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Earnings Statement</w:t>
      </w:r>
      <w:r>
        <w:rPr>
          <w:rFonts w:ascii="Arial" w:cs="Arial" w:eastAsia="Arial" w:hAnsi="Arial"/>
          <w:sz w:val="21"/>
          <w:szCs w:val="21"/>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For the avoidance of doubt, the Company’s compliance with the reporting requirements of the Exchange Act shall be deemed to satisfy this Section 7(f).</w:t>
      </w:r>
    </w:p>
    <w:p>
      <w:pPr>
        <w:spacing w:after="0" w:line="178" w:lineRule="exact"/>
        <w:rPr>
          <w:rFonts w:ascii="Arial" w:cs="Arial" w:eastAsia="Arial" w:hAnsi="Arial"/>
          <w:sz w:val="21"/>
          <w:szCs w:val="21"/>
          <w:color w:val="auto"/>
        </w:rPr>
      </w:pPr>
    </w:p>
    <w:p>
      <w:pPr>
        <w:jc w:val="both"/>
        <w:ind w:left="-8" w:firstLine="656"/>
        <w:spacing w:after="0" w:line="269" w:lineRule="auto"/>
        <w:tabs>
          <w:tab w:leader="none" w:pos="1288"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whether or not the transactions contemplated hereunder are consummated or this Agreement is terminated, in accordance with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Shares, (iii) the qualification of the Shares under securities laws in accordance with the provisions of </w:t>
      </w:r>
      <w:r>
        <w:rPr>
          <w:rFonts w:ascii="Arial" w:cs="Arial" w:eastAsia="Arial" w:hAnsi="Arial"/>
          <w:sz w:val="19"/>
          <w:szCs w:val="19"/>
          <w:u w:val="single" w:color="auto"/>
          <w:color w:val="auto"/>
        </w:rPr>
        <w:t>Section 7(d)</w:t>
      </w:r>
      <w:r>
        <w:rPr>
          <w:rFonts w:ascii="Arial" w:cs="Arial" w:eastAsia="Arial" w:hAnsi="Arial"/>
          <w:sz w:val="19"/>
          <w:szCs w:val="19"/>
          <w:color w:val="auto"/>
        </w:rPr>
        <w:t xml:space="preserve"> of this Agreement, including filing fees (provided, however, that any fees or disbursements of counsel for Cowen in connection therewith shall be paid by Cowen except as set forth in clause</w:t>
      </w:r>
    </w:p>
    <w:p>
      <w:pPr>
        <w:spacing w:after="0" w:line="2" w:lineRule="exact"/>
        <w:rPr>
          <w:rFonts w:ascii="Arial" w:cs="Arial" w:eastAsia="Arial" w:hAnsi="Arial"/>
          <w:sz w:val="19"/>
          <w:szCs w:val="19"/>
          <w:color w:val="auto"/>
        </w:rPr>
      </w:pPr>
    </w:p>
    <w:p>
      <w:pPr>
        <w:jc w:val="both"/>
        <w:ind w:left="-8" w:firstLine="8"/>
        <w:spacing w:after="0" w:line="266" w:lineRule="auto"/>
        <w:tabs>
          <w:tab w:leader="none" w:pos="47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below), (iv) the printing and delivery to Cowen of copies of the Prospectus and any amendments or supplements thereto, and of this Agreement and any Terms Agreement, (v) the fees and expenses incurred in connection with the listing or qualification of the Shares for trading on Nasdaq, (vi) the filing fees and expenses, if any, of the Commission, (vii) the filing fees and associated legal expenses of Cowen’s outside counsel for filings with the FINRA Corporate Financing Department, such legal expense reimbursement not to exceed $10,000 and,</w:t>
      </w:r>
    </w:p>
    <w:p>
      <w:pPr>
        <w:spacing w:after="0" w:line="4" w:lineRule="exact"/>
        <w:rPr>
          <w:rFonts w:ascii="Arial" w:cs="Arial" w:eastAsia="Arial" w:hAnsi="Arial"/>
          <w:sz w:val="19"/>
          <w:szCs w:val="19"/>
          <w:color w:val="auto"/>
        </w:rPr>
      </w:pPr>
    </w:p>
    <w:p>
      <w:pPr>
        <w:ind w:left="492" w:hanging="492"/>
        <w:spacing w:after="0"/>
        <w:tabs>
          <w:tab w:leader="none" w:pos="49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reasonable fees and disbursements of Cowen’s outside counsel in an amount not to exceed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652145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61" w:right="999" w:bottom="1440" w:gutter="0" w:footer="0" w:header="0"/>
        </w:sectPr>
      </w:pPr>
    </w:p>
    <w:bookmarkStart w:id="188" w:name="page189"/>
    <w:bookmarkEnd w:id="188"/>
    <w:p>
      <w:pPr>
        <w:ind w:left="-460" w:right="20" w:firstLine="656"/>
        <w:spacing w:after="0" w:line="250" w:lineRule="auto"/>
        <w:tabs>
          <w:tab w:leader="none" w:pos="83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74" w:lineRule="exact"/>
        <w:rPr>
          <w:rFonts w:ascii="Arial" w:cs="Arial" w:eastAsia="Arial" w:hAnsi="Arial"/>
          <w:sz w:val="22"/>
          <w:szCs w:val="22"/>
          <w:color w:val="auto"/>
        </w:rPr>
      </w:pPr>
    </w:p>
    <w:p>
      <w:pPr>
        <w:jc w:val="both"/>
        <w:ind w:left="-460" w:firstLine="656"/>
        <w:spacing w:after="0" w:line="270" w:lineRule="auto"/>
        <w:tabs>
          <w:tab w:leader="none" w:pos="83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xml:space="preserve">. During the pendency of any Placement Notice given hereunder, and for three (3)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Shares offered pursuant to the provisions of this Agreement or any Terms Agreement) or securities convertible into or exchangeable for Common Stock, warrants or any rights to purchase or acquire Common Stock; </w:t>
      </w:r>
      <w:r>
        <w:rPr>
          <w:rFonts w:ascii="Arial" w:cs="Arial" w:eastAsia="Arial" w:hAnsi="Arial"/>
          <w:sz w:val="19"/>
          <w:szCs w:val="19"/>
          <w:i w:val="1"/>
          <w:iCs w:val="1"/>
          <w:color w:val="auto"/>
        </w:rPr>
        <w:t>provided</w:t>
      </w:r>
      <w:r>
        <w:rPr>
          <w:rFonts w:ascii="Arial" w:cs="Arial" w:eastAsia="Arial" w:hAnsi="Arial"/>
          <w:sz w:val="19"/>
          <w:szCs w:val="19"/>
          <w:color w:val="auto"/>
        </w:rPr>
        <w:t>, that such notice shall not be required in connection with (i) the issuance, grant or sale of Common Stock, options to purchase shares of Common Stock, restricted stock units or Common Stock issuable upon the exercise of options or the vesting and settlement of restricted stock units or other equity awards pursuant to any stock option, stock bonus, employee stock purchase plan or other stock plan or arrangement described in the Prospectus or pursuant to any qualifying inducement award under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(iv) the issuance of any shares of Common Stock issuable upon the exchange, conversion or redemption of securities or the exercise of warrants, options or other rights in effect or outstanding or (v) the issuance or sale of shares of Common Stock, or securities convertible into or exercisable for Common Stock, offered and sold in a privately negotiated transaction to vendors, customers, investors, strategic partners or potential strategic partners, financial institutions or other lenders in connection with debt arrangements, and otherwise conducted in a manner so as not to be integrated with the offering of Common Stock hereby. For avoidance of doubt, nothing herein shall be construed to restrict the Company’s ability, or require the Company to provide notice to Cowen, to file a registration statement with the Commission.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60" w:firstLine="656"/>
        <w:spacing w:after="0" w:line="249" w:lineRule="auto"/>
        <w:tabs>
          <w:tab w:leader="none" w:pos="836"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Change of Circumstances</w:t>
      </w:r>
      <w:r>
        <w:rPr>
          <w:rFonts w:ascii="Arial" w:cs="Arial" w:eastAsia="Arial" w:hAnsi="Arial"/>
          <w:sz w:val="21"/>
          <w:szCs w:val="21"/>
          <w:color w:val="auto"/>
        </w:rPr>
        <w:t>. The Company will, at any time during a fiscal quarter in which the Company intends to tender a Placement Notice or sell Shares hereunder or pursuant to a Terms Agreement, advise Cowen promptly after it shall have received notice or obtained knowledge thereof, of any information or fact that would alter or affect in any material respect any opinion, certificate, letter or other document provided to Cowen pursuant to this Agreement or any Terms Agreement.</w:t>
      </w:r>
    </w:p>
    <w:p>
      <w:pPr>
        <w:spacing w:after="0" w:line="178" w:lineRule="exact"/>
        <w:rPr>
          <w:rFonts w:ascii="Arial" w:cs="Arial" w:eastAsia="Arial" w:hAnsi="Arial"/>
          <w:sz w:val="21"/>
          <w:szCs w:val="21"/>
          <w:color w:val="auto"/>
        </w:rPr>
      </w:pPr>
    </w:p>
    <w:p>
      <w:pPr>
        <w:jc w:val="both"/>
        <w:ind w:left="-460" w:firstLine="656"/>
        <w:spacing w:after="0" w:line="249" w:lineRule="auto"/>
        <w:tabs>
          <w:tab w:leader="none" w:pos="836"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Due Diligence Cooperation</w:t>
      </w:r>
      <w:r>
        <w:rPr>
          <w:rFonts w:ascii="Arial" w:cs="Arial" w:eastAsia="Arial" w:hAnsi="Arial"/>
          <w:sz w:val="21"/>
          <w:szCs w:val="21"/>
          <w:color w:val="auto"/>
        </w:rPr>
        <w:t>. During the Term of this Agreement or any Terms Agreement, the Company will cooperate with any reasonable due diligence review conducted by Cowen or its agents in connection with the transactions contemplated hereby or by any Terms Agreement, including, without limitation, providing information and making available documents and senior corporate officers, during regular business hours and at the Company’s principal offices, as Cowen may reasonably request.</w:t>
      </w:r>
    </w:p>
    <w:p>
      <w:pPr>
        <w:spacing w:after="0" w:line="178" w:lineRule="exact"/>
        <w:rPr>
          <w:rFonts w:ascii="Arial" w:cs="Arial" w:eastAsia="Arial" w:hAnsi="Arial"/>
          <w:sz w:val="21"/>
          <w:szCs w:val="21"/>
          <w:color w:val="auto"/>
        </w:rPr>
      </w:pPr>
    </w:p>
    <w:p>
      <w:pPr>
        <w:jc w:val="both"/>
        <w:ind w:left="-460" w:firstLine="656"/>
        <w:spacing w:after="0" w:line="235" w:lineRule="auto"/>
        <w:tabs>
          <w:tab w:leader="none" w:pos="83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Required Filings Relating to Sale of Shares</w:t>
      </w:r>
      <w:r>
        <w:rPr>
          <w:rFonts w:ascii="Arial" w:cs="Arial" w:eastAsia="Arial" w:hAnsi="Arial"/>
          <w:sz w:val="22"/>
          <w:szCs w:val="22"/>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22"/>
          <w:szCs w:val="22"/>
          <w:b w:val="1"/>
          <w:bCs w:val="1"/>
          <w:u w:val="single" w:color="auto"/>
          <w:color w:val="auto"/>
        </w:rPr>
        <w:t>Filing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 and (ii) at Cowen’s request, deliver such number of copies of each such prospectus supplement to each</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or market on which such sales were effected as may be required by the rules or regulations of such exchange or market.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629920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189" w:name="page190"/>
    <w:bookmarkEnd w:id="189"/>
    <w:p>
      <w:pPr>
        <w:jc w:val="both"/>
        <w:spacing w:after="0" w:line="282" w:lineRule="auto"/>
        <w:rPr>
          <w:sz w:val="20"/>
          <w:szCs w:val="20"/>
          <w:color w:val="auto"/>
        </w:rPr>
      </w:pPr>
      <w:r>
        <w:rPr>
          <w:rFonts w:ascii="Arial" w:cs="Arial" w:eastAsia="Arial" w:hAnsi="Arial"/>
          <w:sz w:val="19"/>
          <w:szCs w:val="19"/>
          <w:color w:val="auto"/>
        </w:rPr>
        <w:t>Company shall disclose in its Quarterly Reports on Form 10-Q and in its Annual Report on Form 10-K, the number of the Shares sold through Cowen under this Agreement and any Terms Agreement, and the Net Proceeds to the Company from the sale of the Shares and the compensation paid by the Company with respect to sales of the Shares pursuant to this Agreement during the relevant quarter or, in the case of an Annual Report on Form 10-K, during the fiscal year covered by such Annual Report and the fourth quarter of such fiscal year.</w:t>
      </w:r>
    </w:p>
    <w:p>
      <w:pPr>
        <w:spacing w:after="0" w:line="147" w:lineRule="exact"/>
        <w:rPr>
          <w:sz w:val="20"/>
          <w:szCs w:val="20"/>
          <w:color w:val="auto"/>
        </w:rPr>
      </w:pPr>
    </w:p>
    <w:p>
      <w:pPr>
        <w:jc w:val="both"/>
        <w:ind w:firstLine="656"/>
        <w:spacing w:after="0" w:line="269" w:lineRule="auto"/>
        <w:tabs>
          <w:tab w:leader="none" w:pos="1296"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Bring-Down Dates; Certificate</w:t>
      </w:r>
      <w:r>
        <w:rPr>
          <w:rFonts w:ascii="Arial" w:cs="Arial" w:eastAsia="Arial" w:hAnsi="Arial"/>
          <w:sz w:val="19"/>
          <w:szCs w:val="19"/>
          <w:color w:val="auto"/>
        </w:rPr>
        <w:t xml:space="preserve">. On or prior to the First Delivery Date and each time (i) the Company files the Prospectus relating to the Shares or amends or supplements the Registration Statement or the Prospectus relating to the Shares (other than a prospectus supplement filed in accordance with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of this Agreement) by means of a post-effective amendment, sticker, or supplement but not by means of incorporation of document(s) by reference to the Registration Statement or the Prospectus relating to the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information “furnished” pursuant to Items 2.02 or 7.01 of Form 8-K) under the Exchange Act (each date of filing of one or more of the documents referred to in clauses (i) through (iv) shall be a “</w:t>
      </w:r>
      <w:r>
        <w:rPr>
          <w:rFonts w:ascii="Arial" w:cs="Arial" w:eastAsia="Arial" w:hAnsi="Arial"/>
          <w:sz w:val="19"/>
          <w:szCs w:val="19"/>
          <w:b w:val="1"/>
          <w:bCs w:val="1"/>
          <w:u w:val="single" w:color="auto"/>
          <w:color w:val="auto"/>
        </w:rPr>
        <w:t>Bring-Down Date</w:t>
      </w:r>
      <w:r>
        <w:rPr>
          <w:rFonts w:ascii="Arial" w:cs="Arial" w:eastAsia="Arial" w:hAnsi="Arial"/>
          <w:sz w:val="19"/>
          <w:szCs w:val="19"/>
          <w:color w:val="auto"/>
        </w:rPr>
        <w:t xml:space="preserve">”); the Company shall furnish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within three (3) Trading Days of any Bring-Down Date if requested by Cowen. The requirement to provide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shall be automatically waived for any Bring-Down Date occurring at a time at which no Agency Transaction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waiver shall not apply for any Bring-Down Date on which the Company files its annual report on Form 10-K. Notwithstanding the foregoing, if the Company subsequently decides to sell Shares in an Agency Transaction following a Bring-Down Date when the Company relied on such waiver and did not provide Cowen with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then before the Company delivers the Placement Notice or Cowen sells any Shares pursuant to such Agency Transaction, the Company shall provide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dated the date of the Placement Notice. With respect to any Principal Transaction pursuant to a Terms Agreement, the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shall be delivered at the Principal Settlement Date.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656"/>
        <w:spacing w:after="0" w:line="244" w:lineRule="auto"/>
        <w:tabs>
          <w:tab w:leader="none" w:pos="1296"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Legal Opinion</w:t>
      </w:r>
      <w:r>
        <w:rPr>
          <w:rFonts w:ascii="Arial" w:cs="Arial" w:eastAsia="Arial" w:hAnsi="Arial"/>
          <w:sz w:val="21"/>
          <w:szCs w:val="21"/>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xml:space="preserve"> for which no waiver is applicable, the Company shall cause to be furnished to Cowen a written opinion of Goodwin Procter LLP (“</w:t>
      </w:r>
      <w:r>
        <w:rPr>
          <w:rFonts w:ascii="Arial" w:cs="Arial" w:eastAsia="Arial" w:hAnsi="Arial"/>
          <w:sz w:val="21"/>
          <w:szCs w:val="21"/>
          <w:u w:val="single" w:color="auto"/>
          <w:color w:val="auto"/>
        </w:rPr>
        <w:t>Company Counsel</w:t>
      </w:r>
      <w:r>
        <w:rPr>
          <w:rFonts w:ascii="Arial" w:cs="Arial" w:eastAsia="Arial" w:hAnsi="Arial"/>
          <w:sz w:val="21"/>
          <w:szCs w:val="21"/>
          <w:color w:val="auto"/>
        </w:rPr>
        <w:t xml:space="preserve">”), or other counsel reasonably satisfactory to Cowen, in form and substance satisfactory to Cowen and its counsel, dated the date that the opinion is required to be delivered, modified, as necessary, to relate to the Registration Statement and the Prospectus as then amended or supplemented;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lieu of such opinions for subsequent Bring-Down Dates, counsel may furnish Cowen with a letter (a “</w:t>
      </w:r>
      <w:r>
        <w:rPr>
          <w:rFonts w:ascii="Arial" w:cs="Arial" w:eastAsia="Arial" w:hAnsi="Arial"/>
          <w:sz w:val="21"/>
          <w:szCs w:val="21"/>
          <w:b w:val="1"/>
          <w:bCs w:val="1"/>
          <w:u w:val="single" w:color="auto"/>
          <w:color w:val="auto"/>
        </w:rPr>
        <w:t>Reliance Letter</w:t>
      </w:r>
      <w:r>
        <w:rPr>
          <w:rFonts w:ascii="Arial" w:cs="Arial" w:eastAsia="Arial" w:hAnsi="Arial"/>
          <w:sz w:val="21"/>
          <w:szCs w:val="21"/>
          <w:color w:val="auto"/>
        </w:rPr>
        <w:t xml:space="preserve">”) to the effect that Cowen may rely on a prior opinion delivered under this </w:t>
      </w:r>
      <w:r>
        <w:rPr>
          <w:rFonts w:ascii="Arial" w:cs="Arial" w:eastAsia="Arial" w:hAnsi="Arial"/>
          <w:sz w:val="21"/>
          <w:szCs w:val="21"/>
          <w:u w:val="single" w:color="auto"/>
          <w:color w:val="auto"/>
        </w:rPr>
        <w:t>Section 7(n)</w:t>
      </w:r>
      <w:r>
        <w:rPr>
          <w:rFonts w:ascii="Arial" w:cs="Arial" w:eastAsia="Arial" w:hAnsi="Arial"/>
          <w:sz w:val="21"/>
          <w:szCs w:val="21"/>
          <w:color w:val="auto"/>
        </w:rPr>
        <w:t xml:space="preserve"> to the same extent as if it were dated the date of such letter (except that statements in such prior opinion shall be deemed to relate to the Registration Statement and the Prospectus as amended or supplemented at such Bring-Down Date). With respect to any Principal Transaction pursuant to a Terms Agreement,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0" w:name="page191"/>
    <w:bookmarkEnd w:id="190"/>
    <w:p>
      <w:pPr>
        <w:jc w:val="both"/>
        <w:spacing w:after="0"/>
        <w:rPr>
          <w:sz w:val="20"/>
          <w:szCs w:val="20"/>
          <w:color w:val="auto"/>
        </w:rPr>
      </w:pPr>
      <w:r>
        <w:rPr>
          <w:rFonts w:ascii="Arial" w:cs="Arial" w:eastAsia="Arial" w:hAnsi="Arial"/>
          <w:sz w:val="22"/>
          <w:szCs w:val="22"/>
          <w:color w:val="auto"/>
        </w:rPr>
        <w:t>shall cause to be furnished to Cowen on the Principal Settlement Date a written opinion of Company Counsel, or other counsel satisfactory to Cowen, in form and substance satisfactory to Cowen and its counsel, dated the Principal Settlement Date.</w:t>
      </w:r>
    </w:p>
    <w:p>
      <w:pPr>
        <w:spacing w:after="0" w:line="186" w:lineRule="exact"/>
        <w:rPr>
          <w:sz w:val="20"/>
          <w:szCs w:val="20"/>
          <w:color w:val="auto"/>
        </w:rPr>
      </w:pPr>
    </w:p>
    <w:p>
      <w:pPr>
        <w:jc w:val="both"/>
        <w:ind w:firstLine="656"/>
        <w:spacing w:after="0" w:line="271"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Intellectual Property Opinion</w:t>
      </w:r>
      <w:r>
        <w:rPr>
          <w:rFonts w:ascii="Arial" w:cs="Arial" w:eastAsia="Arial" w:hAnsi="Arial"/>
          <w:sz w:val="19"/>
          <w:szCs w:val="19"/>
          <w:color w:val="auto"/>
        </w:rPr>
        <w:t xml:space="preserve">. On or prior to the First Delivery Date and within five (5) Trading Days of each Representation Date with respect to which the Company is obligated to deliver a certificate pursuant to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(other than pursuant to </w:t>
      </w:r>
      <w:r>
        <w:rPr>
          <w:rFonts w:ascii="Arial" w:cs="Arial" w:eastAsia="Arial" w:hAnsi="Arial"/>
          <w:sz w:val="19"/>
          <w:szCs w:val="19"/>
          <w:u w:val="single" w:color="auto"/>
          <w:color w:val="auto"/>
        </w:rPr>
        <w:t>Section 7(m)(iii)</w:t>
      </w:r>
      <w:r>
        <w:rPr>
          <w:rFonts w:ascii="Arial" w:cs="Arial" w:eastAsia="Arial" w:hAnsi="Arial"/>
          <w:sz w:val="19"/>
          <w:szCs w:val="19"/>
          <w:color w:val="auto"/>
        </w:rPr>
        <w:t>) and for which no waiver is applicable, the Company shall cause to be furnished to Cowen written opinions of McCarter &amp; English, LLP and Goodwin Procter LLP (“</w:t>
      </w:r>
      <w:r>
        <w:rPr>
          <w:rFonts w:ascii="Arial" w:cs="Arial" w:eastAsia="Arial" w:hAnsi="Arial"/>
          <w:sz w:val="19"/>
          <w:szCs w:val="19"/>
          <w:b w:val="1"/>
          <w:bCs w:val="1"/>
          <w:u w:val="single" w:color="auto"/>
          <w:color w:val="auto"/>
        </w:rPr>
        <w:t>Company IP Counsel</w:t>
      </w:r>
      <w:r>
        <w:rPr>
          <w:rFonts w:ascii="Arial" w:cs="Arial" w:eastAsia="Arial" w:hAnsi="Arial"/>
          <w:sz w:val="19"/>
          <w:szCs w:val="19"/>
          <w:color w:val="auto"/>
        </w:rPr>
        <w:t>”), or other counsel reasonably satisfactory to Cowen, in form and substance reasonably satisfactory to Cowen and its counsel, substantially similar to the form previously provided to Cowen and its counsel, modified, as necessary, to relate to the Registration Statement and the Prospectus as then amended or supplemented and dated as of the date that such certificate is required to be delivered; provided, however, the Company shall be required to furnish to Cowen no more than one set of opinions hereunder per calendar year; provided, further, that in lieu of such opinions for subsequent Representation Dates on which Company IP Counsel are obligated to deliver opinions hereunder, counsel may furnish Cowen with a letter (an “</w:t>
      </w:r>
      <w:r>
        <w:rPr>
          <w:rFonts w:ascii="Arial" w:cs="Arial" w:eastAsia="Arial" w:hAnsi="Arial"/>
          <w:sz w:val="19"/>
          <w:szCs w:val="19"/>
          <w:b w:val="1"/>
          <w:bCs w:val="1"/>
          <w:u w:val="single" w:color="auto"/>
          <w:color w:val="auto"/>
        </w:rPr>
        <w:t>IP Reliance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Letter</w:t>
      </w:r>
      <w:r>
        <w:rPr>
          <w:rFonts w:ascii="Arial" w:cs="Arial" w:eastAsia="Arial" w:hAnsi="Arial"/>
          <w:sz w:val="19"/>
          <w:szCs w:val="19"/>
          <w:color w:val="auto"/>
        </w:rPr>
        <w:t>”) to the effect that Cowen may rely on a prior opinion delivered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7(o)</w:t>
      </w:r>
      <w:r>
        <w:rPr>
          <w:rFonts w:ascii="Arial" w:cs="Arial" w:eastAsia="Arial" w:hAnsi="Arial"/>
          <w:sz w:val="19"/>
          <w:szCs w:val="19"/>
          <w:b w:val="1"/>
          <w:bCs w:val="1"/>
          <w:color w:val="auto"/>
        </w:rPr>
        <w:t xml:space="preserve"> </w:t>
      </w:r>
      <w:r>
        <w:rPr>
          <w:rFonts w:ascii="Arial" w:cs="Arial" w:eastAsia="Arial" w:hAnsi="Arial"/>
          <w:sz w:val="19"/>
          <w:szCs w:val="19"/>
          <w:color w:val="auto"/>
        </w:rPr>
        <w:t>to the same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as if it were dated the date of such letter (except that statements in such prior opinion shall be deemed to relate to the Registration Statement and the Prospectus as amended or supplemented as of the date of the IP Reliance Letter).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for which no waiver is applicable, the Company shall cause its independent accountants to furnish Cowen letters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Comfort Letters</w:t>
      </w:r>
      <w:r>
        <w:rPr>
          <w:rFonts w:ascii="Arial" w:cs="Arial" w:eastAsia="Arial" w:hAnsi="Arial"/>
          <w:sz w:val="19"/>
          <w:szCs w:val="19"/>
          <w:b w:val="1"/>
          <w:bCs w:val="1"/>
          <w:color w:val="auto"/>
        </w:rPr>
        <w:t>”</w:t>
      </w:r>
      <w:r>
        <w:rPr>
          <w:rFonts w:ascii="Arial" w:cs="Arial" w:eastAsia="Arial" w:hAnsi="Arial"/>
          <w:sz w:val="19"/>
          <w:szCs w:val="19"/>
          <w:color w:val="auto"/>
        </w:rPr>
        <w:t xml:space="preserve">), dated the date the Comfort Letter is delivered, in form and substance reasonably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Initial Comfort Letter</w:t>
      </w:r>
      <w:r>
        <w:rPr>
          <w:rFonts w:ascii="Arial" w:cs="Arial" w:eastAsia="Arial" w:hAnsi="Arial"/>
          <w:sz w:val="19"/>
          <w:szCs w:val="19"/>
          <w:b w:val="1"/>
          <w:bCs w:val="1"/>
          <w:color w:val="auto"/>
        </w:rPr>
        <w:t>”</w:t>
      </w:r>
      <w:r>
        <w:rPr>
          <w:rFonts w:ascii="Arial" w:cs="Arial" w:eastAsia="Arial" w:hAnsi="Arial"/>
          <w:sz w:val="19"/>
          <w:szCs w:val="19"/>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provided, however, that (i) Cowen has provided the Company’s independent accountants with a representation letter reasonably satisfactory to the Company’s independent accountants and (ii) any such comfort letter will only be required on the Bring-Down Date to the extent that it contains financial statements filed with the Commission under the Exchange Act and incorporated or deemed to be incorporated by reference into a Prospectus. The Company shall not be required to furnish more than one comfort letter hereunder per annual report on Form 10-K and quarterly report on Form 10-Q filed by the Company in connection with an Agency Transaction. With respect to any Principal Transaction pursuant to a Terms Agreement, the Company shall cause its independent accountants to furnish Cowen, in form and substance satisfactory to Cowen, Comfort Letters at the Time of Sale, dated the date of such Time of Sale, and on the Principal Settlement Date, dated the Principal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1" w:name="page192"/>
    <w:bookmarkEnd w:id="191"/>
    <w:p>
      <w:pPr>
        <w:jc w:val="both"/>
        <w:ind w:left="-460" w:firstLine="656"/>
        <w:spacing w:after="0" w:line="234" w:lineRule="auto"/>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Shares or (ii) sell, bid for, or purchase the Common Stock to be issued and sold pursuant to this Agreement or any Terms Agreement, or pay anyone any compensation for soliciting purchases of the Shares other than Cowen; provided, however, that the Company may bid for and purchase shares of its Common Stock in accordance with Rule 10b-18 under the Exchange Act.</w:t>
      </w:r>
    </w:p>
    <w:p>
      <w:pPr>
        <w:spacing w:after="0" w:line="190" w:lineRule="exact"/>
        <w:rPr>
          <w:rFonts w:ascii="Arial" w:cs="Arial" w:eastAsia="Arial" w:hAnsi="Arial"/>
          <w:sz w:val="22"/>
          <w:szCs w:val="22"/>
          <w:color w:val="auto"/>
        </w:rPr>
      </w:pPr>
    </w:p>
    <w:p>
      <w:pPr>
        <w:jc w:val="both"/>
        <w:ind w:left="-460" w:firstLine="656"/>
        <w:spacing w:after="0"/>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and in such amounts as in the Company’s reasonable judgement is reasonable and customary for the business for which it is engaged.</w:t>
      </w:r>
    </w:p>
    <w:p>
      <w:pPr>
        <w:spacing w:after="0" w:line="186" w:lineRule="exact"/>
        <w:rPr>
          <w:rFonts w:ascii="Arial" w:cs="Arial" w:eastAsia="Arial" w:hAnsi="Arial"/>
          <w:sz w:val="22"/>
          <w:szCs w:val="22"/>
          <w:color w:val="auto"/>
        </w:rPr>
      </w:pPr>
    </w:p>
    <w:p>
      <w:pPr>
        <w:jc w:val="both"/>
        <w:ind w:left="-460" w:firstLine="656"/>
        <w:spacing w:after="0" w:line="246" w:lineRule="auto"/>
        <w:tabs>
          <w:tab w:leader="none" w:pos="836"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84" w:lineRule="exact"/>
        <w:rPr>
          <w:rFonts w:ascii="Arial" w:cs="Arial" w:eastAsia="Arial" w:hAnsi="Arial"/>
          <w:sz w:val="21"/>
          <w:szCs w:val="21"/>
          <w:color w:val="auto"/>
        </w:rPr>
      </w:pPr>
    </w:p>
    <w:p>
      <w:pPr>
        <w:jc w:val="both"/>
        <w:ind w:left="-460" w:firstLine="656"/>
        <w:spacing w:after="0" w:line="287" w:lineRule="auto"/>
        <w:tabs>
          <w:tab w:leader="none" w:pos="83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42" w:lineRule="exact"/>
        <w:rPr>
          <w:rFonts w:ascii="Arial" w:cs="Arial" w:eastAsia="Arial" w:hAnsi="Arial"/>
          <w:sz w:val="19"/>
          <w:szCs w:val="19"/>
          <w:color w:val="auto"/>
        </w:rPr>
      </w:pPr>
    </w:p>
    <w:p>
      <w:pPr>
        <w:jc w:val="both"/>
        <w:ind w:left="-460" w:firstLine="656"/>
        <w:spacing w:after="0" w:line="238" w:lineRule="auto"/>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Securities Act and Exchange Act</w:t>
      </w:r>
      <w:r>
        <w:rPr>
          <w:rFonts w:ascii="Arial" w:cs="Arial" w:eastAsia="Arial" w:hAnsi="Arial"/>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Shares as contemplated by the provisions hereof and the Prospectus.</w:t>
      </w:r>
    </w:p>
    <w:p>
      <w:pPr>
        <w:spacing w:after="0" w:line="184" w:lineRule="exact"/>
        <w:rPr>
          <w:rFonts w:ascii="Arial" w:cs="Arial" w:eastAsia="Arial" w:hAnsi="Arial"/>
          <w:sz w:val="22"/>
          <w:szCs w:val="22"/>
          <w:color w:val="auto"/>
        </w:rPr>
      </w:pPr>
    </w:p>
    <w:p>
      <w:pPr>
        <w:jc w:val="both"/>
        <w:ind w:left="-460" w:firstLine="656"/>
        <w:spacing w:after="0" w:line="236" w:lineRule="auto"/>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 Offer to Sell</w:t>
      </w:r>
      <w:r>
        <w:rPr>
          <w:rFonts w:ascii="Arial" w:cs="Arial" w:eastAsia="Arial" w:hAnsi="Arial"/>
          <w:sz w:val="22"/>
          <w:szCs w:val="22"/>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87" w:lineRule="exact"/>
        <w:rPr>
          <w:rFonts w:ascii="Arial" w:cs="Arial" w:eastAsia="Arial" w:hAnsi="Arial"/>
          <w:sz w:val="22"/>
          <w:szCs w:val="22"/>
          <w:color w:val="auto"/>
        </w:rPr>
      </w:pPr>
    </w:p>
    <w:p>
      <w:pPr>
        <w:ind w:left="-460" w:firstLine="656"/>
        <w:spacing w:after="0" w:line="250" w:lineRule="auto"/>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best efforts to comply with all effective applicable provisions of the Sarbanes-Oxley Act.</w:t>
      </w:r>
    </w:p>
    <w:p>
      <w:pPr>
        <w:spacing w:after="0" w:line="174" w:lineRule="exact"/>
        <w:rPr>
          <w:rFonts w:ascii="Arial" w:cs="Arial" w:eastAsia="Arial" w:hAnsi="Arial"/>
          <w:sz w:val="22"/>
          <w:szCs w:val="22"/>
          <w:color w:val="auto"/>
        </w:rPr>
      </w:pPr>
    </w:p>
    <w:p>
      <w:pPr>
        <w:jc w:val="both"/>
        <w:ind w:left="-460" w:firstLine="656"/>
        <w:spacing w:after="0" w:line="236" w:lineRule="auto"/>
        <w:tabs>
          <w:tab w:leader="none" w:pos="83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Affirmation</w:t>
      </w:r>
      <w:r>
        <w:rPr>
          <w:rFonts w:ascii="Arial" w:cs="Arial" w:eastAsia="Arial" w:hAnsi="Arial"/>
          <w:sz w:val="22"/>
          <w:szCs w:val="22"/>
          <w:color w:val="auto"/>
        </w:rPr>
        <w:t>. Each Placement Notice delivered by the Company to Cowen and each execution and delivery by the Company of a Terms Agreement shall be deemed to be (i) an affirmation that the representations, warranties and agreements of the Company herein contained and contained in any certificate delivered to Cowen pursuant hereto are true and correct at the time of delivery of such Placement Notice or the date of such Terms Agreement,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492760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192" w:name="page193"/>
    <w:bookmarkEnd w:id="192"/>
    <w:p>
      <w:pPr>
        <w:jc w:val="both"/>
        <w:spacing w:after="0" w:line="236" w:lineRule="auto"/>
        <w:rPr>
          <w:sz w:val="20"/>
          <w:szCs w:val="20"/>
          <w:color w:val="auto"/>
        </w:rPr>
      </w:pPr>
      <w:r>
        <w:rPr>
          <w:rFonts w:ascii="Arial" w:cs="Arial" w:eastAsia="Arial" w:hAnsi="Arial"/>
          <w:sz w:val="22"/>
          <w:szCs w:val="22"/>
          <w:color w:val="auto"/>
        </w:rPr>
        <w:t>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or Terms Agreement, as the case may be).</w:t>
      </w:r>
    </w:p>
    <w:p>
      <w:pPr>
        <w:spacing w:after="0" w:line="208" w:lineRule="exact"/>
        <w:rPr>
          <w:sz w:val="20"/>
          <w:szCs w:val="20"/>
          <w:color w:val="auto"/>
        </w:rPr>
      </w:pPr>
    </w:p>
    <w:p>
      <w:pPr>
        <w:jc w:val="both"/>
        <w:ind w:firstLine="656"/>
        <w:spacing w:after="0" w:line="275"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Renewal</w:t>
      </w:r>
      <w:r>
        <w:rPr>
          <w:rFonts w:ascii="Arial" w:cs="Arial" w:eastAsia="Arial" w:hAnsi="Arial"/>
          <w:sz w:val="19"/>
          <w:szCs w:val="19"/>
          <w:color w:val="auto"/>
        </w:rPr>
        <w:t>. If immediately prior to the third anniversary (the “</w:t>
      </w:r>
      <w:r>
        <w:rPr>
          <w:rFonts w:ascii="Arial" w:cs="Arial" w:eastAsia="Arial" w:hAnsi="Arial"/>
          <w:sz w:val="19"/>
          <w:szCs w:val="19"/>
          <w:b w:val="1"/>
          <w:bCs w:val="1"/>
          <w:u w:val="single" w:color="auto"/>
          <w:color w:val="auto"/>
        </w:rPr>
        <w:t>Renewal Deadline</w:t>
      </w:r>
      <w:r>
        <w:rPr>
          <w:rFonts w:ascii="Arial" w:cs="Arial" w:eastAsia="Arial" w:hAnsi="Arial"/>
          <w:sz w:val="19"/>
          <w:szCs w:val="19"/>
          <w:color w:val="auto"/>
        </w:rPr>
        <w:t>”) of the initial effective date of the Registration Statement, the aggregate gross sales price of Shares sold by the Company is less than the Maximum Amount and this Agreement has not expired or been terminated, the Company will, prior to the Renewal Deadline, file, if it has not already done so and is eligible to do so, file a new shelf registration statement relating to the Shares, in a form reasonably satisfactory to Cowen, and, if not automatically effective, will use its commercially reasonable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shelf registration statement.</w:t>
      </w:r>
    </w:p>
    <w:p>
      <w:pPr>
        <w:spacing w:after="0" w:line="183" w:lineRule="exact"/>
        <w:rPr>
          <w:sz w:val="20"/>
          <w:szCs w:val="20"/>
          <w:color w:val="auto"/>
        </w:rPr>
      </w:pPr>
    </w:p>
    <w:p>
      <w:pPr>
        <w:jc w:val="both"/>
        <w:ind w:firstLine="656"/>
        <w:spacing w:after="0" w:line="248" w:lineRule="auto"/>
        <w:tabs>
          <w:tab w:leader="none" w:pos="1296"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Conditions to Cowen’s Obligations</w:t>
      </w:r>
      <w:r>
        <w:rPr>
          <w:rFonts w:ascii="Arial" w:cs="Arial" w:eastAsia="Arial" w:hAnsi="Arial"/>
          <w:sz w:val="21"/>
          <w:szCs w:val="21"/>
          <w:color w:val="auto"/>
        </w:rPr>
        <w:t>. The obligations of Cowen hereunder with respect to a Placement Notice or pursuant to any Terms Agreement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177" w:lineRule="exact"/>
        <w:rPr>
          <w:sz w:val="20"/>
          <w:szCs w:val="20"/>
          <w:color w:val="auto"/>
        </w:rPr>
      </w:pPr>
    </w:p>
    <w:p>
      <w:pPr>
        <w:jc w:val="both"/>
        <w:ind w:firstLine="656"/>
        <w:spacing w:after="0" w:line="276" w:lineRule="auto"/>
        <w:tabs>
          <w:tab w:leader="none" w:pos="1296"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Registration Statement Effective</w:t>
      </w:r>
      <w:r>
        <w:rPr>
          <w:rFonts w:ascii="Arial" w:cs="Arial" w:eastAsia="Arial" w:hAnsi="Arial"/>
          <w:sz w:val="19"/>
          <w:szCs w:val="19"/>
          <w:color w:val="auto"/>
        </w:rPr>
        <w:t>. The Registration Statement shall be effective and shall be available for (i) all sales of Shares issued pursuant to all prior Placement Notices or any Terms Agreements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sale of all Shares contemplated to be issued pursuant to Placement Notice or any Terms Agreement.</w:t>
      </w:r>
    </w:p>
    <w:p>
      <w:pPr>
        <w:spacing w:after="0" w:line="222" w:lineRule="exact"/>
        <w:rPr>
          <w:rFonts w:ascii="Arial" w:cs="Arial" w:eastAsia="Arial" w:hAnsi="Arial"/>
          <w:sz w:val="19"/>
          <w:szCs w:val="19"/>
          <w:color w:val="auto"/>
        </w:rPr>
      </w:pPr>
    </w:p>
    <w:p>
      <w:pPr>
        <w:jc w:val="both"/>
        <w:ind w:firstLine="656"/>
        <w:spacing w:after="0" w:line="271" w:lineRule="auto"/>
        <w:tabs>
          <w:tab w:leader="none" w:pos="1296"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3" w:name="page194"/>
    <w:bookmarkEnd w:id="193"/>
    <w:p>
      <w:pPr>
        <w:jc w:val="both"/>
        <w:spacing w:after="0"/>
        <w:rPr>
          <w:sz w:val="20"/>
          <w:szCs w:val="20"/>
          <w:color w:val="auto"/>
        </w:rPr>
      </w:pPr>
      <w:r>
        <w:rPr>
          <w:rFonts w:ascii="Arial" w:cs="Arial" w:eastAsia="Arial" w:hAnsi="Arial"/>
          <w:sz w:val="22"/>
          <w:szCs w:val="22"/>
          <w:color w:val="auto"/>
        </w:rPr>
        <w:t>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6" w:lineRule="exact"/>
        <w:rPr>
          <w:sz w:val="20"/>
          <w:szCs w:val="20"/>
          <w:color w:val="auto"/>
        </w:rPr>
      </w:pPr>
    </w:p>
    <w:p>
      <w:pPr>
        <w:jc w:val="both"/>
        <w:ind w:firstLine="656"/>
        <w:spacing w:after="0" w:line="287"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142"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Shares on the terms and in the manner contemplated in the Prospectus.</w:t>
      </w:r>
    </w:p>
    <w:p>
      <w:pPr>
        <w:spacing w:after="0" w:line="160" w:lineRule="exact"/>
        <w:rPr>
          <w:rFonts w:ascii="Arial" w:cs="Arial" w:eastAsia="Arial" w:hAnsi="Arial"/>
          <w:sz w:val="19"/>
          <w:szCs w:val="19"/>
          <w:color w:val="auto"/>
        </w:rPr>
      </w:pPr>
    </w:p>
    <w:p>
      <w:pPr>
        <w:jc w:val="both"/>
        <w:ind w:firstLine="656"/>
        <w:spacing w:after="0"/>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w:t>
      </w:r>
      <w:r>
        <w:rPr>
          <w:rFonts w:ascii="Arial" w:cs="Arial" w:eastAsia="Arial" w:hAnsi="Arial"/>
          <w:sz w:val="22"/>
          <w:szCs w:val="22"/>
          <w:color w:val="auto"/>
        </w:rPr>
        <w:t xml:space="preserve">. Cowen shall have received the opinions of Company Counsel required to be delivered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on or before the date on which such delivery of such opinion is required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Cowen Counsel Legal Opinion</w:t>
      </w:r>
      <w:r>
        <w:rPr>
          <w:rFonts w:ascii="Arial" w:cs="Arial" w:eastAsia="Arial" w:hAnsi="Arial"/>
          <w:sz w:val="22"/>
          <w:szCs w:val="22"/>
          <w:color w:val="auto"/>
        </w:rPr>
        <w:t xml:space="preserve">. Cowen shall have received from Latham &amp; Watkins LLP, counsel for Cowen, such opinion or opinions, on or before the date on which the delivery of the Company Counsel legal opinion is required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with respect to such matters as Cowen may reasonably require, and the Company shall have furnished to such counsel such documents as they request for enabling them to pass upon such matters.</w:t>
      </w:r>
    </w:p>
    <w:p>
      <w:pPr>
        <w:spacing w:after="0" w:line="187" w:lineRule="exact"/>
        <w:rPr>
          <w:rFonts w:ascii="Arial" w:cs="Arial" w:eastAsia="Arial" w:hAnsi="Arial"/>
          <w:sz w:val="22"/>
          <w:szCs w:val="22"/>
          <w:color w:val="auto"/>
        </w:rPr>
      </w:pPr>
    </w:p>
    <w:p>
      <w:pPr>
        <w:jc w:val="both"/>
        <w:ind w:firstLine="656"/>
        <w:spacing w:after="0"/>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Cowen shall have received the Comfort Letter required to be delivered pursuant to </w:t>
      </w:r>
      <w:r>
        <w:rPr>
          <w:rFonts w:ascii="Arial" w:cs="Arial" w:eastAsia="Arial" w:hAnsi="Arial"/>
          <w:sz w:val="22"/>
          <w:szCs w:val="22"/>
          <w:u w:val="single" w:color="auto"/>
          <w:color w:val="auto"/>
        </w:rPr>
        <w:t>Section 7(p)</w:t>
      </w:r>
      <w:r>
        <w:rPr>
          <w:rFonts w:ascii="Arial" w:cs="Arial" w:eastAsia="Arial" w:hAnsi="Arial"/>
          <w:sz w:val="22"/>
          <w:szCs w:val="22"/>
          <w:color w:val="auto"/>
        </w:rPr>
        <w:t xml:space="preserve"> on or before the date on which such delivery of such Comfort Letter is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7(p)</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Representation Certificate</w:t>
      </w:r>
      <w:r>
        <w:rPr>
          <w:rFonts w:ascii="Arial" w:cs="Arial" w:eastAsia="Arial" w:hAnsi="Arial"/>
          <w:sz w:val="22"/>
          <w:szCs w:val="22"/>
          <w:color w:val="auto"/>
        </w:rPr>
        <w:t xml:space="preserve">. Cowen shall have received the certificate required to be delivered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on or before the date on which delivery of such certificate is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7(m)</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On or prior to the First Delivery Date and at each Principal Settlement Date, Cowen shall have received a certificate, signed on behalf of the Company by its corporate secretary, in form and substance reasonably satisfactory to Cowen and its counsel.</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No Suspension</w:t>
      </w:r>
      <w:r>
        <w:rPr>
          <w:rFonts w:ascii="Arial" w:cs="Arial" w:eastAsia="Arial" w:hAnsi="Arial"/>
          <w:sz w:val="21"/>
          <w:szCs w:val="21"/>
          <w:color w:val="auto"/>
        </w:rPr>
        <w:t>. Trading in the Common Stock shall not have been suspended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648970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4" w:name="page195"/>
    <w:bookmarkEnd w:id="194"/>
    <w:p>
      <w:pPr>
        <w:jc w:val="both"/>
        <w:ind w:left="-460" w:firstLine="656"/>
        <w:spacing w:after="0" w:line="282" w:lineRule="auto"/>
        <w:tabs>
          <w:tab w:leader="none" w:pos="83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Other Materials</w:t>
      </w:r>
      <w:r>
        <w:rPr>
          <w:rFonts w:ascii="Arial" w:cs="Arial" w:eastAsia="Arial" w:hAnsi="Arial"/>
          <w:sz w:val="19"/>
          <w:szCs w:val="19"/>
          <w:color w:val="auto"/>
        </w:rPr>
        <w:t xml:space="preserve">. On each date on which the Company is required to deliver a certificate pursuant to </w:t>
      </w:r>
      <w:r>
        <w:rPr>
          <w:rFonts w:ascii="Arial" w:cs="Arial" w:eastAsia="Arial" w:hAnsi="Arial"/>
          <w:sz w:val="19"/>
          <w:szCs w:val="19"/>
          <w:u w:val="single" w:color="auto"/>
          <w:color w:val="auto"/>
        </w:rPr>
        <w:t>Section 7(m)</w:t>
      </w:r>
      <w:r>
        <w:rPr>
          <w:rFonts w:ascii="Arial" w:cs="Arial" w:eastAsia="Arial" w:hAnsi="Arial"/>
          <w:sz w:val="19"/>
          <w:szCs w:val="19"/>
          <w:color w:val="auto"/>
        </w:rPr>
        <w:t>, the Company shall have furnished to Cowen such appropriate further information, certificates and documents as Cowen may have reasonably requested. All such information, certificates and other documents shall have been in compliance with the provisions hereof. The Company will furnish Cowen with such conformed copies of such information, certificates and other documents as Cowen shall have reasonably requested.</w:t>
      </w:r>
    </w:p>
    <w:p>
      <w:pPr>
        <w:spacing w:after="0" w:line="147" w:lineRule="exact"/>
        <w:rPr>
          <w:rFonts w:ascii="Arial" w:cs="Arial" w:eastAsia="Arial" w:hAnsi="Arial"/>
          <w:sz w:val="19"/>
          <w:szCs w:val="19"/>
          <w:color w:val="auto"/>
        </w:rPr>
      </w:pPr>
    </w:p>
    <w:p>
      <w:pPr>
        <w:jc w:val="both"/>
        <w:ind w:left="-460" w:firstLine="656"/>
        <w:spacing w:after="0" w:line="235" w:lineRule="auto"/>
        <w:tabs>
          <w:tab w:leader="none" w:pos="83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required by Rule 424 under the Securities Act to have been filed prior to the issuance of any Placement Notice hereunder or prior to any Principal Settlement Date shall have been made within the applicable time period prescribed for such filing by Rule 424. The Company shall file a prospectus supplement or a supplement to a prospectus supplement in connection with any Principal Transaction pursuant to a Terms Agreement within the applicable time period prescribed for such filing by Rule 424.</w:t>
      </w:r>
    </w:p>
    <w:p>
      <w:pPr>
        <w:spacing w:after="0" w:line="187" w:lineRule="exact"/>
        <w:rPr>
          <w:rFonts w:ascii="Arial" w:cs="Arial" w:eastAsia="Arial" w:hAnsi="Arial"/>
          <w:sz w:val="22"/>
          <w:szCs w:val="22"/>
          <w:color w:val="auto"/>
        </w:rPr>
      </w:pPr>
    </w:p>
    <w:p>
      <w:pPr>
        <w:jc w:val="both"/>
        <w:ind w:left="-460" w:right="20" w:firstLine="656"/>
        <w:spacing w:after="0"/>
        <w:tabs>
          <w:tab w:leader="none" w:pos="83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Shares shall either have been (i) approved for listing on Nasdaq, subject only to notice of issuance, or (ii) the Company shall have filed an application for listing of the Shares on Nasdaq at, or prior to, the issuance of any Placement Notice.</w:t>
      </w:r>
    </w:p>
    <w:p>
      <w:pPr>
        <w:spacing w:after="0" w:line="186" w:lineRule="exact"/>
        <w:rPr>
          <w:rFonts w:ascii="Arial" w:cs="Arial" w:eastAsia="Arial" w:hAnsi="Arial"/>
          <w:sz w:val="22"/>
          <w:szCs w:val="22"/>
          <w:color w:val="auto"/>
        </w:rPr>
      </w:pPr>
    </w:p>
    <w:p>
      <w:pPr>
        <w:ind w:left="-460" w:firstLine="656"/>
        <w:spacing w:after="0" w:line="250" w:lineRule="auto"/>
        <w:tabs>
          <w:tab w:leader="none" w:pos="83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Cowen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175" w:lineRule="exact"/>
        <w:rPr>
          <w:sz w:val="20"/>
          <w:szCs w:val="20"/>
          <w:color w:val="auto"/>
        </w:rPr>
      </w:pPr>
    </w:p>
    <w:p>
      <w:pPr>
        <w:ind w:left="840" w:hanging="644"/>
        <w:spacing w:after="0"/>
        <w:tabs>
          <w:tab w:leader="none" w:pos="84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left="-460" w:firstLine="656"/>
        <w:spacing w:after="0" w:line="269" w:lineRule="auto"/>
        <w:tabs>
          <w:tab w:leader="none" w:pos="83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in connection with this Agreement or any Terms Agreement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or any Terms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agreement shall not apply to the extent that such loss, claim, liability, expense or damage arises from the sale of the Shares pursuant to this Agreement or any Terms Agreement and is caused directly or indirectly by an untrue statement or omission or alleged untrue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621665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195" w:name="page196"/>
    <w:bookmarkEnd w:id="195"/>
    <w:p>
      <w:pPr>
        <w:jc w:val="both"/>
        <w:spacing w:after="0" w:line="239" w:lineRule="auto"/>
        <w:rPr>
          <w:sz w:val="20"/>
          <w:szCs w:val="20"/>
          <w:color w:val="auto"/>
        </w:rPr>
      </w:pPr>
      <w:r>
        <w:rPr>
          <w:rFonts w:ascii="Arial" w:cs="Arial" w:eastAsia="Arial" w:hAnsi="Arial"/>
          <w:sz w:val="22"/>
          <w:szCs w:val="22"/>
          <w:color w:val="auto"/>
        </w:rPr>
        <w:t>made in reliance upon and in conformity with solely Agent’s Information. As used herein, “</w:t>
      </w:r>
      <w:r>
        <w:rPr>
          <w:rFonts w:ascii="Arial" w:cs="Arial" w:eastAsia="Arial" w:hAnsi="Arial"/>
          <w:sz w:val="22"/>
          <w:szCs w:val="22"/>
          <w:b w:val="1"/>
          <w:bCs w:val="1"/>
          <w:color w:val="auto"/>
        </w:rPr>
        <w:t>Agent’s Information</w:t>
      </w:r>
      <w:r>
        <w:rPr>
          <w:rFonts w:ascii="Arial" w:cs="Arial" w:eastAsia="Arial" w:hAnsi="Arial"/>
          <w:sz w:val="22"/>
          <w:szCs w:val="22"/>
          <w:color w:val="auto"/>
        </w:rPr>
        <w:t>” means, solely, the following information in the Prospectus: the ninth paragraph under the caption “Plan of Distribution” in the Prospectus. This indemnity agreement will be in addition to any liability that the Company might otherwise have.</w:t>
      </w:r>
    </w:p>
    <w:p>
      <w:pPr>
        <w:spacing w:after="0" w:line="186" w:lineRule="exact"/>
        <w:rPr>
          <w:sz w:val="20"/>
          <w:szCs w:val="20"/>
          <w:color w:val="auto"/>
        </w:rPr>
      </w:pPr>
    </w:p>
    <w:p>
      <w:pPr>
        <w:jc w:val="both"/>
        <w:ind w:firstLine="656"/>
        <w:spacing w:after="0" w:line="276" w:lineRule="auto"/>
        <w:tabs>
          <w:tab w:leader="none" w:pos="1296"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Cowen Indemnification</w:t>
      </w:r>
      <w:r>
        <w:rPr>
          <w:rFonts w:ascii="Arial" w:cs="Arial" w:eastAsia="Arial" w:hAnsi="Arial"/>
          <w:sz w:val="19"/>
          <w:szCs w:val="19"/>
          <w:color w:val="auto"/>
        </w:rPr>
        <w:t>. Cowen agrees to indemnify and hold harmless the Company and its directors and each officer of the Company that signed the Registration Statement, and each person, if any, who</w:t>
      </w:r>
    </w:p>
    <w:p>
      <w:pPr>
        <w:spacing w:after="0" w:line="1" w:lineRule="exact"/>
        <w:rPr>
          <w:rFonts w:ascii="Arial" w:cs="Arial" w:eastAsia="Arial" w:hAnsi="Arial"/>
          <w:sz w:val="19"/>
          <w:szCs w:val="19"/>
          <w:color w:val="auto"/>
        </w:rPr>
      </w:pPr>
    </w:p>
    <w:p>
      <w:pPr>
        <w:jc w:val="both"/>
        <w:ind w:firstLine="8"/>
        <w:spacing w:after="0" w:line="244" w:lineRule="auto"/>
        <w:tabs>
          <w:tab w:leader="none" w:pos="27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1"/>
          <w:szCs w:val="21"/>
          <w:u w:val="single" w:color="auto"/>
          <w:color w:val="auto"/>
        </w:rPr>
        <w:t>Section 9(a)</w:t>
      </w:r>
      <w:r>
        <w:rPr>
          <w:rFonts w:ascii="Arial" w:cs="Arial" w:eastAsia="Arial" w:hAnsi="Arial"/>
          <w:sz w:val="21"/>
          <w:szCs w:val="21"/>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2" w:lineRule="exact"/>
        <w:rPr>
          <w:rFonts w:ascii="Arial" w:cs="Arial" w:eastAsia="Arial" w:hAnsi="Arial"/>
          <w:sz w:val="21"/>
          <w:szCs w:val="21"/>
          <w:color w:val="auto"/>
        </w:rPr>
      </w:pPr>
    </w:p>
    <w:p>
      <w:pPr>
        <w:jc w:val="both"/>
        <w:ind w:firstLine="656"/>
        <w:spacing w:after="0" w:line="269" w:lineRule="auto"/>
        <w:tabs>
          <w:tab w:leader="none" w:pos="1296"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Any party that proposes to assert the right to be indemnified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(ii) any liability that it may have to any indemnified party under the foregoing provision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769620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6" w:name="page197"/>
    <w:bookmarkEnd w:id="196"/>
    <w:p>
      <w:pPr>
        <w:jc w:val="both"/>
        <w:spacing w:after="0" w:line="245" w:lineRule="auto"/>
        <w:rPr>
          <w:sz w:val="20"/>
          <w:szCs w:val="20"/>
          <w:color w:val="auto"/>
        </w:rPr>
      </w:pPr>
      <w:r>
        <w:rPr>
          <w:rFonts w:ascii="Arial" w:cs="Arial" w:eastAsia="Arial" w:hAnsi="Arial"/>
          <w:sz w:val="21"/>
          <w:szCs w:val="21"/>
          <w:color w:val="auto"/>
        </w:rPr>
        <w:t xml:space="preserve">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related to such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81" w:lineRule="exact"/>
        <w:rPr>
          <w:sz w:val="20"/>
          <w:szCs w:val="20"/>
          <w:color w:val="auto"/>
        </w:rPr>
      </w:pPr>
    </w:p>
    <w:p>
      <w:pPr>
        <w:ind w:firstLine="656"/>
        <w:spacing w:after="0" w:line="269" w:lineRule="auto"/>
        <w:tabs>
          <w:tab w:leader="none" w:pos="1296"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In order to provide for just and equitable contribution in circumstances in which the indemnification provided for in the foregoing paragraphs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Shares (before deducting expenses) received by the Company bear to the total compensation received by Cowen from the sale of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Cowen shall not be required to contribute any amount in excess of the commissions received by it under this Agreement and no person found guilty of fraudulent misrepresentation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7" w:name="page198"/>
    <w:bookmarkEnd w:id="197"/>
    <w:p>
      <w:pPr>
        <w:jc w:val="both"/>
        <w:spacing w:after="0" w:line="271" w:lineRule="auto"/>
        <w:rPr>
          <w:sz w:val="20"/>
          <w:szCs w:val="20"/>
          <w:color w:val="auto"/>
        </w:rPr>
      </w:pPr>
      <w:r>
        <w:rPr>
          <w:rFonts w:ascii="Arial" w:cs="Arial" w:eastAsia="Arial" w:hAnsi="Arial"/>
          <w:sz w:val="19"/>
          <w:szCs w:val="19"/>
          <w:color w:val="auto"/>
        </w:rPr>
        <w:t xml:space="preserve">Section 11(f)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any person who controls a party to this Agreement or any Terms Agreement within the meaning of the Securities Act, and any officers, directors, partners, employees or agents of Cowen,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11" w:lineRule="exact"/>
        <w:rPr>
          <w:sz w:val="20"/>
          <w:szCs w:val="20"/>
          <w:color w:val="auto"/>
        </w:rPr>
      </w:pPr>
    </w:p>
    <w:p>
      <w:pPr>
        <w:jc w:val="both"/>
        <w:ind w:firstLine="656"/>
        <w:spacing w:after="0" w:line="235" w:lineRule="auto"/>
        <w:tabs>
          <w:tab w:leader="none" w:pos="12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Representations and Agreements to Survive Delivery</w:t>
      </w:r>
      <w:r>
        <w:rPr>
          <w:rFonts w:ascii="Arial" w:cs="Arial" w:eastAsia="Arial" w:hAnsi="Arial"/>
          <w:sz w:val="22"/>
          <w:szCs w:val="22"/>
          <w:color w:val="auto"/>
        </w:rPr>
        <w:t xml:space="preserve">. The indemnity and contribution agreements contained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Shares and payment therefor or (iii) any termination of this Agreement.</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jc w:val="both"/>
        <w:ind w:firstLine="656"/>
        <w:spacing w:after="0" w:line="272"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Shares hereunder, (ii) the Company shall have failed, refused or been unable to perform any agreement on its part to be performed hereunder; or (iii) any other condition of Cowen’s obligations hereunder is not fulfilled, or (iv), any suspension or limitation of trading in the Shares or in securities generally on Nasdaq shall have occurred. Any such termination shall be without liability of any party to any other party except that the provisions of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(Expenses),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(Indemnification and Contribution),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(Representations and Agreements to Survive Delivery),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(Applicable Law; Consent to Jurisdiction) and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Cowen shall provide the required notice as specified in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(Notices).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the case of any purchase by Cowen pursuant to a Terms Agreement, the obligations of Cowen pursuant to such Terms Agreement shall be subject to termination by Cowen at any time prior to or at the Principal Settlement Date if (A) since the time of execution of the Terms Agreement or the respective dates as of which information is given in the Registration Statement or the Prospectus, (i) there has been any Material Adverse Change or material change in the senior management of the Company, whether or not arising in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8" w:name="page199"/>
    <w:bookmarkEnd w:id="198"/>
    <w:p>
      <w:pPr>
        <w:jc w:val="both"/>
        <w:spacing w:after="0" w:line="270" w:lineRule="auto"/>
        <w:rPr>
          <w:sz w:val="20"/>
          <w:szCs w:val="20"/>
          <w:color w:val="auto"/>
        </w:rPr>
      </w:pPr>
      <w:r>
        <w:rPr>
          <w:rFonts w:ascii="Arial" w:cs="Arial" w:eastAsia="Arial" w:hAnsi="Arial"/>
          <w:sz w:val="19"/>
          <w:szCs w:val="19"/>
          <w:color w:val="auto"/>
        </w:rPr>
        <w:t xml:space="preserve">business; or (ii) there has occurred any outbreak or escalation of hostilities or other national or international calamity or crisis or change in economic, political or other conditions, the effect of which on the United States or international financial markets is such as to make it, in Cowen’s judgment, impracticable to market the Shares or enforce contracts for the sale of the Shares; or (iii) if trading in any securities of the Company has been suspended by the Commission or by the Nasdaq, or if trading generally on the Nasdaq over-the-counter market or the New York Stock Exchange has been suspended (including an automatic halt in trading pursuant to market-decline triggers, other than those in which solely program trading is temporarily halted), or limitations on prices for trading (other than limitations on hours or numbers of days of trading) have been fixed, or maximum ranges for prices for securities have been required, by such exchange or FINRA or the over-the-counter market or by order of the Commission or any other governmental authority; or (iv) if there has been any downgrade in the rating of any of the Company’s debt securities or preferred stock by any “nationally recognized statistical rating organization” (as defined under Section 3(a)(62) of the Exchange Act); or (v) any federal, state, local or foreign statute, regulation, rule or order of any court or other governmental authority has been enacted, published, decreed or otherwise promulgated which, in the opinion of Cowen, would reasonably be expected to result in a Material Adverse Change; or (vi) any action has been taken by any federal, state, local or foreign government or agency in respect of its monetary or fiscal affairs which, in the opinion of Cowen, would reasonably be expected to have a material adverse effect on the securities markets in the United States. If Cowen elects to terminate its obligations pursuant to this </w:t>
      </w:r>
      <w:r>
        <w:rPr>
          <w:rFonts w:ascii="Arial" w:cs="Arial" w:eastAsia="Arial" w:hAnsi="Arial"/>
          <w:sz w:val="19"/>
          <w:szCs w:val="19"/>
          <w:u w:val="single" w:color="auto"/>
          <w:color w:val="auto"/>
        </w:rPr>
        <w:t>Section 11(b)</w:t>
      </w:r>
      <w:r>
        <w:rPr>
          <w:rFonts w:ascii="Arial" w:cs="Arial" w:eastAsia="Arial" w:hAnsi="Arial"/>
          <w:sz w:val="19"/>
          <w:szCs w:val="19"/>
          <w:color w:val="auto"/>
        </w:rPr>
        <w:t>, the Company shall be notified promptly in writing.</w:t>
      </w:r>
    </w:p>
    <w:p>
      <w:pPr>
        <w:spacing w:after="0" w:line="166" w:lineRule="exact"/>
        <w:rPr>
          <w:sz w:val="20"/>
          <w:szCs w:val="20"/>
          <w:color w:val="auto"/>
        </w:rPr>
      </w:pPr>
    </w:p>
    <w:p>
      <w:pPr>
        <w:jc w:val="both"/>
        <w:ind w:firstLine="656"/>
        <w:spacing w:after="0" w:line="236"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87"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hereof shall remain in full force and effect notwithstanding such termination.</w:t>
      </w:r>
    </w:p>
    <w:p>
      <w:pPr>
        <w:spacing w:after="0" w:line="142"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Unless earlier terminated pursuant to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this Agreement shall automatically terminate upon the issuance and sale of all of the Shares through Cowen on the terms and subject to the conditions set forth herein;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provisions of </w:t>
      </w:r>
      <w:r>
        <w:rPr>
          <w:rFonts w:ascii="Arial" w:cs="Arial" w:eastAsia="Arial" w:hAnsi="Arial"/>
          <w:sz w:val="21"/>
          <w:szCs w:val="21"/>
          <w:u w:val="single" w:color="auto"/>
          <w:color w:val="auto"/>
        </w:rPr>
        <w:t>Section 7(g)</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hereof shall remain in full force and effect notwithstanding such termination.</w:t>
      </w:r>
    </w:p>
    <w:p>
      <w:pPr>
        <w:spacing w:after="0" w:line="173" w:lineRule="exact"/>
        <w:rPr>
          <w:rFonts w:ascii="Arial" w:cs="Arial" w:eastAsia="Arial" w:hAnsi="Arial"/>
          <w:sz w:val="21"/>
          <w:szCs w:val="21"/>
          <w:color w:val="auto"/>
        </w:rPr>
      </w:pPr>
    </w:p>
    <w:p>
      <w:pPr>
        <w:ind w:left="1300" w:hanging="644"/>
        <w:spacing w:after="0"/>
        <w:tabs>
          <w:tab w:leader="none" w:pos="13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This Agreement shall remain in full force and effect unless terminated pursuant to </w:t>
      </w:r>
      <w:r>
        <w:rPr>
          <w:rFonts w:ascii="Arial" w:cs="Arial" w:eastAsia="Arial" w:hAnsi="Arial"/>
          <w:sz w:val="19"/>
          <w:szCs w:val="19"/>
          <w:u w:val="single" w:color="auto"/>
          <w:color w:val="auto"/>
        </w:rPr>
        <w:t>Sections 11(a)</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such termination by mutual agreement shall in all cases be deemed to provide that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remain in full force and effect.</w:t>
      </w:r>
    </w:p>
    <w:p>
      <w:pPr>
        <w:spacing w:after="0" w:line="187" w:lineRule="exact"/>
        <w:rPr>
          <w:rFonts w:ascii="Arial" w:cs="Arial" w:eastAsia="Arial" w:hAnsi="Arial"/>
          <w:sz w:val="19"/>
          <w:szCs w:val="19"/>
          <w:color w:val="auto"/>
        </w:rPr>
      </w:pPr>
    </w:p>
    <w:p>
      <w:pPr>
        <w:ind w:firstLine="656"/>
        <w:spacing w:after="0" w:line="250"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termination shall not be effective until the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99" w:name="page200"/>
    <w:bookmarkEnd w:id="199"/>
    <w:p>
      <w:pPr>
        <w:jc w:val="both"/>
        <w:spacing w:after="0"/>
        <w:rPr>
          <w:sz w:val="20"/>
          <w:szCs w:val="20"/>
          <w:color w:val="auto"/>
        </w:rPr>
      </w:pPr>
      <w:r>
        <w:rPr>
          <w:rFonts w:ascii="Arial" w:cs="Arial" w:eastAsia="Arial" w:hAnsi="Arial"/>
          <w:sz w:val="22"/>
          <w:szCs w:val="22"/>
          <w:color w:val="auto"/>
        </w:rPr>
        <w:t>of business on the date of receipt of such notice by Cowen or the Company, as the case may be. If such termination shall occur prior to the Settlement Date for any sale of Shares, such Shares shall settle in accordance with the provisions of this Agreement.</w:t>
      </w:r>
    </w:p>
    <w:p>
      <w:pPr>
        <w:spacing w:after="0" w:line="186" w:lineRule="exact"/>
        <w:rPr>
          <w:sz w:val="20"/>
          <w:szCs w:val="20"/>
          <w:color w:val="auto"/>
        </w:rPr>
      </w:pPr>
    </w:p>
    <w:p>
      <w:pPr>
        <w:jc w:val="both"/>
        <w:ind w:firstLine="656"/>
        <w:spacing w:after="0"/>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Subject to the additional limitation set forth in Section 7 of this Agreement, in the event of termination of this Agreement prior to the sale of any Shares, Cowen shall be entitled only to the reimbursement of its out of pocket expenses actually incurred.</w:t>
      </w:r>
    </w:p>
    <w:p>
      <w:pPr>
        <w:spacing w:after="0" w:line="186" w:lineRule="exact"/>
        <w:rPr>
          <w:sz w:val="20"/>
          <w:szCs w:val="20"/>
          <w:color w:val="auto"/>
        </w:rPr>
      </w:pPr>
    </w:p>
    <w:p>
      <w:pPr>
        <w:jc w:val="both"/>
        <w:ind w:firstLine="656"/>
        <w:spacing w:after="0" w:line="270" w:lineRule="auto"/>
        <w:tabs>
          <w:tab w:leader="none" w:pos="129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by any party to any other party pursuant to the terms of this Agreement or any Terms Agreement shall be in writing, unless otherwise specified in this Agreement, and if sent to Cowen, shall be delivered to Cowen at Cowen and Company, LLC, 599 Lexington Avenue, New York, NY 10022, Attention: General Counsel, email: Bradley.friedman@cowen.com; or if sent to the Company, shall be delivered to Blueprint Medicines Corporation, 45 Sidney Street, Cambridge, Massachusetts 02139, Attention: Michael Landsittel, Chief Financial Officer, email: MLandsittel@blueprintmedicines.com with copies (which shall not constitute notice) to Blueprint Medicines Corporation, 45 Sidney Street, Cambridge, Massachusetts 02139, Attention: Legal Department, email: legal@blueprintmedicines.com and Goodwin Procter LLP, 100 Northern Avenue, Boston, MA 02210, Attention: Danielle Lauzon, email: dlauzon@goodwinlaw.com. 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email communication (“</w:t>
      </w:r>
      <w:r>
        <w:rPr>
          <w:rFonts w:ascii="Arial" w:cs="Arial" w:eastAsia="Arial" w:hAnsi="Arial"/>
          <w:sz w:val="19"/>
          <w:szCs w:val="19"/>
          <w:b w:val="1"/>
          <w:bCs w:val="1"/>
          <w:u w:val="single" w:color="auto"/>
          <w:color w:val="auto"/>
        </w:rPr>
        <w:t>Electronic Notice</w:t>
      </w:r>
      <w:r>
        <w:rPr>
          <w:rFonts w:ascii="Arial" w:cs="Arial" w:eastAsia="Arial" w:hAnsi="Arial"/>
          <w:sz w:val="19"/>
          <w:szCs w:val="19"/>
          <w:color w:val="auto"/>
        </w:rPr>
        <w:t>”), at the time the party sending Electronic Notice receives verification of receipt by the receiving party, other than via auto reply.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Nasdaq and commercial banks in the City of New York are open for business.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and any Terms Agreement shall inure to the benefit of and be binding upon the Company and Cowen and their respective successors and the affiliates, controlling persons, officers and directors referred to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References to any of the parties contained in this Agreement or any Terms Agreement shall be deemed to include the successors and permitted assigns of such party. Nothing in this Agreement or any Terms Agreement, express or implied, is intended to confer upon any party other than the parties hereto or their respective successors and permitted assigns any rights, remedies, obligations or liabilities under or by reason of this Agreement or any such Terms Agreement, except as expressly provided in this Agreement or such Terms Agreement. Neither party may assign its rights or obligations under this Agreement or any Terms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Cowen may assign its rights and obligations hereunder or under any Terms Agreement to an affiliate of Cowen without obtaining the Company’s consent, so long as such affiliate is a registered broker-dealer.</w:t>
      </w:r>
    </w:p>
    <w:p>
      <w:pPr>
        <w:spacing w:after="0" w:line="155" w:lineRule="exact"/>
        <w:rPr>
          <w:rFonts w:ascii="Arial" w:cs="Arial" w:eastAsia="Arial" w:hAnsi="Arial"/>
          <w:sz w:val="19"/>
          <w:szCs w:val="19"/>
          <w:color w:val="auto"/>
        </w:rPr>
      </w:pPr>
    </w:p>
    <w:p>
      <w:pPr>
        <w:ind w:firstLine="656"/>
        <w:spacing w:after="0" w:line="250" w:lineRule="auto"/>
        <w:tabs>
          <w:tab w:leader="none" w:pos="129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or any Terms Agreement shall be adjusted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color w:val="auto"/>
        </w:rPr>
        <w:t>into account any share split, share dividend or similar event effected with respect to the Common Stock.</w:t>
      </w:r>
    </w:p>
    <w:p>
      <w:pPr>
        <w:spacing w:after="0" w:line="218" w:lineRule="exact"/>
        <w:rPr>
          <w:sz w:val="20"/>
          <w:szCs w:val="20"/>
          <w:color w:val="auto"/>
        </w:rPr>
      </w:pPr>
    </w:p>
    <w:p>
      <w:pPr>
        <w:jc w:val="both"/>
        <w:ind w:firstLine="656"/>
        <w:spacing w:after="0" w:line="272"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w:t>
      </w:r>
      <w:r>
        <w:rPr>
          <w:rFonts w:ascii="Arial" w:cs="Arial" w:eastAsia="Arial" w:hAnsi="Arial"/>
          <w:sz w:val="19"/>
          <w:szCs w:val="19"/>
          <w:color w:val="auto"/>
        </w:rPr>
        <w:t>. This Agreement (including all schedules and exhibits attached hereto and Placement Notices issued pursuant hereto), together with any Terms Agreement, constitutes the entire agreement and supersedes all other prior and contemporaneous agreements and undertakings, both written and oral, among the parties hereto with regard to the subject matter hereof. Neither this Agreement, nor any Terms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and any Terms Agreement.</w:t>
      </w:r>
    </w:p>
    <w:p>
      <w:pPr>
        <w:spacing w:after="0" w:line="160" w:lineRule="exact"/>
        <w:rPr>
          <w:rFonts w:ascii="Arial" w:cs="Arial" w:eastAsia="Arial" w:hAnsi="Arial"/>
          <w:sz w:val="19"/>
          <w:szCs w:val="19"/>
          <w:color w:val="auto"/>
        </w:rPr>
      </w:pPr>
    </w:p>
    <w:p>
      <w:pPr>
        <w:jc w:val="both"/>
        <w:ind w:firstLine="656"/>
        <w:spacing w:after="0" w:line="272"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Applicable Law; Consent to Jurisdiction</w:t>
      </w:r>
      <w:r>
        <w:rPr>
          <w:rFonts w:ascii="Arial" w:cs="Arial" w:eastAsia="Arial" w:hAnsi="Arial"/>
          <w:sz w:val="19"/>
          <w:szCs w:val="19"/>
          <w:color w:val="auto"/>
        </w:rPr>
        <w:t>. This Agreement and any Terms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or by any Terms Agreement,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right="20" w:firstLine="656"/>
        <w:spacing w:after="0"/>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and Cowen each hereby irrevocably waives any right it may have to a trial by jury in respect of any claim based upon or arising out of this Agreement, any Terms Agreement or any transaction contemplated hereby or thereby.</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06" w:lineRule="exact"/>
        <w:rPr>
          <w:sz w:val="20"/>
          <w:szCs w:val="20"/>
          <w:color w:val="auto"/>
        </w:rPr>
      </w:pPr>
    </w:p>
    <w:p>
      <w:pPr>
        <w:jc w:val="both"/>
        <w:ind w:firstLine="656"/>
        <w:spacing w:after="0" w:line="236" w:lineRule="auto"/>
        <w:tabs>
          <w:tab w:leader="none" w:pos="129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Cowen has been retained solely to act as an arm’s length contractual counterparty to the Company in connection with the sale of the Shares contemplated hereby and any Terms Agreement and that no fiduciary, advisory or agency relationship between the Company and Cowen has been created in respect of any of the transactions contemplated by this Agreement or any Terms Agreement, irrespective of whether Cowen has advised or is advising the Company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201" w:name="page202"/>
    <w:bookmarkEnd w:id="201"/>
    <w:p>
      <w:pPr>
        <w:ind w:firstLine="656"/>
        <w:spacing w:after="0" w:line="274" w:lineRule="auto"/>
        <w:tabs>
          <w:tab w:leader="none" w:pos="129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Company is capable of evaluating and understanding and understands and accepts the terms, risks and conditions of the transactions contemplated by this Agreement or any Terms Agreement;</w:t>
      </w:r>
    </w:p>
    <w:p>
      <w:pPr>
        <w:spacing w:after="0" w:line="150"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84"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Company waives, to the fullest extent permitted by law, any claims it may have against Cowen, for breach of fiduciary duty or alleged breach of fiduciary duty in connection with the sale of Shares under this Agreement and any Terms Agreement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47" w:lineRule="exact"/>
        <w:rPr>
          <w:sz w:val="20"/>
          <w:szCs w:val="20"/>
          <w:color w:val="auto"/>
        </w:rPr>
      </w:pPr>
    </w:p>
    <w:p>
      <w:pPr>
        <w:jc w:val="both"/>
        <w:ind w:firstLine="656"/>
        <w:spacing w:after="0" w:line="238" w:lineRule="auto"/>
        <w:tabs>
          <w:tab w:leader="none" w:pos="1296"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Terms Agreement may be executed in two or more counterparts, each of which shall be deemed an original, but all of which together shall constitute one and the same instrument. Delivery of an executed Agreement or any Terms Agreement by one party to the other may be made by electronic transmission.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662305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202" w:name="page203"/>
    <w:bookmarkEnd w:id="202"/>
    <w:p>
      <w:pPr>
        <w:jc w:val="both"/>
        <w:ind w:firstLine="648"/>
        <w:spacing w:after="0"/>
        <w:rPr>
          <w:sz w:val="20"/>
          <w:szCs w:val="20"/>
          <w:color w:val="auto"/>
        </w:rPr>
      </w:pPr>
      <w:r>
        <w:rPr>
          <w:rFonts w:ascii="Arial" w:cs="Arial" w:eastAsia="Arial" w:hAnsi="Arial"/>
          <w:sz w:val="22"/>
          <w:szCs w:val="22"/>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8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COWEN AND COMPANY, LLC</w:t>
      </w:r>
    </w:p>
    <w:p>
      <w:pPr>
        <w:spacing w:after="0" w:line="239" w:lineRule="exact"/>
        <w:rPr>
          <w:sz w:val="20"/>
          <w:szCs w:val="20"/>
          <w:color w:val="auto"/>
        </w:rPr>
      </w:pPr>
    </w:p>
    <w:p>
      <w:pPr>
        <w:ind w:left="4800"/>
        <w:spacing w:after="0"/>
        <w:tabs>
          <w:tab w:leader="none" w:pos="5360" w:val="left"/>
        </w:tabs>
        <w:rPr>
          <w:sz w:val="20"/>
          <w:szCs w:val="20"/>
          <w:color w:val="auto"/>
        </w:rPr>
      </w:pPr>
      <w:r>
        <w:rPr>
          <w:rFonts w:ascii="Arial" w:cs="Arial" w:eastAsia="Arial" w:hAnsi="Arial"/>
          <w:sz w:val="22"/>
          <w:szCs w:val="22"/>
          <w:color w:val="auto"/>
        </w:rPr>
        <w:t>By:</w:t>
        <w:tab/>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6985</wp:posOffset>
            </wp:positionV>
            <wp:extent cx="28803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Name:Michael Murphy</w:t>
      </w:r>
    </w:p>
    <w:p>
      <w:pPr>
        <w:ind w:left="5380"/>
        <w:spacing w:after="0"/>
        <w:rPr>
          <w:sz w:val="20"/>
          <w:szCs w:val="20"/>
          <w:color w:val="auto"/>
        </w:rPr>
      </w:pPr>
      <w:r>
        <w:rPr>
          <w:rFonts w:ascii="Arial" w:cs="Arial" w:eastAsia="Arial" w:hAnsi="Arial"/>
          <w:sz w:val="22"/>
          <w:szCs w:val="22"/>
          <w:color w:val="auto"/>
        </w:rPr>
        <w:t>Title: Managing Director</w:t>
      </w:r>
    </w:p>
    <w:p>
      <w:pPr>
        <w:spacing w:after="0" w:line="209"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ACCEPTED as of February 17, 2022:</w:t>
      </w:r>
    </w:p>
    <w:p>
      <w:pPr>
        <w:spacing w:after="0" w:line="233"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BLUEPRINT MEDICINES CORPORATION</w:t>
      </w:r>
    </w:p>
    <w:p>
      <w:pPr>
        <w:spacing w:after="0" w:line="239" w:lineRule="exact"/>
        <w:rPr>
          <w:sz w:val="20"/>
          <w:szCs w:val="20"/>
          <w:color w:val="auto"/>
        </w:rPr>
      </w:pPr>
    </w:p>
    <w:p>
      <w:pPr>
        <w:ind w:left="4800"/>
        <w:spacing w:after="0"/>
        <w:tabs>
          <w:tab w:leader="none" w:pos="5360" w:val="left"/>
        </w:tabs>
        <w:rPr>
          <w:sz w:val="20"/>
          <w:szCs w:val="20"/>
          <w:color w:val="auto"/>
        </w:rPr>
      </w:pPr>
      <w:r>
        <w:rPr>
          <w:rFonts w:ascii="Arial" w:cs="Arial" w:eastAsia="Arial" w:hAnsi="Arial"/>
          <w:sz w:val="22"/>
          <w:szCs w:val="22"/>
          <w:color w:val="auto"/>
        </w:rPr>
        <w:t>By:</w:t>
        <w:tab/>
        <w:t>/s/ Jeffrey W. Albers</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Name:Jeffrey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-158115</wp:posOffset>
            </wp:positionV>
            <wp:extent cx="28803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FORM OF PLACEMENT NOTICE</w:t>
            </w:r>
          </w:p>
        </w:tc>
      </w:tr>
      <w:tr>
        <w:trPr>
          <w:trHeight w:val="917"/>
        </w:trPr>
        <w:tc>
          <w:tcPr>
            <w:tcW w:w="1020" w:type="dxa"/>
            <w:vAlign w:val="bottom"/>
          </w:tcPr>
          <w:p>
            <w:pPr>
              <w:spacing w:after="0"/>
              <w:rPr>
                <w:sz w:val="20"/>
                <w:szCs w:val="20"/>
                <w:color w:val="auto"/>
              </w:rPr>
            </w:pPr>
            <w:r>
              <w:rPr>
                <w:rFonts w:ascii="Arial" w:cs="Arial" w:eastAsia="Arial" w:hAnsi="Arial"/>
                <w:sz w:val="22"/>
                <w:szCs w:val="22"/>
                <w:color w:val="auto"/>
              </w:rPr>
              <w:t>From:</w:t>
            </w:r>
          </w:p>
        </w:tc>
        <w:tc>
          <w:tcPr>
            <w:tcW w:w="1300" w:type="dxa"/>
            <w:vAlign w:val="bottom"/>
          </w:tcPr>
          <w:p>
            <w:pPr>
              <w:ind w:left="280"/>
              <w:spacing w:after="0"/>
              <w:rPr>
                <w:sz w:val="20"/>
                <w:szCs w:val="20"/>
                <w:color w:val="auto"/>
              </w:rPr>
            </w:pPr>
            <w:r>
              <w:rPr>
                <w:rFonts w:ascii="Arial" w:cs="Arial" w:eastAsia="Arial" w:hAnsi="Arial"/>
                <w:sz w:val="22"/>
                <w:szCs w:val="22"/>
                <w:color w:val="auto"/>
              </w:rPr>
              <w:t>[</w:t>
            </w:r>
          </w:p>
        </w:tc>
        <w:tc>
          <w:tcPr>
            <w:tcW w:w="4320" w:type="dxa"/>
            <w:vAlign w:val="bottom"/>
            <w:gridSpan w:val="2"/>
          </w:tcPr>
          <w:p>
            <w:pPr>
              <w:jc w:val="right"/>
              <w:ind w:right="3212"/>
              <w:spacing w:after="0"/>
              <w:rPr>
                <w:sz w:val="20"/>
                <w:szCs w:val="20"/>
                <w:color w:val="auto"/>
              </w:rPr>
            </w:pPr>
            <w:r>
              <w:rPr>
                <w:rFonts w:ascii="Arial" w:cs="Arial" w:eastAsia="Arial" w:hAnsi="Arial"/>
                <w:sz w:val="22"/>
                <w:szCs w:val="22"/>
                <w:color w:val="auto"/>
              </w:rPr>
              <w:t>]</w:t>
            </w:r>
          </w:p>
        </w:tc>
      </w:tr>
      <w:tr>
        <w:trPr>
          <w:trHeight w:val="243"/>
        </w:trPr>
        <w:tc>
          <w:tcPr>
            <w:tcW w:w="1020" w:type="dxa"/>
            <w:vAlign w:val="bottom"/>
          </w:tcPr>
          <w:p>
            <w:pPr>
              <w:spacing w:after="0" w:line="243" w:lineRule="exact"/>
              <w:rPr>
                <w:sz w:val="20"/>
                <w:szCs w:val="20"/>
                <w:color w:val="auto"/>
              </w:rPr>
            </w:pPr>
            <w:r>
              <w:rPr>
                <w:rFonts w:ascii="Arial" w:cs="Arial" w:eastAsia="Arial" w:hAnsi="Arial"/>
                <w:sz w:val="22"/>
                <w:szCs w:val="22"/>
                <w:color w:val="auto"/>
              </w:rPr>
              <w:t>Cc:</w:t>
            </w:r>
          </w:p>
        </w:tc>
        <w:tc>
          <w:tcPr>
            <w:tcW w:w="1300" w:type="dxa"/>
            <w:vAlign w:val="bottom"/>
          </w:tcPr>
          <w:p>
            <w:pPr>
              <w:ind w:left="280"/>
              <w:spacing w:after="0" w:line="243" w:lineRule="exact"/>
              <w:rPr>
                <w:sz w:val="20"/>
                <w:szCs w:val="20"/>
                <w:color w:val="auto"/>
              </w:rPr>
            </w:pPr>
            <w:r>
              <w:rPr>
                <w:rFonts w:ascii="Arial" w:cs="Arial" w:eastAsia="Arial" w:hAnsi="Arial"/>
                <w:sz w:val="22"/>
                <w:szCs w:val="22"/>
                <w:color w:val="auto"/>
              </w:rPr>
              <w:t>[</w:t>
            </w:r>
          </w:p>
        </w:tc>
        <w:tc>
          <w:tcPr>
            <w:tcW w:w="4320" w:type="dxa"/>
            <w:vAlign w:val="bottom"/>
            <w:gridSpan w:val="2"/>
          </w:tcPr>
          <w:p>
            <w:pPr>
              <w:jc w:val="right"/>
              <w:ind w:right="3212"/>
              <w:spacing w:after="0" w:line="243" w:lineRule="exact"/>
              <w:rPr>
                <w:sz w:val="20"/>
                <w:szCs w:val="20"/>
                <w:color w:val="auto"/>
              </w:rPr>
            </w:pPr>
            <w:r>
              <w:rPr>
                <w:rFonts w:ascii="Arial" w:cs="Arial" w:eastAsia="Arial" w:hAnsi="Arial"/>
                <w:sz w:val="22"/>
                <w:szCs w:val="22"/>
                <w:color w:val="auto"/>
              </w:rPr>
              <w:t>]</w:t>
            </w:r>
          </w:p>
        </w:tc>
      </w:tr>
      <w:tr>
        <w:trPr>
          <w:trHeight w:val="243"/>
        </w:trPr>
        <w:tc>
          <w:tcPr>
            <w:tcW w:w="1020" w:type="dxa"/>
            <w:vAlign w:val="bottom"/>
          </w:tcPr>
          <w:p>
            <w:pPr>
              <w:spacing w:after="0" w:line="243" w:lineRule="exact"/>
              <w:rPr>
                <w:sz w:val="20"/>
                <w:szCs w:val="20"/>
                <w:color w:val="auto"/>
              </w:rPr>
            </w:pPr>
            <w:r>
              <w:rPr>
                <w:rFonts w:ascii="Arial" w:cs="Arial" w:eastAsia="Arial" w:hAnsi="Arial"/>
                <w:sz w:val="22"/>
                <w:szCs w:val="22"/>
                <w:color w:val="auto"/>
              </w:rPr>
              <w:t>To:</w:t>
            </w:r>
          </w:p>
        </w:tc>
        <w:tc>
          <w:tcPr>
            <w:tcW w:w="1300" w:type="dxa"/>
            <w:vAlign w:val="bottom"/>
          </w:tcPr>
          <w:p>
            <w:pPr>
              <w:ind w:left="280"/>
              <w:spacing w:after="0" w:line="243" w:lineRule="exact"/>
              <w:rPr>
                <w:sz w:val="20"/>
                <w:szCs w:val="20"/>
                <w:color w:val="auto"/>
              </w:rPr>
            </w:pPr>
            <w:r>
              <w:rPr>
                <w:rFonts w:ascii="Arial" w:cs="Arial" w:eastAsia="Arial" w:hAnsi="Arial"/>
                <w:sz w:val="22"/>
                <w:szCs w:val="22"/>
                <w:color w:val="auto"/>
              </w:rPr>
              <w:t>[</w:t>
            </w:r>
          </w:p>
        </w:tc>
        <w:tc>
          <w:tcPr>
            <w:tcW w:w="4320" w:type="dxa"/>
            <w:vAlign w:val="bottom"/>
            <w:gridSpan w:val="2"/>
          </w:tcPr>
          <w:p>
            <w:pPr>
              <w:jc w:val="right"/>
              <w:ind w:right="3212"/>
              <w:spacing w:after="0" w:line="243" w:lineRule="exact"/>
              <w:rPr>
                <w:sz w:val="20"/>
                <w:szCs w:val="20"/>
                <w:color w:val="auto"/>
              </w:rPr>
            </w:pPr>
            <w:r>
              <w:rPr>
                <w:rFonts w:ascii="Arial" w:cs="Arial" w:eastAsia="Arial" w:hAnsi="Arial"/>
                <w:sz w:val="22"/>
                <w:szCs w:val="22"/>
                <w:color w:val="auto"/>
              </w:rPr>
              <w:t>]</w:t>
            </w:r>
          </w:p>
        </w:tc>
      </w:tr>
      <w:tr>
        <w:trPr>
          <w:trHeight w:val="274"/>
        </w:trPr>
        <w:tc>
          <w:tcPr>
            <w:tcW w:w="1020" w:type="dxa"/>
            <w:vAlign w:val="bottom"/>
          </w:tcPr>
          <w:p>
            <w:pPr>
              <w:spacing w:after="0"/>
              <w:rPr>
                <w:sz w:val="20"/>
                <w:szCs w:val="20"/>
                <w:color w:val="auto"/>
              </w:rPr>
            </w:pPr>
            <w:r>
              <w:rPr>
                <w:rFonts w:ascii="Arial" w:cs="Arial" w:eastAsia="Arial" w:hAnsi="Arial"/>
                <w:sz w:val="22"/>
                <w:szCs w:val="22"/>
                <w:color w:val="auto"/>
              </w:rPr>
              <w:t>Subject:</w:t>
            </w:r>
          </w:p>
        </w:tc>
        <w:tc>
          <w:tcPr>
            <w:tcW w:w="5620" w:type="dxa"/>
            <w:vAlign w:val="bottom"/>
            <w:gridSpan w:val="3"/>
          </w:tcPr>
          <w:p>
            <w:pPr>
              <w:ind w:left="280"/>
              <w:spacing w:after="0"/>
              <w:rPr>
                <w:sz w:val="20"/>
                <w:szCs w:val="20"/>
                <w:color w:val="auto"/>
              </w:rPr>
            </w:pPr>
            <w:r>
              <w:rPr>
                <w:rFonts w:ascii="Arial" w:cs="Arial" w:eastAsia="Arial" w:hAnsi="Arial"/>
                <w:sz w:val="22"/>
                <w:szCs w:val="22"/>
                <w:color w:val="auto"/>
              </w:rPr>
              <w:t>Cowen At the Market Offering—Placement Notice</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Pursuant to the terms and subject to the conditions contained in the Sales Agreement between Blueprint Medicines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Cowen and Company, LLC (“</w:t>
      </w:r>
      <w:r>
        <w:rPr>
          <w:rFonts w:ascii="Arial" w:cs="Arial" w:eastAsia="Arial" w:hAnsi="Arial"/>
          <w:sz w:val="21"/>
          <w:szCs w:val="21"/>
          <w:u w:val="single" w:color="auto"/>
          <w:color w:val="auto"/>
        </w:rPr>
        <w:t>Cowen</w:t>
      </w:r>
      <w:r>
        <w:rPr>
          <w:rFonts w:ascii="Arial" w:cs="Arial" w:eastAsia="Arial" w:hAnsi="Arial"/>
          <w:sz w:val="21"/>
          <w:szCs w:val="21"/>
          <w:color w:val="auto"/>
        </w:rPr>
        <w:t>”) dated [ ], 2022 (the “</w:t>
      </w:r>
      <w:r>
        <w:rPr>
          <w:rFonts w:ascii="Arial" w:cs="Arial" w:eastAsia="Arial" w:hAnsi="Arial"/>
          <w:sz w:val="21"/>
          <w:szCs w:val="21"/>
          <w:u w:val="single" w:color="auto"/>
          <w:color w:val="auto"/>
        </w:rPr>
        <w:t>Agreement</w:t>
      </w:r>
      <w:r>
        <w:rPr>
          <w:rFonts w:ascii="Arial" w:cs="Arial" w:eastAsia="Arial" w:hAnsi="Arial"/>
          <w:sz w:val="21"/>
          <w:szCs w:val="21"/>
          <w:color w:val="auto"/>
        </w:rPr>
        <w:t>”), I hereby request on behalf of the Company that Cowen sell up to [[ ] shares]/[$[ ] of shares] of the Company’s common stock, par value $0.001 per share, at a minimum market price of $_______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Notice Parties</w:t>
            </w:r>
          </w:p>
        </w:tc>
      </w:tr>
      <w:tr>
        <w:trPr>
          <w:trHeight w:val="439"/>
        </w:trPr>
        <w:tc>
          <w:tcPr>
            <w:tcW w:w="1780" w:type="dxa"/>
            <w:vAlign w:val="bottom"/>
            <w:gridSpan w:val="3"/>
          </w:tcPr>
          <w:p>
            <w:pPr>
              <w:spacing w:after="0"/>
              <w:rPr>
                <w:sz w:val="20"/>
                <w:szCs w:val="20"/>
                <w:color w:val="auto"/>
              </w:rPr>
            </w:pPr>
            <w:r>
              <w:rPr>
                <w:rFonts w:ascii="Arial" w:cs="Arial" w:eastAsia="Arial" w:hAnsi="Arial"/>
                <w:sz w:val="22"/>
                <w:szCs w:val="22"/>
                <w:b w:val="1"/>
                <w:bCs w:val="1"/>
                <w:color w:val="auto"/>
              </w:rPr>
              <w:t>Company</w:t>
            </w:r>
          </w:p>
        </w:tc>
        <w:tc>
          <w:tcPr>
            <w:tcW w:w="25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r>
      <w:tr>
        <w:trPr>
          <w:trHeight w:val="489"/>
        </w:trPr>
        <w:tc>
          <w:tcPr>
            <w:tcW w:w="1780" w:type="dxa"/>
            <w:vAlign w:val="bottom"/>
            <w:gridSpan w:val="3"/>
          </w:tcPr>
          <w:p>
            <w:pPr>
              <w:spacing w:after="0"/>
              <w:rPr>
                <w:sz w:val="20"/>
                <w:szCs w:val="20"/>
                <w:color w:val="auto"/>
              </w:rPr>
            </w:pPr>
            <w:r>
              <w:rPr>
                <w:rFonts w:ascii="Arial" w:cs="Arial" w:eastAsia="Arial" w:hAnsi="Arial"/>
                <w:sz w:val="22"/>
                <w:szCs w:val="22"/>
                <w:color w:val="auto"/>
              </w:rPr>
              <w:t>Jeff Albers</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President and Chief Executive Officer</w:t>
            </w:r>
          </w:p>
        </w:tc>
      </w:tr>
      <w:tr>
        <w:trPr>
          <w:trHeight w:val="418"/>
        </w:trPr>
        <w:tc>
          <w:tcPr>
            <w:tcW w:w="1780" w:type="dxa"/>
            <w:vAlign w:val="bottom"/>
            <w:gridSpan w:val="3"/>
          </w:tcPr>
          <w:p>
            <w:pPr>
              <w:spacing w:after="0"/>
              <w:rPr>
                <w:sz w:val="20"/>
                <w:szCs w:val="20"/>
                <w:color w:val="auto"/>
              </w:rPr>
            </w:pPr>
            <w:r>
              <w:rPr>
                <w:rFonts w:ascii="Arial" w:cs="Arial" w:eastAsia="Arial" w:hAnsi="Arial"/>
                <w:sz w:val="22"/>
                <w:szCs w:val="22"/>
                <w:color w:val="auto"/>
                <w:w w:val="99"/>
              </w:rPr>
              <w:t>Michael Landsittel</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Chief Financial Officer</w:t>
            </w:r>
          </w:p>
        </w:tc>
      </w:tr>
      <w:tr>
        <w:trPr>
          <w:trHeight w:val="418"/>
        </w:trPr>
        <w:tc>
          <w:tcPr>
            <w:tcW w:w="1780" w:type="dxa"/>
            <w:vAlign w:val="bottom"/>
            <w:gridSpan w:val="3"/>
          </w:tcPr>
          <w:p>
            <w:pPr>
              <w:spacing w:after="0"/>
              <w:rPr>
                <w:sz w:val="20"/>
                <w:szCs w:val="20"/>
                <w:color w:val="auto"/>
              </w:rPr>
            </w:pPr>
            <w:r>
              <w:rPr>
                <w:rFonts w:ascii="Arial" w:cs="Arial" w:eastAsia="Arial" w:hAnsi="Arial"/>
                <w:sz w:val="22"/>
                <w:szCs w:val="22"/>
                <w:color w:val="auto"/>
              </w:rPr>
              <w:t>Tracey L. McCain</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Executive Vice President, Chief Legal and Compliance Officer</w:t>
            </w:r>
          </w:p>
        </w:tc>
      </w:tr>
      <w:tr>
        <w:trPr>
          <w:trHeight w:val="419"/>
        </w:trPr>
        <w:tc>
          <w:tcPr>
            <w:tcW w:w="1780" w:type="dxa"/>
            <w:vAlign w:val="bottom"/>
            <w:gridSpan w:val="3"/>
          </w:tcPr>
          <w:p>
            <w:pPr>
              <w:spacing w:after="0"/>
              <w:rPr>
                <w:sz w:val="20"/>
                <w:szCs w:val="20"/>
                <w:color w:val="auto"/>
              </w:rPr>
            </w:pPr>
            <w:r>
              <w:rPr>
                <w:rFonts w:ascii="Arial" w:cs="Arial" w:eastAsia="Arial" w:hAnsi="Arial"/>
                <w:sz w:val="22"/>
                <w:szCs w:val="22"/>
                <w:color w:val="auto"/>
              </w:rPr>
              <w:t>Kate Haviland</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Chief Operating Officer</w:t>
            </w:r>
          </w:p>
        </w:tc>
      </w:tr>
      <w:tr>
        <w:trPr>
          <w:trHeight w:val="611"/>
        </w:trPr>
        <w:tc>
          <w:tcPr>
            <w:tcW w:w="1780" w:type="dxa"/>
            <w:vAlign w:val="bottom"/>
            <w:gridSpan w:val="3"/>
          </w:tcPr>
          <w:p>
            <w:pPr>
              <w:spacing w:after="0"/>
              <w:rPr>
                <w:sz w:val="20"/>
                <w:szCs w:val="20"/>
                <w:color w:val="auto"/>
              </w:rPr>
            </w:pPr>
            <w:r>
              <w:rPr>
                <w:rFonts w:ascii="Arial" w:cs="Arial" w:eastAsia="Arial" w:hAnsi="Arial"/>
                <w:sz w:val="22"/>
                <w:szCs w:val="22"/>
                <w:b w:val="1"/>
                <w:bCs w:val="1"/>
                <w:color w:val="auto"/>
              </w:rPr>
              <w:t>Cowen</w:t>
            </w:r>
          </w:p>
        </w:tc>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r>
      <w:tr>
        <w:trPr>
          <w:trHeight w:val="489"/>
        </w:trPr>
        <w:tc>
          <w:tcPr>
            <w:tcW w:w="1780" w:type="dxa"/>
            <w:vAlign w:val="bottom"/>
            <w:gridSpan w:val="3"/>
          </w:tcPr>
          <w:p>
            <w:pPr>
              <w:spacing w:after="0"/>
              <w:rPr>
                <w:sz w:val="20"/>
                <w:szCs w:val="20"/>
                <w:color w:val="auto"/>
              </w:rPr>
            </w:pPr>
            <w:r>
              <w:rPr>
                <w:rFonts w:ascii="Arial" w:cs="Arial" w:eastAsia="Arial" w:hAnsi="Arial"/>
                <w:sz w:val="22"/>
                <w:szCs w:val="22"/>
                <w:color w:val="auto"/>
                <w:w w:val="98"/>
              </w:rPr>
              <w:t>Michael J. Murphy</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Managing Director</w:t>
            </w:r>
          </w:p>
        </w:tc>
      </w:tr>
      <w:tr>
        <w:trPr>
          <w:trHeight w:val="418"/>
        </w:trPr>
        <w:tc>
          <w:tcPr>
            <w:tcW w:w="1780" w:type="dxa"/>
            <w:vAlign w:val="bottom"/>
            <w:gridSpan w:val="3"/>
          </w:tcPr>
          <w:p>
            <w:pPr>
              <w:spacing w:after="0"/>
              <w:rPr>
                <w:sz w:val="20"/>
                <w:szCs w:val="20"/>
                <w:color w:val="auto"/>
              </w:rPr>
            </w:pPr>
            <w:r>
              <w:rPr>
                <w:rFonts w:ascii="Arial" w:cs="Arial" w:eastAsia="Arial" w:hAnsi="Arial"/>
                <w:sz w:val="22"/>
                <w:szCs w:val="22"/>
                <w:color w:val="auto"/>
              </w:rPr>
              <w:t>William Follis</w:t>
            </w:r>
          </w:p>
        </w:tc>
        <w:tc>
          <w:tcPr>
            <w:tcW w:w="8140" w:type="dxa"/>
            <w:vAlign w:val="bottom"/>
            <w:gridSpan w:val="3"/>
          </w:tcPr>
          <w:p>
            <w:pPr>
              <w:ind w:left="120"/>
              <w:spacing w:after="0"/>
              <w:rPr>
                <w:sz w:val="20"/>
                <w:szCs w:val="20"/>
                <w:color w:val="auto"/>
              </w:rPr>
            </w:pPr>
            <w:r>
              <w:rPr>
                <w:rFonts w:ascii="Arial" w:cs="Arial" w:eastAsia="Arial" w:hAnsi="Arial"/>
                <w:sz w:val="22"/>
                <w:szCs w:val="22"/>
                <w:color w:val="auto"/>
              </w:rPr>
              <w:t>Managing Director</w:t>
            </w:r>
          </w:p>
        </w:tc>
      </w:tr>
      <w:tr>
        <w:trPr>
          <w:trHeight w:val="1428"/>
        </w:trPr>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u w:val="single" w:color="auto"/>
          <w:color w:val="auto"/>
        </w:rPr>
        <w:t>SCHEDULE 2(b)</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BLUEPRINT MEDICINES CORPORATION</w:t>
      </w:r>
    </w:p>
    <w:p>
      <w:pPr>
        <w:spacing w:after="0" w:line="85"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AGREEMENT</w:t>
      </w:r>
    </w:p>
    <w:p>
      <w:pPr>
        <w:spacing w:after="0" w:line="320" w:lineRule="exact"/>
        <w:rPr>
          <w:sz w:val="20"/>
          <w:szCs w:val="20"/>
          <w:color w:val="auto"/>
        </w:rPr>
      </w:pPr>
    </w:p>
    <w:p>
      <w:pPr>
        <w:ind w:left="8940"/>
        <w:spacing w:after="0"/>
        <w:rPr>
          <w:sz w:val="20"/>
          <w:szCs w:val="20"/>
          <w:color w:val="auto"/>
        </w:rPr>
      </w:pPr>
      <w:r>
        <w:rPr>
          <w:rFonts w:ascii="Arial" w:cs="Arial" w:eastAsia="Arial" w:hAnsi="Arial"/>
          <w:sz w:val="19"/>
          <w:szCs w:val="19"/>
          <w:color w:val="auto"/>
        </w:rPr>
        <w:t>____, 20__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w:t>
      </w:r>
    </w:p>
    <w:p>
      <w:pPr>
        <w:spacing w:after="0" w:line="238" w:lineRule="auto"/>
        <w:rPr>
          <w:sz w:val="20"/>
          <w:szCs w:val="20"/>
          <w:color w:val="auto"/>
        </w:rPr>
      </w:pPr>
      <w:r>
        <w:rPr>
          <w:rFonts w:ascii="Arial" w:cs="Arial" w:eastAsia="Arial" w:hAnsi="Arial"/>
          <w:sz w:val="22"/>
          <w:szCs w:val="22"/>
          <w:color w:val="auto"/>
        </w:rPr>
        <w:t>599 Lexington Avenue</w:t>
      </w:r>
    </w:p>
    <w:p>
      <w:pPr>
        <w:spacing w:after="0"/>
        <w:rPr>
          <w:sz w:val="20"/>
          <w:szCs w:val="20"/>
          <w:color w:val="auto"/>
        </w:rPr>
      </w:pPr>
      <w:r>
        <w:rPr>
          <w:rFonts w:ascii="Arial" w:cs="Arial" w:eastAsia="Arial" w:hAnsi="Arial"/>
          <w:sz w:val="22"/>
          <w:szCs w:val="22"/>
          <w:color w:val="auto"/>
        </w:rPr>
        <w:t>New York, NY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&amp; Gentlemen:</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Blueprint Medicines Corporation, a Delaware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proposes, subject to the terms and conditions stated herein and in the Sales Agreement, dated [•], 2022 (the “</w:t>
      </w:r>
      <w:r>
        <w:rPr>
          <w:rFonts w:ascii="Arial" w:cs="Arial" w:eastAsia="Arial" w:hAnsi="Arial"/>
          <w:sz w:val="21"/>
          <w:szCs w:val="21"/>
          <w:b w:val="1"/>
          <w:bCs w:val="1"/>
          <w:u w:val="single" w:color="auto"/>
          <w:color w:val="auto"/>
        </w:rPr>
        <w:t>Sales Agreement</w:t>
      </w:r>
      <w:r>
        <w:rPr>
          <w:rFonts w:ascii="Arial" w:cs="Arial" w:eastAsia="Arial" w:hAnsi="Arial"/>
          <w:sz w:val="21"/>
          <w:szCs w:val="21"/>
          <w:color w:val="auto"/>
        </w:rPr>
        <w:t>”), between the Company and Cowen and Company, LLC (“</w:t>
      </w:r>
      <w:r>
        <w:rPr>
          <w:rFonts w:ascii="Arial" w:cs="Arial" w:eastAsia="Arial" w:hAnsi="Arial"/>
          <w:sz w:val="21"/>
          <w:szCs w:val="21"/>
          <w:b w:val="1"/>
          <w:bCs w:val="1"/>
          <w:u w:val="single" w:color="auto"/>
          <w:color w:val="auto"/>
        </w:rPr>
        <w:t>Cowen</w:t>
      </w:r>
      <w:r>
        <w:rPr>
          <w:rFonts w:ascii="Arial" w:cs="Arial" w:eastAsia="Arial" w:hAnsi="Arial"/>
          <w:sz w:val="21"/>
          <w:szCs w:val="21"/>
          <w:color w:val="auto"/>
        </w:rPr>
        <w:t>”), to issue and sell to Cowen the securities specified in the Schedule hereto (the “</w:t>
      </w:r>
      <w:r>
        <w:rPr>
          <w:rFonts w:ascii="Arial" w:cs="Arial" w:eastAsia="Arial" w:hAnsi="Arial"/>
          <w:sz w:val="21"/>
          <w:szCs w:val="21"/>
          <w:b w:val="1"/>
          <w:bCs w:val="1"/>
          <w:u w:val="single" w:color="auto"/>
          <w:color w:val="auto"/>
        </w:rPr>
        <w:t>Purchased Securities</w:t>
      </w:r>
      <w:r>
        <w:rPr>
          <w:rFonts w:ascii="Arial" w:cs="Arial" w:eastAsia="Arial" w:hAnsi="Arial"/>
          <w:sz w:val="21"/>
          <w:szCs w:val="21"/>
          <w:color w:val="auto"/>
        </w:rPr>
        <w:t>”). Unless otherwise defined below, terms defined in the Sales Agreement shall have the same meanings when used herein.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of the provisions of the Sales Agreement not specifically related to the solicitation by Cowen, as agent of the Company, of offers to purchase securities is incorporated herein by reference in its entirety, and shall be deemed to be part of this Terms Agreement to the same extent as if such provisions had been set forth in full herein. Each of the representations, warranties and agreements set forth therein shall be deemed to have been made as of the date of this Terms Agreement and the Settlement Date set forth in the Schedule hereto.</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 amendment to the Registration Statement or a supplement to the Prospectus, as the case may be, relating to the Purchased Securities, in the form heretofore delivered to Cowen, is now proposed to be filed with the Commission.</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Subject to the terms and conditions set forth herein and in the Sales Agreement which are incorporated herein by reference, the Company agrees to issue and sell to Cowen, and Cowen agrees to purchase from the Company, the Purchased Securities at the time and place and at the purchase price set forth in the Schedule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6" w:name="page207"/>
    <w:bookmarkEnd w:id="206"/>
    <w:p>
      <w:pPr>
        <w:jc w:val="both"/>
        <w:spacing w:after="0" w:line="297" w:lineRule="auto"/>
        <w:rPr>
          <w:sz w:val="20"/>
          <w:szCs w:val="20"/>
          <w:color w:val="auto"/>
        </w:rPr>
      </w:pPr>
      <w:r>
        <w:rPr>
          <w:rFonts w:ascii="Arial" w:cs="Arial" w:eastAsia="Arial" w:hAnsi="Arial"/>
          <w:sz w:val="19"/>
          <w:szCs w:val="19"/>
          <w:color w:val="auto"/>
        </w:rPr>
        <w:t>Notwithstanding any provision of the Sales Agreement or this Terms Agreement to the contrary, the Company consents to Cowen trading in the Common Stock for Cowen’s own account and for the account of its clients at the same time as sales of the Purchased Securities occur pursuant to this Terms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the foregoing is in accordance with your understanding, please sign and return to us a counterpart hereof, whereupon this Terms Agreement, including those provisions of the Sales Agreement incorporated herein by reference, shall constitute a binding agreement between Cowen and the Company.</w:t>
      </w:r>
    </w:p>
    <w:p>
      <w:pPr>
        <w:spacing w:after="0" w:line="19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BLUEPRINT MEDICINES CORPORATION</w:t>
      </w:r>
    </w:p>
    <w:p>
      <w:pPr>
        <w:spacing w:after="0" w:line="23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ind w:left="47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-151130</wp:posOffset>
            </wp:positionV>
            <wp:extent cx="15259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as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date first above written: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-151130</wp:posOffset>
            </wp:positionV>
            <wp:extent cx="1440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647065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207" w:name="page208"/>
    <w:bookmarkEnd w:id="207"/>
    <w:p>
      <w:pPr>
        <w:jc w:val="center"/>
        <w:ind w:right="-39"/>
        <w:spacing w:after="0"/>
        <w:rPr>
          <w:sz w:val="20"/>
          <w:szCs w:val="20"/>
          <w:color w:val="auto"/>
        </w:rPr>
      </w:pPr>
      <w:r>
        <w:rPr>
          <w:rFonts w:ascii="Arial" w:cs="Arial" w:eastAsia="Arial" w:hAnsi="Arial"/>
          <w:sz w:val="22"/>
          <w:szCs w:val="22"/>
          <w:b w:val="1"/>
          <w:bCs w:val="1"/>
          <w:color w:val="auto"/>
        </w:rPr>
        <w:t>Schedule to Terms Agreement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Title of Purchased Securities: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$0.001 per share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Purchased Securities: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Shares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Purchase Price Payable by Cowen:</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per Share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Method of and Specified Funds for Payment of Purchase Price: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By wire transfer to a bank account specified by the Company in same day funds.</w:t>
      </w:r>
      <w:r>
        <w:rPr>
          <w:rFonts w:ascii="Arial" w:cs="Arial" w:eastAsia="Arial" w:hAnsi="Arial"/>
          <w:sz w:val="22"/>
          <w:szCs w:val="22"/>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Method of Delivery:</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To Cowen’s account, or the account of Cowen’s designee, at The Depository Trust Company via DWAC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payment of the purchase price.</w:t>
      </w:r>
      <w:r>
        <w:rPr>
          <w:rFonts w:ascii="Arial" w:cs="Arial" w:eastAsia="Arial" w:hAnsi="Arial"/>
          <w:sz w:val="22"/>
          <w:szCs w:val="22"/>
          <w:b w:val="1"/>
          <w:bCs w:val="1"/>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20</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Closing Location:</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Documents to be Delivered:</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following documents referred to in the Sales Agreement shall be delivered on the Settlement Date as a condition to the closing for the Purchased Securities (which documents shall be dated on or as of the Settlement Date and shall be appropriately updated to cover any Permitted Free Writing Prospectuses and any amendments or supplements to the Registration Statement, the Prospectus, any Permitted Free Writing Prospectuses and any documents incorporated by reference therein):</w:t>
      </w:r>
    </w:p>
    <w:p>
      <w:pPr>
        <w:spacing w:after="0" w:line="214" w:lineRule="exact"/>
        <w:rPr>
          <w:sz w:val="20"/>
          <w:szCs w:val="20"/>
          <w:color w:val="auto"/>
        </w:rPr>
      </w:pPr>
    </w:p>
    <w:p>
      <w:pPr>
        <w:ind w:left="700" w:hanging="303"/>
        <w:spacing w:after="0"/>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opinion and negative assurance letter referred to in Section 8(e);</w:t>
      </w:r>
    </w:p>
    <w:p>
      <w:pPr>
        <w:spacing w:after="0" w:line="8" w:lineRule="exact"/>
        <w:rPr>
          <w:rFonts w:ascii="Arial" w:cs="Arial" w:eastAsia="Arial" w:hAnsi="Arial"/>
          <w:sz w:val="22"/>
          <w:szCs w:val="22"/>
          <w:color w:val="auto"/>
        </w:rPr>
      </w:pPr>
    </w:p>
    <w:p>
      <w:pPr>
        <w:ind w:left="700" w:hanging="303"/>
        <w:spacing w:after="0" w:line="230" w:lineRule="auto"/>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opinion and negative assurance letter referred to in Section 8(f)</w:t>
      </w:r>
    </w:p>
    <w:p>
      <w:pPr>
        <w:ind w:left="700" w:hanging="303"/>
        <w:spacing w:after="0" w:line="230" w:lineRule="auto"/>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“comfort letter” referred to in Section 8(g);</w:t>
      </w:r>
    </w:p>
    <w:p>
      <w:pPr>
        <w:ind w:left="700" w:hanging="303"/>
        <w:spacing w:after="0" w:line="230" w:lineRule="auto"/>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representation certificate referred to in Section 8(h);</w:t>
      </w:r>
    </w:p>
    <w:p>
      <w:pPr>
        <w:ind w:left="700" w:hanging="303"/>
        <w:spacing w:after="0" w:line="230" w:lineRule="auto"/>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secretary’s certificate referred to in Section 8(i); and</w:t>
      </w:r>
    </w:p>
    <w:p>
      <w:pPr>
        <w:ind w:left="700" w:hanging="303"/>
        <w:spacing w:after="0"/>
        <w:tabs>
          <w:tab w:leader="none" w:pos="7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such other documents as Cowen shall reasonably request.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Time of sale: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w:t>
      </w:r>
      <w:r>
        <w:rPr>
          <w:rFonts w:ascii="Arial" w:cs="Arial" w:eastAsia="Arial" w:hAnsi="Arial"/>
          <w:sz w:val="22"/>
          <w:szCs w:val="22"/>
          <w:color w:val="auto"/>
        </w:rPr>
        <w:t>a.m./p.m.</w:t>
      </w:r>
      <w:r>
        <w:rPr>
          <w:rFonts w:ascii="Arial" w:cs="Arial" w:eastAsia="Arial" w:hAnsi="Arial"/>
          <w:sz w:val="22"/>
          <w:szCs w:val="22"/>
          <w:b w:val="1"/>
          <w:bCs w:val="1"/>
          <w:color w:val="auto"/>
        </w:rPr>
        <w:t>]</w:t>
      </w:r>
      <w:r>
        <w:rPr>
          <w:rFonts w:ascii="Arial" w:cs="Arial" w:eastAsia="Arial" w:hAnsi="Arial"/>
          <w:sz w:val="22"/>
          <w:szCs w:val="22"/>
          <w:color w:val="auto"/>
        </w:rPr>
        <w:t xml:space="preserve"> (New York City time) on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Time of sale information:</w:t>
      </w:r>
    </w:p>
    <w:p>
      <w:pPr>
        <w:spacing w:after="0" w:line="233" w:lineRule="exact"/>
        <w:rPr>
          <w:sz w:val="20"/>
          <w:szCs w:val="20"/>
          <w:color w:val="auto"/>
        </w:rPr>
      </w:pPr>
    </w:p>
    <w:p>
      <w:pPr>
        <w:ind w:left="660" w:hanging="263"/>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The number of shares of Purchased Securities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658495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Cowen shall be paid compensation up to 3.0 % of the gross proceeds from the sales of Shares in an Agency Transaction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u w:val="single" w:color="auto"/>
          <w:color w:val="auto"/>
        </w:rPr>
        <w:t>Exhibit 7(m)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 CERTIFICATE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undersigned,  the  duly  qualified  and  elected  _______________________,  of  </w:t>
      </w:r>
      <w:r>
        <w:rPr>
          <w:rFonts w:ascii="Arial" w:cs="Arial" w:eastAsia="Arial" w:hAnsi="Arial"/>
          <w:sz w:val="19"/>
          <w:szCs w:val="19"/>
          <w:b w:val="1"/>
          <w:bCs w:val="1"/>
          <w:color w:val="auto"/>
        </w:rPr>
        <w:t>Blueprint  Medicines</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Corporation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 Delaware corporation, does hereby certify on behalf of the Company (and not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undersigned’s individual capacity),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of the Sales Agreement dated [ ]</w:t>
      </w:r>
      <w:r>
        <w:rPr>
          <w:rFonts w:ascii="Arial" w:cs="Arial" w:eastAsia="Arial" w:hAnsi="Arial"/>
          <w:sz w:val="22"/>
          <w:szCs w:val="22"/>
          <w:u w:val="single" w:color="auto"/>
          <w:color w:val="auto"/>
        </w:rPr>
        <w:t>,</w:t>
      </w:r>
      <w:r>
        <w:rPr>
          <w:rFonts w:ascii="Arial" w:cs="Arial" w:eastAsia="Arial" w:hAnsi="Arial"/>
          <w:sz w:val="22"/>
          <w:szCs w:val="22"/>
          <w:color w:val="auto"/>
        </w:rPr>
        <w:t xml:space="preserve"> 2022 (the “</w:t>
      </w:r>
      <w:r>
        <w:rPr>
          <w:rFonts w:ascii="Arial" w:cs="Arial" w:eastAsia="Arial" w:hAnsi="Arial"/>
          <w:sz w:val="22"/>
          <w:szCs w:val="22"/>
          <w:b w:val="1"/>
          <w:bCs w:val="1"/>
          <w:u w:val="single" w:color="auto"/>
          <w:color w:val="auto"/>
        </w:rPr>
        <w:t>Sales Agreement</w:t>
      </w:r>
      <w:r>
        <w:rPr>
          <w:rFonts w:ascii="Arial" w:cs="Arial" w:eastAsia="Arial" w:hAnsi="Arial"/>
          <w:sz w:val="22"/>
          <w:szCs w:val="22"/>
          <w:color w:val="auto"/>
        </w:rPr>
        <w:t>”) between the Company and Cowen and Company, LLC, that to the best of the knowledge of the undersigned.</w:t>
      </w:r>
    </w:p>
    <w:p>
      <w:pPr>
        <w:spacing w:after="0" w:line="216" w:lineRule="exact"/>
        <w:rPr>
          <w:sz w:val="20"/>
          <w:szCs w:val="20"/>
          <w:color w:val="auto"/>
        </w:rPr>
      </w:pPr>
    </w:p>
    <w:p>
      <w:pPr>
        <w:jc w:val="both"/>
        <w:ind w:firstLine="656"/>
        <w:spacing w:after="0" w:line="274"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58" w:lineRule="exact"/>
        <w:rPr>
          <w:rFonts w:ascii="Arial" w:cs="Arial" w:eastAsia="Arial" w:hAnsi="Arial"/>
          <w:sz w:val="19"/>
          <w:szCs w:val="19"/>
          <w:color w:val="auto"/>
        </w:rPr>
      </w:pPr>
    </w:p>
    <w:p>
      <w:pPr>
        <w:ind w:firstLine="656"/>
        <w:spacing w:after="0" w:line="250" w:lineRule="auto"/>
        <w:tabs>
          <w:tab w:leader="none" w:pos="129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By:</w:t>
      </w:r>
    </w:p>
    <w:p>
      <w:pPr>
        <w:ind w:left="52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-151130</wp:posOffset>
            </wp:positionV>
            <wp:extent cx="1465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6985</wp:posOffset>
            </wp:positionV>
            <wp:extent cx="14141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0" w:name="page211"/>
    <w:bookmarkEnd w:id="210"/>
    <w:p>
      <w:pPr>
        <w:ind w:left="8920"/>
        <w:spacing w:after="0"/>
        <w:rPr>
          <w:sz w:val="20"/>
          <w:szCs w:val="20"/>
          <w:color w:val="auto"/>
        </w:rPr>
      </w:pPr>
      <w:r>
        <w:rPr>
          <w:rFonts w:ascii="Arial" w:cs="Arial" w:eastAsia="Arial" w:hAnsi="Arial"/>
          <w:sz w:val="19"/>
          <w:szCs w:val="19"/>
          <w:b w:val="1"/>
          <w:bCs w:val="1"/>
          <w:color w:val="auto"/>
        </w:rPr>
        <w:t>Exhibit 5.1</w:t>
      </w:r>
    </w:p>
    <w:p>
      <w:pPr>
        <w:spacing w:after="0" w:line="161" w:lineRule="exact"/>
        <w:rPr>
          <w:sz w:val="20"/>
          <w:szCs w:val="20"/>
          <w:color w:val="auto"/>
        </w:rPr>
      </w:pPr>
    </w:p>
    <w:p>
      <w:pPr>
        <w:ind w:left="7720"/>
        <w:spacing w:after="0"/>
        <w:rPr>
          <w:sz w:val="20"/>
          <w:szCs w:val="20"/>
          <w:color w:val="auto"/>
        </w:rPr>
      </w:pPr>
      <w:r>
        <w:rPr>
          <w:rFonts w:ascii="Arial" w:cs="Arial" w:eastAsia="Arial" w:hAnsi="Arial"/>
          <w:sz w:val="22"/>
          <w:szCs w:val="22"/>
          <w:color w:val="848A8E"/>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-91440</wp:posOffset>
            </wp:positionV>
            <wp:extent cx="2023110" cy="4457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1">
                      <a:extLst>
                        <a:ext uri="{28A0092B-C50C-407E-A947-70E740481C1C}"/>
                      </a:extLst>
                    </a:blip>
                    <a:srcRect/>
                    <a:stretch>
                      <a:fillRect/>
                    </a:stretch>
                  </pic:blipFill>
                  <pic:spPr bwMode="auto">
                    <a:xfrm>
                      <a:off x="0" y="0"/>
                      <a:ext cx="2023110" cy="445770"/>
                    </a:xfrm>
                    <a:prstGeom prst="rect">
                      <a:avLst/>
                    </a:prstGeom>
                    <a:noFill/>
                  </pic:spPr>
                </pic:pic>
              </a:graphicData>
            </a:graphic>
          </wp:anchor>
        </w:drawing>
      </w:r>
    </w:p>
    <w:p>
      <w:pPr>
        <w:ind w:left="7720"/>
        <w:spacing w:after="0" w:line="192" w:lineRule="auto"/>
        <w:rPr>
          <w:sz w:val="20"/>
          <w:szCs w:val="20"/>
          <w:color w:val="auto"/>
        </w:rPr>
      </w:pPr>
      <w:r>
        <w:rPr>
          <w:rFonts w:ascii="Arial" w:cs="Arial" w:eastAsia="Arial" w:hAnsi="Arial"/>
          <w:sz w:val="19"/>
          <w:szCs w:val="19"/>
          <w:color w:val="848A8E"/>
        </w:rPr>
        <w:t>100 Northern Avenue</w:t>
      </w:r>
    </w:p>
    <w:p>
      <w:pPr>
        <w:spacing w:after="0" w:line="1" w:lineRule="exact"/>
        <w:rPr>
          <w:sz w:val="20"/>
          <w:szCs w:val="20"/>
          <w:color w:val="auto"/>
        </w:rPr>
      </w:pPr>
    </w:p>
    <w:p>
      <w:pPr>
        <w:ind w:left="7720"/>
        <w:spacing w:after="0"/>
        <w:rPr>
          <w:sz w:val="20"/>
          <w:szCs w:val="20"/>
          <w:color w:val="auto"/>
        </w:rPr>
      </w:pPr>
      <w:r>
        <w:rPr>
          <w:rFonts w:ascii="Arial" w:cs="Arial" w:eastAsia="Arial" w:hAnsi="Arial"/>
          <w:sz w:val="22"/>
          <w:szCs w:val="22"/>
          <w:color w:val="848A8E"/>
        </w:rPr>
        <w:t>Boston, MA 02210</w:t>
      </w:r>
    </w:p>
    <w:p>
      <w:pPr>
        <w:spacing w:after="0" w:line="13" w:lineRule="exact"/>
        <w:rPr>
          <w:sz w:val="20"/>
          <w:szCs w:val="20"/>
          <w:color w:val="auto"/>
        </w:rPr>
      </w:pPr>
    </w:p>
    <w:p>
      <w:pPr>
        <w:ind w:left="7720"/>
        <w:spacing w:after="0"/>
        <w:rPr>
          <w:sz w:val="20"/>
          <w:szCs w:val="20"/>
          <w:color w:val="auto"/>
        </w:rPr>
      </w:pPr>
      <w:r>
        <w:rPr>
          <w:rFonts w:ascii="Arial" w:cs="Arial" w:eastAsia="Arial" w:hAnsi="Arial"/>
          <w:sz w:val="22"/>
          <w:szCs w:val="22"/>
          <w:color w:val="848A8E"/>
        </w:rPr>
        <w:t>goodwinlaw.com</w:t>
      </w:r>
    </w:p>
    <w:p>
      <w:pPr>
        <w:spacing w:after="0" w:line="31" w:lineRule="exact"/>
        <w:rPr>
          <w:sz w:val="20"/>
          <w:szCs w:val="20"/>
          <w:color w:val="auto"/>
        </w:rPr>
      </w:pPr>
    </w:p>
    <w:p>
      <w:pPr>
        <w:ind w:left="7720"/>
        <w:spacing w:after="0"/>
        <w:rPr>
          <w:sz w:val="20"/>
          <w:szCs w:val="20"/>
          <w:color w:val="auto"/>
        </w:rPr>
      </w:pPr>
      <w:r>
        <w:rPr>
          <w:rFonts w:ascii="Arial" w:cs="Arial" w:eastAsia="Arial" w:hAnsi="Arial"/>
          <w:sz w:val="22"/>
          <w:szCs w:val="22"/>
          <w:color w:val="848A8E"/>
        </w:rPr>
        <w:t>+1 617 570 1000</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17,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Blueprint Medicines Corporation</w:t>
      </w:r>
    </w:p>
    <w:p>
      <w:pPr>
        <w:spacing w:after="0" w:line="238" w:lineRule="auto"/>
        <w:rPr>
          <w:sz w:val="20"/>
          <w:szCs w:val="20"/>
          <w:color w:val="auto"/>
        </w:rPr>
      </w:pPr>
      <w:r>
        <w:rPr>
          <w:rFonts w:ascii="Arial" w:cs="Arial" w:eastAsia="Arial" w:hAnsi="Arial"/>
          <w:sz w:val="22"/>
          <w:szCs w:val="22"/>
          <w:color w:val="auto"/>
        </w:rPr>
        <w:t>45 Sidney Street</w:t>
      </w:r>
    </w:p>
    <w:p>
      <w:pPr>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Securities Registered under Registration Statement on Form S-3ASR</w:t>
      </w:r>
    </w:p>
    <w:p>
      <w:pPr>
        <w:spacing w:after="0" w:line="23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have acted as counsel to you in connection with your filing of a Registration Statement on Form S-3ASR (File No. 333-236424) (as amended or supplemented,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on February 13, 2020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relating to the registration of the offering by Blueprint Medicines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of any combination of securities of the types specified therein. The Registration Statement was declared effective by the Commission on February 13, 2020. Reference is made to our opinion letter dated February 13, 2020 and included as Exhibit 5.1 to the Registration Statement. We are delivering this supplemental opinion letter in connection with the prospectus supplement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filed on February 17, 2022 by the Company with the Commission pursuant to Rule 424 under the Securities Act. The Prospectus Supplement relates to the offering by the Company of up to $300,000,000 in shares (the “</w:t>
      </w:r>
      <w:r>
        <w:rPr>
          <w:rFonts w:ascii="Arial" w:cs="Arial" w:eastAsia="Arial" w:hAnsi="Arial"/>
          <w:sz w:val="19"/>
          <w:szCs w:val="19"/>
          <w:b w:val="1"/>
          <w:bCs w:val="1"/>
          <w:color w:val="auto"/>
        </w:rPr>
        <w:t>Shares</w:t>
      </w:r>
      <w:r>
        <w:rPr>
          <w:rFonts w:ascii="Arial" w:cs="Arial" w:eastAsia="Arial" w:hAnsi="Arial"/>
          <w:sz w:val="19"/>
          <w:szCs w:val="19"/>
          <w:color w:val="auto"/>
        </w:rPr>
        <w:t>”) of the Company’s common stock, par value $0.001 per share (“</w:t>
      </w:r>
      <w:r>
        <w:rPr>
          <w:rFonts w:ascii="Arial" w:cs="Arial" w:eastAsia="Arial" w:hAnsi="Arial"/>
          <w:sz w:val="19"/>
          <w:szCs w:val="19"/>
          <w:b w:val="1"/>
          <w:bCs w:val="1"/>
          <w:color w:val="auto"/>
        </w:rPr>
        <w:t>Common Stock</w:t>
      </w:r>
      <w:r>
        <w:rPr>
          <w:rFonts w:ascii="Arial" w:cs="Arial" w:eastAsia="Arial" w:hAnsi="Arial"/>
          <w:sz w:val="19"/>
          <w:szCs w:val="19"/>
          <w:color w:val="auto"/>
        </w:rPr>
        <w:t>”) covered by the Registration Statement. The Shares are being offered and sold by the sales agent named in, and pursuant to, the sales agreement among the Company and such sales agent.</w:t>
      </w:r>
    </w:p>
    <w:p>
      <w:pPr>
        <w:spacing w:after="0" w:line="183"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1"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purposes of the opinion set forth below, we have assumed that the Shares are issued for a price per share equal to or greater than the minimum price authorized by the Company’s board of directors (or a duly authorized committee of the Company’s board of directors) (the “</w:t>
      </w:r>
      <w:r>
        <w:rPr>
          <w:rFonts w:ascii="Arial" w:cs="Arial" w:eastAsia="Arial" w:hAnsi="Arial"/>
          <w:sz w:val="21"/>
          <w:szCs w:val="21"/>
          <w:b w:val="1"/>
          <w:bCs w:val="1"/>
          <w:color w:val="auto"/>
        </w:rPr>
        <w:t>Minimum Price</w:t>
      </w:r>
      <w:r>
        <w:rPr>
          <w:rFonts w:ascii="Arial" w:cs="Arial" w:eastAsia="Arial" w:hAnsi="Arial"/>
          <w:sz w:val="21"/>
          <w:szCs w:val="21"/>
          <w:color w:val="auto"/>
        </w:rPr>
        <w:t>”) and that no event occurs that causes the number of authorized shares of Common Stock available for issuance by the Company to be less than the number of then unissued Shares that may be issued for the Minimum Price.</w:t>
      </w:r>
    </w:p>
    <w:p>
      <w:pPr>
        <w:spacing w:after="0" w:line="17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For purposes of the opinion set forth below, we refer to the following as “Future Approval and Issuance”: (a) the approval by the Company’s board of directors (or a duly authorized committee of the board of directors) of the issuance of the Shares (the “</w:t>
      </w:r>
      <w:r>
        <w:rPr>
          <w:rFonts w:ascii="Arial" w:cs="Arial" w:eastAsia="Arial" w:hAnsi="Arial"/>
          <w:sz w:val="22"/>
          <w:szCs w:val="22"/>
          <w:b w:val="1"/>
          <w:bCs w:val="1"/>
          <w:color w:val="auto"/>
        </w:rPr>
        <w:t>Approval</w:t>
      </w:r>
      <w:r>
        <w:rPr>
          <w:rFonts w:ascii="Arial" w:cs="Arial" w:eastAsia="Arial" w:hAnsi="Arial"/>
          <w:sz w:val="22"/>
          <w:szCs w:val="22"/>
          <w:color w:val="auto"/>
        </w:rPr>
        <w:t>”) and (b) the issuance of the Shares in accordance with the Approval and the receipt by the Company of the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Blueprint Medicines Corporation.</w:t>
      </w:r>
    </w:p>
    <w:p>
      <w:pPr>
        <w:spacing w:after="0" w:line="238" w:lineRule="auto"/>
        <w:rPr>
          <w:sz w:val="20"/>
          <w:szCs w:val="20"/>
          <w:color w:val="auto"/>
        </w:rPr>
      </w:pPr>
      <w:r>
        <w:rPr>
          <w:rFonts w:ascii="Arial" w:cs="Arial" w:eastAsia="Arial" w:hAnsi="Arial"/>
          <w:sz w:val="22"/>
          <w:szCs w:val="22"/>
          <w:color w:val="auto"/>
        </w:rPr>
        <w:t>February 17, 2022</w:t>
      </w: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(which shall not be less than the par value of such Shares) to be paid in accordance with the Approval.</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opinion set forth below is limited to the Delaware General Corporation Law.</w:t>
      </w:r>
    </w:p>
    <w:p>
      <w:pPr>
        <w:spacing w:after="0" w:line="8" w:lineRule="exact"/>
        <w:rPr>
          <w:sz w:val="20"/>
          <w:szCs w:val="20"/>
          <w:color w:val="auto"/>
        </w:rPr>
      </w:pPr>
    </w:p>
    <w:p>
      <w:pPr>
        <w:ind w:right="720"/>
        <w:spacing w:after="0" w:line="236" w:lineRule="auto"/>
        <w:rPr>
          <w:sz w:val="20"/>
          <w:szCs w:val="20"/>
          <w:color w:val="auto"/>
        </w:rPr>
      </w:pPr>
      <w:r>
        <w:rPr>
          <w:rFonts w:ascii="Arial" w:cs="Arial" w:eastAsia="Arial" w:hAnsi="Arial"/>
          <w:sz w:val="22"/>
          <w:szCs w:val="22"/>
          <w:color w:val="auto"/>
        </w:rPr>
        <w:t>Based on the foregoing, we are of the opinion that the Shares have been duly authorized and, upon Future Approval and Issuance, will be validly issued, fully paid and nonassessable.</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opinion is being furnished to you for submission to the Commission as an exhibit to the Company’s Annual Report on Form 10-K relating to the Shares (the “</w:t>
      </w:r>
      <w:r>
        <w:rPr>
          <w:rFonts w:ascii="Arial" w:cs="Arial" w:eastAsia="Arial" w:hAnsi="Arial"/>
          <w:sz w:val="21"/>
          <w:szCs w:val="21"/>
          <w:b w:val="1"/>
          <w:bCs w:val="1"/>
          <w:color w:val="auto"/>
        </w:rPr>
        <w:t>Annual Report</w:t>
      </w:r>
      <w:r>
        <w:rPr>
          <w:rFonts w:ascii="Arial" w:cs="Arial" w:eastAsia="Arial" w:hAnsi="Arial"/>
          <w:sz w:val="21"/>
          <w:szCs w:val="21"/>
          <w:color w:val="auto"/>
        </w:rPr>
        <w:t>”), which is incorporated by reference in the Registration Statement. We hereby consent to the filing of this opinion letter as an exhibit to the Annual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Goodwin Procter LLP</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58" w:right="105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THIRD AMENDMENT TO LEASE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this 15th day of December, 2021, by and between BRE-BMR 38 SIDNEY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as successor-in-interest to Thirty-Eight Sidney Street LLC, which was successor-in-interest to Thirty-Eight Sidney Street Limited Partnership), and BLUEPRINT MEDICINES CORPORATION,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56"/>
        <w:spacing w:after="0" w:line="246" w:lineRule="auto"/>
        <w:tabs>
          <w:tab w:leader="none" w:pos="129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WHEREAS, Landlord and Tenant are parties to that certain Lease dated as of February 12, 2015, as amended by that certain First Amendment to Lease dated as of January 26, 2018 and that certain Second Amendment to Lease (“Second Amendment”) dated as of April 6, 2021 (collectively, and as the same may have been further amended, amended and restated, supplemented or modified from time to time, the “</w:t>
      </w:r>
      <w:r>
        <w:rPr>
          <w:rFonts w:ascii="Arial" w:cs="Arial" w:eastAsia="Arial" w:hAnsi="Arial"/>
          <w:sz w:val="21"/>
          <w:szCs w:val="21"/>
          <w:u w:val="single" w:color="auto"/>
          <w:color w:val="auto"/>
        </w:rPr>
        <w:t>Existing Lease</w:t>
      </w:r>
      <w:r>
        <w:rPr>
          <w:rFonts w:ascii="Arial" w:cs="Arial" w:eastAsia="Arial" w:hAnsi="Arial"/>
          <w:sz w:val="21"/>
          <w:szCs w:val="21"/>
          <w:color w:val="auto"/>
        </w:rPr>
        <w:t>”), whereby Tenant leases certain premises containing approximately 39,114 rentable square feet located on the second and third floors (the “</w:t>
      </w:r>
      <w:r>
        <w:rPr>
          <w:rFonts w:ascii="Arial" w:cs="Arial" w:eastAsia="Arial" w:hAnsi="Arial"/>
          <w:sz w:val="21"/>
          <w:szCs w:val="21"/>
          <w:u w:val="single" w:color="auto"/>
          <w:color w:val="auto"/>
        </w:rPr>
        <w:t>Existing Premises</w:t>
      </w:r>
      <w:r>
        <w:rPr>
          <w:rFonts w:ascii="Arial" w:cs="Arial" w:eastAsia="Arial" w:hAnsi="Arial"/>
          <w:sz w:val="21"/>
          <w:szCs w:val="21"/>
          <w:color w:val="auto"/>
        </w:rPr>
        <w:t>”) from Landlord in the building at 38 Sidney Street, Cambridge, Massachusetts (the “</w:t>
      </w:r>
      <w:r>
        <w:rPr>
          <w:rFonts w:ascii="Arial" w:cs="Arial" w:eastAsia="Arial" w:hAnsi="Arial"/>
          <w:sz w:val="21"/>
          <w:szCs w:val="21"/>
          <w:u w:val="single" w:color="auto"/>
          <w:color w:val="auto"/>
        </w:rPr>
        <w:t>Building</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right="20" w:firstLine="656"/>
        <w:spacing w:after="0" w:line="250"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WHEREAS, Landlord and Tenant desire to extend the term of the Existing Lease with respect to the Existing Premises;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WHEREAS, Landlord and Tenant desire to make certain other amendments to the Existing Lease;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firstLine="656"/>
        <w:spacing w:after="0" w:line="250"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6" w:lineRule="exact"/>
        <w:rPr>
          <w:sz w:val="20"/>
          <w:szCs w:val="20"/>
          <w:color w:val="auto"/>
        </w:rPr>
      </w:pPr>
    </w:p>
    <w:p>
      <w:pPr>
        <w:jc w:val="both"/>
        <w:ind w:firstLine="656"/>
        <w:spacing w:after="0" w:line="287" w:lineRule="auto"/>
        <w:tabs>
          <w:tab w:leader="none" w:pos="129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19"/>
          <w:szCs w:val="19"/>
          <w:u w:val="single" w:color="auto"/>
          <w:color w:val="auto"/>
        </w:rPr>
        <w:t>Lease</w:t>
      </w:r>
      <w:r>
        <w:rPr>
          <w:rFonts w:ascii="Arial" w:cs="Arial" w:eastAsia="Arial" w:hAnsi="Arial"/>
          <w:sz w:val="19"/>
          <w:szCs w:val="19"/>
          <w:color w:val="auto"/>
        </w:rPr>
        <w:t>.” From and after the date hereof, the term “Lease,” as used in the Existing Lease, shall mean the Existing Lease, as amended by this Amendment.</w:t>
      </w:r>
    </w:p>
    <w:p>
      <w:pPr>
        <w:spacing w:after="0" w:line="142" w:lineRule="exact"/>
        <w:rPr>
          <w:rFonts w:ascii="Arial" w:cs="Arial" w:eastAsia="Arial" w:hAnsi="Arial"/>
          <w:sz w:val="19"/>
          <w:szCs w:val="19"/>
          <w:color w:val="auto"/>
        </w:rPr>
      </w:pPr>
    </w:p>
    <w:p>
      <w:pPr>
        <w:jc w:val="both"/>
        <w:ind w:firstLine="656"/>
        <w:spacing w:after="0" w:line="232" w:lineRule="auto"/>
        <w:tabs>
          <w:tab w:leader="none" w:pos="1296"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Extension Term; Term Expiration Date</w:t>
      </w:r>
      <w:r>
        <w:rPr>
          <w:rFonts w:ascii="Arial" w:cs="Arial" w:eastAsia="Arial" w:hAnsi="Arial"/>
          <w:sz w:val="22"/>
          <w:szCs w:val="22"/>
          <w:color w:val="auto"/>
        </w:rPr>
        <w:t>. The term with respect to the Existing Premises is hereby extended to November 30, 2029. The period commencing on November 1, 2022 (the “</w:t>
      </w:r>
      <w:r>
        <w:rPr>
          <w:rFonts w:ascii="Arial" w:cs="Arial" w:eastAsia="Arial" w:hAnsi="Arial"/>
          <w:sz w:val="22"/>
          <w:szCs w:val="22"/>
          <w:u w:val="single" w:color="auto"/>
          <w:color w:val="auto"/>
        </w:rPr>
        <w:t>Existing Premises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Extension Term Commencement Date</w:t>
      </w:r>
      <w:r>
        <w:rPr>
          <w:rFonts w:ascii="Arial" w:cs="Arial" w:eastAsia="Arial" w:hAnsi="Arial"/>
          <w:sz w:val="22"/>
          <w:szCs w:val="22"/>
          <w:color w:val="auto"/>
        </w:rPr>
        <w:t>”) and ending on November 30, 2029 shall be referred to herein as the “</w:t>
      </w:r>
      <w:r>
        <w:rPr>
          <w:rFonts w:ascii="Arial" w:cs="Arial" w:eastAsia="Arial" w:hAnsi="Arial"/>
          <w:sz w:val="22"/>
          <w:szCs w:val="22"/>
          <w:u w:val="single" w:color="auto"/>
          <w:color w:val="auto"/>
        </w:rPr>
        <w:t>Existing Premises Extension Term</w:t>
      </w:r>
      <w:r>
        <w:rPr>
          <w:rFonts w:ascii="Arial" w:cs="Arial" w:eastAsia="Arial" w:hAnsi="Arial"/>
          <w:sz w:val="22"/>
          <w:szCs w:val="22"/>
          <w:color w:val="auto"/>
        </w:rPr>
        <w:t>.” The term “</w:t>
      </w:r>
      <w:r>
        <w:rPr>
          <w:rFonts w:ascii="Arial" w:cs="Arial" w:eastAsia="Arial" w:hAnsi="Arial"/>
          <w:sz w:val="22"/>
          <w:szCs w:val="22"/>
          <w:u w:val="single" w:color="auto"/>
          <w:color w:val="auto"/>
        </w:rPr>
        <w:t>Term</w:t>
      </w:r>
      <w:r>
        <w:rPr>
          <w:rFonts w:ascii="Arial" w:cs="Arial" w:eastAsia="Arial" w:hAnsi="Arial"/>
          <w:sz w:val="22"/>
          <w:szCs w:val="22"/>
          <w:color w:val="auto"/>
        </w:rPr>
        <w:t>” as used in the Lease shall refer to the term under the Existing Lease as extended by the Existing Premises Extension Term. Notwithstanding anything in the Existing Lease to the contrary, the parties agree that the Existing Premises Extension Term does not constitute the exercise of</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BioMed Realty form dated 6/9/20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433705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3" w:name="page214"/>
    <w:bookmarkEnd w:id="213"/>
    <w:p>
      <w:pPr>
        <w:jc w:val="both"/>
        <w:spacing w:after="0" w:line="238" w:lineRule="auto"/>
        <w:rPr>
          <w:sz w:val="20"/>
          <w:szCs w:val="20"/>
          <w:color w:val="auto"/>
        </w:rPr>
      </w:pPr>
      <w:r>
        <w:rPr>
          <w:rFonts w:ascii="Arial" w:cs="Arial" w:eastAsia="Arial" w:hAnsi="Arial"/>
          <w:sz w:val="22"/>
          <w:szCs w:val="22"/>
          <w:color w:val="auto"/>
        </w:rPr>
        <w:t>Tenant’s Extension Option with respect to the Existing Premises per the terms of Section 2.6 of the Existing Lease (as amended by Section 3 of the Second Amendment) and that one option to extend the Term of the Existing Lease with respect to the Existing Premises for a term of five (5) years under Section 2.6 of the Existing Lease (as amended by Section 3 of the Second Amendment) remains.</w:t>
      </w:r>
    </w:p>
    <w:p>
      <w:pPr>
        <w:spacing w:after="0" w:line="185" w:lineRule="exact"/>
        <w:rPr>
          <w:sz w:val="20"/>
          <w:szCs w:val="20"/>
          <w:color w:val="auto"/>
        </w:rPr>
      </w:pPr>
    </w:p>
    <w:p>
      <w:pPr>
        <w:ind w:right="20" w:firstLine="656"/>
        <w:spacing w:after="0" w:line="274" w:lineRule="auto"/>
        <w:tabs>
          <w:tab w:leader="none" w:pos="1296"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Rent During Existing Premises Extension Term</w:t>
      </w:r>
      <w:r>
        <w:rPr>
          <w:rFonts w:ascii="Arial" w:cs="Arial" w:eastAsia="Arial" w:hAnsi="Arial"/>
          <w:sz w:val="21"/>
          <w:szCs w:val="21"/>
          <w:color w:val="auto"/>
        </w:rPr>
        <w:t>. Monthly and annual installments of Annual Fixed Rent for the Existing Premises during the Existing Premises Extension Term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27514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7514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Rentable</w:t>
            </w:r>
          </w:p>
        </w:tc>
        <w:tc>
          <w:tcPr>
            <w:tcW w:w="1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72"/>
              </w:rPr>
              <w:t>Square Feet</w:t>
            </w:r>
          </w:p>
        </w:tc>
        <w:tc>
          <w:tcPr>
            <w:tcW w:w="10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Annual</w:t>
            </w:r>
          </w:p>
        </w:tc>
        <w:tc>
          <w:tcPr>
            <w:tcW w:w="540" w:type="dxa"/>
            <w:vAlign w:val="bottom"/>
            <w:gridSpan w:val="2"/>
            <w:vMerge w:val="restart"/>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of the</w:t>
            </w:r>
          </w:p>
        </w:tc>
        <w:tc>
          <w:tcPr>
            <w:tcW w:w="200" w:type="dxa"/>
            <w:vAlign w:val="bottom"/>
            <w:gridSpan w:val="3"/>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Annual Fixed Rent per</w:t>
            </w: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7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Annual Fixed</w:t>
            </w:r>
          </w:p>
        </w:tc>
        <w:tc>
          <w:tcPr>
            <w:tcW w:w="0" w:type="dxa"/>
            <w:vAlign w:val="bottom"/>
          </w:tcPr>
          <w:p>
            <w:pPr>
              <w:spacing w:after="0"/>
              <w:rPr>
                <w:sz w:val="1"/>
                <w:szCs w:val="1"/>
                <w:color w:val="auto"/>
              </w:rPr>
            </w:pPr>
          </w:p>
        </w:tc>
      </w:tr>
      <w:tr>
        <w:trPr>
          <w:trHeight w:val="128"/>
        </w:trPr>
        <w:tc>
          <w:tcPr>
            <w:tcW w:w="2280" w:type="dxa"/>
            <w:vAlign w:val="bottom"/>
            <w:vMerge w:val="restart"/>
          </w:tcPr>
          <w:p>
            <w:pPr>
              <w:jc w:val="center"/>
              <w:ind w:right="571"/>
              <w:spacing w:after="0"/>
              <w:rPr>
                <w:sz w:val="20"/>
                <w:szCs w:val="20"/>
                <w:color w:val="auto"/>
              </w:rPr>
            </w:pPr>
            <w:r>
              <w:rPr>
                <w:rFonts w:ascii="Arial" w:cs="Arial" w:eastAsia="Arial" w:hAnsi="Arial"/>
                <w:sz w:val="14"/>
                <w:szCs w:val="14"/>
                <w:b w:val="1"/>
                <w:bCs w:val="1"/>
                <w:color w:val="auto"/>
                <w:w w:val="89"/>
              </w:rPr>
              <w:t>Dates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75"/>
              </w:rPr>
              <w:t>Existing</w:t>
            </w: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0"/>
              </w:rPr>
              <w:t>Fixed Rent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Premises</w:t>
            </w:r>
          </w:p>
        </w:tc>
        <w:tc>
          <w:tcPr>
            <w:tcW w:w="120" w:type="dxa"/>
            <w:vAlign w:val="bottom"/>
            <w:tcBorders>
              <w:bottom w:val="single" w:sz="8" w:color="auto"/>
            </w:tcBorders>
            <w:gridSpan w:val="2"/>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Rentable Square Foot</w:t>
            </w:r>
          </w:p>
        </w:tc>
        <w:tc>
          <w:tcPr>
            <w:tcW w:w="120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3"/>
              </w:rPr>
              <w:t>per month</w:t>
            </w: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3"/>
              </w:rPr>
              <w:t>Rent per year</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280" w:type="dxa"/>
            <w:vAlign w:val="bottom"/>
          </w:tcPr>
          <w:p>
            <w:pPr>
              <w:jc w:val="center"/>
              <w:ind w:right="571"/>
              <w:spacing w:after="0" w:line="201" w:lineRule="exact"/>
              <w:rPr>
                <w:sz w:val="20"/>
                <w:szCs w:val="20"/>
                <w:color w:val="auto"/>
              </w:rPr>
            </w:pPr>
            <w:r>
              <w:rPr>
                <w:rFonts w:ascii="Arial" w:cs="Arial" w:eastAsia="Arial" w:hAnsi="Arial"/>
                <w:sz w:val="18"/>
                <w:szCs w:val="18"/>
                <w:color w:val="auto"/>
                <w:w w:val="90"/>
              </w:rPr>
              <w:t>11/1/2022-</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$115.00 annually</w:t>
            </w:r>
          </w:p>
        </w:tc>
        <w:tc>
          <w:tcPr>
            <w:tcW w:w="2340" w:type="dxa"/>
            <w:vAlign w:val="bottom"/>
            <w:gridSpan w:val="6"/>
            <w:vMerge w:val="restart"/>
          </w:tcPr>
          <w:p>
            <w:pPr>
              <w:jc w:val="right"/>
              <w:ind w:right="340"/>
              <w:spacing w:after="0"/>
              <w:rPr>
                <w:sz w:val="20"/>
                <w:szCs w:val="20"/>
                <w:color w:val="auto"/>
              </w:rPr>
            </w:pPr>
            <w:r>
              <w:rPr>
                <w:rFonts w:ascii="Arial" w:cs="Arial" w:eastAsia="Arial" w:hAnsi="Arial"/>
                <w:sz w:val="18"/>
                <w:szCs w:val="18"/>
                <w:color w:val="auto"/>
              </w:rPr>
              <w:t>$374.842.50</w:t>
            </w:r>
          </w:p>
        </w:tc>
        <w:tc>
          <w:tcPr>
            <w:tcW w:w="1360" w:type="dxa"/>
            <w:vAlign w:val="bottom"/>
            <w:gridSpan w:val="2"/>
            <w:vMerge w:val="restart"/>
          </w:tcPr>
          <w:p>
            <w:pPr>
              <w:jc w:val="center"/>
              <w:ind w:left="312"/>
              <w:spacing w:after="0"/>
              <w:rPr>
                <w:sz w:val="20"/>
                <w:szCs w:val="20"/>
                <w:color w:val="auto"/>
              </w:rPr>
            </w:pPr>
            <w:r>
              <w:rPr>
                <w:rFonts w:ascii="Arial" w:cs="Arial" w:eastAsia="Arial" w:hAnsi="Arial"/>
                <w:sz w:val="18"/>
                <w:szCs w:val="18"/>
                <w:color w:val="auto"/>
                <w:w w:val="88"/>
              </w:rPr>
              <w:t>$4,498,110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10/31/2023</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11/1/2023-</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$118.45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$386,087.78</w:t>
            </w: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$4,633,053.30</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10/31/2024</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11/1/2024-</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$122.00 annually</w:t>
            </w:r>
          </w:p>
        </w:tc>
        <w:tc>
          <w:tcPr>
            <w:tcW w:w="1900" w:type="dxa"/>
            <w:vAlign w:val="bottom"/>
            <w:gridSpan w:val="5"/>
            <w:vMerge w:val="restart"/>
          </w:tcPr>
          <w:p>
            <w:pPr>
              <w:jc w:val="center"/>
              <w:ind w:left="1050"/>
              <w:spacing w:after="0"/>
              <w:rPr>
                <w:sz w:val="20"/>
                <w:szCs w:val="20"/>
                <w:color w:val="auto"/>
              </w:rPr>
            </w:pPr>
            <w:r>
              <w:rPr>
                <w:rFonts w:ascii="Arial" w:cs="Arial" w:eastAsia="Arial" w:hAnsi="Arial"/>
                <w:sz w:val="18"/>
                <w:szCs w:val="18"/>
                <w:color w:val="auto"/>
                <w:w w:val="90"/>
              </w:rPr>
              <w:t>$397,659</w:t>
            </w:r>
          </w:p>
        </w:tc>
        <w:tc>
          <w:tcPr>
            <w:tcW w:w="440" w:type="dxa"/>
            <w:vAlign w:val="bottom"/>
          </w:tcPr>
          <w:p>
            <w:pPr>
              <w:spacing w:after="0"/>
              <w:rPr>
                <w:sz w:val="16"/>
                <w:szCs w:val="16"/>
                <w:color w:val="auto"/>
              </w:rPr>
            </w:pPr>
          </w:p>
        </w:tc>
        <w:tc>
          <w:tcPr>
            <w:tcW w:w="136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auto"/>
                <w:w w:val="90"/>
              </w:rPr>
              <w:t>$4,771,908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10/31/2025</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11/1/2025-</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$125.66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$409,588.77</w:t>
            </w: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$4,915,065.24</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10/31/2026</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11/1/2026-</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$129.43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$421,877.09</w:t>
            </w: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$5,062,525.02</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10/31/2027</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11/1/2027-</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$133.32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$434,556.54</w:t>
            </w: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$5,214,678.48</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10/31/2028</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11/1/2028-</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$137.32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$447,594.54</w:t>
            </w: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$5,371,134.48</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10/31/2029</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Pr>
          <w:p>
            <w:pPr>
              <w:jc w:val="center"/>
              <w:ind w:right="571"/>
              <w:spacing w:after="0" w:line="195" w:lineRule="exact"/>
              <w:rPr>
                <w:sz w:val="20"/>
                <w:szCs w:val="20"/>
                <w:color w:val="auto"/>
              </w:rPr>
            </w:pPr>
            <w:r>
              <w:rPr>
                <w:rFonts w:ascii="Arial" w:cs="Arial" w:eastAsia="Arial" w:hAnsi="Arial"/>
                <w:sz w:val="18"/>
                <w:szCs w:val="18"/>
                <w:color w:val="auto"/>
                <w:w w:val="90"/>
              </w:rPr>
              <w:t>11/1/2029-</w:t>
            </w:r>
          </w:p>
        </w:tc>
        <w:tc>
          <w:tcPr>
            <w:tcW w:w="6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39,114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$141.44 annually</w:t>
            </w:r>
          </w:p>
        </w:tc>
        <w:tc>
          <w:tcPr>
            <w:tcW w:w="2340" w:type="dxa"/>
            <w:vAlign w:val="bottom"/>
            <w:gridSpan w:val="6"/>
            <w:vMerge w:val="restart"/>
          </w:tcPr>
          <w:p>
            <w:pPr>
              <w:jc w:val="center"/>
              <w:ind w:left="630"/>
              <w:spacing w:after="0"/>
              <w:rPr>
                <w:sz w:val="20"/>
                <w:szCs w:val="20"/>
                <w:color w:val="auto"/>
              </w:rPr>
            </w:pPr>
            <w:r>
              <w:rPr>
                <w:rFonts w:ascii="Arial" w:cs="Arial" w:eastAsia="Arial" w:hAnsi="Arial"/>
                <w:sz w:val="18"/>
                <w:szCs w:val="18"/>
                <w:color w:val="auto"/>
                <w:w w:val="89"/>
              </w:rPr>
              <w:t>$461,023.68</w:t>
            </w:r>
          </w:p>
        </w:tc>
        <w:tc>
          <w:tcPr>
            <w:tcW w:w="17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$5,532,284.16*</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right"/>
              <w:ind w:right="911"/>
              <w:spacing w:after="0"/>
              <w:rPr>
                <w:sz w:val="20"/>
                <w:szCs w:val="20"/>
                <w:color w:val="auto"/>
              </w:rPr>
            </w:pPr>
            <w:r>
              <w:rPr>
                <w:rFonts w:ascii="Arial" w:cs="Arial" w:eastAsia="Arial" w:hAnsi="Arial"/>
                <w:sz w:val="18"/>
                <w:szCs w:val="18"/>
                <w:color w:val="auto"/>
              </w:rPr>
              <w:t>11/30/2029</w:t>
            </w:r>
          </w:p>
        </w:tc>
        <w:tc>
          <w:tcPr>
            <w:tcW w:w="6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i w:val="1"/>
          <w:iCs w:val="1"/>
          <w:color w:val="auto"/>
        </w:rPr>
        <w:t>*to be pro-rated for partial year</w:t>
      </w:r>
    </w:p>
    <w:p>
      <w:pPr>
        <w:spacing w:after="0" w:line="198" w:lineRule="exact"/>
        <w:rPr>
          <w:sz w:val="20"/>
          <w:szCs w:val="20"/>
          <w:color w:val="auto"/>
        </w:rPr>
      </w:pPr>
    </w:p>
    <w:p>
      <w:pPr>
        <w:jc w:val="both"/>
        <w:ind w:firstLine="656"/>
        <w:spacing w:after="0" w:line="238" w:lineRule="auto"/>
        <w:tabs>
          <w:tab w:leader="none" w:pos="129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Tenant Improvements</w:t>
      </w:r>
      <w:r>
        <w:rPr>
          <w:rFonts w:ascii="Arial" w:cs="Arial" w:eastAsia="Arial" w:hAnsi="Arial"/>
          <w:sz w:val="22"/>
          <w:szCs w:val="22"/>
          <w:color w:val="auto"/>
        </w:rPr>
        <w:t>. As of the Existing Premises Extension Term Commencement Date, Landlord shall make available to Tenant a tenant improvement allowance of Eight Hundred Twenty-One Thousand Three Hundred Ninety-Four and 00/100 Dollars ($821,394.00) (based upon Twenty-One Dollars ($21.00) per Rentable Square Foot of the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2" w:right="999" w:bottom="1440" w:gutter="0" w:footer="0" w:header="0"/>
        </w:sectPr>
      </w:pPr>
    </w:p>
    <w:bookmarkStart w:id="214" w:name="page215"/>
    <w:bookmarkEnd w:id="214"/>
    <w:p>
      <w:pPr>
        <w:jc w:val="both"/>
        <w:spacing w:after="0" w:line="273" w:lineRule="auto"/>
        <w:rPr>
          <w:sz w:val="20"/>
          <w:szCs w:val="20"/>
          <w:color w:val="auto"/>
        </w:rPr>
      </w:pPr>
      <w:r>
        <w:rPr>
          <w:rFonts w:ascii="Arial" w:cs="Arial" w:eastAsia="Arial" w:hAnsi="Arial"/>
          <w:sz w:val="19"/>
          <w:szCs w:val="19"/>
          <w:color w:val="auto"/>
        </w:rPr>
        <w:t>Premises) (the “</w:t>
      </w:r>
      <w:r>
        <w:rPr>
          <w:rFonts w:ascii="Arial" w:cs="Arial" w:eastAsia="Arial" w:hAnsi="Arial"/>
          <w:sz w:val="19"/>
          <w:szCs w:val="19"/>
          <w:u w:val="single" w:color="auto"/>
          <w:color w:val="auto"/>
        </w:rPr>
        <w:t>Extension TI Allowance</w:t>
      </w:r>
      <w:r>
        <w:rPr>
          <w:rFonts w:ascii="Arial" w:cs="Arial" w:eastAsia="Arial" w:hAnsi="Arial"/>
          <w:sz w:val="19"/>
          <w:szCs w:val="19"/>
          <w:color w:val="auto"/>
        </w:rPr>
        <w:t>”) in order to fund appropriate improvements to the Existing Premises (“</w:t>
      </w:r>
      <w:r>
        <w:rPr>
          <w:rFonts w:ascii="Arial" w:cs="Arial" w:eastAsia="Arial" w:hAnsi="Arial"/>
          <w:sz w:val="19"/>
          <w:szCs w:val="19"/>
          <w:u w:val="single" w:color="auto"/>
          <w:color w:val="auto"/>
        </w:rPr>
        <w:t>Tenant Improvements</w:t>
      </w:r>
      <w:r>
        <w:rPr>
          <w:rFonts w:ascii="Arial" w:cs="Arial" w:eastAsia="Arial" w:hAnsi="Arial"/>
          <w:sz w:val="19"/>
          <w:szCs w:val="19"/>
          <w:color w:val="auto"/>
        </w:rPr>
        <w:t>”) consistent with Permitted Uses. Tenant shall be responsible for performing and completing the Tenant Improvements. The Extension TI Allowance may be applied to the costs of (i) construction,</w:t>
      </w:r>
    </w:p>
    <w:p>
      <w:pPr>
        <w:spacing w:after="0" w:line="1" w:lineRule="exact"/>
        <w:rPr>
          <w:sz w:val="20"/>
          <w:szCs w:val="20"/>
          <w:color w:val="auto"/>
        </w:rPr>
      </w:pPr>
    </w:p>
    <w:p>
      <w:pPr>
        <w:jc w:val="both"/>
        <w:ind w:firstLine="8"/>
        <w:spacing w:after="0" w:line="266" w:lineRule="auto"/>
        <w:tabs>
          <w:tab w:leader="none" w:pos="36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Landlord’s construction oversight fee described above, (iii) commissioning of mechanical, electrical and plumbing systems by a licensed, qualified commissioning agent hired by Tenant, and review of such party’s commissioning report by a licensed, qualified commissioning agent hired by Landlord, (iv) space planning, architect, engineering and other related services performed by third parties unaffiliated with Tenant, (v) building permits and other taxes, fees, charges and levies by governmental authorities for permits or for inspections of the Tenant Improvements, and (vi) costs and expenses for labor, material, equipment and fixtures. In no event shall the Extension TI Allowance be used for (A) the cost of work that is not authorized by the Approved Plans (as defined in the Work Letter; said Work Letter is defined below) or otherwise approved in writing by Landlord, (B) payments to Tenant or any affiliates of Tenant, (C) the purchase of any furniture, personal property or other non-building system equipment, (D) costs resulting from any default by Tenant of its obligations under this Lease or</w:t>
      </w:r>
    </w:p>
    <w:p>
      <w:pPr>
        <w:spacing w:after="0" w:line="8" w:lineRule="exact"/>
        <w:rPr>
          <w:rFonts w:ascii="Arial" w:cs="Arial" w:eastAsia="Arial" w:hAnsi="Arial"/>
          <w:sz w:val="19"/>
          <w:szCs w:val="19"/>
          <w:color w:val="auto"/>
        </w:rPr>
      </w:pPr>
    </w:p>
    <w:p>
      <w:pPr>
        <w:jc w:val="both"/>
        <w:spacing w:after="0" w:line="272" w:lineRule="auto"/>
        <w:rPr>
          <w:rFonts w:ascii="Arial" w:cs="Arial" w:eastAsia="Arial" w:hAnsi="Arial"/>
          <w:sz w:val="19"/>
          <w:szCs w:val="19"/>
          <w:color w:val="auto"/>
        </w:rPr>
      </w:pPr>
      <w:r>
        <w:rPr>
          <w:rFonts w:ascii="Arial" w:cs="Arial" w:eastAsia="Arial" w:hAnsi="Arial"/>
          <w:sz w:val="19"/>
          <w:szCs w:val="19"/>
          <w:color w:val="auto"/>
        </w:rPr>
        <w:t>(E) costs that are recoverable by Tenant from a third party (e.g., insurers, warrantors, or tortfeasors). Tenant shall have until November 1, 2023 (the “</w:t>
      </w:r>
      <w:r>
        <w:rPr>
          <w:rFonts w:ascii="Arial" w:cs="Arial" w:eastAsia="Arial" w:hAnsi="Arial"/>
          <w:sz w:val="19"/>
          <w:szCs w:val="19"/>
          <w:u w:val="single" w:color="auto"/>
          <w:color w:val="auto"/>
        </w:rPr>
        <w:t>TI Deadline</w:t>
      </w:r>
      <w:r>
        <w:rPr>
          <w:rFonts w:ascii="Arial" w:cs="Arial" w:eastAsia="Arial" w:hAnsi="Arial"/>
          <w:sz w:val="19"/>
          <w:szCs w:val="19"/>
          <w:color w:val="auto"/>
        </w:rPr>
        <w:t xml:space="preserve">”) to submit a Fund Request (as defined in the Work Letter) for the Extension TI Allowance, after which date Landlord’s obligation to fund the Expansion TI Allowance shall expire. In no event shall any unused Extension TI Allowance entitle Tenant to a credit against Annual Fixed Rent or Additional Rent payable under the Lease. Tenant’s design and installation utilizing the Extension TI Allowance shall be subject to (a) the provisions of the Lease governing alterations, and (b) the work letter attached to this Amendment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Work Letter</w:t>
      </w:r>
      <w:r>
        <w:rPr>
          <w:rFonts w:ascii="Arial" w:cs="Arial" w:eastAsia="Arial" w:hAnsi="Arial"/>
          <w:sz w:val="19"/>
          <w:szCs w:val="19"/>
          <w:color w:val="auto"/>
        </w:rPr>
        <w:t>”) (provided that in the event any terms of the attached Work Letter conflict with terms of the Lease, the provisions of the Work Letter shall govern).</w:t>
      </w:r>
    </w:p>
    <w:p>
      <w:pPr>
        <w:spacing w:after="0" w:line="161" w:lineRule="exact"/>
        <w:rPr>
          <w:rFonts w:ascii="Arial" w:cs="Arial" w:eastAsia="Arial" w:hAnsi="Arial"/>
          <w:sz w:val="19"/>
          <w:szCs w:val="19"/>
          <w:color w:val="auto"/>
        </w:rPr>
      </w:pPr>
    </w:p>
    <w:p>
      <w:pPr>
        <w:jc w:val="both"/>
        <w:ind w:firstLine="656"/>
        <w:spacing w:after="0" w:line="279" w:lineRule="auto"/>
        <w:tabs>
          <w:tab w:leader="none" w:pos="1296"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Condition of Existing Premises</w:t>
      </w:r>
      <w:r>
        <w:rPr>
          <w:rFonts w:ascii="Arial" w:cs="Arial" w:eastAsia="Arial" w:hAnsi="Arial"/>
          <w:sz w:val="19"/>
          <w:szCs w:val="19"/>
          <w:color w:val="auto"/>
        </w:rPr>
        <w:t>. Tenant acknowledges that (a) it is in possession of and is familiar with the condition of the Existing Premises and, notwithstanding anything contained in the Lease to the contrary, agrees to take the same in its condition “as is” as of the first day of the Existing Premises Extension Term, and (b) Landlord shall have no obligation to alter, repair or otherwise prepare the Existing Premises for Tenant’s continued occupancy for the Existing Premises Extension Term or to pay for any improvements to the Existing Premises, except as may be expressly provided in the Lease or as set forth herein.</w:t>
      </w:r>
    </w:p>
    <w:p>
      <w:pPr>
        <w:spacing w:after="0" w:line="150" w:lineRule="exact"/>
        <w:rPr>
          <w:rFonts w:ascii="Arial" w:cs="Arial" w:eastAsia="Arial" w:hAnsi="Arial"/>
          <w:sz w:val="19"/>
          <w:szCs w:val="19"/>
          <w:color w:val="auto"/>
        </w:rPr>
      </w:pPr>
    </w:p>
    <w:p>
      <w:pPr>
        <w:jc w:val="both"/>
        <w:ind w:firstLine="656"/>
        <w:spacing w:after="0" w:line="257" w:lineRule="auto"/>
        <w:tabs>
          <w:tab w:leader="none" w:pos="1296" w:val="left"/>
        </w:tabs>
        <w:numPr>
          <w:ilvl w:val="1"/>
          <w:numId w:val="132"/>
        </w:numPr>
        <w:rPr>
          <w:rFonts w:ascii="Arial" w:cs="Arial" w:eastAsia="Arial" w:hAnsi="Arial"/>
          <w:sz w:val="21"/>
          <w:szCs w:val="21"/>
          <w:color w:val="auto"/>
        </w:rPr>
      </w:pPr>
      <w:r>
        <w:rPr>
          <w:rFonts w:ascii="Arial" w:cs="Arial" w:eastAsia="Arial" w:hAnsi="Arial"/>
          <w:sz w:val="21"/>
          <w:szCs w:val="21"/>
          <w:u w:val="single" w:color="auto"/>
          <w:color w:val="auto"/>
        </w:rPr>
        <w:t>Sublease Profits</w:t>
      </w:r>
      <w:r>
        <w:rPr>
          <w:rFonts w:ascii="Arial" w:cs="Arial" w:eastAsia="Arial" w:hAnsi="Arial"/>
          <w:sz w:val="21"/>
          <w:szCs w:val="21"/>
          <w:color w:val="auto"/>
        </w:rPr>
        <w:t xml:space="preserve">. The fourth sentence of the fourth paragraph of </w:t>
      </w: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of the Existing Lease is hereby amended by deleting the clause “one hundred percent (100%) of any amounts the Tenant receives” and replacing it with the clause “fifty percent (50%) of any amounts the Tenant receives.”</w:t>
      </w:r>
    </w:p>
    <w:p>
      <w:pPr>
        <w:spacing w:after="0" w:line="169" w:lineRule="exact"/>
        <w:rPr>
          <w:rFonts w:ascii="Arial" w:cs="Arial" w:eastAsia="Arial" w:hAnsi="Arial"/>
          <w:sz w:val="21"/>
          <w:szCs w:val="21"/>
          <w:color w:val="auto"/>
        </w:rPr>
      </w:pPr>
    </w:p>
    <w:p>
      <w:pPr>
        <w:ind w:left="130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Extension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hanging="320"/>
        <w:spacing w:after="0" w:line="236" w:lineRule="auto"/>
        <w:tabs>
          <w:tab w:leader="none" w:pos="130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 xml:space="preserve">The first sentence of the first paragraph of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of the Existing Lease is hereby deleted in its entirety and replaced with the following: “Provided that there has been no Event of Default which is uncured and continuing on the part of the Tenant, and that Tenant is, as of the date of exercise of its rights under this Section 2.6, in occupancy of at least seventy percent (70%) of the Premises for its own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15" w:name="page216"/>
    <w:bookmarkEnd w:id="215"/>
    <w:p>
      <w:pPr>
        <w:ind w:left="1300" w:right="240"/>
        <w:spacing w:after="0" w:line="274" w:lineRule="auto"/>
        <w:rPr>
          <w:sz w:val="20"/>
          <w:szCs w:val="20"/>
          <w:color w:val="auto"/>
        </w:rPr>
      </w:pPr>
      <w:r>
        <w:rPr>
          <w:rFonts w:ascii="Arial" w:cs="Arial" w:eastAsia="Arial" w:hAnsi="Arial"/>
          <w:sz w:val="21"/>
          <w:szCs w:val="21"/>
          <w:color w:val="auto"/>
        </w:rPr>
        <w:t>business purposes, the Tenant shall have the right to extend the Term hereof for one (1) period of five (5) years (the “</w:t>
      </w:r>
      <w:r>
        <w:rPr>
          <w:rFonts w:ascii="Arial" w:cs="Arial" w:eastAsia="Arial" w:hAnsi="Arial"/>
          <w:sz w:val="21"/>
          <w:szCs w:val="21"/>
          <w:u w:val="single" w:color="auto"/>
          <w:color w:val="auto"/>
        </w:rPr>
        <w:t>Extension Term</w:t>
      </w:r>
      <w:r>
        <w:rPr>
          <w:rFonts w:ascii="Arial" w:cs="Arial" w:eastAsia="Arial" w:hAnsi="Arial"/>
          <w:sz w:val="21"/>
          <w:szCs w:val="21"/>
          <w:color w:val="auto"/>
        </w:rPr>
        <w:t>”) on the following terms and conditions:”</w:t>
      </w:r>
    </w:p>
    <w:p>
      <w:pPr>
        <w:spacing w:after="0" w:line="151" w:lineRule="exact"/>
        <w:rPr>
          <w:sz w:val="20"/>
          <w:szCs w:val="20"/>
          <w:color w:val="auto"/>
        </w:rPr>
      </w:pPr>
    </w:p>
    <w:p>
      <w:pPr>
        <w:ind w:left="1300" w:right="20" w:hanging="320"/>
        <w:spacing w:after="0" w:line="328" w:lineRule="auto"/>
        <w:tabs>
          <w:tab w:leader="none" w:pos="13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The first sentence of clause (a)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of the Existing Lease is hereby amended by deleting “at least ten (10) months prior” and replacing it with “at least twelve (12) months prior.”</w:t>
      </w:r>
    </w:p>
    <w:p>
      <w:pPr>
        <w:spacing w:after="0" w:line="104"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Broker</w:t>
      </w:r>
      <w:r>
        <w:rPr>
          <w:rFonts w:ascii="Arial" w:cs="Arial" w:eastAsia="Arial" w:hAnsi="Arial"/>
          <w:sz w:val="22"/>
          <w:szCs w:val="22"/>
          <w:color w:val="auto"/>
        </w:rPr>
        <w:t>. Landlord and Tenant represent to the other that it has not dealt with any broker or agent in the negotiation for or the obtaining of this Amendment, other than Jones Lang LaSalle and CBRE (each, a “</w:t>
      </w:r>
      <w:r>
        <w:rPr>
          <w:rFonts w:ascii="Arial" w:cs="Arial" w:eastAsia="Arial" w:hAnsi="Arial"/>
          <w:sz w:val="22"/>
          <w:szCs w:val="22"/>
          <w:u w:val="single" w:color="auto"/>
          <w:color w:val="auto"/>
        </w:rPr>
        <w:t>Broker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Brokers</w:t>
      </w:r>
      <w:r>
        <w:rPr>
          <w:rFonts w:ascii="Arial" w:cs="Arial" w:eastAsia="Arial" w:hAnsi="Arial"/>
          <w:sz w:val="22"/>
          <w:szCs w:val="22"/>
          <w:color w:val="auto"/>
        </w:rPr>
        <w:t>”). Each Broker is entitled to a leasing commission in connection with the making of this Amendment, and Landlord shall pay such commission to each Broker pursuant to a separate agreement between Landlord and each Broker.</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Landlord and Tenant represent, warrant and covenant that, to the best of their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8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Landlord confirms that, notwithstanding anything in the Lease to the contrary, notices delivered to Landlord pursuant to the Lease should be sent to:</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BRE-BMR 38 Sidney LLC</w:t>
      </w:r>
    </w:p>
    <w:p>
      <w:pPr>
        <w:ind w:left="2600"/>
        <w:spacing w:after="0" w:line="238" w:lineRule="auto"/>
        <w:rPr>
          <w:sz w:val="20"/>
          <w:szCs w:val="20"/>
          <w:color w:val="auto"/>
        </w:rPr>
      </w:pPr>
      <w:r>
        <w:rPr>
          <w:rFonts w:ascii="Arial" w:cs="Arial" w:eastAsia="Arial" w:hAnsi="Arial"/>
          <w:sz w:val="22"/>
          <w:szCs w:val="22"/>
          <w:color w:val="auto"/>
        </w:rPr>
        <w:t>4570 Executive Drive, Suite 400</w:t>
      </w:r>
    </w:p>
    <w:p>
      <w:pPr>
        <w:ind w:left="2600"/>
        <w:spacing w:after="0" w:line="230" w:lineRule="auto"/>
        <w:rPr>
          <w:sz w:val="20"/>
          <w:szCs w:val="20"/>
          <w:color w:val="auto"/>
        </w:rPr>
      </w:pPr>
      <w:r>
        <w:rPr>
          <w:rFonts w:ascii="Arial" w:cs="Arial" w:eastAsia="Arial" w:hAnsi="Arial"/>
          <w:sz w:val="22"/>
          <w:szCs w:val="22"/>
          <w:color w:val="auto"/>
        </w:rPr>
        <w:t>San Diego, CA 92121</w:t>
      </w:r>
    </w:p>
    <w:p>
      <w:pPr>
        <w:ind w:left="2600"/>
        <w:spacing w:after="0" w:line="231" w:lineRule="auto"/>
        <w:rPr>
          <w:sz w:val="20"/>
          <w:szCs w:val="20"/>
          <w:color w:val="auto"/>
        </w:rPr>
      </w:pPr>
      <w:r>
        <w:rPr>
          <w:rFonts w:ascii="Arial" w:cs="Arial" w:eastAsia="Arial" w:hAnsi="Arial"/>
          <w:sz w:val="22"/>
          <w:szCs w:val="22"/>
          <w:color w:val="auto"/>
        </w:rPr>
        <w:t>Attn: Legal Review</w:t>
      </w: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legalreview@biomedrealty.com</w:t>
      </w:r>
    </w:p>
    <w:p>
      <w:pPr>
        <w:spacing w:after="0" w:line="188"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Tenant confirms that, notwithstanding anything in the Lease to the contrary, notices delivered to Tenant pursuant to the Lease should be sent to:</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Blueprint Medicines Corporation</w:t>
      </w:r>
    </w:p>
    <w:p>
      <w:pPr>
        <w:ind w:left="2600"/>
        <w:spacing w:after="0" w:line="238" w:lineRule="auto"/>
        <w:rPr>
          <w:sz w:val="20"/>
          <w:szCs w:val="20"/>
          <w:color w:val="auto"/>
        </w:rPr>
      </w:pPr>
      <w:r>
        <w:rPr>
          <w:rFonts w:ascii="Arial" w:cs="Arial" w:eastAsia="Arial" w:hAnsi="Arial"/>
          <w:sz w:val="22"/>
          <w:szCs w:val="22"/>
          <w:color w:val="auto"/>
        </w:rPr>
        <w:t>45 Sidney Street</w:t>
      </w:r>
    </w:p>
    <w:p>
      <w:pPr>
        <w:ind w:left="2600"/>
        <w:spacing w:after="0" w:line="230" w:lineRule="auto"/>
        <w:rPr>
          <w:sz w:val="20"/>
          <w:szCs w:val="20"/>
          <w:color w:val="auto"/>
        </w:rPr>
      </w:pPr>
      <w:r>
        <w:rPr>
          <w:rFonts w:ascii="Arial" w:cs="Arial" w:eastAsia="Arial" w:hAnsi="Arial"/>
          <w:sz w:val="22"/>
          <w:szCs w:val="22"/>
          <w:color w:val="auto"/>
        </w:rPr>
        <w:t>Cambridge, MA 02139</w:t>
      </w:r>
    </w:p>
    <w:p>
      <w:pPr>
        <w:ind w:left="2600"/>
        <w:spacing w:after="0" w:line="231" w:lineRule="auto"/>
        <w:rPr>
          <w:sz w:val="20"/>
          <w:szCs w:val="20"/>
          <w:color w:val="auto"/>
        </w:rPr>
      </w:pPr>
      <w:r>
        <w:rPr>
          <w:rFonts w:ascii="Arial" w:cs="Arial" w:eastAsia="Arial" w:hAnsi="Arial"/>
          <w:sz w:val="22"/>
          <w:szCs w:val="22"/>
          <w:color w:val="auto"/>
        </w:rPr>
        <w:t>Attn: Legal Department</w:t>
      </w: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legal@blueprintmedicines.com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Blueprint Medicines Corporation</w:t>
      </w:r>
    </w:p>
    <w:p>
      <w:pPr>
        <w:ind w:left="2600"/>
        <w:spacing w:after="0" w:line="238" w:lineRule="auto"/>
        <w:rPr>
          <w:sz w:val="20"/>
          <w:szCs w:val="20"/>
          <w:color w:val="auto"/>
        </w:rPr>
      </w:pPr>
      <w:r>
        <w:rPr>
          <w:rFonts w:ascii="Arial" w:cs="Arial" w:eastAsia="Arial" w:hAnsi="Arial"/>
          <w:sz w:val="22"/>
          <w:szCs w:val="22"/>
          <w:color w:val="auto"/>
        </w:rPr>
        <w:t>45 Sidney Street</w:t>
      </w:r>
    </w:p>
    <w:p>
      <w:pPr>
        <w:ind w:left="2600"/>
        <w:spacing w:after="0" w:line="230" w:lineRule="auto"/>
        <w:rPr>
          <w:sz w:val="20"/>
          <w:szCs w:val="20"/>
          <w:color w:val="auto"/>
        </w:rPr>
      </w:pPr>
      <w:r>
        <w:rPr>
          <w:rFonts w:ascii="Arial" w:cs="Arial" w:eastAsia="Arial" w:hAnsi="Arial"/>
          <w:sz w:val="22"/>
          <w:szCs w:val="22"/>
          <w:color w:val="auto"/>
        </w:rPr>
        <w:t>Cambridge, MA 02139</w:t>
      </w:r>
    </w:p>
    <w:p>
      <w:pPr>
        <w:ind w:left="2600"/>
        <w:spacing w:after="0" w:line="231" w:lineRule="auto"/>
        <w:rPr>
          <w:sz w:val="20"/>
          <w:szCs w:val="20"/>
          <w:color w:val="auto"/>
        </w:rPr>
      </w:pPr>
      <w:r>
        <w:rPr>
          <w:rFonts w:ascii="Arial" w:cs="Arial" w:eastAsia="Arial" w:hAnsi="Arial"/>
          <w:sz w:val="22"/>
          <w:szCs w:val="22"/>
          <w:color w:val="auto"/>
        </w:rPr>
        <w:t>Attn: Michael Landsittel, Chief Financial Officer</w:t>
      </w: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MLandsittel@blueprintmedicines.com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2" w:right="999" w:bottom="1440" w:gutter="0" w:footer="0" w:header="0"/>
        </w:sectPr>
      </w:pPr>
    </w:p>
    <w:bookmarkStart w:id="216" w:name="page217"/>
    <w:bookmarkEnd w:id="216"/>
    <w:p>
      <w:pPr>
        <w:jc w:val="both"/>
        <w:ind w:firstLine="656"/>
        <w:spacing w:after="0" w:line="287"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42"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42" w:lineRule="exact"/>
        <w:rPr>
          <w:rFonts w:ascii="Arial" w:cs="Arial" w:eastAsia="Arial" w:hAnsi="Arial"/>
          <w:sz w:val="19"/>
          <w:szCs w:val="19"/>
          <w:color w:val="auto"/>
        </w:rPr>
      </w:pPr>
    </w:p>
    <w:p>
      <w:pPr>
        <w:jc w:val="both"/>
        <w:ind w:firstLine="656"/>
        <w:spacing w:after="0" w:line="279"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0"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Landlord and Tenant guarantee, warrant and represent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73" w:lineRule="exact"/>
        <w:rPr>
          <w:rFonts w:ascii="Arial" w:cs="Arial" w:eastAsia="Arial" w:hAnsi="Arial"/>
          <w:sz w:val="21"/>
          <w:szCs w:val="21"/>
          <w:color w:val="auto"/>
        </w:rPr>
      </w:pPr>
    </w:p>
    <w:p>
      <w:pPr>
        <w:jc w:val="both"/>
        <w:ind w:firstLine="656"/>
        <w:spacing w:after="0" w:line="252" w:lineRule="auto"/>
        <w:tabs>
          <w:tab w:leader="none" w:pos="1296"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Counterparts; Facsimile and PDF Signatures</w:t>
      </w:r>
      <w:r>
        <w:rPr>
          <w:rFonts w:ascii="Arial" w:cs="Arial" w:eastAsia="Arial" w:hAnsi="Arial"/>
          <w:sz w:val="21"/>
          <w:szCs w:val="21"/>
          <w:color w:val="auto"/>
        </w:rPr>
        <w:t>. This Amendment may be executed in one or more counterparts, each of which, when taken together, shall constitute one and the same document. A facsimile or portable document format (PDF) signature, or other electronic signature (e.g., Docusign) on this Amendment shall be equivalent to, and have the same force and effect as, an original signature.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17" w:name="page218"/>
    <w:bookmarkEnd w:id="217"/>
    <w:p>
      <w:pPr>
        <w:ind w:firstLine="648"/>
        <w:spacing w:after="0" w:line="250" w:lineRule="auto"/>
        <w:rPr>
          <w:sz w:val="20"/>
          <w:szCs w:val="20"/>
          <w:color w:val="auto"/>
        </w:rPr>
      </w:pPr>
      <w:r>
        <w:rPr>
          <w:rFonts w:ascii="Arial" w:cs="Arial" w:eastAsia="Arial" w:hAnsi="Arial"/>
          <w:sz w:val="22"/>
          <w:szCs w:val="22"/>
          <w:color w:val="auto"/>
        </w:rPr>
        <w:t>IN WITNESS WHEREOF, Landlord and Tenant have executed this Amendment as a sealed Massachusetts instrument as of the date and year first above written.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BRE-BMR 38 SIDNEY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Colleen O’Connor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Name:Colleen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VP, Leasing, East Coast &amp; UK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4445</wp:posOffset>
            </wp:positionV>
            <wp:extent cx="279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BLUEPRINT MEDICINES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Michael Landsittel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801370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4445</wp:posOffset>
            </wp:positionV>
            <wp:extent cx="27946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920"/>
          </w:cols>
          <w:pgMar w:left="980" w:top="402" w:right="99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WORK LETTER</w:t>
      </w:r>
    </w:p>
    <w:p>
      <w:pPr>
        <w:spacing w:after="0" w:line="212" w:lineRule="exact"/>
        <w:rPr>
          <w:sz w:val="20"/>
          <w:szCs w:val="20"/>
          <w:color w:val="auto"/>
        </w:rPr>
      </w:pPr>
    </w:p>
    <w:p>
      <w:pPr>
        <w:jc w:val="both"/>
        <w:ind w:left="660"/>
        <w:spacing w:after="0" w:line="245" w:lineRule="auto"/>
        <w:rPr>
          <w:sz w:val="20"/>
          <w:szCs w:val="20"/>
          <w:color w:val="auto"/>
        </w:rPr>
      </w:pPr>
      <w:r>
        <w:rPr>
          <w:rFonts w:ascii="Arial" w:cs="Arial" w:eastAsia="Arial" w:hAnsi="Arial"/>
          <w:sz w:val="21"/>
          <w:szCs w:val="21"/>
          <w:color w:val="auto"/>
        </w:rPr>
        <w:t>This Work Letter (this “</w:t>
      </w:r>
      <w:r>
        <w:rPr>
          <w:rFonts w:ascii="Arial" w:cs="Arial" w:eastAsia="Arial" w:hAnsi="Arial"/>
          <w:sz w:val="21"/>
          <w:szCs w:val="21"/>
          <w:u w:val="single" w:color="auto"/>
          <w:color w:val="auto"/>
        </w:rPr>
        <w:t>Work Letter</w:t>
      </w:r>
      <w:r>
        <w:rPr>
          <w:rFonts w:ascii="Arial" w:cs="Arial" w:eastAsia="Arial" w:hAnsi="Arial"/>
          <w:sz w:val="21"/>
          <w:szCs w:val="21"/>
          <w:color w:val="auto"/>
        </w:rPr>
        <w:t>”) is made and entered into as of the 15th day of December, 2021, by and between BRE-BMR 38 SIDNEY LLC, a Delaware limited liability company (“</w:t>
      </w:r>
      <w:r>
        <w:rPr>
          <w:rFonts w:ascii="Arial" w:cs="Arial" w:eastAsia="Arial" w:hAnsi="Arial"/>
          <w:sz w:val="21"/>
          <w:szCs w:val="21"/>
          <w:u w:val="single" w:color="auto"/>
          <w:color w:val="auto"/>
        </w:rPr>
        <w:t>Landlord</w:t>
      </w:r>
      <w:r>
        <w:rPr>
          <w:rFonts w:ascii="Arial" w:cs="Arial" w:eastAsia="Arial" w:hAnsi="Arial"/>
          <w:sz w:val="21"/>
          <w:szCs w:val="21"/>
          <w:color w:val="auto"/>
        </w:rPr>
        <w:t>,” as successor-in-interest to Thirty-Eight Sidney Street LLC, which was successor-in-interest to Thirty-Eight Sidney Street Limited Partnership), and BLUEPRINT MEDICINES CORPORATION, a Delaware corporation (“</w:t>
      </w:r>
      <w:r>
        <w:rPr>
          <w:rFonts w:ascii="Arial" w:cs="Arial" w:eastAsia="Arial" w:hAnsi="Arial"/>
          <w:sz w:val="21"/>
          <w:szCs w:val="21"/>
          <w:u w:val="single" w:color="auto"/>
          <w:color w:val="auto"/>
        </w:rPr>
        <w:t>Tenant</w:t>
      </w:r>
      <w:r>
        <w:rPr>
          <w:rFonts w:ascii="Arial" w:cs="Arial" w:eastAsia="Arial" w:hAnsi="Arial"/>
          <w:sz w:val="21"/>
          <w:szCs w:val="21"/>
          <w:color w:val="auto"/>
        </w:rPr>
        <w:t>”), and is attached to and made a part of that certain Lease dated as of February 12, 2015 (as the same has been amended, supplemented or otherwise modified from time to time, the “</w:t>
      </w:r>
      <w:r>
        <w:rPr>
          <w:rFonts w:ascii="Arial" w:cs="Arial" w:eastAsia="Arial" w:hAnsi="Arial"/>
          <w:sz w:val="21"/>
          <w:szCs w:val="21"/>
          <w:u w:val="single" w:color="auto"/>
          <w:color w:val="auto"/>
        </w:rPr>
        <w:t>Lease</w:t>
      </w:r>
      <w:r>
        <w:rPr>
          <w:rFonts w:ascii="Arial" w:cs="Arial" w:eastAsia="Arial" w:hAnsi="Arial"/>
          <w:sz w:val="21"/>
          <w:szCs w:val="21"/>
          <w:color w:val="auto"/>
        </w:rPr>
        <w:t>”), by and between Landlord and Tenant for the premises located at 38 Sidney Street, Cambridge, Massachusetts (“</w:t>
      </w:r>
      <w:r>
        <w:rPr>
          <w:rFonts w:ascii="Arial" w:cs="Arial" w:eastAsia="Arial" w:hAnsi="Arial"/>
          <w:sz w:val="21"/>
          <w:szCs w:val="21"/>
          <w:u w:val="single" w:color="auto"/>
          <w:color w:val="auto"/>
        </w:rPr>
        <w:t>Premises</w:t>
      </w:r>
      <w:r>
        <w:rPr>
          <w:rFonts w:ascii="Arial" w:cs="Arial" w:eastAsia="Arial" w:hAnsi="Arial"/>
          <w:sz w:val="21"/>
          <w:szCs w:val="21"/>
          <w:color w:val="auto"/>
        </w:rPr>
        <w:t>”). All capitalized terms used but not otherwise defined herein shall have the meanings given them in the Lease.</w:t>
      </w:r>
    </w:p>
    <w:p>
      <w:pPr>
        <w:spacing w:after="0" w:line="184"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General Requirements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Authorized Representatives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4" w:lineRule="auto"/>
        <w:tabs>
          <w:tab w:leader="none" w:pos="1944" w:val="left"/>
        </w:tabs>
        <w:numPr>
          <w:ilvl w:val="1"/>
          <w:numId w:val="136"/>
        </w:numPr>
        <w:rPr>
          <w:rFonts w:ascii="Arial" w:cs="Arial" w:eastAsia="Arial" w:hAnsi="Arial"/>
          <w:sz w:val="22"/>
          <w:szCs w:val="22"/>
          <w:color w:val="auto"/>
        </w:rPr>
      </w:pPr>
      <w:r>
        <w:rPr>
          <w:rFonts w:ascii="Arial" w:cs="Arial" w:eastAsia="Arial" w:hAnsi="Arial"/>
          <w:sz w:val="22"/>
          <w:szCs w:val="22"/>
          <w:color w:val="auto"/>
        </w:rPr>
        <w:t>Landlord designates, as Landlord’s authorized representative (“</w:t>
      </w:r>
      <w:r>
        <w:rPr>
          <w:rFonts w:ascii="Arial" w:cs="Arial" w:eastAsia="Arial" w:hAnsi="Arial"/>
          <w:sz w:val="22"/>
          <w:szCs w:val="22"/>
          <w:u w:val="single" w:color="auto"/>
          <w:color w:val="auto"/>
        </w:rPr>
        <w:t>Landlord’s Authorized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w:t>
      </w:r>
      <w:r>
        <w:rPr>
          <w:rFonts w:ascii="Arial" w:cs="Arial" w:eastAsia="Arial" w:hAnsi="Arial"/>
          <w:sz w:val="22"/>
          <w:szCs w:val="22"/>
          <w:color w:val="auto"/>
        </w:rPr>
        <w:t>”), (i) Salvatore Zinno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90" w:lineRule="exact"/>
        <w:rPr>
          <w:rFonts w:ascii="Arial" w:cs="Arial" w:eastAsia="Arial" w:hAnsi="Arial"/>
          <w:sz w:val="22"/>
          <w:szCs w:val="22"/>
          <w:color w:val="auto"/>
        </w:rPr>
      </w:pPr>
    </w:p>
    <w:p>
      <w:pPr>
        <w:jc w:val="both"/>
        <w:ind w:firstLine="1304"/>
        <w:spacing w:after="0" w:line="282" w:lineRule="auto"/>
        <w:tabs>
          <w:tab w:leader="none" w:pos="194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Tenant shall designate, as soon as practicable, an individual (“</w:t>
      </w:r>
      <w:r>
        <w:rPr>
          <w:rFonts w:ascii="Arial" w:cs="Arial" w:eastAsia="Arial" w:hAnsi="Arial"/>
          <w:sz w:val="19"/>
          <w:szCs w:val="19"/>
          <w:u w:val="single" w:color="auto"/>
          <w:color w:val="auto"/>
        </w:rPr>
        <w:t>Tenant’s Authorized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Schedule</w:t>
      </w:r>
      <w:r>
        <w:rPr>
          <w:rFonts w:ascii="Arial" w:cs="Arial" w:eastAsia="Arial" w:hAnsi="Arial"/>
          <w:sz w:val="19"/>
          <w:szCs w:val="19"/>
          <w:color w:val="auto"/>
        </w:rPr>
        <w:t>. The schedule for design and development of the Tenant Improvements, including the time periods for preparation and review of construction documents, approvals and performance, shall be in accordance with a schedule to be prepared by Tenant (the “</w:t>
      </w:r>
      <w:r>
        <w:rPr>
          <w:rFonts w:ascii="Arial" w:cs="Arial" w:eastAsia="Arial" w:hAnsi="Arial"/>
          <w:sz w:val="19"/>
          <w:szCs w:val="19"/>
          <w:u w:val="single" w:color="auto"/>
          <w:color w:val="auto"/>
        </w:rPr>
        <w:t>Schedule</w:t>
      </w:r>
      <w:r>
        <w:rPr>
          <w:rFonts w:ascii="Arial" w:cs="Arial" w:eastAsia="Arial" w:hAnsi="Arial"/>
          <w:sz w:val="19"/>
          <w:szCs w:val="19"/>
          <w:color w:val="auto"/>
        </w:rPr>
        <w:t>”). Tenant shall prepare the Schedule so that it is a reasonable schedule for the completion of the Tenant Improvements. The Schedule shall clearly identify all activities requiring Landlord participation, including specific dates and time periods when Tenant’s contractor will require access to areas of the project outside of the Premises. As soon as the Schedule is completed, Tenant shall deliver the same to Landlord for Landlord’s approval, which approval shall not be unreasonably withheld, conditioned or delayed. Such Schedule shall be approved or disapproved by Landlord within ten (10) business days after delivery to Landlord. Landlord’s failure to respond within such ten (10) business day period shall be deemed approval by Landlord. If Landlord disapproves the Schedule, then Landlord shall notify Tenant in writing of its objections to such Schedule, and the parties shall confer and negotiate in good faith to reach agreement on the Schedule. The Schedule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924560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219" w:name="page220"/>
    <w:bookmarkEnd w:id="219"/>
    <w:p>
      <w:pPr>
        <w:spacing w:after="0"/>
        <w:rPr>
          <w:sz w:val="20"/>
          <w:szCs w:val="20"/>
          <w:color w:val="auto"/>
        </w:rPr>
      </w:pPr>
      <w:r>
        <w:rPr>
          <w:rFonts w:ascii="Arial" w:cs="Arial" w:eastAsia="Arial" w:hAnsi="Arial"/>
          <w:sz w:val="21"/>
          <w:szCs w:val="21"/>
          <w:color w:val="auto"/>
        </w:rPr>
        <w:t>subject to adjustment as mutually agreed upon in writing by the parties, or as provided in this Work Letter.</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Tenant’s Architects, Contractors and Consultants</w:t>
      </w:r>
      <w:r>
        <w:rPr>
          <w:rFonts w:ascii="Arial" w:cs="Arial" w:eastAsia="Arial" w:hAnsi="Arial"/>
          <w:sz w:val="19"/>
          <w:szCs w:val="19"/>
          <w:color w:val="auto"/>
        </w:rPr>
        <w:t>. The architect, engineering consultants, design team, general contractor and subcontractors responsible for the construction of the Tenant Improvements shall be selected by Tenant and approved by Landlord, which approval Landlord shall not unreasonably withhold, condition or delay. Landlord may refuse to use any architects, consultants, contractors, subcontractors or material suppliers that Landlord reasonably believes could cause labor disharmony or may not have sufficient experience, in Landlord’s reasonable opinion, to perform work in an occupied Class “A” building. All Tenant contracts related to the Tenant Improvements shall provide that Tenant may assign such contracts and any warranties with respect to the Tenant Improvements to Landlord at any time.</w:t>
      </w:r>
    </w:p>
    <w:p>
      <w:pPr>
        <w:spacing w:after="0" w:line="157" w:lineRule="exact"/>
        <w:rPr>
          <w:sz w:val="20"/>
          <w:szCs w:val="20"/>
          <w:color w:val="auto"/>
        </w:rPr>
      </w:pPr>
    </w:p>
    <w:p>
      <w:pPr>
        <w:jc w:val="both"/>
        <w:ind w:firstLine="8"/>
        <w:spacing w:after="0" w:line="269" w:lineRule="auto"/>
        <w:tabs>
          <w:tab w:leader="none" w:pos="64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Tenant Improvements</w:t>
      </w:r>
      <w:r>
        <w:rPr>
          <w:rFonts w:ascii="Arial" w:cs="Arial" w:eastAsia="Arial" w:hAnsi="Arial"/>
          <w:sz w:val="19"/>
          <w:szCs w:val="19"/>
          <w:color w:val="auto"/>
        </w:rPr>
        <w:t>. All Tenant Improvements shall be performed by Tenant’s contractor, at Tenant’s sole cost and expense (subject to Landlord’s obligations with respect to any portion of the Extension TI Allowance) and in accordance with the Approved Plans (as defined below), the Lease and this Work Letter. To the extent that the total projected cost of the Tenant Improvements (subject to reasonable review and approval by Landlord) exceeds the Extension TI Allowance (such excess, the “</w:t>
      </w:r>
      <w:r>
        <w:rPr>
          <w:rFonts w:ascii="Arial" w:cs="Arial" w:eastAsia="Arial" w:hAnsi="Arial"/>
          <w:sz w:val="19"/>
          <w:szCs w:val="19"/>
          <w:u w:val="single" w:color="auto"/>
          <w:color w:val="auto"/>
        </w:rPr>
        <w:t>Excess TI Costs</w:t>
      </w:r>
      <w:r>
        <w:rPr>
          <w:rFonts w:ascii="Arial" w:cs="Arial" w:eastAsia="Arial" w:hAnsi="Arial"/>
          <w:sz w:val="19"/>
          <w:szCs w:val="19"/>
          <w:color w:val="auto"/>
        </w:rPr>
        <w:t xml:space="preserve">”), Tenant shall pay the costs of the Tenant Improvements on a pari passu basis with Landlord as such costs become due, in the proportion of Excess TI Costs payable by Tenant to the Extension TI Allowance. If the cost of the Tenant Improvements (subject to reasonable review and approval by Landlord) increases over Landlord’s initial projection, then Landlord may notify Tenant and Tenant shall pay any additional Excess TI Costs in the same way that Tenant paid the initial Excess TI Costs. If Tenant fails to pay, or is late in paying, any sum due to Landlord under this Work Letter, then Landlord shall have all of the rights and remedies set forth in the Lease for nonpayment of Annual Fixed Rent (including the right to interest and the right to assess a late charge), and for purposes of any litigation instituted with regard to such amounts the same shall be considered Annual Fixed Rent. All material and equipment furnished by Tenant or its contractors as the Tenant Improvements shall be new or “like new;” the Tenant Improvements shall be performed in a first-class, workmanlike manner; and the quality of the Tenant Improvements shall be of a nature and character not less than the building standard. Tenant shall take, and shall require its contractors to take, commercially reasonable steps to protect the Premises during the performance of any Tenant Improvements, including covering or temporarily removing any window coverings so as to guard against dust, debris or damage. All Tenant Improvements shall be performed in accordance with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w:t>
      </w:r>
      <w:r>
        <w:rPr>
          <w:rFonts w:ascii="Arial" w:cs="Arial" w:eastAsia="Arial" w:hAnsi="Arial"/>
          <w:sz w:val="19"/>
          <w:szCs w:val="19"/>
          <w:u w:val="single" w:color="auto"/>
          <w:color w:val="auto"/>
        </w:rPr>
        <w:t>(Alterations)</w:t>
      </w:r>
      <w:r>
        <w:rPr>
          <w:rFonts w:ascii="Arial" w:cs="Arial" w:eastAsia="Arial" w:hAnsi="Arial"/>
          <w:sz w:val="19"/>
          <w:szCs w:val="19"/>
          <w:color w:val="auto"/>
        </w:rPr>
        <w:t xml:space="preserve"> of the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the Lease or this Work Letter to the contrary, in the event of a conflict between this Work Letter and the Lease, the terms of this Work Letter shall govern.</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Work Plans</w:t>
      </w:r>
      <w:r>
        <w:rPr>
          <w:rFonts w:ascii="Arial" w:cs="Arial" w:eastAsia="Arial" w:hAnsi="Arial"/>
          <w:sz w:val="19"/>
          <w:szCs w:val="19"/>
          <w:color w:val="auto"/>
        </w:rPr>
        <w:t>. Tenant shall prepare and submit to Landlord for approval schematics covering the Tenant Improvements prepared in conformity with the applicable provisions of this Work Letter (the “</w:t>
      </w:r>
      <w:r>
        <w:rPr>
          <w:rFonts w:ascii="Arial" w:cs="Arial" w:eastAsia="Arial" w:hAnsi="Arial"/>
          <w:sz w:val="19"/>
          <w:szCs w:val="19"/>
          <w:u w:val="single" w:color="auto"/>
          <w:color w:val="auto"/>
        </w:rPr>
        <w:t>Draft</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Schematic Plans</w:t>
      </w:r>
      <w:r>
        <w:rPr>
          <w:rFonts w:ascii="Arial" w:cs="Arial" w:eastAsia="Arial" w:hAnsi="Arial"/>
          <w:sz w:val="19"/>
          <w:szCs w:val="19"/>
          <w:color w:val="auto"/>
        </w:rPr>
        <w:t>”). The Draft Schematic Plans shall contain sufficient information and detail to accurately describe the proposed design to Landlord and such other information as Landlord may reasonably request. Landlord shall notify Tenant in writing within ten (10) business days after receipt of the Draft Schematic Plans whether Landlord approves or objects to the Draft Schematic Plans and of the manner, if any, in which the Draft Schematic Plans are unacceptable. Landlord’s failure to respond within such ten (10) business day period shall be deemed approval by Landlord. If Landlord reasonably objects to the Draft Schematic Plans,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20" w:name="page221"/>
    <w:bookmarkEnd w:id="220"/>
    <w:p>
      <w:pPr>
        <w:jc w:val="both"/>
        <w:spacing w:after="0" w:line="246" w:lineRule="auto"/>
        <w:rPr>
          <w:sz w:val="20"/>
          <w:szCs w:val="20"/>
          <w:color w:val="auto"/>
        </w:rPr>
      </w:pPr>
      <w:r>
        <w:rPr>
          <w:rFonts w:ascii="Arial" w:cs="Arial" w:eastAsia="Arial" w:hAnsi="Arial"/>
          <w:sz w:val="21"/>
          <w:szCs w:val="21"/>
          <w:color w:val="auto"/>
        </w:rPr>
        <w:t>Tenant shall revise the Draft Schematic Plans and cause Landlord’s objections to be remedied in the revised Draft Schematic Plans. Tenant shall then resubmit the revised Draft Schematic Plans to Landlord for approval, such approval not to be unreasonably withheld, conditioned or delayed. Landlord’s approval of or objection to revised Draft Schematic Plans and Tenant’s correction of the same shall be in accordance with this Section until Landlord has approved the Draft Schematic Plans in writing or been deemed to have approved them. The iteration of the Draft Schematic Plans that is approved or deemed approved by Landlord without objection shall be referred to herein as the “</w:t>
      </w:r>
      <w:r>
        <w:rPr>
          <w:rFonts w:ascii="Arial" w:cs="Arial" w:eastAsia="Arial" w:hAnsi="Arial"/>
          <w:sz w:val="21"/>
          <w:szCs w:val="21"/>
          <w:u w:val="single" w:color="auto"/>
          <w:color w:val="auto"/>
        </w:rPr>
        <w:t>Approved Schematic Plans</w:t>
      </w:r>
      <w:r>
        <w:rPr>
          <w:rFonts w:ascii="Arial" w:cs="Arial" w:eastAsia="Arial" w:hAnsi="Arial"/>
          <w:sz w:val="21"/>
          <w:szCs w:val="21"/>
          <w:color w:val="auto"/>
        </w:rPr>
        <w:t>.”</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Construction Plans</w:t>
      </w:r>
      <w:r>
        <w:rPr>
          <w:rFonts w:ascii="Arial" w:cs="Arial" w:eastAsia="Arial" w:hAnsi="Arial"/>
          <w:sz w:val="21"/>
          <w:szCs w:val="21"/>
          <w:color w:val="auto"/>
        </w:rPr>
        <w:t>. Tenant shall prepare final plans and specifications for the Tenant Improvements that (a) are consistent with and are logical evolutions of the Approved Schematic Plans and (b) incorporate any other Tenant-requested (and Landlord-approved) Changes (as defined below). As soon as such final plans and specifications (“</w:t>
      </w:r>
      <w:r>
        <w:rPr>
          <w:rFonts w:ascii="Arial" w:cs="Arial" w:eastAsia="Arial" w:hAnsi="Arial"/>
          <w:sz w:val="21"/>
          <w:szCs w:val="21"/>
          <w:u w:val="single" w:color="auto"/>
          <w:color w:val="auto"/>
        </w:rPr>
        <w:t>Construction Plans</w:t>
      </w:r>
      <w:r>
        <w:rPr>
          <w:rFonts w:ascii="Arial" w:cs="Arial" w:eastAsia="Arial" w:hAnsi="Arial"/>
          <w:sz w:val="21"/>
          <w:szCs w:val="21"/>
          <w:color w:val="auto"/>
        </w:rPr>
        <w:t>”) are completed, Tenant shall deliver the same to Landlord for Landlord’s approval, which approval shall not be unreasonably withheld, conditioned or delayed. All such Construction Plans shall be submitted by Tenant to Landlord in electronic .pdf, CADD and full-size hard copy formats, and shall be approved or disapproved by Landlord within ten (10) business days after delivery to Landlord. Landlord’s failure to respond within such ten (10) business day period shall be deemed approval by Landlord. If the Construction Plans are disapproved by Landlord, then Landlord shall notify Tenant in writing of its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Tenant shall promptly submit such Construction Plans to all appropriate Governmental Authorities for approval. The Construction Plans so approved, and all change orders specifically permitted by this Work Letter, are referred to herein as the “</w:t>
      </w:r>
      <w:r>
        <w:rPr>
          <w:rFonts w:ascii="Arial" w:cs="Arial" w:eastAsia="Arial" w:hAnsi="Arial"/>
          <w:sz w:val="21"/>
          <w:szCs w:val="21"/>
          <w:u w:val="single" w:color="auto"/>
          <w:color w:val="auto"/>
        </w:rPr>
        <w:t>Approved Plans</w:t>
      </w:r>
      <w:r>
        <w:rPr>
          <w:rFonts w:ascii="Arial" w:cs="Arial" w:eastAsia="Arial" w:hAnsi="Arial"/>
          <w:sz w:val="21"/>
          <w:szCs w:val="21"/>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Changes to the Tenant Improvements</w:t>
      </w:r>
      <w:r>
        <w:rPr>
          <w:rFonts w:ascii="Arial" w:cs="Arial" w:eastAsia="Arial" w:hAnsi="Arial"/>
          <w:sz w:val="21"/>
          <w:szCs w:val="21"/>
          <w:color w:val="auto"/>
        </w:rPr>
        <w:t>. Any changes to the Approved Plans (each, a “</w:t>
      </w:r>
      <w:r>
        <w:rPr>
          <w:rFonts w:ascii="Arial" w:cs="Arial" w:eastAsia="Arial" w:hAnsi="Arial"/>
          <w:sz w:val="21"/>
          <w:szCs w:val="21"/>
          <w:u w:val="single" w:color="auto"/>
          <w:color w:val="auto"/>
        </w:rPr>
        <w:t>Change</w:t>
      </w:r>
      <w:r>
        <w:rPr>
          <w:rFonts w:ascii="Arial" w:cs="Arial" w:eastAsia="Arial" w:hAnsi="Arial"/>
          <w:sz w:val="21"/>
          <w:szCs w:val="21"/>
          <w:color w:val="auto"/>
        </w:rPr>
        <w:t xml:space="preserve">”) shall be requested and instituted in accordance with the provisions of this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and shall be subject to the written approval of the non-requesting party in accordance with this Work Letter.</w:t>
      </w:r>
    </w:p>
    <w:p>
      <w:pPr>
        <w:spacing w:after="0" w:line="169" w:lineRule="exact"/>
        <w:rPr>
          <w:sz w:val="20"/>
          <w:szCs w:val="20"/>
          <w:color w:val="auto"/>
        </w:rPr>
      </w:pPr>
    </w:p>
    <w:p>
      <w:pPr>
        <w:jc w:val="both"/>
        <w:ind w:firstLine="1304"/>
        <w:spacing w:after="0" w:line="275" w:lineRule="auto"/>
        <w:tabs>
          <w:tab w:leader="none" w:pos="194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Change Request</w:t>
      </w:r>
      <w:r>
        <w:rPr>
          <w:rFonts w:ascii="Arial" w:cs="Arial" w:eastAsia="Arial" w:hAnsi="Arial"/>
          <w:sz w:val="19"/>
          <w:szCs w:val="19"/>
          <w:color w:val="auto"/>
        </w:rPr>
        <w:t>. Either Landlord or Tenant may request Changes after Landlord approves the Approved Plans by notifying the other party thereof in writing in substantially the same form as the AIA standard change order form (a “</w:t>
      </w:r>
      <w:r>
        <w:rPr>
          <w:rFonts w:ascii="Arial" w:cs="Arial" w:eastAsia="Arial" w:hAnsi="Arial"/>
          <w:sz w:val="19"/>
          <w:szCs w:val="19"/>
          <w:u w:val="single" w:color="auto"/>
          <w:color w:val="auto"/>
        </w:rPr>
        <w:t>Change Request</w:t>
      </w:r>
      <w:r>
        <w:rPr>
          <w:rFonts w:ascii="Arial" w:cs="Arial" w:eastAsia="Arial" w:hAnsi="Arial"/>
          <w:sz w:val="19"/>
          <w:szCs w:val="19"/>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Change Requests shall be signed by the requesting party’s Authorized Representative.</w:t>
      </w:r>
    </w:p>
    <w:p>
      <w:pPr>
        <w:spacing w:after="0" w:line="157"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Approval of Changes</w:t>
      </w:r>
      <w:r>
        <w:rPr>
          <w:rFonts w:ascii="Arial" w:cs="Arial" w:eastAsia="Arial" w:hAnsi="Arial"/>
          <w:sz w:val="22"/>
          <w:szCs w:val="22"/>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782320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21" w:name="page222"/>
    <w:bookmarkEnd w:id="221"/>
    <w:p>
      <w:pPr>
        <w:ind w:right="640"/>
        <w:spacing w:after="0" w:line="250" w:lineRule="auto"/>
        <w:rPr>
          <w:sz w:val="20"/>
          <w:szCs w:val="20"/>
          <w:color w:val="auto"/>
        </w:rPr>
      </w:pPr>
      <w:r>
        <w:rPr>
          <w:rFonts w:ascii="Arial" w:cs="Arial" w:eastAsia="Arial" w:hAnsi="Arial"/>
          <w:sz w:val="22"/>
          <w:szCs w:val="22"/>
          <w:color w:val="auto"/>
        </w:rPr>
        <w:t>approve or object to the Change Request. The non-requesting party’s failure to respond within such five (5) business day period shall be deemed approval by the non-requesting party.</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Preparation of Estimates</w:t>
      </w:r>
      <w:r>
        <w:rPr>
          <w:rFonts w:ascii="Arial" w:cs="Arial" w:eastAsia="Arial" w:hAnsi="Arial"/>
          <w:sz w:val="21"/>
          <w:szCs w:val="21"/>
          <w:color w:val="auto"/>
        </w:rPr>
        <w:t>. Tenant shall, before proceeding with any Change, using its best efforts, prepare as soon as is reasonably practicable (but in no event more than five (5) business days after delivering a Change Request to Landlord or receipt of a Change Request) an estimate of the increased costs or savings that would result from such Change, as well as an estimate of such Change’s effects on the Schedule. Landlord shall have five (5) business days after receipt of such information from Tenant to (a) in the case of a Tenant-initiated Change Request, approve or reject such Change Request in writing, or (b) in the case of a Landlord-initiated Change Request, notify Tenant in writing of Landlord’s decision either to proceed with or abandon the Landlord-initiated Change Request.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Quality Control Program; Coordination</w:t>
      </w:r>
      <w:r>
        <w:rPr>
          <w:rFonts w:ascii="Arial" w:cs="Arial" w:eastAsia="Arial" w:hAnsi="Arial"/>
          <w:sz w:val="19"/>
          <w:szCs w:val="19"/>
          <w:color w:val="auto"/>
        </w:rPr>
        <w:t>. Tenant shall provide Landlord with information regarding the following (together, the “</w:t>
      </w:r>
      <w:r>
        <w:rPr>
          <w:rFonts w:ascii="Arial" w:cs="Arial" w:eastAsia="Arial" w:hAnsi="Arial"/>
          <w:sz w:val="19"/>
          <w:szCs w:val="19"/>
          <w:u w:val="single" w:color="auto"/>
          <w:color w:val="auto"/>
        </w:rPr>
        <w:t>QCP</w:t>
      </w:r>
      <w:r>
        <w:rPr>
          <w:rFonts w:ascii="Arial" w:cs="Arial" w:eastAsia="Arial" w:hAnsi="Arial"/>
          <w:sz w:val="19"/>
          <w:szCs w:val="19"/>
          <w:color w:val="auto"/>
        </w:rPr>
        <w:t>”): (a) Tenant’s general contractor’s quality control program and (b) evidence of subsequent monitoring and action plans. The QCP shall be subject to Landlord’s reasonable review and approval and shall specifically address the Tenant Improvements. Tenant shall ensure that the QCP is regularly implemented on a scheduled basis and shall provide Landlord with reasonable prior notice and access to attend all inspections and meetings between Tenant and its general contractor. At the conclusion of the Tenant Improvements, Tenant shall deliver the quality control log to Landlord, which shall include all records of quality control meetings and testing and of inspections held in the field, including inspections relating to concrete, steel roofing, piping pressure testing and system commissioning.</w:t>
      </w:r>
    </w:p>
    <w:p>
      <w:pPr>
        <w:spacing w:after="0" w:line="158" w:lineRule="exact"/>
        <w:rPr>
          <w:sz w:val="20"/>
          <w:szCs w:val="20"/>
          <w:color w:val="auto"/>
        </w:rPr>
      </w:pPr>
    </w:p>
    <w:p>
      <w:pPr>
        <w:jc w:val="both"/>
        <w:ind w:firstLine="8"/>
        <w:spacing w:after="0" w:line="270" w:lineRule="auto"/>
        <w:tabs>
          <w:tab w:leader="none" w:pos="648"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Completion of Tenant Improvements</w:t>
      </w:r>
      <w:r>
        <w:rPr>
          <w:rFonts w:ascii="Arial" w:cs="Arial" w:eastAsia="Arial" w:hAnsi="Arial"/>
          <w:sz w:val="19"/>
          <w:szCs w:val="19"/>
          <w:color w:val="auto"/>
        </w:rPr>
        <w:t>. Tenant, at its sole cost and expense (except for the Extension TI Allowance), shall perform and complete the Tenant Improvements in all respects (a) in substantial conformance with the Approved Plans, (b) otherwise in compliance with provisions of the Lease and this Work Letter and (c) in accordance with applicable laws, the requirements of Tenant’s insurance carriers, the requirements of Landlord’s insurance carriers (to the extent Landlord provides its insurance carriers’ requirements to Tenant) and the board of fire underwriters having jurisdiction over the Premises. The Tenant Improvements shall be deemed completed at such time as Tenant shall furnish to Landlord (t) evidence satisfactory to Landlord that (i) all Tenant Improvements have been completed and paid for in full (which shall be evidenced by the architect’s certificate of completion and the general contractor’s and each subcontractor’s and material supplier’s final unconditional waivers and releases of liens, each in a form acceptable to Landlord and complying with applicable laws, and a Certificate of Substantial Completion in the form of the American Institute of Architects document G704, executed by the project architect and the general contractor, together with a statutory notice of substantial completion from the general contractor), (ii) all Tenant Improvements have been accepted by Landlord, (iii) any and all liens related to the Tenant Improvements have either been discharged of record (by payment, bond, order of a court of competent jurisdiction or otherwise) or waived by the party filing such lien and (iv) no security interests relating to the Tenant Improvements are outstanding, (u) all certifications and approvals with respect to the Tenant Improvements that may be required from any governmental authority and any board of fire underwriters or similar body for the use and occupancy of the Premises (including a certificate of occupancy (or its substantial equivalent) for the Premises for the Permitted Use), (v) certificates of insurance required by the Lease to be purchased and maintained by Tenant, (w) an affidavit from Tenant’s architect certifying that all work performed in, on or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921385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22" w:name="page223"/>
    <w:bookmarkEnd w:id="222"/>
    <w:p>
      <w:pPr>
        <w:jc w:val="both"/>
        <w:spacing w:after="0" w:line="273" w:lineRule="auto"/>
        <w:rPr>
          <w:sz w:val="20"/>
          <w:szCs w:val="20"/>
          <w:color w:val="auto"/>
        </w:rPr>
      </w:pPr>
      <w:r>
        <w:rPr>
          <w:rFonts w:ascii="Arial" w:cs="Arial" w:eastAsia="Arial" w:hAnsi="Arial"/>
          <w:sz w:val="19"/>
          <w:szCs w:val="19"/>
          <w:color w:val="auto"/>
        </w:rPr>
        <w:t>Premises is in accordance with the Approved Plans, (x) complete “as built” drawing print sets, project specifications and shop drawings and electronic CADD files on disc (showing the Tenant Improvements as an overlay on the Building “as built” plans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provides the Building “as-built” plans provided to Tenant) of all contract documents for work performed by their architect and engineers in relation to the Tenant Improvements, (y) a commissioning report prepared by a licensed, qualified commissioning agent hired by Tenant and approved by Landlord for all new or affected mechanical, electrical and plumbing systems (which report Landlord may hire a licensed, qualified commissioning agent to peer review, and whose reasonable recommendations Tenant’s commissioning agent shall perform and incorporate into a revised report) and (z) such other “close out” materials as Landlord reasonably requests consistent with Landlord’s own requirements for its contractors, such as copies of manufacturers’ warranties, operation and maintenance manuals and the like.</w:t>
      </w:r>
    </w:p>
    <w:p>
      <w:pPr>
        <w:spacing w:after="0" w:line="161"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Property Insurance</w:t>
      </w:r>
      <w:r>
        <w:rPr>
          <w:rFonts w:ascii="Arial" w:cs="Arial" w:eastAsia="Arial" w:hAnsi="Arial"/>
          <w:sz w:val="19"/>
          <w:szCs w:val="19"/>
          <w:color w:val="auto"/>
        </w:rPr>
        <w:t>. At all times during the period beginning with commencement of construction of the Tenant Improvements and ending with final completion of the Tenant Improvements, Tenant shall maintain, or cause to be maintained (in addition to the insurance required of Tenant pursuant to the Lease), property insurance for the project and including the Landlord, BioMed Realty, L.P., Massachusetts Institute of Technology and their respective officers, employees, directors, representatives, agents, general partners, members, subsidiaries, affiliates, lenders, mortgagees, ground lessors and beneficiaries (collectively with Landlord, the “</w:t>
      </w:r>
      <w:r>
        <w:rPr>
          <w:rFonts w:ascii="Arial" w:cs="Arial" w:eastAsia="Arial" w:hAnsi="Arial"/>
          <w:sz w:val="19"/>
          <w:szCs w:val="19"/>
          <w:u w:val="single" w:color="auto"/>
          <w:color w:val="auto"/>
        </w:rPr>
        <w:t>Landlord Parties</w:t>
      </w:r>
      <w:r>
        <w:rPr>
          <w:rFonts w:ascii="Arial" w:cs="Arial" w:eastAsia="Arial" w:hAnsi="Arial"/>
          <w:sz w:val="19"/>
          <w:szCs w:val="19"/>
          <w:color w:val="auto"/>
        </w:rPr>
        <w:t xml:space="preserve">”), as a Loss Payee as their interests may appear. Such policy shall, on a completed replacement cost basis for the full insurable value at all times, insure against loss or damage by fire, vandalism and malicious mischief and other such risks as are customarily covered by the so-called “broad form extended coverage endorsement” upon all Tenant Improvements and the general contractor’s and any subcontractors’ machinery, tools and equipment, all while each forms a part of, or is contained in, the Tenant Improvements or any temporary structures on the Premises, or is adjacent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insurance coverage with respect to the general contractor’s and any subcontractors’ machinery, tools and equipment shall be carried on a primary basis by such general contractor or the applicable subcontractor(s). Tenant agrees to pay any deductible, and Landlord is not responsible for any deductible, for a claim under such insurance.</w:t>
      </w:r>
    </w:p>
    <w:p>
      <w:pPr>
        <w:spacing w:after="0" w:line="16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Other Insurance</w:t>
      </w:r>
      <w:r>
        <w:rPr>
          <w:rFonts w:ascii="Arial" w:cs="Arial" w:eastAsia="Arial" w:hAnsi="Arial"/>
          <w:sz w:val="22"/>
          <w:szCs w:val="22"/>
          <w:color w:val="auto"/>
        </w:rPr>
        <w:t xml:space="preserve">. During all construction by Tenant at the Premises, insurance required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A-1</w:t>
      </w:r>
      <w:r>
        <w:rPr>
          <w:rFonts w:ascii="Arial" w:cs="Arial" w:eastAsia="Arial" w:hAnsi="Arial"/>
          <w:sz w:val="22"/>
          <w:szCs w:val="22"/>
          <w:color w:val="auto"/>
        </w:rPr>
        <w:t xml:space="preserve"> (as attached to the Second Amendment) must be in place.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Waivers of Subrogation</w:t>
      </w:r>
      <w:r>
        <w:rPr>
          <w:rFonts w:ascii="Arial" w:cs="Arial" w:eastAsia="Arial" w:hAnsi="Arial"/>
          <w:sz w:val="19"/>
          <w:szCs w:val="19"/>
          <w:color w:val="auto"/>
        </w:rPr>
        <w:t>. Any insurance provided pursuant to this Article shall waive subrogation against the Landlord Parties and Tenant shall hold harmless and indemnify the Landlord Parties for any loss or expense incurred as a result of a failure to obtain such waivers of subrogation from insurers.</w:t>
      </w:r>
    </w:p>
    <w:p>
      <w:pPr>
        <w:spacing w:after="0" w:line="134" w:lineRule="exact"/>
        <w:rPr>
          <w:sz w:val="20"/>
          <w:szCs w:val="20"/>
          <w:color w:val="auto"/>
        </w:rPr>
      </w:pPr>
    </w:p>
    <w:p>
      <w:pPr>
        <w:jc w:val="both"/>
        <w:ind w:firstLine="8"/>
        <w:spacing w:after="0" w:line="235" w:lineRule="auto"/>
        <w:tabs>
          <w:tab w:leader="none" w:pos="648"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 Tenant assumes sole responsibility and liability for any and all injuries or the death of any persons, including Tenant’s contractors and subcontractors and their respective employees, agents and invitees, and for any and all damages to property arising from any act or omission on the part of Tenant, Tenant’s contractors or subcontractors, or their respective employees, agents and invitees in the prosecution of the Tenant Improvements. Tenant agrees to indemnify the Landlord and its affiliates, employees, agents and contractors, and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784225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23" w:name="page224"/>
    <w:bookmarkEnd w:id="223"/>
    <w:p>
      <w:pPr>
        <w:jc w:val="both"/>
        <w:ind w:left="4"/>
        <w:spacing w:after="0" w:line="246" w:lineRule="auto"/>
        <w:rPr>
          <w:sz w:val="20"/>
          <w:szCs w:val="20"/>
          <w:color w:val="auto"/>
        </w:rPr>
      </w:pPr>
      <w:r>
        <w:rPr>
          <w:rFonts w:ascii="Arial" w:cs="Arial" w:eastAsia="Arial" w:hAnsi="Arial"/>
          <w:sz w:val="21"/>
          <w:szCs w:val="21"/>
          <w:color w:val="auto"/>
        </w:rPr>
        <w:t xml:space="preserve">mortgagee, ground lessor or beneficiary, from and against all claims due to, because of or arising from any and all such injuries, death or damage, whether real or alleged, and Tenant and Tenant’s contractors and subcontractors shall assume and defend at their sole cost and expense all such claims;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Work Letter shall be deemed to indemnify Landlord from or against liability to the extent arising directly from Landlord’s negligence or willful misconduct. Any deficiency in design or construction of the Tenant Improvements shall be solely the responsibility of Tenant, notwithstanding the fact that Landlord may have approved of the same in writing.</w:t>
      </w:r>
    </w:p>
    <w:p>
      <w:pPr>
        <w:spacing w:after="0" w:line="198" w:lineRule="exact"/>
        <w:rPr>
          <w:sz w:val="20"/>
          <w:szCs w:val="20"/>
          <w:color w:val="auto"/>
        </w:rPr>
      </w:pPr>
    </w:p>
    <w:p>
      <w:pPr>
        <w:ind w:left="644" w:hanging="644"/>
        <w:spacing w:after="0"/>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Extension TI Allowance</w:t>
      </w:r>
      <w:r>
        <w:rPr>
          <w:rFonts w:ascii="Arial" w:cs="Arial" w:eastAsia="Arial" w:hAnsi="Arial"/>
          <w:sz w:val="22"/>
          <w:szCs w:val="22"/>
          <w:color w:val="auto"/>
        </w:rPr>
        <w:t>.</w:t>
      </w:r>
    </w:p>
    <w:p>
      <w:pPr>
        <w:spacing w:after="0" w:line="220" w:lineRule="exact"/>
        <w:rPr>
          <w:sz w:val="20"/>
          <w:szCs w:val="20"/>
          <w:color w:val="auto"/>
        </w:rPr>
      </w:pPr>
    </w:p>
    <w:p>
      <w:pPr>
        <w:jc w:val="both"/>
        <w:ind w:left="4" w:firstLine="648"/>
        <w:spacing w:after="0" w:line="27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Approval of Budget for the Tenant Improvements</w:t>
      </w:r>
      <w:r>
        <w:rPr>
          <w:rFonts w:ascii="Arial" w:cs="Arial" w:eastAsia="Arial" w:hAnsi="Arial"/>
          <w:sz w:val="19"/>
          <w:szCs w:val="19"/>
          <w:color w:val="auto"/>
        </w:rPr>
        <w:t>. Notwithstanding anything to the contrary set forth elsewhere in this Work Letter or the Lease, Landlord shall not have any obligation to expend any portion of the Extension TI Allowance until Landlord and Tenant shall have approved in writing the budget for the Tenant Improvements (the “</w:t>
      </w:r>
      <w:r>
        <w:rPr>
          <w:rFonts w:ascii="Arial" w:cs="Arial" w:eastAsia="Arial" w:hAnsi="Arial"/>
          <w:sz w:val="19"/>
          <w:szCs w:val="19"/>
          <w:u w:val="single" w:color="auto"/>
          <w:color w:val="auto"/>
        </w:rPr>
        <w:t>Approved Budget</w:t>
      </w:r>
      <w:r>
        <w:rPr>
          <w:rFonts w:ascii="Arial" w:cs="Arial" w:eastAsia="Arial" w:hAnsi="Arial"/>
          <w:sz w:val="19"/>
          <w:szCs w:val="19"/>
          <w:color w:val="auto"/>
        </w:rPr>
        <w:t>”). Prior to Landlord’s approval of the Approved Budget, Tenant shall pay all of the costs and expenses incurred in connection with the Tenant Improvements as they become due. Landlord shall not be obligated to reimburse Tenant for costs or expenses relating to the Tenant Improvements that exceed the amount of the Extension TI Allowance. Landlord shall not unreasonably withhold, condition or delay its approval of any budget for Tenant Improvements that is proposed by Tenant.</w:t>
      </w:r>
    </w:p>
    <w:p>
      <w:pPr>
        <w:spacing w:after="0" w:line="171"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Fund Requests</w:t>
      </w:r>
      <w:r>
        <w:rPr>
          <w:rFonts w:ascii="Arial" w:cs="Arial" w:eastAsia="Arial" w:hAnsi="Arial"/>
          <w:sz w:val="19"/>
          <w:szCs w:val="19"/>
          <w:color w:val="auto"/>
        </w:rPr>
        <w:t>. Upon submission by Tenant to Landlord as of or prior to the Extension TI Deadline of (a) a statement (a “</w:t>
      </w:r>
      <w:r>
        <w:rPr>
          <w:rFonts w:ascii="Arial" w:cs="Arial" w:eastAsia="Arial" w:hAnsi="Arial"/>
          <w:sz w:val="19"/>
          <w:szCs w:val="19"/>
          <w:u w:val="single" w:color="auto"/>
          <w:color w:val="auto"/>
        </w:rPr>
        <w:t>Fund Request</w:t>
      </w:r>
      <w:r>
        <w:rPr>
          <w:rFonts w:ascii="Arial" w:cs="Arial" w:eastAsia="Arial" w:hAnsi="Arial"/>
          <w:sz w:val="19"/>
          <w:szCs w:val="19"/>
          <w:color w:val="auto"/>
        </w:rPr>
        <w:t xml:space="preserve">”) setting forth the total amount of the TI Allowance requested, (b) a summary of the Tenant Improvements performed using AIA standard form Application for Payment (G 702) executed by the general contractor and by the architect, (c) invoices from the general contractor, the architect, and any subcontractors, material suppliers and other parties requesting payment with respect to the amount of the TI Allowance then being requested, and (d) except with respect to the final Fund Request, conditional lien releases from the general contractor and each subcontractor and material supplier with respect to the Tenant Improvements performed that correspond to the Fund Request each in a form acceptable to Landlord and complying with applicable laws, then Landlord shall, within thirty (30) days following receipt by Landlord of a Fund Request and the accompanying materials required by this Section, pay to (as elected by Landlord) the applicable contractors, subcontractors and material suppliers or Tenant (for reimbursement for payments made by Tenant to such contractors, subcontractors or material suppliers either prior to Landlord’s approval of the Approved Budget or as a result of Tenant’s decision to pay for the Tenant Improvements itself and later seek reimbursement from Landlord in the form of one lump sum payment in accordance with the Lease and this Work Letter), the amount of Tenant Improvement costs set forth in such Fund Request or Landlord’s pari passu share thereof if Excess TI Costs exist based on the Approved Budget;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Landlord shall not be obligated to make any payments under this Section until the budget for the Tenant Improvements is approved in accordance with </w:t>
      </w:r>
      <w:r>
        <w:rPr>
          <w:rFonts w:ascii="Arial" w:cs="Arial" w:eastAsia="Arial" w:hAnsi="Arial"/>
          <w:sz w:val="19"/>
          <w:szCs w:val="19"/>
          <w:u w:val="single" w:color="auto"/>
          <w:color w:val="auto"/>
        </w:rPr>
        <w:t>Section 6.1</w:t>
      </w:r>
      <w:r>
        <w:rPr>
          <w:rFonts w:ascii="Arial" w:cs="Arial" w:eastAsia="Arial" w:hAnsi="Arial"/>
          <w:sz w:val="19"/>
          <w:szCs w:val="19"/>
          <w:color w:val="auto"/>
        </w:rPr>
        <w:t>. Notwithstanding anything in this Section to the contrary, Tenant shall not submit a Fund Request after the TI Deadline or more often than every thirty (30) days. Any additional Fund Requests submitted by Tenant after the TI Deadline or more often than every thirty (30) days shall be void and of no force or effect.</w:t>
      </w:r>
    </w:p>
    <w:p>
      <w:pPr>
        <w:spacing w:after="0" w:line="200" w:lineRule="exact"/>
        <w:rPr>
          <w:sz w:val="20"/>
          <w:szCs w:val="20"/>
          <w:color w:val="auto"/>
        </w:rPr>
      </w:pPr>
    </w:p>
    <w:p>
      <w:pPr>
        <w:spacing w:after="0" w:line="203"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Accrual Information</w:t>
      </w:r>
      <w:r>
        <w:rPr>
          <w:rFonts w:ascii="Arial" w:cs="Arial" w:eastAsia="Arial" w:hAnsi="Arial"/>
          <w:sz w:val="22"/>
          <w:szCs w:val="22"/>
          <w:color w:val="auto"/>
        </w:rPr>
        <w:t xml:space="preserve">. In addition to the other requirements of this </w:t>
      </w:r>
      <w:r>
        <w:rPr>
          <w:rFonts w:ascii="Arial" w:cs="Arial" w:eastAsia="Arial" w:hAnsi="Arial"/>
          <w:sz w:val="22"/>
          <w:szCs w:val="22"/>
          <w:u w:val="single" w:color="auto"/>
          <w:color w:val="auto"/>
        </w:rPr>
        <w:t>Section 6</w:t>
      </w:r>
      <w:r>
        <w:rPr>
          <w:rFonts w:ascii="Arial" w:cs="Arial" w:eastAsia="Arial" w:hAnsi="Arial"/>
          <w:sz w:val="22"/>
          <w:szCs w:val="22"/>
          <w:color w:val="auto"/>
        </w:rPr>
        <w:t>, Tenant shall, no later than the second (2</w:t>
      </w:r>
      <w:r>
        <w:rPr>
          <w:rFonts w:ascii="Arial" w:cs="Arial" w:eastAsia="Arial" w:hAnsi="Arial"/>
          <w:sz w:val="14"/>
          <w:szCs w:val="14"/>
          <w:color w:val="auto"/>
        </w:rPr>
        <w:t>nd</w:t>
      </w:r>
      <w:r>
        <w:rPr>
          <w:rFonts w:ascii="Arial" w:cs="Arial" w:eastAsia="Arial" w:hAnsi="Arial"/>
          <w:sz w:val="22"/>
          <w:szCs w:val="22"/>
          <w:color w:val="auto"/>
        </w:rPr>
        <w:t>) business day of each quarter until the Tenant Improvements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775970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429" w:right="999" w:bottom="1440" w:gutter="0" w:footer="0" w:header="0"/>
        </w:sectPr>
      </w:pPr>
    </w:p>
    <w:bookmarkStart w:id="224" w:name="page225"/>
    <w:bookmarkEnd w:id="224"/>
    <w:p>
      <w:pPr>
        <w:jc w:val="both"/>
        <w:spacing w:after="0" w:line="248" w:lineRule="auto"/>
        <w:rPr>
          <w:sz w:val="20"/>
          <w:szCs w:val="20"/>
          <w:color w:val="auto"/>
        </w:rPr>
      </w:pPr>
      <w:r>
        <w:rPr>
          <w:rFonts w:ascii="Arial" w:cs="Arial" w:eastAsia="Arial" w:hAnsi="Arial"/>
          <w:sz w:val="21"/>
          <w:szCs w:val="21"/>
          <w:color w:val="auto"/>
        </w:rPr>
        <w:t>complete, provide Landlord with an estimate of (a) the percentage of design and other soft cost work that has been completed, (b) design and other soft costs spent through the end of the previous month, both from commencement of the Tenant Improvements and solely for the previous month, (c) the percentage of construction and other hard cost work that has been completed, (d) construction and other hard costs spent through the end of the previous month, both from commencement of the Tenant Improvements and solely for the previous month, and (e) the date of Substantial Completion of the Tenant Improvements.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795655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29" w:right="999" w:bottom="1440" w:gutter="0" w:footer="0" w:header="0"/>
        </w:sectPr>
      </w:pPr>
    </w:p>
    <w:bookmarkStart w:id="225" w:name="page226"/>
    <w:bookmarkEnd w:id="225"/>
    <w:p>
      <w:pPr>
        <w:ind w:firstLine="648"/>
        <w:spacing w:after="0" w:line="250" w:lineRule="auto"/>
        <w:rPr>
          <w:sz w:val="20"/>
          <w:szCs w:val="20"/>
          <w:color w:val="auto"/>
        </w:rPr>
      </w:pPr>
      <w:r>
        <w:rPr>
          <w:rFonts w:ascii="Arial" w:cs="Arial" w:eastAsia="Arial" w:hAnsi="Arial"/>
          <w:sz w:val="22"/>
          <w:szCs w:val="22"/>
          <w:color w:val="auto"/>
        </w:rPr>
        <w:t>IN WITNESS WHEREOF, Landlord and Tenant have executed this Work Letter to be effective on the date first above written.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BRE-BMR 38 SIDNEY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Colleen O’Connor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Name:Coleen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VP, Leasing, East Coast &amp; UK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4445</wp:posOffset>
            </wp:positionV>
            <wp:extent cx="2794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BLUEPRINT MEDICINES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Michael Landsittel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4445</wp:posOffset>
            </wp:positionV>
            <wp:extent cx="27946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-158115</wp:posOffset>
            </wp:positionV>
            <wp:extent cx="27946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900"/>
          </w:cols>
          <w:pgMar w:left="980" w:top="429" w:right="10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10.54</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CERTAIN CONFIDENTIAL INFORMATION CONTAINED IN THIS DOCUMENT, MARKED</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 HAS BEEN OMITTED BECAUSE IT IS BOTH (I) NOT MATERIAL AND (II)</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IS THE TYPE THAT THE REGISTRANT TREATS AS PRIVATE OR CONFIDENTIAL</w:t>
      </w:r>
    </w:p>
    <w:p>
      <w:pPr>
        <w:spacing w:after="0" w:line="222" w:lineRule="exact"/>
        <w:rPr>
          <w:sz w:val="20"/>
          <w:szCs w:val="20"/>
          <w:color w:val="auto"/>
        </w:rPr>
      </w:pPr>
    </w:p>
    <w:p>
      <w:pPr>
        <w:ind w:left="8440"/>
        <w:spacing w:after="0"/>
        <w:rPr>
          <w:sz w:val="20"/>
          <w:szCs w:val="20"/>
          <w:color w:val="auto"/>
        </w:rPr>
      </w:pPr>
      <w:r>
        <w:rPr>
          <w:rFonts w:ascii="Arial" w:cs="Arial" w:eastAsia="Arial" w:hAnsi="Arial"/>
          <w:sz w:val="16"/>
          <w:szCs w:val="16"/>
          <w:b w:val="1"/>
          <w:bCs w:val="1"/>
          <w:i w:val="1"/>
          <w:iCs w:val="1"/>
          <w:color w:val="auto"/>
        </w:rPr>
        <w:t>Confidential</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LICENSE AND COLLABORATION AGREEMENT</w:t>
      </w: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Blueprint Medicines Corporation</w:t>
      </w: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Zai Lab (Shanghai) Co., Ltd</w:t>
      </w: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Dated as of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644525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56"/>
        </w:trPr>
        <w:tc>
          <w:tcPr>
            <w:tcW w:w="740" w:type="dxa"/>
            <w:vAlign w:val="bottom"/>
          </w:tcPr>
          <w:p>
            <w:pPr>
              <w:spacing w:after="0"/>
              <w:rPr>
                <w:sz w:val="22"/>
                <w:szCs w:val="22"/>
                <w:color w:val="auto"/>
              </w:rPr>
            </w:pPr>
          </w:p>
        </w:tc>
        <w:tc>
          <w:tcPr>
            <w:tcW w:w="7020" w:type="dxa"/>
            <w:vAlign w:val="bottom"/>
          </w:tcPr>
          <w:p>
            <w:pPr>
              <w:ind w:left="3160"/>
              <w:spacing w:after="0"/>
              <w:rPr>
                <w:sz w:val="20"/>
                <w:szCs w:val="20"/>
                <w:color w:val="auto"/>
              </w:rPr>
            </w:pPr>
            <w:r>
              <w:rPr>
                <w:rFonts w:ascii="Arial" w:cs="Arial" w:eastAsia="Arial" w:hAnsi="Arial"/>
                <w:sz w:val="20"/>
                <w:szCs w:val="20"/>
                <w:b w:val="1"/>
                <w:bCs w:val="1"/>
                <w:color w:val="auto"/>
              </w:rPr>
              <w:t>TABLE OF CONTENTS</w:t>
            </w:r>
          </w:p>
        </w:tc>
        <w:tc>
          <w:tcPr>
            <w:tcW w:w="2160" w:type="dxa"/>
            <w:vAlign w:val="bottom"/>
          </w:tcPr>
          <w:p>
            <w:pPr>
              <w:spacing w:after="0"/>
              <w:rPr>
                <w:sz w:val="22"/>
                <w:szCs w:val="22"/>
                <w:color w:val="auto"/>
              </w:rPr>
            </w:pPr>
          </w:p>
        </w:tc>
      </w:tr>
      <w:tr>
        <w:trPr>
          <w:trHeight w:val="473"/>
        </w:trPr>
        <w:tc>
          <w:tcPr>
            <w:tcW w:w="7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1 DEFINITIONS</w:t>
            </w:r>
          </w:p>
        </w:tc>
        <w:tc>
          <w:tcPr>
            <w:tcW w:w="21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2 LICENSES</w:t>
            </w:r>
          </w:p>
        </w:tc>
        <w:tc>
          <w:tcPr>
            <w:tcW w:w="2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2.1</w:t>
            </w:r>
          </w:p>
        </w:tc>
        <w:tc>
          <w:tcPr>
            <w:tcW w:w="7020" w:type="dxa"/>
            <w:vAlign w:val="bottom"/>
          </w:tcPr>
          <w:p>
            <w:pPr>
              <w:ind w:left="260"/>
              <w:spacing w:after="0"/>
              <w:rPr>
                <w:sz w:val="20"/>
                <w:szCs w:val="20"/>
                <w:color w:val="auto"/>
              </w:rPr>
            </w:pPr>
            <w:r>
              <w:rPr>
                <w:rFonts w:ascii="Arial" w:cs="Arial" w:eastAsia="Arial" w:hAnsi="Arial"/>
                <w:sz w:val="20"/>
                <w:szCs w:val="20"/>
                <w:color w:val="auto"/>
              </w:rPr>
              <w:t>License Grants to Zai</w:t>
            </w:r>
          </w:p>
        </w:tc>
        <w:tc>
          <w:tcPr>
            <w:tcW w:w="2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2.2</w:t>
            </w:r>
          </w:p>
        </w:tc>
        <w:tc>
          <w:tcPr>
            <w:tcW w:w="7020" w:type="dxa"/>
            <w:vAlign w:val="bottom"/>
          </w:tcPr>
          <w:p>
            <w:pPr>
              <w:ind w:left="260"/>
              <w:spacing w:after="0"/>
              <w:rPr>
                <w:sz w:val="20"/>
                <w:szCs w:val="20"/>
                <w:color w:val="auto"/>
              </w:rPr>
            </w:pPr>
            <w:r>
              <w:rPr>
                <w:rFonts w:ascii="Arial" w:cs="Arial" w:eastAsia="Arial" w:hAnsi="Arial"/>
                <w:sz w:val="20"/>
                <w:szCs w:val="20"/>
                <w:color w:val="auto"/>
              </w:rPr>
              <w:t>Sublicensing and Subcontractors</w:t>
            </w:r>
          </w:p>
        </w:tc>
        <w:tc>
          <w:tcPr>
            <w:tcW w:w="2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2.3</w:t>
            </w:r>
          </w:p>
        </w:tc>
        <w:tc>
          <w:tcPr>
            <w:tcW w:w="7020" w:type="dxa"/>
            <w:vAlign w:val="bottom"/>
          </w:tcPr>
          <w:p>
            <w:pPr>
              <w:ind w:left="260"/>
              <w:spacing w:after="0"/>
              <w:rPr>
                <w:sz w:val="20"/>
                <w:szCs w:val="20"/>
                <w:color w:val="auto"/>
              </w:rPr>
            </w:pPr>
            <w:r>
              <w:rPr>
                <w:rFonts w:ascii="Arial" w:cs="Arial" w:eastAsia="Arial" w:hAnsi="Arial"/>
                <w:sz w:val="20"/>
                <w:szCs w:val="20"/>
                <w:color w:val="auto"/>
              </w:rPr>
              <w:t>License Grants to Blueprint</w:t>
            </w:r>
          </w:p>
        </w:tc>
        <w:tc>
          <w:tcPr>
            <w:tcW w:w="21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2.4</w:t>
            </w:r>
          </w:p>
        </w:tc>
        <w:tc>
          <w:tcPr>
            <w:tcW w:w="7020" w:type="dxa"/>
            <w:vAlign w:val="bottom"/>
          </w:tcPr>
          <w:p>
            <w:pPr>
              <w:ind w:left="260"/>
              <w:spacing w:after="0"/>
              <w:rPr>
                <w:sz w:val="20"/>
                <w:szCs w:val="20"/>
                <w:color w:val="auto"/>
              </w:rPr>
            </w:pPr>
            <w:r>
              <w:rPr>
                <w:rFonts w:ascii="Arial" w:cs="Arial" w:eastAsia="Arial" w:hAnsi="Arial"/>
                <w:sz w:val="20"/>
                <w:szCs w:val="20"/>
                <w:color w:val="auto"/>
              </w:rPr>
              <w:t>Retained Rights</w:t>
            </w:r>
          </w:p>
        </w:tc>
        <w:tc>
          <w:tcPr>
            <w:tcW w:w="21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20" w:type="dxa"/>
            <w:vAlign w:val="bottom"/>
          </w:tcPr>
          <w:p>
            <w:pPr>
              <w:ind w:left="260"/>
              <w:spacing w:after="0"/>
              <w:rPr>
                <w:sz w:val="20"/>
                <w:szCs w:val="20"/>
                <w:color w:val="auto"/>
              </w:rPr>
            </w:pPr>
            <w:r>
              <w:rPr>
                <w:rFonts w:ascii="Arial" w:cs="Arial" w:eastAsia="Arial" w:hAnsi="Arial"/>
                <w:sz w:val="20"/>
                <w:szCs w:val="20"/>
                <w:color w:val="auto"/>
              </w:rPr>
              <w:t>Combination Products Rights</w:t>
            </w:r>
          </w:p>
        </w:tc>
        <w:tc>
          <w:tcPr>
            <w:tcW w:w="21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2.6</w:t>
            </w:r>
          </w:p>
        </w:tc>
        <w:tc>
          <w:tcPr>
            <w:tcW w:w="7020" w:type="dxa"/>
            <w:vAlign w:val="bottom"/>
          </w:tcPr>
          <w:p>
            <w:pPr>
              <w:ind w:left="260"/>
              <w:spacing w:after="0"/>
              <w:rPr>
                <w:sz w:val="20"/>
                <w:szCs w:val="20"/>
                <w:color w:val="auto"/>
              </w:rPr>
            </w:pPr>
            <w:r>
              <w:rPr>
                <w:rFonts w:ascii="Arial" w:cs="Arial" w:eastAsia="Arial" w:hAnsi="Arial"/>
                <w:sz w:val="20"/>
                <w:szCs w:val="20"/>
                <w:color w:val="auto"/>
              </w:rPr>
              <w:t>Third Party In-Licenses</w:t>
            </w:r>
          </w:p>
        </w:tc>
        <w:tc>
          <w:tcPr>
            <w:tcW w:w="21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2.7</w:t>
            </w:r>
          </w:p>
        </w:tc>
        <w:tc>
          <w:tcPr>
            <w:tcW w:w="7020" w:type="dxa"/>
            <w:vAlign w:val="bottom"/>
          </w:tcPr>
          <w:p>
            <w:pPr>
              <w:ind w:left="2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2.8</w:t>
            </w:r>
          </w:p>
        </w:tc>
        <w:tc>
          <w:tcPr>
            <w:tcW w:w="7020" w:type="dxa"/>
            <w:vAlign w:val="bottom"/>
          </w:tcPr>
          <w:p>
            <w:pPr>
              <w:ind w:left="260"/>
              <w:spacing w:after="0"/>
              <w:rPr>
                <w:sz w:val="20"/>
                <w:szCs w:val="20"/>
                <w:color w:val="auto"/>
              </w:rPr>
            </w:pPr>
            <w:r>
              <w:rPr>
                <w:rFonts w:ascii="Arial" w:cs="Arial" w:eastAsia="Arial" w:hAnsi="Arial"/>
                <w:sz w:val="20"/>
                <w:szCs w:val="20"/>
                <w:color w:val="auto"/>
              </w:rPr>
              <w:t>Exclusivity</w:t>
            </w:r>
          </w:p>
        </w:tc>
        <w:tc>
          <w:tcPr>
            <w:tcW w:w="21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3 GOVERNANCE</w:t>
            </w:r>
          </w:p>
        </w:tc>
        <w:tc>
          <w:tcPr>
            <w:tcW w:w="21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3.1</w:t>
            </w:r>
          </w:p>
        </w:tc>
        <w:tc>
          <w:tcPr>
            <w:tcW w:w="7020" w:type="dxa"/>
            <w:vAlign w:val="bottom"/>
          </w:tcPr>
          <w:p>
            <w:pPr>
              <w:ind w:left="260"/>
              <w:spacing w:after="0"/>
              <w:rPr>
                <w:sz w:val="20"/>
                <w:szCs w:val="20"/>
                <w:color w:val="auto"/>
              </w:rPr>
            </w:pPr>
            <w:r>
              <w:rPr>
                <w:rFonts w:ascii="Arial" w:cs="Arial" w:eastAsia="Arial" w:hAnsi="Arial"/>
                <w:sz w:val="20"/>
                <w:szCs w:val="20"/>
                <w:color w:val="auto"/>
              </w:rPr>
              <w:t>Alliance Managers</w:t>
            </w:r>
          </w:p>
        </w:tc>
        <w:tc>
          <w:tcPr>
            <w:tcW w:w="21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3.2</w:t>
            </w:r>
          </w:p>
        </w:tc>
        <w:tc>
          <w:tcPr>
            <w:tcW w:w="7020" w:type="dxa"/>
            <w:vAlign w:val="bottom"/>
          </w:tcPr>
          <w:p>
            <w:pPr>
              <w:ind w:left="260"/>
              <w:spacing w:after="0"/>
              <w:rPr>
                <w:sz w:val="20"/>
                <w:szCs w:val="20"/>
                <w:color w:val="auto"/>
              </w:rPr>
            </w:pPr>
            <w:r>
              <w:rPr>
                <w:rFonts w:ascii="Arial" w:cs="Arial" w:eastAsia="Arial" w:hAnsi="Arial"/>
                <w:sz w:val="20"/>
                <w:szCs w:val="20"/>
                <w:color w:val="auto"/>
              </w:rPr>
              <w:t>Joint Steering Committee</w:t>
            </w:r>
          </w:p>
        </w:tc>
        <w:tc>
          <w:tcPr>
            <w:tcW w:w="21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3.3</w:t>
            </w:r>
          </w:p>
        </w:tc>
        <w:tc>
          <w:tcPr>
            <w:tcW w:w="7020" w:type="dxa"/>
            <w:vAlign w:val="bottom"/>
          </w:tcPr>
          <w:p>
            <w:pPr>
              <w:ind w:left="260"/>
              <w:spacing w:after="0"/>
              <w:rPr>
                <w:sz w:val="20"/>
                <w:szCs w:val="20"/>
                <w:color w:val="auto"/>
              </w:rPr>
            </w:pPr>
            <w:r>
              <w:rPr>
                <w:rFonts w:ascii="Arial" w:cs="Arial" w:eastAsia="Arial" w:hAnsi="Arial"/>
                <w:sz w:val="20"/>
                <w:szCs w:val="20"/>
                <w:color w:val="auto"/>
              </w:rPr>
              <w:t>Joint Project Teams</w:t>
            </w:r>
          </w:p>
        </w:tc>
        <w:tc>
          <w:tcPr>
            <w:tcW w:w="21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3.4</w:t>
            </w:r>
          </w:p>
        </w:tc>
        <w:tc>
          <w:tcPr>
            <w:tcW w:w="7020" w:type="dxa"/>
            <w:vAlign w:val="bottom"/>
          </w:tcPr>
          <w:p>
            <w:pPr>
              <w:ind w:left="260"/>
              <w:spacing w:after="0"/>
              <w:rPr>
                <w:sz w:val="20"/>
                <w:szCs w:val="20"/>
                <w:color w:val="auto"/>
              </w:rPr>
            </w:pPr>
            <w:r>
              <w:rPr>
                <w:rFonts w:ascii="Arial" w:cs="Arial" w:eastAsia="Arial" w:hAnsi="Arial"/>
                <w:sz w:val="20"/>
                <w:szCs w:val="20"/>
                <w:color w:val="auto"/>
              </w:rPr>
              <w:t>Working Groups</w:t>
            </w:r>
          </w:p>
        </w:tc>
        <w:tc>
          <w:tcPr>
            <w:tcW w:w="21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3.5</w:t>
            </w:r>
          </w:p>
        </w:tc>
        <w:tc>
          <w:tcPr>
            <w:tcW w:w="7020" w:type="dxa"/>
            <w:vAlign w:val="bottom"/>
          </w:tcPr>
          <w:p>
            <w:pPr>
              <w:ind w:left="260"/>
              <w:spacing w:after="0"/>
              <w:rPr>
                <w:sz w:val="20"/>
                <w:szCs w:val="20"/>
                <w:color w:val="auto"/>
              </w:rPr>
            </w:pPr>
            <w:r>
              <w:rPr>
                <w:rFonts w:ascii="Arial" w:cs="Arial" w:eastAsia="Arial" w:hAnsi="Arial"/>
                <w:sz w:val="20"/>
                <w:szCs w:val="20"/>
                <w:color w:val="auto"/>
              </w:rPr>
              <w:t>Non-Member Attendance</w:t>
            </w:r>
          </w:p>
        </w:tc>
        <w:tc>
          <w:tcPr>
            <w:tcW w:w="21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3.6</w:t>
            </w:r>
          </w:p>
        </w:tc>
        <w:tc>
          <w:tcPr>
            <w:tcW w:w="7020" w:type="dxa"/>
            <w:vAlign w:val="bottom"/>
          </w:tcPr>
          <w:p>
            <w:pPr>
              <w:ind w:left="260"/>
              <w:spacing w:after="0"/>
              <w:rPr>
                <w:sz w:val="20"/>
                <w:szCs w:val="20"/>
                <w:color w:val="auto"/>
              </w:rPr>
            </w:pPr>
            <w:r>
              <w:rPr>
                <w:rFonts w:ascii="Arial" w:cs="Arial" w:eastAsia="Arial" w:hAnsi="Arial"/>
                <w:sz w:val="20"/>
                <w:szCs w:val="20"/>
                <w:color w:val="auto"/>
              </w:rPr>
              <w:t>Decision-Making</w:t>
            </w:r>
          </w:p>
        </w:tc>
        <w:tc>
          <w:tcPr>
            <w:tcW w:w="21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3.7</w:t>
            </w:r>
          </w:p>
        </w:tc>
        <w:tc>
          <w:tcPr>
            <w:tcW w:w="7020" w:type="dxa"/>
            <w:vAlign w:val="bottom"/>
          </w:tcPr>
          <w:p>
            <w:pPr>
              <w:ind w:left="260"/>
              <w:spacing w:after="0"/>
              <w:rPr>
                <w:sz w:val="20"/>
                <w:szCs w:val="20"/>
                <w:color w:val="auto"/>
              </w:rPr>
            </w:pPr>
            <w:r>
              <w:rPr>
                <w:rFonts w:ascii="Arial" w:cs="Arial" w:eastAsia="Arial" w:hAnsi="Arial"/>
                <w:sz w:val="20"/>
                <w:szCs w:val="20"/>
                <w:color w:val="auto"/>
              </w:rPr>
              <w:t>Resolution of JSC Disputes</w:t>
            </w:r>
          </w:p>
        </w:tc>
        <w:tc>
          <w:tcPr>
            <w:tcW w:w="21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3.8</w:t>
            </w:r>
          </w:p>
        </w:tc>
        <w:tc>
          <w:tcPr>
            <w:tcW w:w="7020" w:type="dxa"/>
            <w:vAlign w:val="bottom"/>
          </w:tcPr>
          <w:p>
            <w:pPr>
              <w:ind w:left="260"/>
              <w:spacing w:after="0"/>
              <w:rPr>
                <w:sz w:val="20"/>
                <w:szCs w:val="20"/>
                <w:color w:val="auto"/>
              </w:rPr>
            </w:pPr>
            <w:r>
              <w:rPr>
                <w:rFonts w:ascii="Arial" w:cs="Arial" w:eastAsia="Arial" w:hAnsi="Arial"/>
                <w:sz w:val="20"/>
                <w:szCs w:val="20"/>
                <w:color w:val="auto"/>
              </w:rPr>
              <w:t>Discontinuation of JSC</w:t>
            </w:r>
          </w:p>
        </w:tc>
        <w:tc>
          <w:tcPr>
            <w:tcW w:w="21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4 TECHNOLOGY TRANSFERS</w:t>
            </w:r>
          </w:p>
        </w:tc>
        <w:tc>
          <w:tcPr>
            <w:tcW w:w="21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4.1</w:t>
            </w:r>
          </w:p>
        </w:tc>
        <w:tc>
          <w:tcPr>
            <w:tcW w:w="7020" w:type="dxa"/>
            <w:vAlign w:val="bottom"/>
          </w:tcPr>
          <w:p>
            <w:pPr>
              <w:ind w:left="260"/>
              <w:spacing w:after="0"/>
              <w:rPr>
                <w:sz w:val="20"/>
                <w:szCs w:val="20"/>
                <w:color w:val="auto"/>
              </w:rPr>
            </w:pPr>
            <w:r>
              <w:rPr>
                <w:rFonts w:ascii="Arial" w:cs="Arial" w:eastAsia="Arial" w:hAnsi="Arial"/>
                <w:sz w:val="20"/>
                <w:szCs w:val="20"/>
                <w:color w:val="auto"/>
              </w:rPr>
              <w:t>Initial Know-How Transfer</w:t>
            </w:r>
          </w:p>
        </w:tc>
        <w:tc>
          <w:tcPr>
            <w:tcW w:w="21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4.2</w:t>
            </w:r>
          </w:p>
        </w:tc>
        <w:tc>
          <w:tcPr>
            <w:tcW w:w="7020" w:type="dxa"/>
            <w:vAlign w:val="bottom"/>
          </w:tcPr>
          <w:p>
            <w:pPr>
              <w:ind w:left="260"/>
              <w:spacing w:after="0"/>
              <w:rPr>
                <w:sz w:val="20"/>
                <w:szCs w:val="20"/>
                <w:color w:val="auto"/>
              </w:rPr>
            </w:pPr>
            <w:r>
              <w:rPr>
                <w:rFonts w:ascii="Arial" w:cs="Arial" w:eastAsia="Arial" w:hAnsi="Arial"/>
                <w:sz w:val="20"/>
                <w:szCs w:val="20"/>
                <w:color w:val="auto"/>
              </w:rPr>
              <w:t>Manufacturing Technology Transfer</w:t>
            </w:r>
          </w:p>
        </w:tc>
        <w:tc>
          <w:tcPr>
            <w:tcW w:w="21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4.3</w:t>
            </w:r>
          </w:p>
        </w:tc>
        <w:tc>
          <w:tcPr>
            <w:tcW w:w="7020" w:type="dxa"/>
            <w:vAlign w:val="bottom"/>
          </w:tcPr>
          <w:p>
            <w:pPr>
              <w:ind w:left="260"/>
              <w:spacing w:after="0"/>
              <w:rPr>
                <w:sz w:val="20"/>
                <w:szCs w:val="20"/>
                <w:color w:val="auto"/>
              </w:rPr>
            </w:pPr>
            <w:r>
              <w:rPr>
                <w:rFonts w:ascii="Arial" w:cs="Arial" w:eastAsia="Arial" w:hAnsi="Arial"/>
                <w:sz w:val="20"/>
                <w:szCs w:val="20"/>
                <w:color w:val="auto"/>
              </w:rPr>
              <w:t>Continuing Know-How Transfer</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4.4</w:t>
            </w:r>
          </w:p>
        </w:tc>
        <w:tc>
          <w:tcPr>
            <w:tcW w:w="7020" w:type="dxa"/>
            <w:vAlign w:val="bottom"/>
          </w:tcPr>
          <w:p>
            <w:pPr>
              <w:ind w:left="260"/>
              <w:spacing w:after="0"/>
              <w:rPr>
                <w:sz w:val="20"/>
                <w:szCs w:val="20"/>
                <w:color w:val="auto"/>
              </w:rPr>
            </w:pPr>
            <w:r>
              <w:rPr>
                <w:rFonts w:ascii="Arial" w:cs="Arial" w:eastAsia="Arial" w:hAnsi="Arial"/>
                <w:sz w:val="20"/>
                <w:szCs w:val="20"/>
                <w:color w:val="auto"/>
              </w:rPr>
              <w:t>Conduct of Technology Transfer</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4.5</w:t>
            </w:r>
          </w:p>
        </w:tc>
        <w:tc>
          <w:tcPr>
            <w:tcW w:w="7020" w:type="dxa"/>
            <w:vAlign w:val="bottom"/>
          </w:tcPr>
          <w:p>
            <w:pPr>
              <w:ind w:left="260"/>
              <w:spacing w:after="0"/>
              <w:rPr>
                <w:sz w:val="20"/>
                <w:szCs w:val="20"/>
                <w:color w:val="auto"/>
              </w:rPr>
            </w:pPr>
            <w:r>
              <w:rPr>
                <w:rFonts w:ascii="Arial" w:cs="Arial" w:eastAsia="Arial" w:hAnsi="Arial"/>
                <w:sz w:val="20"/>
                <w:szCs w:val="20"/>
                <w:color w:val="auto"/>
              </w:rPr>
              <w:t>Technology Transfer Costs</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5 DEVELOPMENT PROGRAM</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5.1</w:t>
            </w:r>
          </w:p>
        </w:tc>
        <w:tc>
          <w:tcPr>
            <w:tcW w:w="7020" w:type="dxa"/>
            <w:vAlign w:val="bottom"/>
          </w:tcPr>
          <w:p>
            <w:pPr>
              <w:ind w:left="260"/>
              <w:spacing w:after="0"/>
              <w:rPr>
                <w:sz w:val="20"/>
                <w:szCs w:val="20"/>
                <w:color w:val="auto"/>
              </w:rPr>
            </w:pPr>
            <w:r>
              <w:rPr>
                <w:rFonts w:ascii="Arial" w:cs="Arial" w:eastAsia="Arial" w:hAnsi="Arial"/>
                <w:sz w:val="20"/>
                <w:szCs w:val="20"/>
                <w:color w:val="auto"/>
              </w:rPr>
              <w:t>Global Development Plan</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5.2</w:t>
            </w:r>
          </w:p>
        </w:tc>
        <w:tc>
          <w:tcPr>
            <w:tcW w:w="7020" w:type="dxa"/>
            <w:vAlign w:val="bottom"/>
          </w:tcPr>
          <w:p>
            <w:pPr>
              <w:ind w:left="260"/>
              <w:spacing w:after="0"/>
              <w:rPr>
                <w:sz w:val="20"/>
                <w:szCs w:val="20"/>
                <w:color w:val="auto"/>
              </w:rPr>
            </w:pPr>
            <w:r>
              <w:rPr>
                <w:rFonts w:ascii="Arial" w:cs="Arial" w:eastAsia="Arial" w:hAnsi="Arial"/>
                <w:sz w:val="20"/>
                <w:szCs w:val="20"/>
                <w:color w:val="auto"/>
              </w:rPr>
              <w:t>Enrollment in Committed Trials</w:t>
            </w:r>
          </w:p>
        </w:tc>
        <w:tc>
          <w:tcPr>
            <w:tcW w:w="21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5.3</w:t>
            </w:r>
          </w:p>
        </w:tc>
        <w:tc>
          <w:tcPr>
            <w:tcW w:w="7020" w:type="dxa"/>
            <w:vAlign w:val="bottom"/>
          </w:tcPr>
          <w:p>
            <w:pPr>
              <w:ind w:left="260"/>
              <w:spacing w:after="0"/>
              <w:rPr>
                <w:sz w:val="20"/>
                <w:szCs w:val="20"/>
                <w:color w:val="auto"/>
              </w:rPr>
            </w:pPr>
            <w:r>
              <w:rPr>
                <w:rFonts w:ascii="Arial" w:cs="Arial" w:eastAsia="Arial" w:hAnsi="Arial"/>
                <w:sz w:val="20"/>
                <w:szCs w:val="20"/>
                <w:color w:val="auto"/>
              </w:rPr>
              <w:t>Zai Decision to Use a CRO</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5.4</w:t>
            </w:r>
          </w:p>
        </w:tc>
        <w:tc>
          <w:tcPr>
            <w:tcW w:w="7020" w:type="dxa"/>
            <w:vAlign w:val="bottom"/>
          </w:tcPr>
          <w:p>
            <w:pPr>
              <w:ind w:left="260"/>
              <w:spacing w:after="0"/>
              <w:rPr>
                <w:sz w:val="20"/>
                <w:szCs w:val="20"/>
                <w:color w:val="auto"/>
              </w:rPr>
            </w:pPr>
            <w:r>
              <w:rPr>
                <w:rFonts w:ascii="Arial" w:cs="Arial" w:eastAsia="Arial" w:hAnsi="Arial"/>
                <w:sz w:val="20"/>
                <w:szCs w:val="20"/>
                <w:color w:val="auto"/>
              </w:rPr>
              <w:t>Territory-Specific Development Plans</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5.5</w:t>
            </w:r>
          </w:p>
        </w:tc>
        <w:tc>
          <w:tcPr>
            <w:tcW w:w="7020" w:type="dxa"/>
            <w:vAlign w:val="bottom"/>
          </w:tcPr>
          <w:p>
            <w:pPr>
              <w:ind w:left="260"/>
              <w:spacing w:after="0"/>
              <w:rPr>
                <w:sz w:val="20"/>
                <w:szCs w:val="20"/>
                <w:color w:val="auto"/>
              </w:rPr>
            </w:pPr>
            <w:r>
              <w:rPr>
                <w:rFonts w:ascii="Arial" w:cs="Arial" w:eastAsia="Arial" w:hAnsi="Arial"/>
                <w:sz w:val="20"/>
                <w:szCs w:val="20"/>
                <w:color w:val="auto"/>
              </w:rPr>
              <w:t>Development Diligence</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5.6</w:t>
            </w:r>
          </w:p>
        </w:tc>
        <w:tc>
          <w:tcPr>
            <w:tcW w:w="7020" w:type="dxa"/>
            <w:vAlign w:val="bottom"/>
          </w:tcPr>
          <w:p>
            <w:pPr>
              <w:ind w:left="260"/>
              <w:spacing w:after="0"/>
              <w:rPr>
                <w:sz w:val="20"/>
                <w:szCs w:val="20"/>
                <w:color w:val="auto"/>
              </w:rPr>
            </w:pPr>
            <w:r>
              <w:rPr>
                <w:rFonts w:ascii="Arial" w:cs="Arial" w:eastAsia="Arial" w:hAnsi="Arial"/>
                <w:sz w:val="20"/>
                <w:szCs w:val="20"/>
                <w:color w:val="auto"/>
              </w:rPr>
              <w:t>PRC Submission Estimated Timeline</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740" w:type="dxa"/>
            <w:vAlign w:val="bottom"/>
          </w:tcPr>
          <w:p>
            <w:pPr>
              <w:jc w:val="right"/>
              <w:ind w:right="161"/>
              <w:spacing w:after="0"/>
              <w:rPr>
                <w:sz w:val="20"/>
                <w:szCs w:val="20"/>
                <w:color w:val="auto"/>
              </w:rPr>
            </w:pPr>
            <w:r>
              <w:rPr>
                <w:rFonts w:ascii="Arial" w:cs="Arial" w:eastAsia="Arial" w:hAnsi="Arial"/>
                <w:sz w:val="20"/>
                <w:szCs w:val="20"/>
                <w:color w:val="auto"/>
              </w:rPr>
              <w:t>5.7</w:t>
            </w:r>
          </w:p>
        </w:tc>
        <w:tc>
          <w:tcPr>
            <w:tcW w:w="7020" w:type="dxa"/>
            <w:vAlign w:val="bottom"/>
          </w:tcPr>
          <w:p>
            <w:pPr>
              <w:ind w:left="260"/>
              <w:spacing w:after="0"/>
              <w:rPr>
                <w:sz w:val="20"/>
                <w:szCs w:val="20"/>
                <w:color w:val="auto"/>
              </w:rPr>
            </w:pPr>
            <w:r>
              <w:rPr>
                <w:rFonts w:ascii="Arial" w:cs="Arial" w:eastAsia="Arial" w:hAnsi="Arial"/>
                <w:sz w:val="20"/>
                <w:szCs w:val="20"/>
                <w:color w:val="auto"/>
              </w:rPr>
              <w:t>Non-Clinical and Preclinical Studies</w:t>
            </w:r>
          </w:p>
        </w:tc>
        <w:tc>
          <w:tcPr>
            <w:tcW w:w="216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52"/>
        </w:trPr>
        <w:tc>
          <w:tcPr>
            <w:tcW w:w="860" w:type="dxa"/>
            <w:vAlign w:val="bottom"/>
          </w:tcPr>
          <w:p>
            <w:pPr>
              <w:ind w:left="240"/>
              <w:spacing w:after="0"/>
              <w:rPr>
                <w:sz w:val="20"/>
                <w:szCs w:val="20"/>
                <w:color w:val="auto"/>
              </w:rPr>
            </w:pPr>
            <w:r>
              <w:rPr>
                <w:rFonts w:ascii="Arial" w:cs="Arial" w:eastAsia="Arial" w:hAnsi="Arial"/>
                <w:sz w:val="20"/>
                <w:szCs w:val="20"/>
                <w:color w:val="auto"/>
              </w:rPr>
              <w:t>5.8</w:t>
            </w:r>
          </w:p>
        </w:tc>
        <w:tc>
          <w:tcPr>
            <w:tcW w:w="6340" w:type="dxa"/>
            <w:vAlign w:val="bottom"/>
          </w:tcPr>
          <w:p>
            <w:pPr>
              <w:ind w:left="140"/>
              <w:spacing w:after="0"/>
              <w:rPr>
                <w:sz w:val="20"/>
                <w:szCs w:val="20"/>
                <w:color w:val="auto"/>
              </w:rPr>
            </w:pPr>
            <w:r>
              <w:rPr>
                <w:rFonts w:ascii="Arial" w:cs="Arial" w:eastAsia="Arial" w:hAnsi="Arial"/>
                <w:sz w:val="20"/>
                <w:szCs w:val="20"/>
                <w:color w:val="auto"/>
              </w:rPr>
              <w:t>Proposed Blueprint/Zai Combination Products</w:t>
            </w:r>
          </w:p>
        </w:tc>
        <w:tc>
          <w:tcPr>
            <w:tcW w:w="2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5.9</w:t>
            </w:r>
          </w:p>
        </w:tc>
        <w:tc>
          <w:tcPr>
            <w:tcW w:w="6340" w:type="dxa"/>
            <w:vAlign w:val="bottom"/>
          </w:tcPr>
          <w:p>
            <w:pPr>
              <w:ind w:left="140"/>
              <w:spacing w:after="0"/>
              <w:rPr>
                <w:sz w:val="20"/>
                <w:szCs w:val="20"/>
                <w:color w:val="auto"/>
              </w:rPr>
            </w:pPr>
            <w:r>
              <w:rPr>
                <w:rFonts w:ascii="Arial" w:cs="Arial" w:eastAsia="Arial" w:hAnsi="Arial"/>
                <w:sz w:val="20"/>
                <w:szCs w:val="20"/>
                <w:color w:val="auto"/>
              </w:rPr>
              <w:t>New Development Proposed by Zai</w:t>
            </w:r>
          </w:p>
        </w:tc>
        <w:tc>
          <w:tcPr>
            <w:tcW w:w="27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5.10</w:t>
            </w:r>
          </w:p>
        </w:tc>
        <w:tc>
          <w:tcPr>
            <w:tcW w:w="6340" w:type="dxa"/>
            <w:vAlign w:val="bottom"/>
          </w:tcPr>
          <w:p>
            <w:pPr>
              <w:ind w:left="140"/>
              <w:spacing w:after="0"/>
              <w:rPr>
                <w:sz w:val="20"/>
                <w:szCs w:val="20"/>
                <w:color w:val="auto"/>
              </w:rPr>
            </w:pPr>
            <w:r>
              <w:rPr>
                <w:rFonts w:ascii="Arial" w:cs="Arial" w:eastAsia="Arial" w:hAnsi="Arial"/>
                <w:sz w:val="20"/>
                <w:szCs w:val="20"/>
                <w:color w:val="auto"/>
              </w:rPr>
              <w:t>Standard of Conduct</w:t>
            </w:r>
          </w:p>
        </w:tc>
        <w:tc>
          <w:tcPr>
            <w:tcW w:w="27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5.11</w:t>
            </w:r>
          </w:p>
        </w:tc>
        <w:tc>
          <w:tcPr>
            <w:tcW w:w="6340" w:type="dxa"/>
            <w:vAlign w:val="bottom"/>
          </w:tcPr>
          <w:p>
            <w:pPr>
              <w:ind w:left="140"/>
              <w:spacing w:after="0"/>
              <w:rPr>
                <w:sz w:val="20"/>
                <w:szCs w:val="20"/>
                <w:color w:val="auto"/>
              </w:rPr>
            </w:pPr>
            <w:r>
              <w:rPr>
                <w:rFonts w:ascii="Arial" w:cs="Arial" w:eastAsia="Arial" w:hAnsi="Arial"/>
                <w:sz w:val="20"/>
                <w:szCs w:val="20"/>
                <w:color w:val="auto"/>
              </w:rPr>
              <w:t>New Development Proposed by Blueprint</w:t>
            </w:r>
          </w:p>
        </w:tc>
        <w:tc>
          <w:tcPr>
            <w:tcW w:w="27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5.12</w:t>
            </w:r>
          </w:p>
        </w:tc>
        <w:tc>
          <w:tcPr>
            <w:tcW w:w="6340" w:type="dxa"/>
            <w:vAlign w:val="bottom"/>
          </w:tcPr>
          <w:p>
            <w:pPr>
              <w:ind w:left="140"/>
              <w:spacing w:after="0"/>
              <w:rPr>
                <w:sz w:val="20"/>
                <w:szCs w:val="20"/>
                <w:color w:val="auto"/>
              </w:rPr>
            </w:pPr>
            <w:r>
              <w:rPr>
                <w:rFonts w:ascii="Arial" w:cs="Arial" w:eastAsia="Arial" w:hAnsi="Arial"/>
                <w:sz w:val="20"/>
                <w:szCs w:val="20"/>
                <w:color w:val="auto"/>
              </w:rPr>
              <w:t>Development of Co-Formulated Products</w:t>
            </w:r>
          </w:p>
        </w:tc>
        <w:tc>
          <w:tcPr>
            <w:tcW w:w="27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5.13</w:t>
            </w:r>
          </w:p>
        </w:tc>
        <w:tc>
          <w:tcPr>
            <w:tcW w:w="6340" w:type="dxa"/>
            <w:vAlign w:val="bottom"/>
          </w:tcPr>
          <w:p>
            <w:pPr>
              <w:ind w:left="140"/>
              <w:spacing w:after="0"/>
              <w:rPr>
                <w:sz w:val="20"/>
                <w:szCs w:val="20"/>
                <w:color w:val="auto"/>
              </w:rPr>
            </w:pPr>
            <w:r>
              <w:rPr>
                <w:rFonts w:ascii="Arial" w:cs="Arial" w:eastAsia="Arial" w:hAnsi="Arial"/>
                <w:sz w:val="20"/>
                <w:szCs w:val="20"/>
                <w:color w:val="auto"/>
              </w:rPr>
              <w:t>Responsibility for Development Costs</w:t>
            </w:r>
          </w:p>
        </w:tc>
        <w:tc>
          <w:tcPr>
            <w:tcW w:w="27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5.14</w:t>
            </w:r>
          </w:p>
        </w:tc>
        <w:tc>
          <w:tcPr>
            <w:tcW w:w="6340" w:type="dxa"/>
            <w:vAlign w:val="bottom"/>
          </w:tcPr>
          <w:p>
            <w:pPr>
              <w:ind w:left="140"/>
              <w:spacing w:after="0"/>
              <w:rPr>
                <w:sz w:val="20"/>
                <w:szCs w:val="20"/>
                <w:color w:val="auto"/>
              </w:rPr>
            </w:pPr>
            <w:r>
              <w:rPr>
                <w:rFonts w:ascii="Arial" w:cs="Arial" w:eastAsia="Arial" w:hAnsi="Arial"/>
                <w:sz w:val="20"/>
                <w:szCs w:val="20"/>
                <w:color w:val="auto"/>
              </w:rPr>
              <w:t>Clinical Trial Audit Rights</w:t>
            </w:r>
          </w:p>
        </w:tc>
        <w:tc>
          <w:tcPr>
            <w:tcW w:w="27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5.15</w:t>
            </w:r>
          </w:p>
        </w:tc>
        <w:tc>
          <w:tcPr>
            <w:tcW w:w="6340" w:type="dxa"/>
            <w:vAlign w:val="bottom"/>
          </w:tcPr>
          <w:p>
            <w:pPr>
              <w:ind w:left="140"/>
              <w:spacing w:after="0"/>
              <w:rPr>
                <w:sz w:val="20"/>
                <w:szCs w:val="20"/>
                <w:color w:val="auto"/>
              </w:rPr>
            </w:pPr>
            <w:r>
              <w:rPr>
                <w:rFonts w:ascii="Arial" w:cs="Arial" w:eastAsia="Arial" w:hAnsi="Arial"/>
                <w:sz w:val="20"/>
                <w:szCs w:val="20"/>
                <w:color w:val="auto"/>
              </w:rPr>
              <w:t>Development Records</w:t>
            </w:r>
          </w:p>
        </w:tc>
        <w:tc>
          <w:tcPr>
            <w:tcW w:w="27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5.16</w:t>
            </w:r>
          </w:p>
        </w:tc>
        <w:tc>
          <w:tcPr>
            <w:tcW w:w="6340" w:type="dxa"/>
            <w:vAlign w:val="bottom"/>
          </w:tcPr>
          <w:p>
            <w:pPr>
              <w:ind w:left="140"/>
              <w:spacing w:after="0"/>
              <w:rPr>
                <w:sz w:val="20"/>
                <w:szCs w:val="20"/>
                <w:color w:val="auto"/>
              </w:rPr>
            </w:pPr>
            <w:r>
              <w:rPr>
                <w:rFonts w:ascii="Arial" w:cs="Arial" w:eastAsia="Arial" w:hAnsi="Arial"/>
                <w:sz w:val="20"/>
                <w:szCs w:val="20"/>
                <w:color w:val="auto"/>
              </w:rPr>
              <w:t>Development Reports</w:t>
            </w:r>
          </w:p>
        </w:tc>
        <w:tc>
          <w:tcPr>
            <w:tcW w:w="27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5.17</w:t>
            </w:r>
          </w:p>
        </w:tc>
        <w:tc>
          <w:tcPr>
            <w:tcW w:w="6340" w:type="dxa"/>
            <w:vAlign w:val="bottom"/>
          </w:tcPr>
          <w:p>
            <w:pPr>
              <w:ind w:left="140"/>
              <w:spacing w:after="0"/>
              <w:rPr>
                <w:sz w:val="20"/>
                <w:szCs w:val="20"/>
                <w:color w:val="auto"/>
              </w:rPr>
            </w:pPr>
            <w:r>
              <w:rPr>
                <w:rFonts w:ascii="Arial" w:cs="Arial" w:eastAsia="Arial" w:hAnsi="Arial"/>
                <w:sz w:val="20"/>
                <w:szCs w:val="20"/>
                <w:color w:val="auto"/>
              </w:rPr>
              <w:t>Data Exchange and Use</w:t>
            </w:r>
          </w:p>
        </w:tc>
        <w:tc>
          <w:tcPr>
            <w:tcW w:w="27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5.18</w:t>
            </w:r>
          </w:p>
        </w:tc>
        <w:tc>
          <w:tcPr>
            <w:tcW w:w="6340" w:type="dxa"/>
            <w:vAlign w:val="bottom"/>
          </w:tcPr>
          <w:p>
            <w:pPr>
              <w:ind w:left="140"/>
              <w:spacing w:after="0"/>
              <w:rPr>
                <w:sz w:val="20"/>
                <w:szCs w:val="20"/>
                <w:color w:val="auto"/>
              </w:rPr>
            </w:pPr>
            <w:r>
              <w:rPr>
                <w:rFonts w:ascii="Arial" w:cs="Arial" w:eastAsia="Arial" w:hAnsi="Arial"/>
                <w:sz w:val="20"/>
                <w:szCs w:val="20"/>
                <w:color w:val="auto"/>
              </w:rPr>
              <w:t>Development of Companion Diagnostics</w:t>
            </w:r>
          </w:p>
        </w:tc>
        <w:tc>
          <w:tcPr>
            <w:tcW w:w="27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7200" w:type="dxa"/>
            <w:vAlign w:val="bottom"/>
            <w:gridSpan w:val="2"/>
          </w:tcPr>
          <w:p>
            <w:pPr>
              <w:spacing w:after="0"/>
              <w:rPr>
                <w:sz w:val="20"/>
                <w:szCs w:val="20"/>
                <w:color w:val="auto"/>
              </w:rPr>
            </w:pPr>
            <w:r>
              <w:rPr>
                <w:rFonts w:ascii="Arial" w:cs="Arial" w:eastAsia="Arial" w:hAnsi="Arial"/>
                <w:sz w:val="20"/>
                <w:szCs w:val="20"/>
                <w:color w:val="auto"/>
              </w:rPr>
              <w:t>Article 6 REGULATORY</w:t>
            </w:r>
          </w:p>
        </w:tc>
        <w:tc>
          <w:tcPr>
            <w:tcW w:w="27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6.1</w:t>
            </w:r>
          </w:p>
        </w:tc>
        <w:tc>
          <w:tcPr>
            <w:tcW w:w="6340" w:type="dxa"/>
            <w:vAlign w:val="bottom"/>
          </w:tcPr>
          <w:p>
            <w:pPr>
              <w:ind w:left="140"/>
              <w:spacing w:after="0"/>
              <w:rPr>
                <w:sz w:val="20"/>
                <w:szCs w:val="20"/>
                <w:color w:val="auto"/>
              </w:rPr>
            </w:pPr>
            <w:r>
              <w:rPr>
                <w:rFonts w:ascii="Arial" w:cs="Arial" w:eastAsia="Arial" w:hAnsi="Arial"/>
                <w:sz w:val="20"/>
                <w:szCs w:val="20"/>
                <w:color w:val="auto"/>
              </w:rPr>
              <w:t>Regulatory Strategy</w:t>
            </w:r>
          </w:p>
        </w:tc>
        <w:tc>
          <w:tcPr>
            <w:tcW w:w="27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6.2</w:t>
            </w:r>
          </w:p>
        </w:tc>
        <w:tc>
          <w:tcPr>
            <w:tcW w:w="6340" w:type="dxa"/>
            <w:vAlign w:val="bottom"/>
          </w:tcPr>
          <w:p>
            <w:pPr>
              <w:ind w:left="140"/>
              <w:spacing w:after="0"/>
              <w:rPr>
                <w:sz w:val="20"/>
                <w:szCs w:val="20"/>
                <w:color w:val="auto"/>
              </w:rPr>
            </w:pPr>
            <w:r>
              <w:rPr>
                <w:rFonts w:ascii="Arial" w:cs="Arial" w:eastAsia="Arial" w:hAnsi="Arial"/>
                <w:sz w:val="20"/>
                <w:szCs w:val="20"/>
                <w:color w:val="auto"/>
              </w:rPr>
              <w:t>Zai’s Regulatory Responsibilities</w:t>
            </w:r>
          </w:p>
        </w:tc>
        <w:tc>
          <w:tcPr>
            <w:tcW w:w="27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6.3</w:t>
            </w:r>
          </w:p>
        </w:tc>
        <w:tc>
          <w:tcPr>
            <w:tcW w:w="6340" w:type="dxa"/>
            <w:vAlign w:val="bottom"/>
          </w:tcPr>
          <w:p>
            <w:pPr>
              <w:ind w:left="140"/>
              <w:spacing w:after="0"/>
              <w:rPr>
                <w:sz w:val="20"/>
                <w:szCs w:val="20"/>
                <w:color w:val="auto"/>
              </w:rPr>
            </w:pPr>
            <w:r>
              <w:rPr>
                <w:rFonts w:ascii="Arial" w:cs="Arial" w:eastAsia="Arial" w:hAnsi="Arial"/>
                <w:sz w:val="20"/>
                <w:szCs w:val="20"/>
                <w:color w:val="auto"/>
              </w:rPr>
              <w:t>Blueprint’s Regulatory Responsibilities</w:t>
            </w:r>
          </w:p>
        </w:tc>
        <w:tc>
          <w:tcPr>
            <w:tcW w:w="27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6.4</w:t>
            </w:r>
          </w:p>
        </w:tc>
        <w:tc>
          <w:tcPr>
            <w:tcW w:w="6340" w:type="dxa"/>
            <w:vAlign w:val="bottom"/>
          </w:tcPr>
          <w:p>
            <w:pPr>
              <w:ind w:left="140"/>
              <w:spacing w:after="0"/>
              <w:rPr>
                <w:sz w:val="20"/>
                <w:szCs w:val="20"/>
                <w:color w:val="auto"/>
              </w:rPr>
            </w:pPr>
            <w:r>
              <w:rPr>
                <w:rFonts w:ascii="Arial" w:cs="Arial" w:eastAsia="Arial" w:hAnsi="Arial"/>
                <w:sz w:val="20"/>
                <w:szCs w:val="20"/>
                <w:color w:val="auto"/>
              </w:rPr>
              <w:t>Right of Reference</w:t>
            </w:r>
          </w:p>
        </w:tc>
        <w:tc>
          <w:tcPr>
            <w:tcW w:w="27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6.5</w:t>
            </w:r>
          </w:p>
        </w:tc>
        <w:tc>
          <w:tcPr>
            <w:tcW w:w="6340" w:type="dxa"/>
            <w:vAlign w:val="bottom"/>
          </w:tcPr>
          <w:p>
            <w:pPr>
              <w:ind w:left="140"/>
              <w:spacing w:after="0"/>
              <w:rPr>
                <w:sz w:val="20"/>
                <w:szCs w:val="20"/>
                <w:color w:val="auto"/>
              </w:rPr>
            </w:pPr>
            <w:r>
              <w:rPr>
                <w:rFonts w:ascii="Arial" w:cs="Arial" w:eastAsia="Arial" w:hAnsi="Arial"/>
                <w:sz w:val="20"/>
                <w:szCs w:val="20"/>
                <w:color w:val="auto"/>
              </w:rPr>
              <w:t>Adverse Events Reporting</w:t>
            </w:r>
          </w:p>
        </w:tc>
        <w:tc>
          <w:tcPr>
            <w:tcW w:w="27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6.6</w:t>
            </w:r>
          </w:p>
        </w:tc>
        <w:tc>
          <w:tcPr>
            <w:tcW w:w="6340" w:type="dxa"/>
            <w:vAlign w:val="bottom"/>
          </w:tcPr>
          <w:p>
            <w:pPr>
              <w:ind w:left="140"/>
              <w:spacing w:after="0"/>
              <w:rPr>
                <w:sz w:val="20"/>
                <w:szCs w:val="20"/>
                <w:color w:val="auto"/>
              </w:rPr>
            </w:pPr>
            <w:r>
              <w:rPr>
                <w:rFonts w:ascii="Arial" w:cs="Arial" w:eastAsia="Arial" w:hAnsi="Arial"/>
                <w:sz w:val="20"/>
                <w:szCs w:val="20"/>
                <w:color w:val="auto"/>
              </w:rPr>
              <w:t>Regulatory Audits</w:t>
            </w:r>
          </w:p>
        </w:tc>
        <w:tc>
          <w:tcPr>
            <w:tcW w:w="27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6.7</w:t>
            </w:r>
          </w:p>
        </w:tc>
        <w:tc>
          <w:tcPr>
            <w:tcW w:w="6340" w:type="dxa"/>
            <w:vAlign w:val="bottom"/>
          </w:tcPr>
          <w:p>
            <w:pPr>
              <w:ind w:left="140"/>
              <w:spacing w:after="0"/>
              <w:rPr>
                <w:sz w:val="20"/>
                <w:szCs w:val="20"/>
                <w:color w:val="auto"/>
              </w:rPr>
            </w:pPr>
            <w:r>
              <w:rPr>
                <w:rFonts w:ascii="Arial" w:cs="Arial" w:eastAsia="Arial" w:hAnsi="Arial"/>
                <w:sz w:val="20"/>
                <w:szCs w:val="20"/>
                <w:color w:val="auto"/>
              </w:rPr>
              <w:t>No Harmful Actions</w:t>
            </w:r>
          </w:p>
        </w:tc>
        <w:tc>
          <w:tcPr>
            <w:tcW w:w="27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6.8</w:t>
            </w:r>
          </w:p>
        </w:tc>
        <w:tc>
          <w:tcPr>
            <w:tcW w:w="6340" w:type="dxa"/>
            <w:vAlign w:val="bottom"/>
          </w:tcPr>
          <w:p>
            <w:pPr>
              <w:ind w:left="140"/>
              <w:spacing w:after="0"/>
              <w:rPr>
                <w:sz w:val="20"/>
                <w:szCs w:val="20"/>
                <w:color w:val="auto"/>
              </w:rPr>
            </w:pPr>
            <w:r>
              <w:rPr>
                <w:rFonts w:ascii="Arial" w:cs="Arial" w:eastAsia="Arial" w:hAnsi="Arial"/>
                <w:sz w:val="20"/>
                <w:szCs w:val="20"/>
                <w:color w:val="auto"/>
              </w:rPr>
              <w:t>Notice of Regulatory Action</w:t>
            </w:r>
          </w:p>
        </w:tc>
        <w:tc>
          <w:tcPr>
            <w:tcW w:w="27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6.9</w:t>
            </w:r>
          </w:p>
        </w:tc>
        <w:tc>
          <w:tcPr>
            <w:tcW w:w="6340" w:type="dxa"/>
            <w:vAlign w:val="bottom"/>
          </w:tcPr>
          <w:p>
            <w:pPr>
              <w:ind w:left="140"/>
              <w:spacing w:after="0"/>
              <w:rPr>
                <w:sz w:val="20"/>
                <w:szCs w:val="20"/>
                <w:color w:val="auto"/>
              </w:rPr>
            </w:pPr>
            <w:r>
              <w:rPr>
                <w:rFonts w:ascii="Arial" w:cs="Arial" w:eastAsia="Arial" w:hAnsi="Arial"/>
                <w:sz w:val="20"/>
                <w:szCs w:val="20"/>
                <w:color w:val="auto"/>
              </w:rPr>
              <w:t>Notice of Other Actions</w:t>
            </w:r>
          </w:p>
        </w:tc>
        <w:tc>
          <w:tcPr>
            <w:tcW w:w="27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24"/>
        </w:trPr>
        <w:tc>
          <w:tcPr>
            <w:tcW w:w="7200" w:type="dxa"/>
            <w:vAlign w:val="bottom"/>
            <w:gridSpan w:val="2"/>
          </w:tcPr>
          <w:p>
            <w:pPr>
              <w:spacing w:after="0"/>
              <w:rPr>
                <w:sz w:val="20"/>
                <w:szCs w:val="20"/>
                <w:color w:val="auto"/>
              </w:rPr>
            </w:pPr>
            <w:r>
              <w:rPr>
                <w:rFonts w:ascii="Arial" w:cs="Arial" w:eastAsia="Arial" w:hAnsi="Arial"/>
                <w:sz w:val="20"/>
                <w:szCs w:val="20"/>
                <w:color w:val="auto"/>
              </w:rPr>
              <w:t>Article 7 MANUFACTURING</w:t>
            </w:r>
          </w:p>
        </w:tc>
        <w:tc>
          <w:tcPr>
            <w:tcW w:w="27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7.1</w:t>
            </w:r>
          </w:p>
        </w:tc>
        <w:tc>
          <w:tcPr>
            <w:tcW w:w="6340" w:type="dxa"/>
            <w:vAlign w:val="bottom"/>
          </w:tcPr>
          <w:p>
            <w:pPr>
              <w:ind w:left="140"/>
              <w:spacing w:after="0"/>
              <w:rPr>
                <w:sz w:val="20"/>
                <w:szCs w:val="20"/>
                <w:color w:val="auto"/>
              </w:rPr>
            </w:pPr>
            <w:r>
              <w:rPr>
                <w:rFonts w:ascii="Arial" w:cs="Arial" w:eastAsia="Arial" w:hAnsi="Arial"/>
                <w:sz w:val="20"/>
                <w:szCs w:val="20"/>
                <w:color w:val="auto"/>
              </w:rPr>
              <w:t>Supply by Blueprint</w:t>
            </w:r>
          </w:p>
        </w:tc>
        <w:tc>
          <w:tcPr>
            <w:tcW w:w="27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7.2</w:t>
            </w:r>
          </w:p>
        </w:tc>
        <w:tc>
          <w:tcPr>
            <w:tcW w:w="6340" w:type="dxa"/>
            <w:vAlign w:val="bottom"/>
          </w:tcPr>
          <w:p>
            <w:pPr>
              <w:ind w:left="140"/>
              <w:spacing w:after="0"/>
              <w:rPr>
                <w:sz w:val="20"/>
                <w:szCs w:val="20"/>
                <w:color w:val="auto"/>
              </w:rPr>
            </w:pPr>
            <w:r>
              <w:rPr>
                <w:rFonts w:ascii="Arial" w:cs="Arial" w:eastAsia="Arial" w:hAnsi="Arial"/>
                <w:sz w:val="20"/>
                <w:szCs w:val="20"/>
                <w:color w:val="auto"/>
              </w:rPr>
              <w:t>Supply by Zai</w:t>
            </w:r>
          </w:p>
        </w:tc>
        <w:tc>
          <w:tcPr>
            <w:tcW w:w="27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7.3</w:t>
            </w:r>
          </w:p>
        </w:tc>
        <w:tc>
          <w:tcPr>
            <w:tcW w:w="6340" w:type="dxa"/>
            <w:vAlign w:val="bottom"/>
          </w:tcPr>
          <w:p>
            <w:pPr>
              <w:ind w:left="140"/>
              <w:spacing w:after="0"/>
              <w:rPr>
                <w:sz w:val="20"/>
                <w:szCs w:val="20"/>
                <w:color w:val="auto"/>
              </w:rPr>
            </w:pPr>
            <w:r>
              <w:rPr>
                <w:rFonts w:ascii="Arial" w:cs="Arial" w:eastAsia="Arial" w:hAnsi="Arial"/>
                <w:sz w:val="20"/>
                <w:szCs w:val="20"/>
                <w:color w:val="auto"/>
              </w:rPr>
              <w:t>Product Tracking in the Territory</w:t>
            </w:r>
          </w:p>
        </w:tc>
        <w:tc>
          <w:tcPr>
            <w:tcW w:w="27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24"/>
        </w:trPr>
        <w:tc>
          <w:tcPr>
            <w:tcW w:w="860" w:type="dxa"/>
            <w:vAlign w:val="bottom"/>
          </w:tcPr>
          <w:p>
            <w:pPr>
              <w:spacing w:after="0"/>
              <w:rPr>
                <w:sz w:val="20"/>
                <w:szCs w:val="20"/>
                <w:color w:val="auto"/>
              </w:rPr>
            </w:pPr>
            <w:r>
              <w:rPr>
                <w:rFonts w:ascii="Arial" w:cs="Arial" w:eastAsia="Arial" w:hAnsi="Arial"/>
                <w:sz w:val="20"/>
                <w:szCs w:val="20"/>
                <w:color w:val="auto"/>
              </w:rPr>
              <w:t>Article 8</w:t>
            </w:r>
          </w:p>
        </w:tc>
        <w:tc>
          <w:tcPr>
            <w:tcW w:w="63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8.1</w:t>
            </w:r>
          </w:p>
        </w:tc>
        <w:tc>
          <w:tcPr>
            <w:tcW w:w="6340" w:type="dxa"/>
            <w:vAlign w:val="bottom"/>
          </w:tcPr>
          <w:p>
            <w:pPr>
              <w:ind w:left="140"/>
              <w:spacing w:after="0"/>
              <w:rPr>
                <w:sz w:val="20"/>
                <w:szCs w:val="20"/>
                <w:color w:val="auto"/>
              </w:rPr>
            </w:pPr>
            <w:r>
              <w:rPr>
                <w:rFonts w:ascii="Arial" w:cs="Arial" w:eastAsia="Arial" w:hAnsi="Arial"/>
                <w:sz w:val="20"/>
                <w:szCs w:val="20"/>
                <w:color w:val="auto"/>
              </w:rPr>
              <w:t>Medical Affairs Plans</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8.2</w:t>
            </w:r>
          </w:p>
        </w:tc>
        <w:tc>
          <w:tcPr>
            <w:tcW w:w="6340" w:type="dxa"/>
            <w:vAlign w:val="bottom"/>
          </w:tcPr>
          <w:p>
            <w:pPr>
              <w:ind w:left="140"/>
              <w:spacing w:after="0"/>
              <w:rPr>
                <w:sz w:val="20"/>
                <w:szCs w:val="20"/>
                <w:color w:val="auto"/>
              </w:rPr>
            </w:pPr>
            <w:r>
              <w:rPr>
                <w:rFonts w:ascii="Arial" w:cs="Arial" w:eastAsia="Arial" w:hAnsi="Arial"/>
                <w:sz w:val="20"/>
                <w:szCs w:val="20"/>
                <w:color w:val="auto"/>
              </w:rPr>
              <w:t>Conduct of Medical Affairs Activities</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8.3</w:t>
            </w:r>
          </w:p>
        </w:tc>
        <w:tc>
          <w:tcPr>
            <w:tcW w:w="6340" w:type="dxa"/>
            <w:vAlign w:val="bottom"/>
          </w:tcPr>
          <w:p>
            <w:pPr>
              <w:ind w:left="140"/>
              <w:spacing w:after="0"/>
              <w:rPr>
                <w:sz w:val="20"/>
                <w:szCs w:val="20"/>
                <w:color w:val="auto"/>
              </w:rPr>
            </w:pPr>
            <w:r>
              <w:rPr>
                <w:rFonts w:ascii="Arial" w:cs="Arial" w:eastAsia="Arial" w:hAnsi="Arial"/>
                <w:sz w:val="20"/>
                <w:szCs w:val="20"/>
                <w:color w:val="auto"/>
              </w:rPr>
              <w:t>Medical Affairs Reports</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8.4</w:t>
            </w:r>
          </w:p>
        </w:tc>
        <w:tc>
          <w:tcPr>
            <w:tcW w:w="6340" w:type="dxa"/>
            <w:vAlign w:val="bottom"/>
          </w:tcPr>
          <w:p>
            <w:pPr>
              <w:ind w:left="140"/>
              <w:spacing w:after="0"/>
              <w:rPr>
                <w:sz w:val="20"/>
                <w:szCs w:val="20"/>
                <w:color w:val="auto"/>
              </w:rPr>
            </w:pPr>
            <w:r>
              <w:rPr>
                <w:rFonts w:ascii="Arial" w:cs="Arial" w:eastAsia="Arial" w:hAnsi="Arial"/>
                <w:sz w:val="20"/>
                <w:szCs w:val="20"/>
                <w:color w:val="auto"/>
              </w:rPr>
              <w:t>Coordination of Medical Affairs Activities</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7200" w:type="dxa"/>
            <w:vAlign w:val="bottom"/>
            <w:gridSpan w:val="2"/>
          </w:tcPr>
          <w:p>
            <w:pPr>
              <w:spacing w:after="0"/>
              <w:rPr>
                <w:sz w:val="20"/>
                <w:szCs w:val="20"/>
                <w:color w:val="auto"/>
              </w:rPr>
            </w:pPr>
            <w:r>
              <w:rPr>
                <w:rFonts w:ascii="Arial" w:cs="Arial" w:eastAsia="Arial" w:hAnsi="Arial"/>
                <w:sz w:val="20"/>
                <w:szCs w:val="20"/>
                <w:color w:val="auto"/>
              </w:rPr>
              <w:t>Article 9 COMMERCIALIZATION</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9.1</w:t>
            </w:r>
          </w:p>
        </w:tc>
        <w:tc>
          <w:tcPr>
            <w:tcW w:w="6340" w:type="dxa"/>
            <w:vAlign w:val="bottom"/>
          </w:tcPr>
          <w:p>
            <w:pPr>
              <w:ind w:left="140"/>
              <w:spacing w:after="0"/>
              <w:rPr>
                <w:sz w:val="20"/>
                <w:szCs w:val="20"/>
                <w:color w:val="auto"/>
              </w:rPr>
            </w:pPr>
            <w:r>
              <w:rPr>
                <w:rFonts w:ascii="Arial" w:cs="Arial" w:eastAsia="Arial" w:hAnsi="Arial"/>
                <w:sz w:val="20"/>
                <w:szCs w:val="20"/>
                <w:color w:val="auto"/>
              </w:rPr>
              <w:t>Commercialization Diligence Obligations</w:t>
            </w:r>
          </w:p>
        </w:tc>
        <w:tc>
          <w:tcPr>
            <w:tcW w:w="2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9.2</w:t>
            </w:r>
          </w:p>
        </w:tc>
        <w:tc>
          <w:tcPr>
            <w:tcW w:w="6340" w:type="dxa"/>
            <w:vAlign w:val="bottom"/>
          </w:tcPr>
          <w:p>
            <w:pPr>
              <w:ind w:left="140"/>
              <w:spacing w:after="0"/>
              <w:rPr>
                <w:sz w:val="20"/>
                <w:szCs w:val="20"/>
                <w:color w:val="auto"/>
              </w:rPr>
            </w:pPr>
            <w:r>
              <w:rPr>
                <w:rFonts w:ascii="Arial" w:cs="Arial" w:eastAsia="Arial" w:hAnsi="Arial"/>
                <w:sz w:val="20"/>
                <w:szCs w:val="20"/>
                <w:color w:val="auto"/>
              </w:rPr>
              <w:t>Commercialization Plans</w:t>
            </w:r>
          </w:p>
        </w:tc>
        <w:tc>
          <w:tcPr>
            <w:tcW w:w="27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9.3</w:t>
            </w:r>
          </w:p>
        </w:tc>
        <w:tc>
          <w:tcPr>
            <w:tcW w:w="6340" w:type="dxa"/>
            <w:vAlign w:val="bottom"/>
          </w:tcPr>
          <w:p>
            <w:pPr>
              <w:ind w:left="140"/>
              <w:spacing w:after="0"/>
              <w:rPr>
                <w:sz w:val="20"/>
                <w:szCs w:val="20"/>
                <w:color w:val="auto"/>
              </w:rPr>
            </w:pPr>
            <w:r>
              <w:rPr>
                <w:rFonts w:ascii="Arial" w:cs="Arial" w:eastAsia="Arial" w:hAnsi="Arial"/>
                <w:sz w:val="20"/>
                <w:szCs w:val="20"/>
                <w:color w:val="auto"/>
              </w:rPr>
              <w:t>Conduct of Commercialization Activities</w:t>
            </w:r>
          </w:p>
        </w:tc>
        <w:tc>
          <w:tcPr>
            <w:tcW w:w="27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9.4</w:t>
            </w:r>
          </w:p>
        </w:tc>
        <w:tc>
          <w:tcPr>
            <w:tcW w:w="6340" w:type="dxa"/>
            <w:vAlign w:val="bottom"/>
          </w:tcPr>
          <w:p>
            <w:pPr>
              <w:ind w:left="140"/>
              <w:spacing w:after="0"/>
              <w:rPr>
                <w:sz w:val="20"/>
                <w:szCs w:val="20"/>
                <w:color w:val="auto"/>
              </w:rPr>
            </w:pPr>
            <w:r>
              <w:rPr>
                <w:rFonts w:ascii="Arial" w:cs="Arial" w:eastAsia="Arial" w:hAnsi="Arial"/>
                <w:sz w:val="20"/>
                <w:szCs w:val="20"/>
                <w:color w:val="auto"/>
              </w:rPr>
              <w:t>Commercialization Reports</w:t>
            </w:r>
          </w:p>
        </w:tc>
        <w:tc>
          <w:tcPr>
            <w:tcW w:w="27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60" w:type="dxa"/>
            <w:vAlign w:val="bottom"/>
          </w:tcPr>
          <w:p>
            <w:pPr>
              <w:ind w:left="240"/>
              <w:spacing w:after="0"/>
              <w:rPr>
                <w:sz w:val="20"/>
                <w:szCs w:val="20"/>
                <w:color w:val="auto"/>
              </w:rPr>
            </w:pPr>
            <w:r>
              <w:rPr>
                <w:rFonts w:ascii="Arial" w:cs="Arial" w:eastAsia="Arial" w:hAnsi="Arial"/>
                <w:sz w:val="20"/>
                <w:szCs w:val="20"/>
                <w:color w:val="auto"/>
              </w:rPr>
              <w:t>9.5</w:t>
            </w:r>
          </w:p>
        </w:tc>
        <w:tc>
          <w:tcPr>
            <w:tcW w:w="6340" w:type="dxa"/>
            <w:vAlign w:val="bottom"/>
          </w:tcPr>
          <w:p>
            <w:pPr>
              <w:ind w:left="140"/>
              <w:spacing w:after="0"/>
              <w:rPr>
                <w:sz w:val="20"/>
                <w:szCs w:val="20"/>
                <w:color w:val="auto"/>
              </w:rPr>
            </w:pPr>
            <w:r>
              <w:rPr>
                <w:rFonts w:ascii="Arial" w:cs="Arial" w:eastAsia="Arial" w:hAnsi="Arial"/>
                <w:sz w:val="20"/>
                <w:szCs w:val="20"/>
                <w:color w:val="auto"/>
              </w:rPr>
              <w:t>Coordination of Commercialization Activities</w:t>
            </w:r>
          </w:p>
        </w:tc>
        <w:tc>
          <w:tcPr>
            <w:tcW w:w="2720" w:type="dxa"/>
            <w:vAlign w:val="bottom"/>
          </w:tcPr>
          <w:p>
            <w:pPr>
              <w:jc w:val="right"/>
              <w:spacing w:after="0"/>
              <w:rPr>
                <w:sz w:val="20"/>
                <w:szCs w:val="20"/>
                <w:color w:val="auto"/>
              </w:rPr>
            </w:pPr>
            <w:r>
              <w:rPr>
                <w:rFonts w:ascii="Arial" w:cs="Arial" w:eastAsia="Arial" w:hAnsi="Arial"/>
                <w:sz w:val="20"/>
                <w:szCs w:val="20"/>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52"/>
        </w:trPr>
        <w:tc>
          <w:tcPr>
            <w:tcW w:w="900" w:type="dxa"/>
            <w:vAlign w:val="bottom"/>
          </w:tcPr>
          <w:p>
            <w:pPr>
              <w:ind w:left="240"/>
              <w:spacing w:after="0"/>
              <w:rPr>
                <w:sz w:val="20"/>
                <w:szCs w:val="20"/>
                <w:color w:val="auto"/>
              </w:rPr>
            </w:pPr>
            <w:r>
              <w:rPr>
                <w:rFonts w:ascii="Arial" w:cs="Arial" w:eastAsia="Arial" w:hAnsi="Arial"/>
                <w:sz w:val="20"/>
                <w:szCs w:val="20"/>
                <w:color w:val="auto"/>
              </w:rPr>
              <w:t>9.6</w:t>
            </w:r>
          </w:p>
        </w:tc>
        <w:tc>
          <w:tcPr>
            <w:tcW w:w="6860" w:type="dxa"/>
            <w:vAlign w:val="bottom"/>
          </w:tcPr>
          <w:p>
            <w:pPr>
              <w:ind w:left="100"/>
              <w:spacing w:after="0"/>
              <w:rPr>
                <w:sz w:val="20"/>
                <w:szCs w:val="20"/>
                <w:color w:val="auto"/>
              </w:rPr>
            </w:pPr>
            <w:r>
              <w:rPr>
                <w:rFonts w:ascii="Arial" w:cs="Arial" w:eastAsia="Arial" w:hAnsi="Arial"/>
                <w:sz w:val="20"/>
                <w:szCs w:val="20"/>
                <w:color w:val="auto"/>
              </w:rPr>
              <w:t>Pricing; Reimbursement Approvals</w:t>
            </w:r>
          </w:p>
        </w:tc>
        <w:tc>
          <w:tcPr>
            <w:tcW w:w="2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9.7</w:t>
            </w:r>
          </w:p>
        </w:tc>
        <w:tc>
          <w:tcPr>
            <w:tcW w:w="6860" w:type="dxa"/>
            <w:vAlign w:val="bottom"/>
          </w:tcPr>
          <w:p>
            <w:pPr>
              <w:ind w:left="100"/>
              <w:spacing w:after="0"/>
              <w:rPr>
                <w:sz w:val="20"/>
                <w:szCs w:val="20"/>
                <w:color w:val="auto"/>
              </w:rPr>
            </w:pPr>
            <w:r>
              <w:rPr>
                <w:rFonts w:ascii="Arial" w:cs="Arial" w:eastAsia="Arial" w:hAnsi="Arial"/>
                <w:sz w:val="20"/>
                <w:szCs w:val="20"/>
                <w:color w:val="auto"/>
              </w:rPr>
              <w:t>Diversion</w:t>
            </w:r>
          </w:p>
        </w:tc>
        <w:tc>
          <w:tcPr>
            <w:tcW w:w="2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10 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10.1</w:t>
            </w:r>
          </w:p>
        </w:tc>
        <w:tc>
          <w:tcPr>
            <w:tcW w:w="6860" w:type="dxa"/>
            <w:vAlign w:val="bottom"/>
          </w:tcPr>
          <w:p>
            <w:pPr>
              <w:ind w:left="100"/>
              <w:spacing w:after="0"/>
              <w:rPr>
                <w:sz w:val="20"/>
                <w:szCs w:val="20"/>
                <w:color w:val="auto"/>
              </w:rPr>
            </w:pPr>
            <w:r>
              <w:rPr>
                <w:rFonts w:ascii="Arial" w:cs="Arial" w:eastAsia="Arial" w:hAnsi="Arial"/>
                <w:sz w:val="20"/>
                <w:szCs w:val="20"/>
                <w:color w:val="auto"/>
              </w:rPr>
              <w:t>Upfront Payment</w:t>
            </w:r>
          </w:p>
        </w:tc>
        <w:tc>
          <w:tcPr>
            <w:tcW w:w="2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10.2</w:t>
            </w:r>
          </w:p>
        </w:tc>
        <w:tc>
          <w:tcPr>
            <w:tcW w:w="6860" w:type="dxa"/>
            <w:vAlign w:val="bottom"/>
          </w:tcPr>
          <w:p>
            <w:pPr>
              <w:ind w:left="100"/>
              <w:spacing w:after="0"/>
              <w:rPr>
                <w:sz w:val="20"/>
                <w:szCs w:val="20"/>
                <w:color w:val="auto"/>
              </w:rPr>
            </w:pPr>
            <w:r>
              <w:rPr>
                <w:rFonts w:ascii="Arial" w:cs="Arial" w:eastAsia="Arial" w:hAnsi="Arial"/>
                <w:sz w:val="20"/>
                <w:szCs w:val="20"/>
                <w:color w:val="auto"/>
              </w:rPr>
              <w:t>Milestone 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10.3</w:t>
            </w:r>
          </w:p>
        </w:tc>
        <w:tc>
          <w:tcPr>
            <w:tcW w:w="6860" w:type="dxa"/>
            <w:vAlign w:val="bottom"/>
          </w:tcPr>
          <w:p>
            <w:pPr>
              <w:ind w:left="100"/>
              <w:spacing w:after="0"/>
              <w:rPr>
                <w:sz w:val="20"/>
                <w:szCs w:val="20"/>
                <w:color w:val="auto"/>
              </w:rPr>
            </w:pPr>
            <w:r>
              <w:rPr>
                <w:rFonts w:ascii="Arial" w:cs="Arial" w:eastAsia="Arial" w:hAnsi="Arial"/>
                <w:sz w:val="20"/>
                <w:szCs w:val="20"/>
                <w:color w:val="auto"/>
              </w:rPr>
              <w:t>Royalty Payments to Blueprint</w:t>
            </w:r>
          </w:p>
        </w:tc>
        <w:tc>
          <w:tcPr>
            <w:tcW w:w="21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10.4</w:t>
            </w:r>
          </w:p>
        </w:tc>
        <w:tc>
          <w:tcPr>
            <w:tcW w:w="6860" w:type="dxa"/>
            <w:vAlign w:val="bottom"/>
          </w:tcPr>
          <w:p>
            <w:pPr>
              <w:ind w:left="100"/>
              <w:spacing w:after="0"/>
              <w:rPr>
                <w:sz w:val="20"/>
                <w:szCs w:val="20"/>
                <w:color w:val="auto"/>
              </w:rPr>
            </w:pPr>
            <w:r>
              <w:rPr>
                <w:rFonts w:ascii="Arial" w:cs="Arial" w:eastAsia="Arial" w:hAnsi="Arial"/>
                <w:sz w:val="20"/>
                <w:szCs w:val="20"/>
                <w:color w:val="auto"/>
              </w:rPr>
              <w:t>Payments to Third Parties Under Existing Agreements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10.5</w:t>
            </w:r>
          </w:p>
        </w:tc>
        <w:tc>
          <w:tcPr>
            <w:tcW w:w="6860" w:type="dxa"/>
            <w:vAlign w:val="bottom"/>
          </w:tcPr>
          <w:p>
            <w:pPr>
              <w:ind w:left="100"/>
              <w:spacing w:after="0"/>
              <w:rPr>
                <w:sz w:val="20"/>
                <w:szCs w:val="20"/>
                <w:color w:val="auto"/>
              </w:rPr>
            </w:pPr>
            <w:r>
              <w:rPr>
                <w:rFonts w:ascii="Arial" w:cs="Arial" w:eastAsia="Arial" w:hAnsi="Arial"/>
                <w:sz w:val="20"/>
                <w:szCs w:val="20"/>
                <w:color w:val="auto"/>
              </w:rPr>
              <w:t>Other Amounts Payable</w:t>
            </w:r>
          </w:p>
        </w:tc>
        <w:tc>
          <w:tcPr>
            <w:tcW w:w="21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10.6</w:t>
            </w:r>
          </w:p>
        </w:tc>
        <w:tc>
          <w:tcPr>
            <w:tcW w:w="6860" w:type="dxa"/>
            <w:vAlign w:val="bottom"/>
          </w:tcPr>
          <w:p>
            <w:pPr>
              <w:ind w:left="100"/>
              <w:spacing w:after="0"/>
              <w:rPr>
                <w:sz w:val="20"/>
                <w:szCs w:val="20"/>
                <w:color w:val="auto"/>
              </w:rPr>
            </w:pPr>
            <w:r>
              <w:rPr>
                <w:rFonts w:ascii="Arial" w:cs="Arial" w:eastAsia="Arial" w:hAnsi="Arial"/>
                <w:sz w:val="20"/>
                <w:szCs w:val="20"/>
                <w:color w:val="auto"/>
              </w:rPr>
              <w:t>No Refunds</w:t>
            </w:r>
          </w:p>
        </w:tc>
        <w:tc>
          <w:tcPr>
            <w:tcW w:w="21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10.7</w:t>
            </w:r>
          </w:p>
        </w:tc>
        <w:tc>
          <w:tcPr>
            <w:tcW w:w="6860" w:type="dxa"/>
            <w:vAlign w:val="bottom"/>
          </w:tcPr>
          <w:p>
            <w:pPr>
              <w:ind w:left="100"/>
              <w:spacing w:after="0"/>
              <w:rPr>
                <w:sz w:val="20"/>
                <w:szCs w:val="20"/>
                <w:color w:val="auto"/>
              </w:rPr>
            </w:pPr>
            <w:r>
              <w:rPr>
                <w:rFonts w:ascii="Arial" w:cs="Arial" w:eastAsia="Arial" w:hAnsi="Arial"/>
                <w:sz w:val="20"/>
                <w:szCs w:val="20"/>
                <w:color w:val="auto"/>
              </w:rPr>
              <w:t>Accounting Standards</w:t>
            </w:r>
          </w:p>
        </w:tc>
        <w:tc>
          <w:tcPr>
            <w:tcW w:w="21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10.8</w:t>
            </w:r>
          </w:p>
        </w:tc>
        <w:tc>
          <w:tcPr>
            <w:tcW w:w="6860" w:type="dxa"/>
            <w:vAlign w:val="bottom"/>
          </w:tcPr>
          <w:p>
            <w:pPr>
              <w:ind w:left="100"/>
              <w:spacing w:after="0"/>
              <w:rPr>
                <w:sz w:val="20"/>
                <w:szCs w:val="20"/>
                <w:color w:val="auto"/>
              </w:rPr>
            </w:pPr>
            <w:r>
              <w:rPr>
                <w:rFonts w:ascii="Arial" w:cs="Arial" w:eastAsia="Arial" w:hAnsi="Arial"/>
                <w:sz w:val="20"/>
                <w:szCs w:val="20"/>
                <w:color w:val="auto"/>
              </w:rPr>
              <w:t>Currency; Exchange Rate</w:t>
            </w:r>
          </w:p>
        </w:tc>
        <w:tc>
          <w:tcPr>
            <w:tcW w:w="21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10.9</w:t>
            </w:r>
          </w:p>
        </w:tc>
        <w:tc>
          <w:tcPr>
            <w:tcW w:w="6860" w:type="dxa"/>
            <w:vAlign w:val="bottom"/>
          </w:tcPr>
          <w:p>
            <w:pPr>
              <w:ind w:left="100"/>
              <w:spacing w:after="0"/>
              <w:rPr>
                <w:sz w:val="20"/>
                <w:szCs w:val="20"/>
                <w:color w:val="auto"/>
              </w:rPr>
            </w:pPr>
            <w:r>
              <w:rPr>
                <w:rFonts w:ascii="Arial" w:cs="Arial" w:eastAsia="Arial" w:hAnsi="Arial"/>
                <w:sz w:val="20"/>
                <w:szCs w:val="20"/>
                <w:color w:val="auto"/>
              </w:rPr>
              <w:t>Blocked 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10.10</w:t>
            </w:r>
          </w:p>
        </w:tc>
        <w:tc>
          <w:tcPr>
            <w:tcW w:w="6860" w:type="dxa"/>
            <w:vAlign w:val="bottom"/>
          </w:tcPr>
          <w:p>
            <w:pPr>
              <w:ind w:left="100"/>
              <w:spacing w:after="0"/>
              <w:rPr>
                <w:sz w:val="20"/>
                <w:szCs w:val="20"/>
                <w:color w:val="auto"/>
              </w:rPr>
            </w:pPr>
            <w:r>
              <w:rPr>
                <w:rFonts w:ascii="Arial" w:cs="Arial" w:eastAsia="Arial" w:hAnsi="Arial"/>
                <w:sz w:val="20"/>
                <w:szCs w:val="20"/>
                <w:color w:val="auto"/>
              </w:rPr>
              <w:t>Late 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10.11</w:t>
            </w:r>
          </w:p>
        </w:tc>
        <w:tc>
          <w:tcPr>
            <w:tcW w:w="6860" w:type="dxa"/>
            <w:vAlign w:val="bottom"/>
          </w:tcPr>
          <w:p>
            <w:pPr>
              <w:ind w:left="100"/>
              <w:spacing w:after="0"/>
              <w:rPr>
                <w:sz w:val="20"/>
                <w:szCs w:val="20"/>
                <w:color w:val="auto"/>
              </w:rPr>
            </w:pPr>
            <w:r>
              <w:rPr>
                <w:rFonts w:ascii="Arial" w:cs="Arial" w:eastAsia="Arial" w:hAnsi="Arial"/>
                <w:sz w:val="20"/>
                <w:szCs w:val="20"/>
                <w:color w:val="auto"/>
              </w:rPr>
              <w:t>Financial Records and Audits</w:t>
            </w:r>
          </w:p>
        </w:tc>
        <w:tc>
          <w:tcPr>
            <w:tcW w:w="21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10.12</w:t>
            </w:r>
          </w:p>
        </w:tc>
        <w:tc>
          <w:tcPr>
            <w:tcW w:w="6860" w:type="dxa"/>
            <w:vAlign w:val="bottom"/>
          </w:tcPr>
          <w:p>
            <w:pPr>
              <w:ind w:left="100"/>
              <w:spacing w:after="0"/>
              <w:rPr>
                <w:sz w:val="20"/>
                <w:szCs w:val="20"/>
                <w:color w:val="auto"/>
              </w:rPr>
            </w:pPr>
            <w:r>
              <w:rPr>
                <w:rFonts w:ascii="Arial" w:cs="Arial" w:eastAsia="Arial" w:hAnsi="Arial"/>
                <w:sz w:val="20"/>
                <w:szCs w:val="20"/>
                <w:color w:val="auto"/>
              </w:rPr>
              <w:t>Taxes</w:t>
            </w:r>
          </w:p>
        </w:tc>
        <w:tc>
          <w:tcPr>
            <w:tcW w:w="21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10.13</w:t>
            </w:r>
          </w:p>
        </w:tc>
        <w:tc>
          <w:tcPr>
            <w:tcW w:w="6860" w:type="dxa"/>
            <w:vAlign w:val="bottom"/>
          </w:tcPr>
          <w:p>
            <w:pPr>
              <w:ind w:left="100"/>
              <w:spacing w:after="0"/>
              <w:rPr>
                <w:sz w:val="20"/>
                <w:szCs w:val="20"/>
                <w:color w:val="auto"/>
              </w:rPr>
            </w:pPr>
            <w:r>
              <w:rPr>
                <w:rFonts w:ascii="Arial" w:cs="Arial" w:eastAsia="Arial" w:hAnsi="Arial"/>
                <w:sz w:val="20"/>
                <w:szCs w:val="20"/>
                <w:color w:val="auto"/>
              </w:rPr>
              <w:t>VAT Credits</w:t>
            </w:r>
          </w:p>
        </w:tc>
        <w:tc>
          <w:tcPr>
            <w:tcW w:w="21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11 CONFIDENTIALITY; PUBLICATION</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11.1</w:t>
            </w:r>
          </w:p>
        </w:tc>
        <w:tc>
          <w:tcPr>
            <w:tcW w:w="6860" w:type="dxa"/>
            <w:vAlign w:val="bottom"/>
          </w:tcPr>
          <w:p>
            <w:pPr>
              <w:ind w:left="100"/>
              <w:spacing w:after="0"/>
              <w:rPr>
                <w:sz w:val="20"/>
                <w:szCs w:val="20"/>
                <w:color w:val="auto"/>
              </w:rPr>
            </w:pPr>
            <w:r>
              <w:rPr>
                <w:rFonts w:ascii="Arial" w:cs="Arial" w:eastAsia="Arial" w:hAnsi="Arial"/>
                <w:sz w:val="20"/>
                <w:szCs w:val="20"/>
                <w:color w:val="auto"/>
              </w:rPr>
              <w:t>Duty of Confidence</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11.2</w:t>
            </w:r>
          </w:p>
        </w:tc>
        <w:tc>
          <w:tcPr>
            <w:tcW w:w="6860" w:type="dxa"/>
            <w:vAlign w:val="bottom"/>
          </w:tcPr>
          <w:p>
            <w:pPr>
              <w:ind w:left="100"/>
              <w:spacing w:after="0"/>
              <w:rPr>
                <w:sz w:val="20"/>
                <w:szCs w:val="20"/>
                <w:color w:val="auto"/>
              </w:rPr>
            </w:pPr>
            <w:r>
              <w:rPr>
                <w:rFonts w:ascii="Arial" w:cs="Arial" w:eastAsia="Arial" w:hAnsi="Arial"/>
                <w:sz w:val="20"/>
                <w:szCs w:val="20"/>
                <w:color w:val="auto"/>
              </w:rPr>
              <w:t>Confidential Information</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11.3</w:t>
            </w:r>
          </w:p>
        </w:tc>
        <w:tc>
          <w:tcPr>
            <w:tcW w:w="6860" w:type="dxa"/>
            <w:vAlign w:val="bottom"/>
          </w:tcPr>
          <w:p>
            <w:pPr>
              <w:ind w:left="100"/>
              <w:spacing w:after="0"/>
              <w:rPr>
                <w:sz w:val="20"/>
                <w:szCs w:val="20"/>
                <w:color w:val="auto"/>
              </w:rPr>
            </w:pPr>
            <w:r>
              <w:rPr>
                <w:rFonts w:ascii="Arial" w:cs="Arial" w:eastAsia="Arial" w:hAnsi="Arial"/>
                <w:sz w:val="20"/>
                <w:szCs w:val="20"/>
                <w:color w:val="auto"/>
              </w:rPr>
              <w:t>Authorized Disclosures</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11.4</w:t>
            </w:r>
          </w:p>
        </w:tc>
        <w:tc>
          <w:tcPr>
            <w:tcW w:w="6860" w:type="dxa"/>
            <w:vAlign w:val="bottom"/>
          </w:tcPr>
          <w:p>
            <w:pPr>
              <w:ind w:left="100"/>
              <w:spacing w:after="0"/>
              <w:rPr>
                <w:sz w:val="20"/>
                <w:szCs w:val="20"/>
                <w:color w:val="auto"/>
              </w:rPr>
            </w:pPr>
            <w:r>
              <w:rPr>
                <w:rFonts w:ascii="Arial" w:cs="Arial" w:eastAsia="Arial" w:hAnsi="Arial"/>
                <w:sz w:val="20"/>
                <w:szCs w:val="20"/>
                <w:color w:val="auto"/>
              </w:rPr>
              <w:t>Tax Treatment</w:t>
            </w:r>
          </w:p>
        </w:tc>
        <w:tc>
          <w:tcPr>
            <w:tcW w:w="21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11.5</w:t>
            </w:r>
          </w:p>
        </w:tc>
        <w:tc>
          <w:tcPr>
            <w:tcW w:w="6860" w:type="dxa"/>
            <w:vAlign w:val="bottom"/>
          </w:tcPr>
          <w:p>
            <w:pPr>
              <w:ind w:left="100"/>
              <w:spacing w:after="0"/>
              <w:rPr>
                <w:sz w:val="20"/>
                <w:szCs w:val="20"/>
                <w:color w:val="auto"/>
              </w:rPr>
            </w:pPr>
            <w:r>
              <w:rPr>
                <w:rFonts w:ascii="Arial" w:cs="Arial" w:eastAsia="Arial" w:hAnsi="Arial"/>
                <w:sz w:val="20"/>
                <w:szCs w:val="20"/>
                <w:color w:val="auto"/>
              </w:rPr>
              <w:t>Publications</w:t>
            </w:r>
          </w:p>
        </w:tc>
        <w:tc>
          <w:tcPr>
            <w:tcW w:w="21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11.6</w:t>
            </w:r>
          </w:p>
        </w:tc>
        <w:tc>
          <w:tcPr>
            <w:tcW w:w="6860" w:type="dxa"/>
            <w:vAlign w:val="bottom"/>
          </w:tcPr>
          <w:p>
            <w:pPr>
              <w:ind w:left="100"/>
              <w:spacing w:after="0"/>
              <w:rPr>
                <w:sz w:val="20"/>
                <w:szCs w:val="20"/>
                <w:color w:val="auto"/>
              </w:rPr>
            </w:pPr>
            <w:r>
              <w:rPr>
                <w:rFonts w:ascii="Arial" w:cs="Arial" w:eastAsia="Arial" w:hAnsi="Arial"/>
                <w:sz w:val="20"/>
                <w:szCs w:val="20"/>
                <w:color w:val="auto"/>
              </w:rPr>
              <w:t>Publication and Listing of Clinical Trials</w:t>
            </w:r>
          </w:p>
        </w:tc>
        <w:tc>
          <w:tcPr>
            <w:tcW w:w="21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11.7</w:t>
            </w:r>
          </w:p>
        </w:tc>
        <w:tc>
          <w:tcPr>
            <w:tcW w:w="6860" w:type="dxa"/>
            <w:vAlign w:val="bottom"/>
          </w:tcPr>
          <w:p>
            <w:pPr>
              <w:ind w:left="100"/>
              <w:spacing w:after="0"/>
              <w:rPr>
                <w:sz w:val="20"/>
                <w:szCs w:val="20"/>
                <w:color w:val="auto"/>
              </w:rPr>
            </w:pPr>
            <w:r>
              <w:rPr>
                <w:rFonts w:ascii="Arial" w:cs="Arial" w:eastAsia="Arial" w:hAnsi="Arial"/>
                <w:sz w:val="20"/>
                <w:szCs w:val="20"/>
                <w:color w:val="auto"/>
              </w:rPr>
              <w:t>Publicity; Use of Names</w:t>
            </w:r>
          </w:p>
        </w:tc>
        <w:tc>
          <w:tcPr>
            <w:tcW w:w="21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11.8</w:t>
            </w:r>
          </w:p>
        </w:tc>
        <w:tc>
          <w:tcPr>
            <w:tcW w:w="6860" w:type="dxa"/>
            <w:vAlign w:val="bottom"/>
          </w:tcPr>
          <w:p>
            <w:pPr>
              <w:ind w:left="100"/>
              <w:spacing w:after="0"/>
              <w:rPr>
                <w:sz w:val="20"/>
                <w:szCs w:val="20"/>
                <w:color w:val="auto"/>
              </w:rPr>
            </w:pPr>
            <w:r>
              <w:rPr>
                <w:rFonts w:ascii="Arial" w:cs="Arial" w:eastAsia="Arial" w:hAnsi="Arial"/>
                <w:sz w:val="20"/>
                <w:szCs w:val="20"/>
                <w:color w:val="auto"/>
              </w:rPr>
              <w:t>Attorney-Client Privilege</w:t>
            </w:r>
          </w:p>
        </w:tc>
        <w:tc>
          <w:tcPr>
            <w:tcW w:w="21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Article 12 REPRESENTATIONS, WARRANTIES, AND COVENANTS</w:t>
            </w:r>
          </w:p>
        </w:tc>
        <w:tc>
          <w:tcPr>
            <w:tcW w:w="21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12.1</w:t>
            </w:r>
          </w:p>
        </w:tc>
        <w:tc>
          <w:tcPr>
            <w:tcW w:w="6860" w:type="dxa"/>
            <w:vAlign w:val="bottom"/>
          </w:tcPr>
          <w:p>
            <w:pPr>
              <w:ind w:left="100"/>
              <w:spacing w:after="0"/>
              <w:rPr>
                <w:sz w:val="20"/>
                <w:szCs w:val="20"/>
                <w:color w:val="auto"/>
              </w:rPr>
            </w:pPr>
            <w:r>
              <w:rPr>
                <w:rFonts w:ascii="Arial" w:cs="Arial" w:eastAsia="Arial" w:hAnsi="Arial"/>
                <w:sz w:val="20"/>
                <w:szCs w:val="20"/>
                <w:color w:val="auto"/>
              </w:rPr>
              <w:t>Representations and Warranties of Each Party</w:t>
            </w:r>
          </w:p>
        </w:tc>
        <w:tc>
          <w:tcPr>
            <w:tcW w:w="21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12.2</w:t>
            </w:r>
          </w:p>
        </w:tc>
        <w:tc>
          <w:tcPr>
            <w:tcW w:w="6860" w:type="dxa"/>
            <w:vAlign w:val="bottom"/>
          </w:tcPr>
          <w:p>
            <w:pPr>
              <w:ind w:left="100"/>
              <w:spacing w:after="0"/>
              <w:rPr>
                <w:sz w:val="20"/>
                <w:szCs w:val="20"/>
                <w:color w:val="auto"/>
              </w:rPr>
            </w:pPr>
            <w:r>
              <w:rPr>
                <w:rFonts w:ascii="Arial" w:cs="Arial" w:eastAsia="Arial" w:hAnsi="Arial"/>
                <w:sz w:val="20"/>
                <w:szCs w:val="20"/>
                <w:color w:val="auto"/>
              </w:rPr>
              <w:t>Representations and Warranties of Blueprint</w:t>
            </w:r>
          </w:p>
        </w:tc>
        <w:tc>
          <w:tcPr>
            <w:tcW w:w="21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12.3</w:t>
            </w:r>
          </w:p>
        </w:tc>
        <w:tc>
          <w:tcPr>
            <w:tcW w:w="6860" w:type="dxa"/>
            <w:vAlign w:val="bottom"/>
          </w:tcPr>
          <w:p>
            <w:pPr>
              <w:ind w:left="100"/>
              <w:spacing w:after="0"/>
              <w:rPr>
                <w:sz w:val="20"/>
                <w:szCs w:val="20"/>
                <w:color w:val="auto"/>
              </w:rPr>
            </w:pPr>
            <w:r>
              <w:rPr>
                <w:rFonts w:ascii="Arial" w:cs="Arial" w:eastAsia="Arial" w:hAnsi="Arial"/>
                <w:sz w:val="20"/>
                <w:szCs w:val="20"/>
                <w:color w:val="auto"/>
              </w:rPr>
              <w:t>Representations and Warranties of Zai</w:t>
            </w:r>
          </w:p>
        </w:tc>
        <w:tc>
          <w:tcPr>
            <w:tcW w:w="21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12.4</w:t>
            </w:r>
          </w:p>
        </w:tc>
        <w:tc>
          <w:tcPr>
            <w:tcW w:w="6860" w:type="dxa"/>
            <w:vAlign w:val="bottom"/>
          </w:tcPr>
          <w:p>
            <w:pPr>
              <w:ind w:left="100"/>
              <w:spacing w:after="0"/>
              <w:rPr>
                <w:sz w:val="20"/>
                <w:szCs w:val="20"/>
                <w:color w:val="auto"/>
              </w:rPr>
            </w:pPr>
            <w:r>
              <w:rPr>
                <w:rFonts w:ascii="Arial" w:cs="Arial" w:eastAsia="Arial" w:hAnsi="Arial"/>
                <w:sz w:val="20"/>
                <w:szCs w:val="20"/>
                <w:color w:val="auto"/>
              </w:rPr>
              <w:t>Covenants of Zai</w:t>
            </w:r>
          </w:p>
        </w:tc>
        <w:tc>
          <w:tcPr>
            <w:tcW w:w="21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12.5</w:t>
            </w:r>
          </w:p>
        </w:tc>
        <w:tc>
          <w:tcPr>
            <w:tcW w:w="6860" w:type="dxa"/>
            <w:vAlign w:val="bottom"/>
          </w:tcPr>
          <w:p>
            <w:pPr>
              <w:ind w:left="100"/>
              <w:spacing w:after="0"/>
              <w:rPr>
                <w:sz w:val="20"/>
                <w:szCs w:val="20"/>
                <w:color w:val="auto"/>
              </w:rPr>
            </w:pPr>
            <w:r>
              <w:rPr>
                <w:rFonts w:ascii="Arial" w:cs="Arial" w:eastAsia="Arial" w:hAnsi="Arial"/>
                <w:sz w:val="20"/>
                <w:szCs w:val="20"/>
                <w:color w:val="auto"/>
              </w:rPr>
              <w:t>Mutual Covenants</w:t>
            </w:r>
          </w:p>
        </w:tc>
        <w:tc>
          <w:tcPr>
            <w:tcW w:w="21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12.6</w:t>
            </w:r>
          </w:p>
        </w:tc>
        <w:tc>
          <w:tcPr>
            <w:tcW w:w="6860" w:type="dxa"/>
            <w:vAlign w:val="bottom"/>
          </w:tcPr>
          <w:p>
            <w:pPr>
              <w:ind w:left="100"/>
              <w:spacing w:after="0"/>
              <w:rPr>
                <w:sz w:val="20"/>
                <w:szCs w:val="20"/>
                <w:color w:val="auto"/>
              </w:rPr>
            </w:pPr>
            <w:r>
              <w:rPr>
                <w:rFonts w:ascii="Arial" w:cs="Arial" w:eastAsia="Arial" w:hAnsi="Arial"/>
                <w:sz w:val="20"/>
                <w:szCs w:val="20"/>
                <w:color w:val="auto"/>
              </w:rPr>
              <w:t>Covenants of Blueprint</w:t>
            </w:r>
          </w:p>
        </w:tc>
        <w:tc>
          <w:tcPr>
            <w:tcW w:w="21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12.7</w:t>
            </w:r>
          </w:p>
        </w:tc>
        <w:tc>
          <w:tcPr>
            <w:tcW w:w="6860" w:type="dxa"/>
            <w:vAlign w:val="bottom"/>
          </w:tcPr>
          <w:p>
            <w:pPr>
              <w:ind w:left="100"/>
              <w:spacing w:after="0"/>
              <w:rPr>
                <w:sz w:val="20"/>
                <w:szCs w:val="20"/>
                <w:color w:val="auto"/>
              </w:rPr>
            </w:pPr>
            <w:r>
              <w:rPr>
                <w:rFonts w:ascii="Arial" w:cs="Arial" w:eastAsia="Arial" w:hAnsi="Arial"/>
                <w:sz w:val="20"/>
                <w:szCs w:val="20"/>
                <w:color w:val="auto"/>
              </w:rPr>
              <w:t>NO OTHER WARRANTIES</w:t>
            </w:r>
          </w:p>
        </w:tc>
        <w:tc>
          <w:tcPr>
            <w:tcW w:w="21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24"/>
        </w:trPr>
        <w:tc>
          <w:tcPr>
            <w:tcW w:w="900" w:type="dxa"/>
            <w:vAlign w:val="bottom"/>
          </w:tcPr>
          <w:p>
            <w:pPr>
              <w:ind w:left="240"/>
              <w:spacing w:after="0"/>
              <w:rPr>
                <w:sz w:val="20"/>
                <w:szCs w:val="20"/>
                <w:color w:val="auto"/>
              </w:rPr>
            </w:pPr>
            <w:r>
              <w:rPr>
                <w:rFonts w:ascii="Arial" w:cs="Arial" w:eastAsia="Arial" w:hAnsi="Arial"/>
                <w:sz w:val="20"/>
                <w:szCs w:val="20"/>
                <w:color w:val="auto"/>
              </w:rPr>
              <w:t>12.8</w:t>
            </w:r>
          </w:p>
        </w:tc>
        <w:tc>
          <w:tcPr>
            <w:tcW w:w="6860" w:type="dxa"/>
            <w:vAlign w:val="bottom"/>
          </w:tcPr>
          <w:p>
            <w:pPr>
              <w:ind w:left="100"/>
              <w:spacing w:after="0"/>
              <w:rPr>
                <w:sz w:val="20"/>
                <w:szCs w:val="20"/>
                <w:color w:val="auto"/>
              </w:rPr>
            </w:pPr>
            <w:r>
              <w:rPr>
                <w:rFonts w:ascii="Arial" w:cs="Arial" w:eastAsia="Arial" w:hAnsi="Arial"/>
                <w:sz w:val="20"/>
                <w:szCs w:val="20"/>
                <w:color w:val="auto"/>
              </w:rPr>
              <w:t>Time for Claims</w:t>
            </w:r>
          </w:p>
        </w:tc>
        <w:tc>
          <w:tcPr>
            <w:tcW w:w="21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24"/>
        </w:trPr>
        <w:tc>
          <w:tcPr>
            <w:tcW w:w="900" w:type="dxa"/>
            <w:vAlign w:val="bottom"/>
          </w:tcPr>
          <w:p>
            <w:pPr>
              <w:spacing w:after="0"/>
              <w:rPr>
                <w:sz w:val="20"/>
                <w:szCs w:val="20"/>
                <w:color w:val="auto"/>
              </w:rPr>
            </w:pPr>
            <w:r>
              <w:rPr>
                <w:rFonts w:ascii="Arial" w:cs="Arial" w:eastAsia="Arial" w:hAnsi="Arial"/>
                <w:sz w:val="20"/>
                <w:szCs w:val="20"/>
                <w:color w:val="auto"/>
              </w:rPr>
              <w:t>Article 13</w:t>
            </w:r>
          </w:p>
        </w:tc>
        <w:tc>
          <w:tcPr>
            <w:tcW w:w="68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24"/>
        </w:trPr>
        <w:tc>
          <w:tcPr>
            <w:tcW w:w="7760" w:type="dxa"/>
            <w:vAlign w:val="bottom"/>
            <w:gridSpan w:val="2"/>
          </w:tcPr>
          <w:p>
            <w:pPr>
              <w:spacing w:after="0"/>
              <w:rPr>
                <w:sz w:val="20"/>
                <w:szCs w:val="20"/>
                <w:color w:val="auto"/>
              </w:rPr>
            </w:pPr>
            <w:r>
              <w:rPr>
                <w:rFonts w:ascii="Arial" w:cs="Arial" w:eastAsia="Arial" w:hAnsi="Arial"/>
                <w:sz w:val="20"/>
                <w:szCs w:val="20"/>
                <w:color w:val="auto"/>
              </w:rPr>
              <w:t>INDEMNIFICATION</w:t>
            </w:r>
          </w:p>
        </w:tc>
        <w:tc>
          <w:tcPr>
            <w:tcW w:w="216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52"/>
        </w:trPr>
        <w:tc>
          <w:tcPr>
            <w:tcW w:w="840" w:type="dxa"/>
            <w:vAlign w:val="bottom"/>
          </w:tcPr>
          <w:p>
            <w:pPr>
              <w:ind w:left="240"/>
              <w:spacing w:after="0"/>
              <w:rPr>
                <w:sz w:val="20"/>
                <w:szCs w:val="20"/>
                <w:color w:val="auto"/>
              </w:rPr>
            </w:pPr>
            <w:r>
              <w:rPr>
                <w:rFonts w:ascii="Arial" w:cs="Arial" w:eastAsia="Arial" w:hAnsi="Arial"/>
                <w:sz w:val="20"/>
                <w:szCs w:val="20"/>
                <w:color w:val="auto"/>
              </w:rPr>
              <w:t>13.1</w:t>
            </w:r>
          </w:p>
        </w:tc>
        <w:tc>
          <w:tcPr>
            <w:tcW w:w="5900" w:type="dxa"/>
            <w:vAlign w:val="bottom"/>
          </w:tcPr>
          <w:p>
            <w:pPr>
              <w:ind w:left="160"/>
              <w:spacing w:after="0"/>
              <w:rPr>
                <w:sz w:val="20"/>
                <w:szCs w:val="20"/>
                <w:color w:val="auto"/>
              </w:rPr>
            </w:pPr>
            <w:r>
              <w:rPr>
                <w:rFonts w:ascii="Arial" w:cs="Arial" w:eastAsia="Arial" w:hAnsi="Arial"/>
                <w:sz w:val="20"/>
                <w:szCs w:val="20"/>
                <w:color w:val="auto"/>
              </w:rPr>
              <w:t>By Zai</w:t>
            </w:r>
          </w:p>
        </w:tc>
        <w:tc>
          <w:tcPr>
            <w:tcW w:w="318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13.2</w:t>
            </w:r>
          </w:p>
        </w:tc>
        <w:tc>
          <w:tcPr>
            <w:tcW w:w="5900" w:type="dxa"/>
            <w:vAlign w:val="bottom"/>
          </w:tcPr>
          <w:p>
            <w:pPr>
              <w:ind w:left="160"/>
              <w:spacing w:after="0"/>
              <w:rPr>
                <w:sz w:val="20"/>
                <w:szCs w:val="20"/>
                <w:color w:val="auto"/>
              </w:rPr>
            </w:pPr>
            <w:r>
              <w:rPr>
                <w:rFonts w:ascii="Arial" w:cs="Arial" w:eastAsia="Arial" w:hAnsi="Arial"/>
                <w:sz w:val="20"/>
                <w:szCs w:val="20"/>
                <w:color w:val="auto"/>
              </w:rPr>
              <w:t>By Blueprint</w:t>
            </w:r>
          </w:p>
        </w:tc>
        <w:tc>
          <w:tcPr>
            <w:tcW w:w="3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13.3</w:t>
            </w:r>
          </w:p>
        </w:tc>
        <w:tc>
          <w:tcPr>
            <w:tcW w:w="5900" w:type="dxa"/>
            <w:vAlign w:val="bottom"/>
          </w:tcPr>
          <w:p>
            <w:pPr>
              <w:ind w:left="160"/>
              <w:spacing w:after="0"/>
              <w:rPr>
                <w:sz w:val="20"/>
                <w:szCs w:val="20"/>
                <w:color w:val="auto"/>
              </w:rPr>
            </w:pPr>
            <w:r>
              <w:rPr>
                <w:rFonts w:ascii="Arial" w:cs="Arial" w:eastAsia="Arial" w:hAnsi="Arial"/>
                <w:sz w:val="20"/>
                <w:szCs w:val="20"/>
                <w:color w:val="auto"/>
              </w:rPr>
              <w:t>Indemnification Procedure</w:t>
            </w:r>
          </w:p>
        </w:tc>
        <w:tc>
          <w:tcPr>
            <w:tcW w:w="3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13.4</w:t>
            </w:r>
          </w:p>
        </w:tc>
        <w:tc>
          <w:tcPr>
            <w:tcW w:w="5900" w:type="dxa"/>
            <w:vAlign w:val="bottom"/>
          </w:tcPr>
          <w:p>
            <w:pPr>
              <w:ind w:left="160"/>
              <w:spacing w:after="0"/>
              <w:rPr>
                <w:sz w:val="20"/>
                <w:szCs w:val="20"/>
                <w:color w:val="auto"/>
              </w:rPr>
            </w:pPr>
            <w:r>
              <w:rPr>
                <w:rFonts w:ascii="Arial" w:cs="Arial" w:eastAsia="Arial" w:hAnsi="Arial"/>
                <w:sz w:val="20"/>
                <w:szCs w:val="20"/>
                <w:color w:val="auto"/>
              </w:rPr>
              <w:t>Insurance</w:t>
            </w:r>
          </w:p>
        </w:tc>
        <w:tc>
          <w:tcPr>
            <w:tcW w:w="3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24"/>
        </w:trPr>
        <w:tc>
          <w:tcPr>
            <w:tcW w:w="6740" w:type="dxa"/>
            <w:vAlign w:val="bottom"/>
            <w:gridSpan w:val="2"/>
          </w:tcPr>
          <w:p>
            <w:pPr>
              <w:spacing w:after="0"/>
              <w:rPr>
                <w:sz w:val="20"/>
                <w:szCs w:val="20"/>
                <w:color w:val="auto"/>
              </w:rPr>
            </w:pPr>
            <w:r>
              <w:rPr>
                <w:rFonts w:ascii="Arial" w:cs="Arial" w:eastAsia="Arial" w:hAnsi="Arial"/>
                <w:sz w:val="20"/>
                <w:szCs w:val="20"/>
                <w:color w:val="auto"/>
              </w:rPr>
              <w:t>Article 14 INTELLECTUAL PROPERTY</w:t>
            </w:r>
          </w:p>
        </w:tc>
        <w:tc>
          <w:tcPr>
            <w:tcW w:w="31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14.1</w:t>
            </w:r>
          </w:p>
        </w:tc>
        <w:tc>
          <w:tcPr>
            <w:tcW w:w="5900" w:type="dxa"/>
            <w:vAlign w:val="bottom"/>
          </w:tcPr>
          <w:p>
            <w:pPr>
              <w:ind w:left="160"/>
              <w:spacing w:after="0"/>
              <w:rPr>
                <w:sz w:val="20"/>
                <w:szCs w:val="20"/>
                <w:color w:val="auto"/>
              </w:rPr>
            </w:pPr>
            <w:r>
              <w:rPr>
                <w:rFonts w:ascii="Arial" w:cs="Arial" w:eastAsia="Arial" w:hAnsi="Arial"/>
                <w:sz w:val="20"/>
                <w:szCs w:val="20"/>
                <w:color w:val="auto"/>
              </w:rPr>
              <w:t>Inventions</w:t>
            </w:r>
          </w:p>
        </w:tc>
        <w:tc>
          <w:tcPr>
            <w:tcW w:w="31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14.2</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 Prosecution</w:t>
            </w:r>
          </w:p>
        </w:tc>
        <w:tc>
          <w:tcPr>
            <w:tcW w:w="31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14.3</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 Enforcement</w:t>
            </w:r>
          </w:p>
        </w:tc>
        <w:tc>
          <w:tcPr>
            <w:tcW w:w="31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14.4</w:t>
            </w:r>
          </w:p>
        </w:tc>
        <w:tc>
          <w:tcPr>
            <w:tcW w:w="5900" w:type="dxa"/>
            <w:vAlign w:val="bottom"/>
          </w:tcPr>
          <w:p>
            <w:pPr>
              <w:ind w:left="160"/>
              <w:spacing w:after="0"/>
              <w:rPr>
                <w:sz w:val="20"/>
                <w:szCs w:val="20"/>
                <w:color w:val="auto"/>
              </w:rPr>
            </w:pPr>
            <w:r>
              <w:rPr>
                <w:rFonts w:ascii="Arial" w:cs="Arial" w:eastAsia="Arial" w:hAnsi="Arial"/>
                <w:sz w:val="20"/>
                <w:szCs w:val="20"/>
                <w:color w:val="auto"/>
              </w:rPr>
              <w:t>Infringement of Third Party Rights</w:t>
            </w:r>
          </w:p>
        </w:tc>
        <w:tc>
          <w:tcPr>
            <w:tcW w:w="3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14.5</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Patents Licensed from Third Parties</w:t>
            </w:r>
          </w:p>
        </w:tc>
        <w:tc>
          <w:tcPr>
            <w:tcW w:w="31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14.6</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 Listings</w:t>
            </w:r>
          </w:p>
        </w:tc>
        <w:tc>
          <w:tcPr>
            <w:tcW w:w="31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14.7</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 Term Extensions</w:t>
            </w:r>
          </w:p>
        </w:tc>
        <w:tc>
          <w:tcPr>
            <w:tcW w:w="31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14.8</w:t>
            </w:r>
          </w:p>
        </w:tc>
        <w:tc>
          <w:tcPr>
            <w:tcW w:w="5900" w:type="dxa"/>
            <w:vAlign w:val="bottom"/>
          </w:tcPr>
          <w:p>
            <w:pPr>
              <w:ind w:left="160"/>
              <w:spacing w:after="0"/>
              <w:rPr>
                <w:sz w:val="20"/>
                <w:szCs w:val="20"/>
                <w:color w:val="auto"/>
              </w:rPr>
            </w:pPr>
            <w:r>
              <w:rPr>
                <w:rFonts w:ascii="Arial" w:cs="Arial" w:eastAsia="Arial" w:hAnsi="Arial"/>
                <w:sz w:val="20"/>
                <w:szCs w:val="20"/>
                <w:color w:val="auto"/>
              </w:rPr>
              <w:t>Filing of Agreement with CNIPA</w:t>
            </w:r>
          </w:p>
        </w:tc>
        <w:tc>
          <w:tcPr>
            <w:tcW w:w="318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14.9</w:t>
            </w:r>
          </w:p>
        </w:tc>
        <w:tc>
          <w:tcPr>
            <w:tcW w:w="5900" w:type="dxa"/>
            <w:vAlign w:val="bottom"/>
          </w:tcPr>
          <w:p>
            <w:pPr>
              <w:ind w:left="160"/>
              <w:spacing w:after="0"/>
              <w:rPr>
                <w:sz w:val="20"/>
                <w:szCs w:val="20"/>
                <w:color w:val="auto"/>
              </w:rPr>
            </w:pPr>
            <w:r>
              <w:rPr>
                <w:rFonts w:ascii="Arial" w:cs="Arial" w:eastAsia="Arial" w:hAnsi="Arial"/>
                <w:sz w:val="20"/>
                <w:szCs w:val="20"/>
                <w:color w:val="auto"/>
              </w:rPr>
              <w:t>Product Trademarks</w:t>
            </w:r>
          </w:p>
        </w:tc>
        <w:tc>
          <w:tcPr>
            <w:tcW w:w="318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14.10</w:t>
            </w:r>
          </w:p>
        </w:tc>
        <w:tc>
          <w:tcPr>
            <w:tcW w:w="5900" w:type="dxa"/>
            <w:vAlign w:val="bottom"/>
          </w:tcPr>
          <w:p>
            <w:pPr>
              <w:ind w:left="160"/>
              <w:spacing w:after="0"/>
              <w:rPr>
                <w:sz w:val="20"/>
                <w:szCs w:val="20"/>
                <w:color w:val="auto"/>
              </w:rPr>
            </w:pPr>
            <w:r>
              <w:rPr>
                <w:rFonts w:ascii="Arial" w:cs="Arial" w:eastAsia="Arial" w:hAnsi="Arial"/>
                <w:sz w:val="20"/>
                <w:szCs w:val="20"/>
                <w:color w:val="auto"/>
              </w:rPr>
              <w:t>Patent Marking</w:t>
            </w:r>
          </w:p>
        </w:tc>
        <w:tc>
          <w:tcPr>
            <w:tcW w:w="318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24"/>
        </w:trPr>
        <w:tc>
          <w:tcPr>
            <w:tcW w:w="6740" w:type="dxa"/>
            <w:vAlign w:val="bottom"/>
            <w:gridSpan w:val="2"/>
          </w:tcPr>
          <w:p>
            <w:pPr>
              <w:spacing w:after="0"/>
              <w:rPr>
                <w:sz w:val="20"/>
                <w:szCs w:val="20"/>
                <w:color w:val="auto"/>
              </w:rPr>
            </w:pPr>
            <w:r>
              <w:rPr>
                <w:rFonts w:ascii="Arial" w:cs="Arial" w:eastAsia="Arial" w:hAnsi="Arial"/>
                <w:sz w:val="20"/>
                <w:szCs w:val="20"/>
                <w:color w:val="auto"/>
              </w:rPr>
              <w:t>Article 15 TERM AND TERMINATION</w:t>
            </w:r>
          </w:p>
        </w:tc>
        <w:tc>
          <w:tcPr>
            <w:tcW w:w="318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15.1</w:t>
            </w:r>
          </w:p>
        </w:tc>
        <w:tc>
          <w:tcPr>
            <w:tcW w:w="5900" w:type="dxa"/>
            <w:vAlign w:val="bottom"/>
          </w:tcPr>
          <w:p>
            <w:pPr>
              <w:ind w:left="160"/>
              <w:spacing w:after="0"/>
              <w:rPr>
                <w:sz w:val="20"/>
                <w:szCs w:val="20"/>
                <w:color w:val="auto"/>
              </w:rPr>
            </w:pPr>
            <w:r>
              <w:rPr>
                <w:rFonts w:ascii="Arial" w:cs="Arial" w:eastAsia="Arial" w:hAnsi="Arial"/>
                <w:sz w:val="20"/>
                <w:szCs w:val="20"/>
                <w:color w:val="auto"/>
              </w:rPr>
              <w:t>Term</w:t>
            </w:r>
          </w:p>
        </w:tc>
        <w:tc>
          <w:tcPr>
            <w:tcW w:w="318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15.2</w:t>
            </w:r>
          </w:p>
        </w:tc>
        <w:tc>
          <w:tcPr>
            <w:tcW w:w="5900" w:type="dxa"/>
            <w:vAlign w:val="bottom"/>
          </w:tcPr>
          <w:p>
            <w:pPr>
              <w:ind w:left="160"/>
              <w:spacing w:after="0"/>
              <w:rPr>
                <w:sz w:val="20"/>
                <w:szCs w:val="20"/>
                <w:color w:val="auto"/>
              </w:rPr>
            </w:pPr>
            <w:r>
              <w:rPr>
                <w:rFonts w:ascii="Arial" w:cs="Arial" w:eastAsia="Arial" w:hAnsi="Arial"/>
                <w:sz w:val="20"/>
                <w:szCs w:val="20"/>
                <w:color w:val="auto"/>
              </w:rPr>
              <w:t>Termination</w:t>
            </w:r>
          </w:p>
        </w:tc>
        <w:tc>
          <w:tcPr>
            <w:tcW w:w="318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15.3</w:t>
            </w:r>
          </w:p>
        </w:tc>
        <w:tc>
          <w:tcPr>
            <w:tcW w:w="5900" w:type="dxa"/>
            <w:vAlign w:val="bottom"/>
          </w:tcPr>
          <w:p>
            <w:pPr>
              <w:ind w:left="160"/>
              <w:spacing w:after="0"/>
              <w:rPr>
                <w:sz w:val="20"/>
                <w:szCs w:val="20"/>
                <w:color w:val="auto"/>
              </w:rPr>
            </w:pPr>
            <w:r>
              <w:rPr>
                <w:rFonts w:ascii="Arial" w:cs="Arial" w:eastAsia="Arial" w:hAnsi="Arial"/>
                <w:sz w:val="20"/>
                <w:szCs w:val="20"/>
                <w:color w:val="auto"/>
              </w:rPr>
              <w:t>Effect of Termination</w:t>
            </w:r>
          </w:p>
        </w:tc>
        <w:tc>
          <w:tcPr>
            <w:tcW w:w="31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15.4</w:t>
            </w:r>
          </w:p>
        </w:tc>
        <w:tc>
          <w:tcPr>
            <w:tcW w:w="5900" w:type="dxa"/>
            <w:vAlign w:val="bottom"/>
          </w:tcPr>
          <w:p>
            <w:pPr>
              <w:ind w:left="160"/>
              <w:spacing w:after="0"/>
              <w:rPr>
                <w:sz w:val="20"/>
                <w:szCs w:val="20"/>
                <w:color w:val="auto"/>
              </w:rPr>
            </w:pPr>
            <w:r>
              <w:rPr>
                <w:rFonts w:ascii="Arial" w:cs="Arial" w:eastAsia="Arial" w:hAnsi="Arial"/>
                <w:sz w:val="20"/>
                <w:szCs w:val="20"/>
                <w:color w:val="auto"/>
              </w:rPr>
              <w:t>Termination Press Releases</w:t>
            </w:r>
          </w:p>
        </w:tc>
        <w:tc>
          <w:tcPr>
            <w:tcW w:w="31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15.5</w:t>
            </w:r>
          </w:p>
        </w:tc>
        <w:tc>
          <w:tcPr>
            <w:tcW w:w="5900" w:type="dxa"/>
            <w:vAlign w:val="bottom"/>
          </w:tcPr>
          <w:p>
            <w:pPr>
              <w:ind w:left="160"/>
              <w:spacing w:after="0"/>
              <w:rPr>
                <w:sz w:val="20"/>
                <w:szCs w:val="20"/>
                <w:color w:val="auto"/>
              </w:rPr>
            </w:pPr>
            <w:r>
              <w:rPr>
                <w:rFonts w:ascii="Arial" w:cs="Arial" w:eastAsia="Arial" w:hAnsi="Arial"/>
                <w:sz w:val="20"/>
                <w:szCs w:val="20"/>
                <w:color w:val="auto"/>
              </w:rPr>
              <w:t>Survival</w:t>
            </w:r>
          </w:p>
        </w:tc>
        <w:tc>
          <w:tcPr>
            <w:tcW w:w="31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15.6</w:t>
            </w:r>
          </w:p>
        </w:tc>
        <w:tc>
          <w:tcPr>
            <w:tcW w:w="5900" w:type="dxa"/>
            <w:vAlign w:val="bottom"/>
          </w:tcPr>
          <w:p>
            <w:pPr>
              <w:ind w:left="160"/>
              <w:spacing w:after="0"/>
              <w:rPr>
                <w:sz w:val="20"/>
                <w:szCs w:val="20"/>
                <w:color w:val="auto"/>
              </w:rPr>
            </w:pPr>
            <w:r>
              <w:rPr>
                <w:rFonts w:ascii="Arial" w:cs="Arial" w:eastAsia="Arial" w:hAnsi="Arial"/>
                <w:sz w:val="20"/>
                <w:szCs w:val="20"/>
                <w:color w:val="auto"/>
              </w:rPr>
              <w:t>Termination Not Sole Remedy</w:t>
            </w:r>
          </w:p>
        </w:tc>
        <w:tc>
          <w:tcPr>
            <w:tcW w:w="31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24"/>
        </w:trPr>
        <w:tc>
          <w:tcPr>
            <w:tcW w:w="6740" w:type="dxa"/>
            <w:vAlign w:val="bottom"/>
            <w:gridSpan w:val="2"/>
          </w:tcPr>
          <w:p>
            <w:pPr>
              <w:spacing w:after="0"/>
              <w:rPr>
                <w:sz w:val="20"/>
                <w:szCs w:val="20"/>
                <w:color w:val="auto"/>
              </w:rPr>
            </w:pPr>
            <w:r>
              <w:rPr>
                <w:rFonts w:ascii="Arial" w:cs="Arial" w:eastAsia="Arial" w:hAnsi="Arial"/>
                <w:sz w:val="20"/>
                <w:szCs w:val="20"/>
                <w:color w:val="auto"/>
              </w:rPr>
              <w:t>Article 16 DISPUTE RESOLUTION</w:t>
            </w:r>
          </w:p>
        </w:tc>
        <w:tc>
          <w:tcPr>
            <w:tcW w:w="31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16.1</w:t>
            </w:r>
          </w:p>
        </w:tc>
        <w:tc>
          <w:tcPr>
            <w:tcW w:w="5900" w:type="dxa"/>
            <w:vAlign w:val="bottom"/>
          </w:tcPr>
          <w:p>
            <w:pPr>
              <w:ind w:left="160"/>
              <w:spacing w:after="0"/>
              <w:rPr>
                <w:sz w:val="20"/>
                <w:szCs w:val="20"/>
                <w:color w:val="auto"/>
              </w:rPr>
            </w:pPr>
            <w:r>
              <w:rPr>
                <w:rFonts w:ascii="Arial" w:cs="Arial" w:eastAsia="Arial" w:hAnsi="Arial"/>
                <w:sz w:val="20"/>
                <w:szCs w:val="20"/>
                <w:color w:val="auto"/>
              </w:rPr>
              <w:t>General</w:t>
            </w:r>
          </w:p>
        </w:tc>
        <w:tc>
          <w:tcPr>
            <w:tcW w:w="31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16.2</w:t>
            </w:r>
          </w:p>
        </w:tc>
        <w:tc>
          <w:tcPr>
            <w:tcW w:w="5900" w:type="dxa"/>
            <w:vAlign w:val="bottom"/>
          </w:tcPr>
          <w:p>
            <w:pPr>
              <w:ind w:left="160"/>
              <w:spacing w:after="0"/>
              <w:rPr>
                <w:sz w:val="20"/>
                <w:szCs w:val="20"/>
                <w:color w:val="auto"/>
              </w:rPr>
            </w:pPr>
            <w:r>
              <w:rPr>
                <w:rFonts w:ascii="Arial" w:cs="Arial" w:eastAsia="Arial" w:hAnsi="Arial"/>
                <w:sz w:val="20"/>
                <w:szCs w:val="20"/>
                <w:color w:val="auto"/>
              </w:rPr>
              <w:t>Negotiation; Escalation</w:t>
            </w:r>
          </w:p>
        </w:tc>
        <w:tc>
          <w:tcPr>
            <w:tcW w:w="31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16.3</w:t>
            </w:r>
          </w:p>
        </w:tc>
        <w:tc>
          <w:tcPr>
            <w:tcW w:w="5900" w:type="dxa"/>
            <w:vAlign w:val="bottom"/>
          </w:tcPr>
          <w:p>
            <w:pPr>
              <w:ind w:left="160"/>
              <w:spacing w:after="0"/>
              <w:rPr>
                <w:sz w:val="20"/>
                <w:szCs w:val="20"/>
                <w:color w:val="auto"/>
              </w:rPr>
            </w:pPr>
            <w:r>
              <w:rPr>
                <w:rFonts w:ascii="Arial" w:cs="Arial" w:eastAsia="Arial" w:hAnsi="Arial"/>
                <w:sz w:val="20"/>
                <w:szCs w:val="20"/>
                <w:color w:val="auto"/>
              </w:rPr>
              <w:t>Arbitration</w:t>
            </w:r>
          </w:p>
        </w:tc>
        <w:tc>
          <w:tcPr>
            <w:tcW w:w="31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324"/>
        </w:trPr>
        <w:tc>
          <w:tcPr>
            <w:tcW w:w="6740" w:type="dxa"/>
            <w:vAlign w:val="bottom"/>
            <w:gridSpan w:val="2"/>
          </w:tcPr>
          <w:p>
            <w:pPr>
              <w:spacing w:after="0"/>
              <w:rPr>
                <w:sz w:val="20"/>
                <w:szCs w:val="20"/>
                <w:color w:val="auto"/>
              </w:rPr>
            </w:pPr>
            <w:r>
              <w:rPr>
                <w:rFonts w:ascii="Arial" w:cs="Arial" w:eastAsia="Arial" w:hAnsi="Arial"/>
                <w:sz w:val="20"/>
                <w:szCs w:val="20"/>
                <w:color w:val="auto"/>
              </w:rPr>
              <w:t>Article 17 MISCELLANEOUS</w:t>
            </w:r>
          </w:p>
        </w:tc>
        <w:tc>
          <w:tcPr>
            <w:tcW w:w="318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17.1</w:t>
            </w:r>
          </w:p>
        </w:tc>
        <w:tc>
          <w:tcPr>
            <w:tcW w:w="5900" w:type="dxa"/>
            <w:vAlign w:val="bottom"/>
          </w:tcPr>
          <w:p>
            <w:pPr>
              <w:ind w:left="160"/>
              <w:spacing w:after="0"/>
              <w:rPr>
                <w:sz w:val="20"/>
                <w:szCs w:val="20"/>
                <w:color w:val="auto"/>
              </w:rPr>
            </w:pPr>
            <w:r>
              <w:rPr>
                <w:rFonts w:ascii="Arial" w:cs="Arial" w:eastAsia="Arial" w:hAnsi="Arial"/>
                <w:sz w:val="20"/>
                <w:szCs w:val="20"/>
                <w:color w:val="auto"/>
              </w:rPr>
              <w:t>Assignment</w:t>
            </w:r>
          </w:p>
        </w:tc>
        <w:tc>
          <w:tcPr>
            <w:tcW w:w="318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17.2</w:t>
            </w:r>
          </w:p>
        </w:tc>
        <w:tc>
          <w:tcPr>
            <w:tcW w:w="5900" w:type="dxa"/>
            <w:vAlign w:val="bottom"/>
          </w:tcPr>
          <w:p>
            <w:pPr>
              <w:ind w:left="160"/>
              <w:spacing w:after="0"/>
              <w:rPr>
                <w:sz w:val="20"/>
                <w:szCs w:val="20"/>
                <w:color w:val="auto"/>
              </w:rPr>
            </w:pPr>
            <w:r>
              <w:rPr>
                <w:rFonts w:ascii="Arial" w:cs="Arial" w:eastAsia="Arial" w:hAnsi="Arial"/>
                <w:sz w:val="20"/>
                <w:szCs w:val="20"/>
                <w:color w:val="auto"/>
              </w:rPr>
              <w:t>Limitation of Liability</w:t>
            </w:r>
          </w:p>
        </w:tc>
        <w:tc>
          <w:tcPr>
            <w:tcW w:w="318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17.3</w:t>
            </w:r>
          </w:p>
        </w:tc>
        <w:tc>
          <w:tcPr>
            <w:tcW w:w="590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318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17.4</w:t>
            </w:r>
          </w:p>
        </w:tc>
        <w:tc>
          <w:tcPr>
            <w:tcW w:w="5900" w:type="dxa"/>
            <w:vAlign w:val="bottom"/>
          </w:tcPr>
          <w:p>
            <w:pPr>
              <w:ind w:left="160"/>
              <w:spacing w:after="0"/>
              <w:rPr>
                <w:sz w:val="20"/>
                <w:szCs w:val="20"/>
                <w:color w:val="auto"/>
              </w:rPr>
            </w:pPr>
            <w:r>
              <w:rPr>
                <w:rFonts w:ascii="Arial" w:cs="Arial" w:eastAsia="Arial" w:hAnsi="Arial"/>
                <w:sz w:val="20"/>
                <w:szCs w:val="20"/>
                <w:color w:val="auto"/>
              </w:rPr>
              <w:t>Notices</w:t>
            </w:r>
          </w:p>
        </w:tc>
        <w:tc>
          <w:tcPr>
            <w:tcW w:w="318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17.5</w:t>
            </w:r>
          </w:p>
        </w:tc>
        <w:tc>
          <w:tcPr>
            <w:tcW w:w="590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318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17.6</w:t>
            </w:r>
          </w:p>
        </w:tc>
        <w:tc>
          <w:tcPr>
            <w:tcW w:w="5900" w:type="dxa"/>
            <w:vAlign w:val="bottom"/>
          </w:tcPr>
          <w:p>
            <w:pPr>
              <w:ind w:left="160"/>
              <w:spacing w:after="0"/>
              <w:rPr>
                <w:sz w:val="20"/>
                <w:szCs w:val="20"/>
                <w:color w:val="auto"/>
              </w:rPr>
            </w:pPr>
            <w:r>
              <w:rPr>
                <w:rFonts w:ascii="Arial" w:cs="Arial" w:eastAsia="Arial" w:hAnsi="Arial"/>
                <w:sz w:val="20"/>
                <w:szCs w:val="20"/>
                <w:color w:val="auto"/>
              </w:rPr>
              <w:t>Force Majeure</w:t>
            </w:r>
          </w:p>
        </w:tc>
        <w:tc>
          <w:tcPr>
            <w:tcW w:w="318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17.7</w:t>
            </w:r>
          </w:p>
        </w:tc>
        <w:tc>
          <w:tcPr>
            <w:tcW w:w="5900" w:type="dxa"/>
            <w:vAlign w:val="bottom"/>
          </w:tcPr>
          <w:p>
            <w:pPr>
              <w:ind w:left="160"/>
              <w:spacing w:after="0"/>
              <w:rPr>
                <w:sz w:val="20"/>
                <w:szCs w:val="20"/>
                <w:color w:val="auto"/>
              </w:rPr>
            </w:pPr>
            <w:r>
              <w:rPr>
                <w:rFonts w:ascii="Arial" w:cs="Arial" w:eastAsia="Arial" w:hAnsi="Arial"/>
                <w:sz w:val="20"/>
                <w:szCs w:val="20"/>
                <w:color w:val="auto"/>
              </w:rPr>
              <w:t>Entire Agreement; Amendments</w:t>
            </w:r>
          </w:p>
        </w:tc>
        <w:tc>
          <w:tcPr>
            <w:tcW w:w="31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17.8</w:t>
            </w:r>
          </w:p>
        </w:tc>
        <w:tc>
          <w:tcPr>
            <w:tcW w:w="5900" w:type="dxa"/>
            <w:vAlign w:val="bottom"/>
          </w:tcPr>
          <w:p>
            <w:pPr>
              <w:ind w:left="160"/>
              <w:spacing w:after="0"/>
              <w:rPr>
                <w:sz w:val="20"/>
                <w:szCs w:val="20"/>
                <w:color w:val="auto"/>
              </w:rPr>
            </w:pPr>
            <w:r>
              <w:rPr>
                <w:rFonts w:ascii="Arial" w:cs="Arial" w:eastAsia="Arial" w:hAnsi="Arial"/>
                <w:sz w:val="20"/>
                <w:szCs w:val="20"/>
                <w:color w:val="auto"/>
              </w:rPr>
              <w:t>Headings</w:t>
            </w:r>
          </w:p>
        </w:tc>
        <w:tc>
          <w:tcPr>
            <w:tcW w:w="31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24"/>
        </w:trPr>
        <w:tc>
          <w:tcPr>
            <w:tcW w:w="840" w:type="dxa"/>
            <w:vAlign w:val="bottom"/>
          </w:tcPr>
          <w:p>
            <w:pPr>
              <w:ind w:left="240"/>
              <w:spacing w:after="0"/>
              <w:rPr>
                <w:sz w:val="20"/>
                <w:szCs w:val="20"/>
                <w:color w:val="auto"/>
              </w:rPr>
            </w:pPr>
            <w:r>
              <w:rPr>
                <w:rFonts w:ascii="Arial" w:cs="Arial" w:eastAsia="Arial" w:hAnsi="Arial"/>
                <w:sz w:val="20"/>
                <w:szCs w:val="20"/>
                <w:color w:val="auto"/>
              </w:rPr>
              <w:t>17.9</w:t>
            </w:r>
          </w:p>
        </w:tc>
        <w:tc>
          <w:tcPr>
            <w:tcW w:w="5900" w:type="dxa"/>
            <w:vAlign w:val="bottom"/>
          </w:tcPr>
          <w:p>
            <w:pPr>
              <w:ind w:left="160"/>
              <w:spacing w:after="0"/>
              <w:rPr>
                <w:sz w:val="20"/>
                <w:szCs w:val="20"/>
                <w:color w:val="auto"/>
              </w:rPr>
            </w:pPr>
            <w:r>
              <w:rPr>
                <w:rFonts w:ascii="Arial" w:cs="Arial" w:eastAsia="Arial" w:hAnsi="Arial"/>
                <w:sz w:val="20"/>
                <w:szCs w:val="20"/>
                <w:color w:val="auto"/>
              </w:rPr>
              <w:t>Independent Contractors</w:t>
            </w:r>
          </w:p>
        </w:tc>
        <w:tc>
          <w:tcPr>
            <w:tcW w:w="3180" w:type="dxa"/>
            <w:vAlign w:val="bottom"/>
          </w:tcPr>
          <w:p>
            <w:pPr>
              <w:jc w:val="right"/>
              <w:spacing w:after="0"/>
              <w:rPr>
                <w:sz w:val="20"/>
                <w:szCs w:val="20"/>
                <w:color w:val="auto"/>
              </w:rPr>
            </w:pPr>
            <w:r>
              <w:rPr>
                <w:rFonts w:ascii="Arial" w:cs="Arial" w:eastAsia="Arial" w:hAnsi="Arial"/>
                <w:sz w:val="20"/>
                <w:szCs w:val="20"/>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31" w:name="page232"/>
    <w:bookmarkEnd w:id="231"/>
    <w:tbl>
      <w:tblPr>
        <w:tblLayout w:type="fixed"/>
        <w:tblInd w:w="240" w:type="dxa"/>
        <w:tblCellMar>
          <w:top w:w="0" w:type="dxa"/>
          <w:left w:w="0" w:type="dxa"/>
          <w:bottom w:w="0" w:type="dxa"/>
          <w:right w:w="0" w:type="dxa"/>
        </w:tblCellMar>
      </w:tblPr>
      <w:tr>
        <w:trPr>
          <w:trHeight w:val="252"/>
        </w:trPr>
        <w:tc>
          <w:tcPr>
            <w:tcW w:w="600" w:type="dxa"/>
            <w:vAlign w:val="bottom"/>
          </w:tcPr>
          <w:p>
            <w:pPr>
              <w:spacing w:after="0"/>
              <w:rPr>
                <w:sz w:val="20"/>
                <w:szCs w:val="20"/>
                <w:color w:val="auto"/>
              </w:rPr>
            </w:pPr>
            <w:r>
              <w:rPr>
                <w:rFonts w:ascii="Arial" w:cs="Arial" w:eastAsia="Arial" w:hAnsi="Arial"/>
                <w:sz w:val="20"/>
                <w:szCs w:val="20"/>
                <w:color w:val="auto"/>
              </w:rPr>
              <w:t>17.10</w:t>
            </w:r>
          </w:p>
        </w:tc>
        <w:tc>
          <w:tcPr>
            <w:tcW w:w="5720" w:type="dxa"/>
            <w:vAlign w:val="bottom"/>
          </w:tcPr>
          <w:p>
            <w:pPr>
              <w:ind w:left="160"/>
              <w:spacing w:after="0"/>
              <w:rPr>
                <w:sz w:val="20"/>
                <w:szCs w:val="20"/>
                <w:color w:val="auto"/>
              </w:rPr>
            </w:pPr>
            <w:r>
              <w:rPr>
                <w:rFonts w:ascii="Arial" w:cs="Arial" w:eastAsia="Arial" w:hAnsi="Arial"/>
                <w:sz w:val="20"/>
                <w:szCs w:val="20"/>
                <w:color w:val="auto"/>
              </w:rPr>
              <w:t>Performance by Affiliates</w:t>
            </w:r>
          </w:p>
        </w:tc>
        <w:tc>
          <w:tcPr>
            <w:tcW w:w="33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17.11</w:t>
            </w:r>
          </w:p>
        </w:tc>
        <w:tc>
          <w:tcPr>
            <w:tcW w:w="5720" w:type="dxa"/>
            <w:vAlign w:val="bottom"/>
          </w:tcPr>
          <w:p>
            <w:pPr>
              <w:ind w:left="160"/>
              <w:spacing w:after="0"/>
              <w:rPr>
                <w:sz w:val="20"/>
                <w:szCs w:val="20"/>
                <w:color w:val="auto"/>
              </w:rPr>
            </w:pPr>
            <w:r>
              <w:rPr>
                <w:rFonts w:ascii="Arial" w:cs="Arial" w:eastAsia="Arial" w:hAnsi="Arial"/>
                <w:sz w:val="20"/>
                <w:szCs w:val="20"/>
                <w:color w:val="auto"/>
              </w:rPr>
              <w:t>Waiver</w:t>
            </w:r>
          </w:p>
        </w:tc>
        <w:tc>
          <w:tcPr>
            <w:tcW w:w="33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17.12</w:t>
            </w:r>
          </w:p>
        </w:tc>
        <w:tc>
          <w:tcPr>
            <w:tcW w:w="5720" w:type="dxa"/>
            <w:vAlign w:val="bottom"/>
          </w:tcPr>
          <w:p>
            <w:pPr>
              <w:ind w:left="160"/>
              <w:spacing w:after="0"/>
              <w:rPr>
                <w:sz w:val="20"/>
                <w:szCs w:val="20"/>
                <w:color w:val="auto"/>
              </w:rPr>
            </w:pPr>
            <w:r>
              <w:rPr>
                <w:rFonts w:ascii="Arial" w:cs="Arial" w:eastAsia="Arial" w:hAnsi="Arial"/>
                <w:sz w:val="20"/>
                <w:szCs w:val="20"/>
                <w:color w:val="auto"/>
              </w:rPr>
              <w:t>Waiver of Rule of Construction</w:t>
            </w:r>
          </w:p>
        </w:tc>
        <w:tc>
          <w:tcPr>
            <w:tcW w:w="33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17.13</w:t>
            </w:r>
          </w:p>
        </w:tc>
        <w:tc>
          <w:tcPr>
            <w:tcW w:w="5720" w:type="dxa"/>
            <w:vAlign w:val="bottom"/>
          </w:tcPr>
          <w:p>
            <w:pPr>
              <w:ind w:left="160"/>
              <w:spacing w:after="0"/>
              <w:rPr>
                <w:sz w:val="20"/>
                <w:szCs w:val="20"/>
                <w:color w:val="auto"/>
              </w:rPr>
            </w:pPr>
            <w:r>
              <w:rPr>
                <w:rFonts w:ascii="Arial" w:cs="Arial" w:eastAsia="Arial" w:hAnsi="Arial"/>
                <w:sz w:val="20"/>
                <w:szCs w:val="20"/>
                <w:color w:val="auto"/>
              </w:rPr>
              <w:t>Cumulative Remedies</w:t>
            </w:r>
          </w:p>
        </w:tc>
        <w:tc>
          <w:tcPr>
            <w:tcW w:w="33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17.14</w:t>
            </w:r>
          </w:p>
        </w:tc>
        <w:tc>
          <w:tcPr>
            <w:tcW w:w="5720" w:type="dxa"/>
            <w:vAlign w:val="bottom"/>
          </w:tcPr>
          <w:p>
            <w:pPr>
              <w:ind w:left="160"/>
              <w:spacing w:after="0"/>
              <w:rPr>
                <w:sz w:val="20"/>
                <w:szCs w:val="20"/>
                <w:color w:val="auto"/>
              </w:rPr>
            </w:pPr>
            <w:r>
              <w:rPr>
                <w:rFonts w:ascii="Arial" w:cs="Arial" w:eastAsia="Arial" w:hAnsi="Arial"/>
                <w:sz w:val="20"/>
                <w:szCs w:val="20"/>
                <w:color w:val="auto"/>
              </w:rPr>
              <w:t>Business Day Requirements</w:t>
            </w:r>
          </w:p>
        </w:tc>
        <w:tc>
          <w:tcPr>
            <w:tcW w:w="33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17.15</w:t>
            </w:r>
          </w:p>
        </w:tc>
        <w:tc>
          <w:tcPr>
            <w:tcW w:w="5720" w:type="dxa"/>
            <w:vAlign w:val="bottom"/>
          </w:tcPr>
          <w:p>
            <w:pPr>
              <w:ind w:left="160"/>
              <w:spacing w:after="0"/>
              <w:rPr>
                <w:sz w:val="20"/>
                <w:szCs w:val="20"/>
                <w:color w:val="auto"/>
              </w:rPr>
            </w:pPr>
            <w:r>
              <w:rPr>
                <w:rFonts w:ascii="Arial" w:cs="Arial" w:eastAsia="Arial" w:hAnsi="Arial"/>
                <w:sz w:val="20"/>
                <w:szCs w:val="20"/>
                <w:color w:val="auto"/>
              </w:rPr>
              <w:t>Further Actions</w:t>
            </w:r>
          </w:p>
        </w:tc>
        <w:tc>
          <w:tcPr>
            <w:tcW w:w="33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17.16</w:t>
            </w:r>
          </w:p>
        </w:tc>
        <w:tc>
          <w:tcPr>
            <w:tcW w:w="5720" w:type="dxa"/>
            <w:vAlign w:val="bottom"/>
          </w:tcPr>
          <w:p>
            <w:pPr>
              <w:ind w:left="160"/>
              <w:spacing w:after="0"/>
              <w:rPr>
                <w:sz w:val="20"/>
                <w:szCs w:val="20"/>
                <w:color w:val="auto"/>
              </w:rPr>
            </w:pPr>
            <w:r>
              <w:rPr>
                <w:rFonts w:ascii="Arial" w:cs="Arial" w:eastAsia="Arial" w:hAnsi="Arial"/>
                <w:sz w:val="20"/>
                <w:szCs w:val="20"/>
                <w:color w:val="auto"/>
              </w:rPr>
              <w:t>Non-Solicitation of Employees</w:t>
            </w:r>
          </w:p>
        </w:tc>
        <w:tc>
          <w:tcPr>
            <w:tcW w:w="33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17.17</w:t>
            </w:r>
          </w:p>
        </w:tc>
        <w:tc>
          <w:tcPr>
            <w:tcW w:w="5720" w:type="dxa"/>
            <w:vAlign w:val="bottom"/>
          </w:tcPr>
          <w:p>
            <w:pPr>
              <w:ind w:left="160"/>
              <w:spacing w:after="0"/>
              <w:rPr>
                <w:sz w:val="20"/>
                <w:szCs w:val="20"/>
                <w:color w:val="auto"/>
              </w:rPr>
            </w:pPr>
            <w:r>
              <w:rPr>
                <w:rFonts w:ascii="Arial" w:cs="Arial" w:eastAsia="Arial" w:hAnsi="Arial"/>
                <w:sz w:val="20"/>
                <w:szCs w:val="20"/>
                <w:color w:val="auto"/>
              </w:rPr>
              <w:t>Construction</w:t>
            </w:r>
          </w:p>
        </w:tc>
        <w:tc>
          <w:tcPr>
            <w:tcW w:w="33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17.18</w:t>
            </w:r>
          </w:p>
        </w:tc>
        <w:tc>
          <w:tcPr>
            <w:tcW w:w="5720" w:type="dxa"/>
            <w:vAlign w:val="bottom"/>
          </w:tcPr>
          <w:p>
            <w:pPr>
              <w:ind w:left="160"/>
              <w:spacing w:after="0"/>
              <w:rPr>
                <w:sz w:val="20"/>
                <w:szCs w:val="20"/>
                <w:color w:val="auto"/>
              </w:rPr>
            </w:pPr>
            <w:r>
              <w:rPr>
                <w:rFonts w:ascii="Arial" w:cs="Arial" w:eastAsia="Arial" w:hAnsi="Arial"/>
                <w:sz w:val="20"/>
                <w:szCs w:val="20"/>
                <w:color w:val="auto"/>
              </w:rPr>
              <w:t>Language; Translations</w:t>
            </w:r>
          </w:p>
        </w:tc>
        <w:tc>
          <w:tcPr>
            <w:tcW w:w="33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17.19</w:t>
            </w:r>
          </w:p>
        </w:tc>
        <w:tc>
          <w:tcPr>
            <w:tcW w:w="5720" w:type="dxa"/>
            <w:vAlign w:val="bottom"/>
          </w:tcPr>
          <w:p>
            <w:pPr>
              <w:ind w:left="160"/>
              <w:spacing w:after="0"/>
              <w:rPr>
                <w:sz w:val="20"/>
                <w:szCs w:val="20"/>
                <w:color w:val="auto"/>
              </w:rPr>
            </w:pPr>
            <w:r>
              <w:rPr>
                <w:rFonts w:ascii="Arial" w:cs="Arial" w:eastAsia="Arial" w:hAnsi="Arial"/>
                <w:sz w:val="20"/>
                <w:szCs w:val="20"/>
                <w:color w:val="auto"/>
              </w:rPr>
              <w:t>Counterparts</w:t>
            </w:r>
          </w:p>
        </w:tc>
        <w:tc>
          <w:tcPr>
            <w:tcW w:w="3360" w:type="dxa"/>
            <w:vAlign w:val="bottom"/>
          </w:tcPr>
          <w:p>
            <w:pPr>
              <w:jc w:val="right"/>
              <w:spacing w:after="0"/>
              <w:rPr>
                <w:sz w:val="20"/>
                <w:szCs w:val="20"/>
                <w:color w:val="auto"/>
              </w:rPr>
            </w:pPr>
            <w:r>
              <w:rPr>
                <w:rFonts w:ascii="Arial" w:cs="Arial" w:eastAsia="Arial" w:hAnsi="Arial"/>
                <w:sz w:val="20"/>
                <w:szCs w:val="20"/>
                <w:color w:val="auto"/>
              </w:rPr>
              <w:t>102</w:t>
            </w: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Schedule 1.17 </w:t>
      </w:r>
      <w:r>
        <w:rPr>
          <w:rFonts w:ascii="Arial" w:cs="Arial" w:eastAsia="Arial" w:hAnsi="Arial"/>
          <w:sz w:val="20"/>
          <w:szCs w:val="20"/>
          <w:color w:val="auto"/>
        </w:rPr>
        <w:t>– [****]</w:t>
      </w:r>
    </w:p>
    <w:p>
      <w:pPr>
        <w:spacing w:after="0"/>
        <w:rPr>
          <w:sz w:val="20"/>
          <w:szCs w:val="20"/>
          <w:color w:val="auto"/>
        </w:rPr>
      </w:pPr>
      <w:r>
        <w:rPr>
          <w:rFonts w:ascii="Arial" w:cs="Arial" w:eastAsia="Arial" w:hAnsi="Arial"/>
          <w:sz w:val="20"/>
          <w:szCs w:val="20"/>
          <w:b w:val="1"/>
          <w:bCs w:val="1"/>
          <w:color w:val="auto"/>
        </w:rPr>
        <w:t xml:space="preserve">Schedule 1.19 </w:t>
      </w:r>
      <w:r>
        <w:rPr>
          <w:rFonts w:ascii="Arial" w:cs="Arial" w:eastAsia="Arial" w:hAnsi="Arial"/>
          <w:sz w:val="20"/>
          <w:szCs w:val="20"/>
          <w:color w:val="auto"/>
        </w:rPr>
        <w:t>– [****]</w:t>
      </w:r>
    </w:p>
    <w:p>
      <w:pPr>
        <w:spacing w:after="0"/>
        <w:rPr>
          <w:sz w:val="20"/>
          <w:szCs w:val="20"/>
          <w:color w:val="auto"/>
        </w:rPr>
      </w:pPr>
      <w:r>
        <w:rPr>
          <w:rFonts w:ascii="Arial" w:cs="Arial" w:eastAsia="Arial" w:hAnsi="Arial"/>
          <w:sz w:val="20"/>
          <w:szCs w:val="20"/>
          <w:b w:val="1"/>
          <w:bCs w:val="1"/>
          <w:color w:val="auto"/>
        </w:rPr>
        <w:t xml:space="preserve">Schedule 1.32 </w:t>
      </w:r>
      <w:r>
        <w:rPr>
          <w:rFonts w:ascii="Arial" w:cs="Arial" w:eastAsia="Arial" w:hAnsi="Arial"/>
          <w:sz w:val="20"/>
          <w:szCs w:val="20"/>
          <w:color w:val="auto"/>
        </w:rPr>
        <w:t>– Blueprint Patent Rights</w:t>
      </w:r>
    </w:p>
    <w:p>
      <w:pPr>
        <w:spacing w:after="0"/>
        <w:rPr>
          <w:sz w:val="20"/>
          <w:szCs w:val="20"/>
          <w:color w:val="auto"/>
        </w:rPr>
      </w:pPr>
      <w:r>
        <w:rPr>
          <w:rFonts w:ascii="Arial" w:cs="Arial" w:eastAsia="Arial" w:hAnsi="Arial"/>
          <w:sz w:val="20"/>
          <w:szCs w:val="20"/>
          <w:b w:val="1"/>
          <w:bCs w:val="1"/>
          <w:color w:val="auto"/>
        </w:rPr>
        <w:t xml:space="preserve">Schedule 1.60 </w:t>
      </w:r>
      <w:r>
        <w:rPr>
          <w:rFonts w:ascii="Arial" w:cs="Arial" w:eastAsia="Arial" w:hAnsi="Arial"/>
          <w:sz w:val="20"/>
          <w:szCs w:val="20"/>
          <w:color w:val="auto"/>
        </w:rPr>
        <w:t>– [****]</w:t>
      </w:r>
    </w:p>
    <w:p>
      <w:pPr>
        <w:spacing w:after="0"/>
        <w:rPr>
          <w:sz w:val="20"/>
          <w:szCs w:val="20"/>
          <w:color w:val="auto"/>
        </w:rPr>
      </w:pPr>
      <w:r>
        <w:rPr>
          <w:rFonts w:ascii="Arial" w:cs="Arial" w:eastAsia="Arial" w:hAnsi="Arial"/>
          <w:sz w:val="20"/>
          <w:szCs w:val="20"/>
          <w:b w:val="1"/>
          <w:bCs w:val="1"/>
          <w:color w:val="auto"/>
        </w:rPr>
        <w:t xml:space="preserve">Schedule 1.197 </w:t>
      </w:r>
      <w:r>
        <w:rPr>
          <w:rFonts w:ascii="Arial" w:cs="Arial" w:eastAsia="Arial" w:hAnsi="Arial"/>
          <w:sz w:val="20"/>
          <w:szCs w:val="20"/>
          <w:color w:val="auto"/>
        </w:rPr>
        <w:t>– Shared Services</w:t>
      </w:r>
    </w:p>
    <w:p>
      <w:pPr>
        <w:spacing w:after="0"/>
        <w:rPr>
          <w:sz w:val="20"/>
          <w:szCs w:val="20"/>
          <w:color w:val="auto"/>
        </w:rPr>
      </w:pPr>
      <w:r>
        <w:rPr>
          <w:rFonts w:ascii="Arial" w:cs="Arial" w:eastAsia="Arial" w:hAnsi="Arial"/>
          <w:sz w:val="20"/>
          <w:szCs w:val="20"/>
          <w:b w:val="1"/>
          <w:bCs w:val="1"/>
          <w:color w:val="auto"/>
        </w:rPr>
        <w:t xml:space="preserve">Schedule 5.1 </w:t>
      </w:r>
      <w:r>
        <w:rPr>
          <w:rFonts w:ascii="Arial" w:cs="Arial" w:eastAsia="Arial" w:hAnsi="Arial"/>
          <w:sz w:val="20"/>
          <w:szCs w:val="20"/>
          <w:color w:val="auto"/>
        </w:rPr>
        <w:t>– Global Development Plan</w:t>
      </w:r>
    </w:p>
    <w:p>
      <w:pPr>
        <w:spacing w:after="0"/>
        <w:rPr>
          <w:sz w:val="20"/>
          <w:szCs w:val="20"/>
          <w:color w:val="auto"/>
        </w:rPr>
      </w:pPr>
      <w:r>
        <w:rPr>
          <w:rFonts w:ascii="Arial" w:cs="Arial" w:eastAsia="Arial" w:hAnsi="Arial"/>
          <w:sz w:val="20"/>
          <w:szCs w:val="20"/>
          <w:b w:val="1"/>
          <w:bCs w:val="1"/>
          <w:color w:val="auto"/>
        </w:rPr>
        <w:t xml:space="preserve">Schedule 7.1.1 </w:t>
      </w:r>
      <w:r>
        <w:rPr>
          <w:rFonts w:ascii="Arial" w:cs="Arial" w:eastAsia="Arial" w:hAnsi="Arial"/>
          <w:sz w:val="20"/>
          <w:szCs w:val="20"/>
          <w:color w:val="auto"/>
        </w:rPr>
        <w:t>– Clinical Supply Agreement Terms</w:t>
      </w:r>
    </w:p>
    <w:p>
      <w:pPr>
        <w:spacing w:after="0"/>
        <w:rPr>
          <w:sz w:val="20"/>
          <w:szCs w:val="20"/>
          <w:color w:val="auto"/>
        </w:rPr>
      </w:pPr>
      <w:r>
        <w:rPr>
          <w:rFonts w:ascii="Arial" w:cs="Arial" w:eastAsia="Arial" w:hAnsi="Arial"/>
          <w:sz w:val="20"/>
          <w:szCs w:val="20"/>
          <w:b w:val="1"/>
          <w:bCs w:val="1"/>
          <w:color w:val="auto"/>
        </w:rPr>
        <w:t xml:space="preserve">Schedule 7.1.2 </w:t>
      </w:r>
      <w:r>
        <w:rPr>
          <w:rFonts w:ascii="Arial" w:cs="Arial" w:eastAsia="Arial" w:hAnsi="Arial"/>
          <w:sz w:val="20"/>
          <w:szCs w:val="20"/>
          <w:color w:val="auto"/>
        </w:rPr>
        <w:t>– Commercial Supply Agreement Terms</w:t>
      </w:r>
    </w:p>
    <w:p>
      <w:pPr>
        <w:spacing w:after="0"/>
        <w:rPr>
          <w:sz w:val="20"/>
          <w:szCs w:val="20"/>
          <w:color w:val="auto"/>
        </w:rPr>
      </w:pPr>
      <w:r>
        <w:rPr>
          <w:rFonts w:ascii="Arial" w:cs="Arial" w:eastAsia="Arial" w:hAnsi="Arial"/>
          <w:sz w:val="20"/>
          <w:szCs w:val="20"/>
          <w:b w:val="1"/>
          <w:bCs w:val="1"/>
          <w:color w:val="auto"/>
        </w:rPr>
        <w:t xml:space="preserve">Schedule 11.7.1 </w:t>
      </w:r>
      <w:r>
        <w:rPr>
          <w:rFonts w:ascii="Arial" w:cs="Arial" w:eastAsia="Arial" w:hAnsi="Arial"/>
          <w:sz w:val="20"/>
          <w:szCs w:val="20"/>
          <w:color w:val="auto"/>
        </w:rPr>
        <w:t>–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LICENSE AND COLLABORATION AGREEMENT</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This LICENSE AND COLLABORATION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November 8, 2021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Blueprint Medicines Corporation, a Delaware corporation (“</w:t>
      </w:r>
      <w:r>
        <w:rPr>
          <w:rFonts w:ascii="Arial" w:cs="Arial" w:eastAsia="Arial" w:hAnsi="Arial"/>
          <w:sz w:val="20"/>
          <w:szCs w:val="20"/>
          <w:b w:val="1"/>
          <w:bCs w:val="1"/>
          <w:color w:val="auto"/>
        </w:rPr>
        <w:t>Blueprint</w:t>
      </w:r>
      <w:r>
        <w:rPr>
          <w:rFonts w:ascii="Arial" w:cs="Arial" w:eastAsia="Arial" w:hAnsi="Arial"/>
          <w:sz w:val="20"/>
          <w:szCs w:val="20"/>
          <w:color w:val="auto"/>
        </w:rPr>
        <w:t>”), having a place of business at 45 Sidney Street, Cambridge MA 02139, USA, and Zai Lab (Shanghai) Co., Ltd, an exempted company organized and existing under the laws of P.R. of China (“</w:t>
      </w:r>
      <w:r>
        <w:rPr>
          <w:rFonts w:ascii="Arial" w:cs="Arial" w:eastAsia="Arial" w:hAnsi="Arial"/>
          <w:sz w:val="20"/>
          <w:szCs w:val="20"/>
          <w:b w:val="1"/>
          <w:bCs w:val="1"/>
          <w:color w:val="auto"/>
        </w:rPr>
        <w:t>Zai</w:t>
      </w:r>
      <w:r>
        <w:rPr>
          <w:rFonts w:ascii="Arial" w:cs="Arial" w:eastAsia="Arial" w:hAnsi="Arial"/>
          <w:sz w:val="20"/>
          <w:szCs w:val="20"/>
          <w:color w:val="auto"/>
        </w:rPr>
        <w:t>”), having a place of business at 4F, Bldg 1, Jinchuang Plaza, 4560 Jinke Rd, Shanghai, China, 201210. Blueprint and Zai are referred to in this Agreement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Blueprint is a biopharmaceutical company that is developing (a) a mutant EGFR inhibitor known as</w:t>
      </w:r>
      <w:r>
        <w:rPr>
          <w:rFonts w:ascii="Arial" w:cs="Arial" w:eastAsia="Arial" w:hAnsi="Arial"/>
          <w:sz w:val="20"/>
          <w:szCs w:val="20"/>
          <w:b w:val="1"/>
          <w:bCs w:val="1"/>
          <w:color w:val="auto"/>
        </w:rPr>
        <w:t xml:space="preserve"> </w:t>
      </w:r>
      <w:r>
        <w:rPr>
          <w:rFonts w:ascii="Arial" w:cs="Arial" w:eastAsia="Arial" w:hAnsi="Arial"/>
          <w:sz w:val="20"/>
          <w:szCs w:val="20"/>
          <w:color w:val="auto"/>
        </w:rPr>
        <w:t>BLU-701, and (b) a mutant EGFR inhibitor known as BLU-945, in each case, that are being studied by Blueprint for the treatment of NSCLC and other cancers with certain mutations;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Blueprint Controls certain Know-How and Patent Rights relating to BLU-945 and BLU-701;</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Zai is a biopharmaceutical company engaged in the research,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and biologic products in the Territory;</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Zai wishes to obtain from Blueprint an exclusive license to develop, perform medical affairs for,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(subject to the terms in the Agreement) and commercialize, the Blueprint Compounds and Licensed Products, in each case, in the Territory, and Blueprint is willing to grant such a license to Zai, all in accordance with the terms and conditions set forth herein; and</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Blueprint and Zai both recognize the importance of accelerating Global Clinical Trials to address</w:t>
      </w:r>
      <w:r>
        <w:rPr>
          <w:rFonts w:ascii="Arial" w:cs="Arial" w:eastAsia="Arial" w:hAnsi="Arial"/>
          <w:sz w:val="20"/>
          <w:szCs w:val="20"/>
          <w:b w:val="1"/>
          <w:bCs w:val="1"/>
          <w:color w:val="auto"/>
        </w:rPr>
        <w:t xml:space="preserve"> </w:t>
      </w:r>
      <w:r>
        <w:rPr>
          <w:rFonts w:ascii="Arial" w:cs="Arial" w:eastAsia="Arial" w:hAnsi="Arial"/>
          <w:sz w:val="20"/>
          <w:szCs w:val="20"/>
          <w:color w:val="auto"/>
        </w:rPr>
        <w:t>patient needs and Zai is willing to commit to participation in certain Clinical Trials as agreed to by both Parties for each Licensed Product.</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the Parties hereby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specifically set forth to the contrary herein, the following terms will have the respective meanings set forth below, whether used in the singular or plural:</w:t>
      </w:r>
    </w:p>
    <w:p>
      <w:pPr>
        <w:spacing w:after="0" w:line="17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Accounting Standards</w:t>
      </w:r>
      <w:r>
        <w:rPr>
          <w:rFonts w:ascii="Arial" w:cs="Arial" w:eastAsia="Arial" w:hAnsi="Arial"/>
          <w:sz w:val="20"/>
          <w:szCs w:val="20"/>
          <w:color w:val="auto"/>
        </w:rPr>
        <w:t>” means GAAP for both Parties, unless a Party elects to change its general accounting principles to IFRS (or any change thereafter between IFRS and GAAP) and provides notice to the other Party of such change in accordance with Section 10.7 (Accounting Standards).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Acquiree</w:t>
      </w:r>
      <w:r>
        <w:rPr>
          <w:rFonts w:ascii="Arial" w:cs="Arial" w:eastAsia="Arial" w:hAnsi="Arial"/>
          <w:sz w:val="18"/>
          <w:szCs w:val="18"/>
          <w:color w:val="auto"/>
        </w:rPr>
        <w:t>” has the meaning set forth in Section 2.8.3(b).</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Acquiror</w:t>
      </w:r>
      <w:r>
        <w:rPr>
          <w:rFonts w:ascii="Arial" w:cs="Arial" w:eastAsia="Arial" w:hAnsi="Arial"/>
          <w:sz w:val="18"/>
          <w:szCs w:val="18"/>
          <w:color w:val="auto"/>
        </w:rPr>
        <w:t>” has the meaning set forth in Section 2.8.3(a).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1059815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3" w:name="page234"/>
    <w:bookmarkEnd w:id="233"/>
    <w:p>
      <w:pPr>
        <w:jc w:val="both"/>
        <w:ind w:left="660" w:right="20" w:hanging="647"/>
        <w:spacing w:after="0" w:line="266" w:lineRule="auto"/>
        <w:tabs>
          <w:tab w:leader="none" w:pos="6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Active Ingredient</w:t>
      </w:r>
      <w:r>
        <w:rPr>
          <w:rFonts w:ascii="Arial" w:cs="Arial" w:eastAsia="Arial" w:hAnsi="Arial"/>
          <w:sz w:val="20"/>
          <w:szCs w:val="20"/>
          <w:color w:val="auto"/>
        </w:rPr>
        <w:t>” means those clinically active materials that provide pharmacological activity in a pharmaceutical or biologic product (excluding [****]).</w:t>
      </w:r>
    </w:p>
    <w:p>
      <w:pPr>
        <w:spacing w:after="0" w:line="164" w:lineRule="exact"/>
        <w:rPr>
          <w:sz w:val="20"/>
          <w:szCs w:val="20"/>
          <w:color w:val="auto"/>
        </w:rPr>
      </w:pPr>
    </w:p>
    <w:p>
      <w:pPr>
        <w:jc w:val="both"/>
        <w:ind w:left="660" w:hanging="647"/>
        <w:spacing w:after="0" w:line="280" w:lineRule="auto"/>
        <w:tabs>
          <w:tab w:leader="none" w:pos="6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that controls, is controlled by, or is under common control with such Person. For the purpose of this definition only, “control” (including, with correlative meaning, the terms “controlled by” and “under the common control”) means the actual power, either directly or indirectly through one or more intermediaries, to direct or cause the direction of the management and policies of any Person, whether by the ownership of more than 50% of the voting security of such Person, by contract, or otherwise.</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3.1 (Alliance Managers).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has the meaning set forth in Section 12.1.5 (Representations and Warranties of Each Party).</w:t>
      </w:r>
    </w:p>
    <w:p>
      <w:pPr>
        <w:spacing w:after="0" w:line="16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collectively all laws, rules, regulations, ordinances, decrees, judicial and administrative orders (and any license, franchise, permit, or similar right granted under any of the foregoing), and any policies and other requirements of any applicable Governmental Authority that govern or otherwise apply to a Party, including all Anti-Corruption Laws.</w:t>
      </w:r>
    </w:p>
    <w:p>
      <w:pPr>
        <w:spacing w:after="0" w:line="18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Approved Labeling</w:t>
      </w:r>
      <w:r>
        <w:rPr>
          <w:rFonts w:ascii="Arial" w:cs="Arial" w:eastAsia="Arial" w:hAnsi="Arial"/>
          <w:sz w:val="20"/>
          <w:szCs w:val="20"/>
          <w:color w:val="auto"/>
        </w:rPr>
        <w:t>” means, with respect to a Licensed Product: (a) the Regulatory Authority-approved full prescribing information for such Licensed Product; and (b) the Regulatory Authority-approved labels and other written, printed, or graphic materials on any container, wrapper, or any package insert that is used with or for such Licensed Product.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has the meaning set forth in Section 16.3.1 (Rules).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 has the meaning set forth in Section 16.3.2 (Selection of Arbitrator).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Assigned Collaboration Know-How</w:t>
      </w:r>
      <w:r>
        <w:rPr>
          <w:rFonts w:ascii="Arial" w:cs="Arial" w:eastAsia="Arial" w:hAnsi="Arial"/>
          <w:sz w:val="18"/>
          <w:szCs w:val="18"/>
          <w:color w:val="auto"/>
        </w:rPr>
        <w:t>” means any Collaboration Know-How that [****].</w:t>
      </w:r>
    </w:p>
    <w:p>
      <w:pPr>
        <w:spacing w:after="0" w:line="216"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Assigned Collaboration Patent Rights</w:t>
      </w:r>
      <w:r>
        <w:rPr>
          <w:rFonts w:ascii="Arial" w:cs="Arial" w:eastAsia="Arial" w:hAnsi="Arial"/>
          <w:sz w:val="20"/>
          <w:szCs w:val="20"/>
          <w:color w:val="auto"/>
        </w:rPr>
        <w:t>” means all Collaboration Patent Rights that Cover Assigned Collaboration Know-How.</w:t>
      </w:r>
    </w:p>
    <w:p>
      <w:pPr>
        <w:spacing w:after="0" w:line="163"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Assigned Collaboration Technology</w:t>
      </w:r>
      <w:r>
        <w:rPr>
          <w:rFonts w:ascii="Arial" w:cs="Arial" w:eastAsia="Arial" w:hAnsi="Arial"/>
          <w:sz w:val="20"/>
          <w:szCs w:val="20"/>
          <w:color w:val="auto"/>
        </w:rPr>
        <w:t>” means the Assigned Collaboration Know-How and the Assigned Collaboration Patent Rights.</w:t>
      </w:r>
    </w:p>
    <w:p>
      <w:pPr>
        <w:spacing w:after="0" w:line="16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Average Patient Cost</w:t>
      </w:r>
      <w:r>
        <w:rPr>
          <w:rFonts w:ascii="Arial" w:cs="Arial" w:eastAsia="Arial" w:hAnsi="Arial"/>
          <w:sz w:val="20"/>
          <w:szCs w:val="20"/>
          <w:color w:val="auto"/>
        </w:rPr>
        <w:t>” means with respect to additional patients enrolled in a Global Clinical Trial for a Licensed Product by a Party [****].</w:t>
      </w:r>
    </w:p>
    <w:p>
      <w:pPr>
        <w:spacing w:after="0" w:line="163"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BLU-701</w:t>
      </w:r>
      <w:r>
        <w:rPr>
          <w:rFonts w:ascii="Arial" w:cs="Arial" w:eastAsia="Arial" w:hAnsi="Arial"/>
          <w:sz w:val="18"/>
          <w:szCs w:val="18"/>
          <w:color w:val="auto"/>
        </w:rPr>
        <w:t>” means (a) Blueprint’s mutant [****] EGFR inhibitor known as “BLU-701”; (b) its named back-up forms [****] and any other backup form that Blueprint identifies and designates after the Effective Date as a back-up form for BLU-701 in accordance with Blueprint’s then-current business practices; (c) prodrugs that convert to the compounds in (a) and (b); (d) stereoisomers and isotopic variants of the compounds in (a), (b), and (c); (e) [****];</w:t>
      </w:r>
    </w:p>
    <w:p>
      <w:pPr>
        <w:spacing w:after="0" w:line="2" w:lineRule="exact"/>
        <w:rPr>
          <w:sz w:val="20"/>
          <w:szCs w:val="20"/>
          <w:color w:val="auto"/>
        </w:rPr>
      </w:pPr>
    </w:p>
    <w:p>
      <w:pPr>
        <w:ind w:left="660" w:hanging="4"/>
        <w:spacing w:after="0" w:line="244" w:lineRule="auto"/>
        <w:tabs>
          <w:tab w:leader="none" w:pos="91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salt forms of the compounds in (a) through (e); and (g) solvates, hydrates, and solid forms (including crystalline, polymorphic, amorphous and co-crystalline forms) of the compounds in (a) through (f).</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4" w:name="page235"/>
    <w:bookmarkEnd w:id="234"/>
    <w:p>
      <w:pPr>
        <w:jc w:val="both"/>
        <w:ind w:left="660" w:hanging="647"/>
        <w:spacing w:after="0" w:line="272" w:lineRule="auto"/>
        <w:tabs>
          <w:tab w:leader="none" w:pos="64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BLU-945</w:t>
      </w:r>
      <w:r>
        <w:rPr>
          <w:rFonts w:ascii="Arial" w:cs="Arial" w:eastAsia="Arial" w:hAnsi="Arial"/>
          <w:sz w:val="18"/>
          <w:szCs w:val="18"/>
          <w:color w:val="auto"/>
        </w:rPr>
        <w:t>” means (a) Blueprint’s mutant [****] EGFR inhibitor known as “BLU-945”; (b) its named back-up forms [****] and any other backup form that Blueprint identifies and designates after the Effective Date as a back-up form for BLU-945 in accordance with Blueprint’s then-current business practices; (c) prodrugs that convert to the compounds in (a) and (b); (d) stereoisomers and isotopic variants of the compounds in (a), (b), and (c); (e) [****];</w:t>
      </w:r>
    </w:p>
    <w:p>
      <w:pPr>
        <w:spacing w:after="0" w:line="2" w:lineRule="exact"/>
        <w:rPr>
          <w:sz w:val="20"/>
          <w:szCs w:val="20"/>
          <w:color w:val="auto"/>
        </w:rPr>
      </w:pPr>
    </w:p>
    <w:p>
      <w:pPr>
        <w:ind w:left="660" w:hanging="4"/>
        <w:spacing w:after="0" w:line="244" w:lineRule="auto"/>
        <w:tabs>
          <w:tab w:leader="none" w:pos="91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salt forms of the compounds in (a) through (e); and (g) solvates, hydrates, and solid forms (including crystalline, polymorphic, amorphous and co-crystalline forms) of the compounds in (a) through (f).</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left="660" w:hanging="647"/>
        <w:spacing w:after="0" w:line="280" w:lineRule="auto"/>
        <w:tabs>
          <w:tab w:leader="none" w:pos="6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Collaboration Know-How</w:t>
      </w:r>
      <w:r>
        <w:rPr>
          <w:rFonts w:ascii="Arial" w:cs="Arial" w:eastAsia="Arial" w:hAnsi="Arial"/>
          <w:sz w:val="18"/>
          <w:szCs w:val="18"/>
          <w:color w:val="auto"/>
        </w:rPr>
        <w:t>” means Collaboration Know-How, other than Blueprint/Zai Combination Know-How, developed or invented solely by Blueprint’s or its Affiliates’, licensees’, Sublicensees’, or Subcontractors’ employees, agents, or independent contractors, or any Persons that are contractually required to assign or license such Collaboration Know-How (or Patent Rights Covering such Know-How) to Blueprint or any Affiliate of Blueprint, in each case, in the performance of activities under this Agreement during the Term.</w:t>
      </w:r>
    </w:p>
    <w:p>
      <w:pPr>
        <w:spacing w:after="0" w:line="15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Collaboration Patent Rights</w:t>
      </w:r>
      <w:r>
        <w:rPr>
          <w:rFonts w:ascii="Arial" w:cs="Arial" w:eastAsia="Arial" w:hAnsi="Arial"/>
          <w:sz w:val="20"/>
          <w:szCs w:val="20"/>
          <w:color w:val="auto"/>
        </w:rPr>
        <w:t>” means all Collaboration Patent Rights that Cover Blueprint Collaboration Know-How.</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Compound</w:t>
      </w:r>
      <w:r>
        <w:rPr>
          <w:rFonts w:ascii="Arial" w:cs="Arial" w:eastAsia="Arial" w:hAnsi="Arial"/>
          <w:sz w:val="18"/>
          <w:szCs w:val="18"/>
          <w:color w:val="auto"/>
        </w:rPr>
        <w:t>” means BLU-701 or BLU-945 and includes [****].</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has the meaning set forth in Section 2.6.1 (Blueprint Identified Rights).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Indemnitee(s)</w:t>
      </w:r>
      <w:r>
        <w:rPr>
          <w:rFonts w:ascii="Arial" w:cs="Arial" w:eastAsia="Arial" w:hAnsi="Arial"/>
          <w:sz w:val="18"/>
          <w:szCs w:val="18"/>
          <w:color w:val="auto"/>
        </w:rPr>
        <w:t>” has the meaning set forth in Section 13.1 (By Zai).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In-Licensed Rights</w:t>
      </w:r>
      <w:r>
        <w:rPr>
          <w:rFonts w:ascii="Arial" w:cs="Arial" w:eastAsia="Arial" w:hAnsi="Arial"/>
          <w:sz w:val="18"/>
          <w:szCs w:val="18"/>
          <w:color w:val="auto"/>
        </w:rPr>
        <w:t>” has the meaning set forth in Section 2.6.3 (Third Party IP Agreements).</w:t>
      </w:r>
    </w:p>
    <w:p>
      <w:pPr>
        <w:spacing w:after="0" w:line="21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Know-How</w:t>
      </w:r>
      <w:r>
        <w:rPr>
          <w:rFonts w:ascii="Arial" w:cs="Arial" w:eastAsia="Arial" w:hAnsi="Arial"/>
          <w:sz w:val="18"/>
          <w:szCs w:val="18"/>
          <w:color w:val="auto"/>
        </w:rPr>
        <w:t>” means, subject to Section 2.6.5 (Right to Decline Blueprint In-Licensed Rights), all Know-How (excluding Blueprint’s interest in the Blueprint/Zai Combination Know-How and other Joint Collaboration Know-How) that is (a) Controlled by Blueprint or any of its Affiliates as of the Effective Date or during the Term, and (b) necessary or reasonably useful to Develop, perform Medical Affairs for, or Commercialize a Blueprint Compound or a Licensed Product in the Territory, including all Assigned Collaboration Know-How and Blueprint Collaboration Know-How, but expressly excluding Blueprint Manufacturing Know-How.</w:t>
      </w:r>
    </w:p>
    <w:p>
      <w:pPr>
        <w:spacing w:after="0" w:line="160"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Manufacturing Know-How</w:t>
      </w:r>
      <w:r>
        <w:rPr>
          <w:rFonts w:ascii="Arial" w:cs="Arial" w:eastAsia="Arial" w:hAnsi="Arial"/>
          <w:sz w:val="20"/>
          <w:szCs w:val="20"/>
          <w:color w:val="auto"/>
        </w:rPr>
        <w:t>” means all Know-How Controlled by Blueprint or any of its Affiliates as of the Effective Date or during the Term that is actually used for the Manufacture of each Licensed Product in the Field in the Territory.</w:t>
      </w:r>
    </w:p>
    <w:p>
      <w:pPr>
        <w:spacing w:after="0" w:line="17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Manufacturing Patent Rights</w:t>
      </w:r>
      <w:r>
        <w:rPr>
          <w:rFonts w:ascii="Arial" w:cs="Arial" w:eastAsia="Arial" w:hAnsi="Arial"/>
          <w:sz w:val="20"/>
          <w:szCs w:val="20"/>
          <w:color w:val="auto"/>
        </w:rPr>
        <w:t>” means all Patent Rights Controlled by Blueprint or any of its Affiliates as of the Effective Date or during the Term that are actually practiced for the Manufacture of each Licensed Product in the Field in the Territory.</w:t>
      </w:r>
    </w:p>
    <w:p>
      <w:pPr>
        <w:spacing w:after="0" w:line="17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Manufacturing Technology</w:t>
      </w:r>
      <w:r>
        <w:rPr>
          <w:rFonts w:ascii="Arial" w:cs="Arial" w:eastAsia="Arial" w:hAnsi="Arial"/>
          <w:sz w:val="20"/>
          <w:szCs w:val="20"/>
          <w:color w:val="auto"/>
        </w:rPr>
        <w:t>” means the Blueprint Manufacturing Know-How and the Blueprint Manufacturing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35" w:name="page236"/>
    <w:bookmarkEnd w:id="235"/>
    <w:p>
      <w:pPr>
        <w:jc w:val="both"/>
        <w:ind w:left="660" w:hanging="647"/>
        <w:spacing w:after="0" w:line="273" w:lineRule="auto"/>
        <w:tabs>
          <w:tab w:leader="none" w:pos="6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Patent Rights</w:t>
      </w:r>
      <w:r>
        <w:rPr>
          <w:rFonts w:ascii="Arial" w:cs="Arial" w:eastAsia="Arial" w:hAnsi="Arial"/>
          <w:sz w:val="18"/>
          <w:szCs w:val="18"/>
          <w:color w:val="auto"/>
        </w:rPr>
        <w:t xml:space="preserve">” means, subject to Section 2.6.5 (Right to Decline Blueprint In-Licensed Rights), all Patent Rights (excluding Blueprint’s interest in the Blueprint/Zai Combination Patent Rights and other Joint Collaboration Patent Rights) that are (a) Controlled by Blueprint or any of its Affiliates as of the Effective Date or during the Term, and (b) necessary or reasonably useful (or, with respect to patent applications, would be necessary or reasonably useful if such patent applications were to issue as patents) to Develop, perform Medical Affairs for, or Commercialize a Blueprint Compound or a Licensed Product in the Territory, including all Assigned Collaboration Patent Rights and Blueprint Collaboration Patent Rights, but expressly excluding Blueprint Manufacturing Patent Rights. </w:t>
      </w:r>
      <w:r>
        <w:rPr>
          <w:rFonts w:ascii="Arial" w:cs="Arial" w:eastAsia="Arial" w:hAnsi="Arial"/>
          <w:sz w:val="18"/>
          <w:szCs w:val="18"/>
          <w:b w:val="1"/>
          <w:bCs w:val="1"/>
          <w:color w:val="auto"/>
        </w:rPr>
        <w:t>Schedule 1.32</w:t>
      </w:r>
      <w:r>
        <w:rPr>
          <w:rFonts w:ascii="Arial" w:cs="Arial" w:eastAsia="Arial" w:hAnsi="Arial"/>
          <w:sz w:val="18"/>
          <w:szCs w:val="18"/>
          <w:color w:val="auto"/>
        </w:rPr>
        <w:t xml:space="preserve"> (Blueprint Patent Rights) includes the Blueprint Patent Rights that are owned or exclusively licensed by Blueprint in the Territory and that exist as of the Effective Date.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Publication</w:t>
      </w:r>
      <w:r>
        <w:rPr>
          <w:rFonts w:ascii="Arial" w:cs="Arial" w:eastAsia="Arial" w:hAnsi="Arial"/>
          <w:sz w:val="18"/>
          <w:szCs w:val="18"/>
          <w:color w:val="auto"/>
        </w:rPr>
        <w:t>” has the meaning set forth in Section 11.5.1.</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Specifications</w:t>
      </w:r>
      <w:r>
        <w:rPr>
          <w:rFonts w:ascii="Arial" w:cs="Arial" w:eastAsia="Arial" w:hAnsi="Arial"/>
          <w:sz w:val="16"/>
          <w:szCs w:val="16"/>
          <w:color w:val="auto"/>
        </w:rPr>
        <w:t>” has the meaning set forth in Section 7.2.3 (Specifications).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Technology</w:t>
      </w:r>
      <w:r>
        <w:rPr>
          <w:rFonts w:ascii="Arial" w:cs="Arial" w:eastAsia="Arial" w:hAnsi="Arial"/>
          <w:sz w:val="20"/>
          <w:szCs w:val="20"/>
          <w:color w:val="auto"/>
        </w:rPr>
        <w:t>” means Blueprint Know-How, Blueprint Patent Rights, and Blueprint’s interest in the Joint Collaboration Technology.</w:t>
      </w:r>
    </w:p>
    <w:p>
      <w:pPr>
        <w:spacing w:after="0" w:line="16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Blueprint/Zai Combination</w:t>
      </w:r>
      <w:r>
        <w:rPr>
          <w:rFonts w:ascii="Arial" w:cs="Arial" w:eastAsia="Arial" w:hAnsi="Arial"/>
          <w:sz w:val="20"/>
          <w:szCs w:val="20"/>
          <w:color w:val="auto"/>
        </w:rPr>
        <w:t>” means any Combination Product or Combination Regimen that includes a Blueprint Compound together with any Zai Product.</w:t>
      </w:r>
    </w:p>
    <w:p>
      <w:pPr>
        <w:spacing w:after="0" w:line="16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Blueprint/Zai Combination Know-How</w:t>
      </w:r>
      <w:r>
        <w:rPr>
          <w:rFonts w:ascii="Arial" w:cs="Arial" w:eastAsia="Arial" w:hAnsi="Arial"/>
          <w:sz w:val="19"/>
          <w:szCs w:val="19"/>
          <w:color w:val="auto"/>
        </w:rPr>
        <w:t>” means any Collaboration Know-How that (a) [****] relates to any Blueprint/Zai Combination (and not to any Zai Product alone or any other Licensed Product that is not a Blueprint/Zai Combination), including any composition, method of use or method of Manufacturing, in each case, that is specific to a Blueprint/Zai Combination (including any composition, method of use, or method of Manufacturing that is [****]), or any Companion Diagnostic [****] for use with a Blueprint/Zai Combination, and</w:t>
      </w:r>
    </w:p>
    <w:p>
      <w:pPr>
        <w:spacing w:after="0" w:line="4" w:lineRule="exact"/>
        <w:rPr>
          <w:sz w:val="20"/>
          <w:szCs w:val="20"/>
          <w:color w:val="auto"/>
        </w:rPr>
      </w:pPr>
    </w:p>
    <w:p>
      <w:pPr>
        <w:jc w:val="both"/>
        <w:ind w:left="660" w:hanging="4"/>
        <w:spacing w:after="0" w:line="254" w:lineRule="auto"/>
        <w:tabs>
          <w:tab w:leader="none" w:pos="100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is developed or invented during the Term by a Party’s or its Affiliates’, licensees’, Sublicensees’, or Sublicensees’ employees, agents, or independent contractors, or any Persons that are contractually required to assign or license such Know-How (or Patent Rights Covering such Know-How) to a Party or any Affiliate of a Party, either alone or jointly with the other Party’s or its Affiliates’, licensees’, Sublicensees’, Subcontractors’ employees, agents, or independent contractors, or any Persons that are contractually required to assign or license such Know-How (or Patent Rights Covering such Know-How) to the other Party or any Affiliate of the other Party, in each case, in the performance of activities under this Agreement during the Term.</w:t>
      </w:r>
    </w:p>
    <w:p>
      <w:pPr>
        <w:spacing w:after="0" w:line="18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Blueprint/Zai Combination Patent Rights</w:t>
      </w:r>
      <w:r>
        <w:rPr>
          <w:rFonts w:ascii="Arial" w:cs="Arial" w:eastAsia="Arial" w:hAnsi="Arial"/>
          <w:sz w:val="20"/>
          <w:szCs w:val="20"/>
          <w:color w:val="auto"/>
        </w:rPr>
        <w:t>” means all Collaboration Patent Rights that Cover Blueprint/Zai Combination Know-How. For clarity, Blueprint/Zai Combination Patent Rights do not include any Patent Rights that Cover (a) a Zai Product alone or (b) any other Licensed Product that is not a Blueprint/Zai Combination or a Companion Diagnostic that is for use with a Zai Product alone or any other Licensed Product that is not a Blueprint/Zai Combination.</w:t>
      </w:r>
    </w:p>
    <w:p>
      <w:pPr>
        <w:spacing w:after="0" w:line="185"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Blueprint/Zai Combination Technology</w:t>
      </w:r>
      <w:r>
        <w:rPr>
          <w:rFonts w:ascii="Arial" w:cs="Arial" w:eastAsia="Arial" w:hAnsi="Arial"/>
          <w:sz w:val="20"/>
          <w:szCs w:val="20"/>
          <w:color w:val="auto"/>
        </w:rPr>
        <w:t>” means the Blueprint/Zai Combination Know-How and the Blueprint/Zai Combination Patent Rights.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Breach Notification</w:t>
      </w:r>
      <w:r>
        <w:rPr>
          <w:rFonts w:ascii="Arial" w:cs="Arial" w:eastAsia="Arial" w:hAnsi="Arial"/>
          <w:sz w:val="18"/>
          <w:szCs w:val="18"/>
          <w:color w:val="auto"/>
        </w:rPr>
        <w:t>” has the meaning set forth in Section 15.2.2(a) (Notice and Cure Period).</w:t>
      </w:r>
    </w:p>
    <w:p>
      <w:pPr>
        <w:spacing w:after="0" w:line="216"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Sunday, or a day on which banking institutions in Cambridge, Massachusetts or Shanghai, China are required by Applicable Law to remain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36" w:name="page237"/>
    <w:bookmarkEnd w:id="236"/>
    <w:p>
      <w:pPr>
        <w:spacing w:after="0"/>
        <w:tabs>
          <w:tab w:leader="none" w:pos="6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Buyers</w:t>
      </w:r>
      <w:r>
        <w:rPr>
          <w:rFonts w:ascii="Arial" w:cs="Arial" w:eastAsia="Arial" w:hAnsi="Arial"/>
          <w:sz w:val="16"/>
          <w:szCs w:val="16"/>
          <w:color w:val="auto"/>
        </w:rPr>
        <w:t>” has the meaning set forth in Section 1.136 (Net Sales).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respective periods of three consecutive calendar months ending on March 31, June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 September 30, and December 31.</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12-month period commencing on January 1.</w:t>
      </w:r>
    </w:p>
    <w:p>
      <w:pPr>
        <w:spacing w:after="0" w:line="21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cGMP</w:t>
      </w:r>
      <w:r>
        <w:rPr>
          <w:rFonts w:ascii="Arial" w:cs="Arial" w:eastAsia="Arial" w:hAnsi="Arial"/>
          <w:sz w:val="20"/>
          <w:szCs w:val="20"/>
          <w:color w:val="auto"/>
        </w:rPr>
        <w:t>” means all applicable current Good Manufacturing Practices, including, as applicable, (a) the principles detailed in the U.S. Current Good Manufacturing Practices, 21 C.F.R. Parts 4, 210, 211, 601, 610 and 820, (b) European Directive 2003/94/EC and Eudralex 4, (c) the principles detailed in the International Conference on Harmonization’s Q7 guidelines, and (d) the equivalent Applicable Law in any relevant country or region, each as may be amended and applicable from time to time.</w:t>
      </w:r>
    </w:p>
    <w:p>
      <w:pPr>
        <w:spacing w:after="0" w:line="18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50% of the total voting power of all of the then outstanding voting securities of such Party; (b) a merger, consolidation, recapitalization, or reorganization of such Party is consummated that would result in shareholders or equity holders of such Party that owned less than 50% of the outstanding voting securities of such Party immediately prior to such transaction, owning at least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Development</w:t>
      </w:r>
      <w:r>
        <w:rPr>
          <w:rFonts w:ascii="Arial" w:cs="Arial" w:eastAsia="Arial" w:hAnsi="Arial"/>
          <w:sz w:val="19"/>
          <w:szCs w:val="19"/>
          <w:color w:val="auto"/>
        </w:rPr>
        <w:t>” means, with respect to a pharmaceutical or biologic product, Development activities conducted from and after (and including) the filing of an IND for such pharmaceutical or biologic product specifically in connection with (a) Clinical Trials and (b) regulatory activities related to Clinical Trials, including filing of MAAs and obtaining, supporting, or maintaining Regulatory Approvals for such pharmaceutical or biologic product following completion of a Pivotal Trial for such pharmaceutical or biologic product.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Supply Agreement</w:t>
      </w:r>
      <w:r>
        <w:rPr>
          <w:rFonts w:ascii="Arial" w:cs="Arial" w:eastAsia="Arial" w:hAnsi="Arial"/>
          <w:sz w:val="18"/>
          <w:szCs w:val="18"/>
          <w:color w:val="auto"/>
        </w:rPr>
        <w:t>” has the meaning set forth in Section 7.1.1 (Development Supply).</w:t>
      </w:r>
    </w:p>
    <w:p>
      <w:pPr>
        <w:spacing w:after="0" w:line="21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clinical trial in humans that is conducted in accordance with GCP and is designed to generate data in support or maintenance of an IND or MAA, or other similar marketing application, including any Phase I Clinical Trial, Phase II Clinical Trial, Phase III Clinical Trial, or any post-approval clinical trial in humans.</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CMO</w:t>
      </w:r>
      <w:r>
        <w:rPr>
          <w:rFonts w:ascii="Arial" w:cs="Arial" w:eastAsia="Arial" w:hAnsi="Arial"/>
          <w:sz w:val="18"/>
          <w:szCs w:val="18"/>
          <w:color w:val="auto"/>
        </w:rPr>
        <w:t>” means a contract manufacturing organization.</w:t>
      </w:r>
    </w:p>
    <w:p>
      <w:pPr>
        <w:spacing w:after="0" w:line="216" w:lineRule="exact"/>
        <w:rPr>
          <w:sz w:val="20"/>
          <w:szCs w:val="20"/>
          <w:color w:val="auto"/>
        </w:rPr>
      </w:pPr>
    </w:p>
    <w:p>
      <w:pPr>
        <w:jc w:val="both"/>
        <w:ind w:left="660" w:right="2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Collaboration Know-How</w:t>
      </w:r>
      <w:r>
        <w:rPr>
          <w:rFonts w:ascii="Arial" w:cs="Arial" w:eastAsia="Arial" w:hAnsi="Arial"/>
          <w:sz w:val="20"/>
          <w:szCs w:val="20"/>
          <w:color w:val="auto"/>
        </w:rPr>
        <w:t>” means any Know-How developed or invented during the Term by a Party’s or its Affiliates’, licensees’, Sublicensees’, or Subcontractors’ employees, agents, or independent contractors, or any Persons that are contractually required to assign or license such Know-How to a Party or any Affiliate of a Party, either alone or jointly with the other Party’s or its Affiliates’, licensees’, Sublicensees’, or Subcontractors’ employees, agents, or independent contractors, or any Persons that are contractually required to assign or license such Know-How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37" w:name="page238"/>
    <w:bookmarkEnd w:id="237"/>
    <w:p>
      <w:pPr>
        <w:ind w:left="660" w:right="20"/>
        <w:spacing w:after="0" w:line="260" w:lineRule="auto"/>
        <w:rPr>
          <w:sz w:val="20"/>
          <w:szCs w:val="20"/>
          <w:color w:val="auto"/>
        </w:rPr>
      </w:pPr>
      <w:r>
        <w:rPr>
          <w:rFonts w:ascii="Arial" w:cs="Arial" w:eastAsia="Arial" w:hAnsi="Arial"/>
          <w:sz w:val="20"/>
          <w:szCs w:val="20"/>
          <w:color w:val="auto"/>
        </w:rPr>
        <w:t>patent Rights Covering such Know-How) to the other Party or any Affiliate of the other Party, in each case, in the performance of activities under this Agreement during the Term.</w:t>
      </w:r>
    </w:p>
    <w:p>
      <w:pPr>
        <w:spacing w:after="0" w:line="17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Collaboration Patent Rights</w:t>
      </w:r>
      <w:r>
        <w:rPr>
          <w:rFonts w:ascii="Arial" w:cs="Arial" w:eastAsia="Arial" w:hAnsi="Arial"/>
          <w:sz w:val="20"/>
          <w:szCs w:val="20"/>
          <w:color w:val="auto"/>
        </w:rPr>
        <w:t>” means any Patent Rights that (a) (i) claim any Invention included in the Collaboration Know-How or (ii) disclose any Collaboration Know-How and (b) have a priority date that is after the Effective Date.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Technology</w:t>
      </w:r>
      <w:r>
        <w:rPr>
          <w:rFonts w:ascii="Arial" w:cs="Arial" w:eastAsia="Arial" w:hAnsi="Arial"/>
          <w:sz w:val="18"/>
          <w:szCs w:val="18"/>
          <w:color w:val="auto"/>
        </w:rPr>
        <w:t>” means Collaboration Know-How and Collaboration Patent Rights.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 Licensed Product that includes (a) BLU-701 or BLU-945, or both, on the one hand; and (b) another Active Ingredient, on the other hand, sold for a single price.</w:t>
      </w:r>
    </w:p>
    <w:p>
      <w:pPr>
        <w:spacing w:after="0" w:line="16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Combination Regimen</w:t>
      </w:r>
      <w:r>
        <w:rPr>
          <w:rFonts w:ascii="Arial" w:cs="Arial" w:eastAsia="Arial" w:hAnsi="Arial"/>
          <w:sz w:val="20"/>
          <w:szCs w:val="20"/>
          <w:color w:val="auto"/>
        </w:rPr>
        <w:t>” means any product or treatment regimen that comprises, or is a combination of (a) a Licensed Product containing a Blueprint Compound, and (b) any other product containing an Active Ingredient other than such Blueprint Compound, where (a) and (b) are labeled for use together either simultaneously or in a separate or sequential administration, whether or not sold for a single price.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Supply Agreement</w:t>
      </w:r>
      <w:r>
        <w:rPr>
          <w:rFonts w:ascii="Arial" w:cs="Arial" w:eastAsia="Arial" w:hAnsi="Arial"/>
          <w:sz w:val="18"/>
          <w:szCs w:val="18"/>
          <w:color w:val="auto"/>
        </w:rPr>
        <w:t>” has the meaning set forth in Section 7.1.2 (Commercial Supply).</w:t>
      </w:r>
    </w:p>
    <w:p>
      <w:pPr>
        <w:spacing w:after="0" w:line="21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any and all activities directed to the marketing, promotion, distribution, pricing, reimbursement, offering for sale, and sale of a pharmaceutical or biologic product and interacting with Regulatory Authorities following receipt of Regulatory Approval in the applicable country or region for such pharmaceutical or biologic product regarding the foregoing, including seeking and maintaining any required Reimbursement Approval, but excluding activities directed to Manufacturing, Development, or Medical Affairs. “</w:t>
      </w:r>
      <w:r>
        <w:rPr>
          <w:rFonts w:ascii="Arial" w:cs="Arial" w:eastAsia="Arial" w:hAnsi="Arial"/>
          <w:sz w:val="19"/>
          <w:szCs w:val="19"/>
          <w:b w:val="1"/>
          <w:bCs w:val="1"/>
          <w:color w:val="auto"/>
        </w:rPr>
        <w:t>Commercialize</w:t>
      </w:r>
      <w:r>
        <w:rPr>
          <w:rFonts w:ascii="Arial" w:cs="Arial" w:eastAsia="Arial" w:hAnsi="Arial"/>
          <w:sz w:val="19"/>
          <w:szCs w:val="19"/>
          <w:color w:val="auto"/>
        </w:rPr>
        <w:t>,” “</w:t>
      </w:r>
      <w:r>
        <w:rPr>
          <w:rFonts w:ascii="Arial" w:cs="Arial" w:eastAsia="Arial" w:hAnsi="Arial"/>
          <w:sz w:val="19"/>
          <w:szCs w:val="19"/>
          <w:b w:val="1"/>
          <w:bCs w:val="1"/>
          <w:color w:val="auto"/>
        </w:rPr>
        <w:t>Commercializing</w:t>
      </w:r>
      <w:r>
        <w:rPr>
          <w:rFonts w:ascii="Arial" w:cs="Arial" w:eastAsia="Arial" w:hAnsi="Arial"/>
          <w:sz w:val="19"/>
          <w:szCs w:val="19"/>
          <w:color w:val="auto"/>
        </w:rPr>
        <w:t>,” and “</w:t>
      </w:r>
      <w:r>
        <w:rPr>
          <w:rFonts w:ascii="Arial" w:cs="Arial" w:eastAsia="Arial" w:hAnsi="Arial"/>
          <w:sz w:val="19"/>
          <w:szCs w:val="19"/>
          <w:b w:val="1"/>
          <w:bCs w:val="1"/>
          <w:color w:val="auto"/>
        </w:rPr>
        <w:t>Commercialized</w:t>
      </w:r>
      <w:r>
        <w:rPr>
          <w:rFonts w:ascii="Arial" w:cs="Arial" w:eastAsia="Arial" w:hAnsi="Arial"/>
          <w:sz w:val="19"/>
          <w:szCs w:val="19"/>
          <w:color w:val="auto"/>
        </w:rPr>
        <w:t>” will be construed accordingly.</w:t>
      </w:r>
    </w:p>
    <w:p>
      <w:pPr>
        <w:spacing w:after="0" w:line="17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Commercialization Plan</w:t>
      </w:r>
      <w:r>
        <w:rPr>
          <w:rFonts w:ascii="Arial" w:cs="Arial" w:eastAsia="Arial" w:hAnsi="Arial"/>
          <w:sz w:val="20"/>
          <w:szCs w:val="20"/>
          <w:color w:val="auto"/>
        </w:rPr>
        <w:t>” means, with respect to a Licensed Product, the written [****] strategic and tactical plans for the Commercialization activities for such Licensed Product to be conducted in the Territory that will be prepared and updated by Zai as provided in Section 9.2 (Commercialization Plans).</w:t>
      </w:r>
    </w:p>
    <w:p>
      <w:pPr>
        <w:spacing w:after="0" w:line="177"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Exploitation of a Blueprint Compound or a Licensed Product by a Party, those efforts and resources, including reasonably necessary personnel, equivalent to the efforts that a reasonable international biopharmaceutical company or a pharmaceutical company[****] based on conditions then prevailing and taking into account all relevant factors [****]. Commercially Reasonable Efforts requires, with respect to an obligation, that the Party: (a) promptly assign responsibility for such obligation to specific employees who are held accountable for progress and monitor such progress on an on-going basis, (b) set and seek to achieve specific and meaningful objectives for carrying out such obligation, and (c) make and implement decisions and allocate resources designed to advance progress with respect to such objectives. [****]</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Companion Diagnostics</w:t>
      </w:r>
      <w:r>
        <w:rPr>
          <w:rFonts w:ascii="Arial" w:cs="Arial" w:eastAsia="Arial" w:hAnsi="Arial"/>
          <w:sz w:val="16"/>
          <w:szCs w:val="16"/>
          <w:color w:val="auto"/>
        </w:rPr>
        <w:t>” has the meaning set forth in Section 5.18 (Development of Companion Diagnostics).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Activities</w:t>
      </w:r>
      <w:r>
        <w:rPr>
          <w:rFonts w:ascii="Arial" w:cs="Arial" w:eastAsia="Arial" w:hAnsi="Arial"/>
          <w:sz w:val="18"/>
          <w:szCs w:val="18"/>
          <w:color w:val="auto"/>
        </w:rPr>
        <w:t>” has the meaning set forth in Section 2.8.1 (Exclusivity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38" w:name="page239"/>
    <w:bookmarkEnd w:id="238"/>
    <w:p>
      <w:pPr>
        <w:spacing w:after="0"/>
        <w:tabs>
          <w:tab w:leader="none" w:pos="64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Product</w:t>
      </w:r>
      <w:r>
        <w:rPr>
          <w:rFonts w:ascii="Arial" w:cs="Arial" w:eastAsia="Arial" w:hAnsi="Arial"/>
          <w:sz w:val="18"/>
          <w:szCs w:val="18"/>
          <w:color w:val="auto"/>
        </w:rPr>
        <w:t>” means [****] other than a Licensed Product, that [****].</w:t>
      </w:r>
    </w:p>
    <w:p>
      <w:pPr>
        <w:spacing w:after="0" w:line="21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 Know-How and any technical, scientific, trade, research, manufacturing, business, financial, marketing, product, supplier, intellectual property, and other non-public or proprietary data or information (including unpublished patent applications) that may be disclosed by one Party or its Affiliates to the other Party or its Affiliates pursuant to this Agreement (including information disclosed prior to the Effective Date pursuant to the Confidentiality Agreement), regardless of whether such information is specifically marked or designated as confidential and regardless of whether such information is in written, oral, electronic, or other form, and (b) the terms of this Agreement. Information of a Disclosing Party will not be Confidential Information of such Disclosing Party to the extent that the Receiving Party can demonstrate through competent evidence that such information:</w:t>
      </w:r>
    </w:p>
    <w:p>
      <w:pPr>
        <w:spacing w:after="0" w:line="182" w:lineRule="exact"/>
        <w:rPr>
          <w:sz w:val="20"/>
          <w:szCs w:val="20"/>
          <w:color w:val="auto"/>
        </w:rPr>
      </w:pPr>
    </w:p>
    <w:p>
      <w:pPr>
        <w:jc w:val="both"/>
        <w:ind w:left="1300" w:right="20" w:hanging="644"/>
        <w:spacing w:after="0" w:line="238"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0"/>
          <w:szCs w:val="20"/>
          <w:color w:val="auto"/>
        </w:rPr>
        <w:t>is known by the Receiving Party or any of its Affiliates without an obligation of confidentiality at the time of its receipt from the Disclosing Party, and not through a prior disclosure by or on behalf of the Disclosing Party, as documented by the Receiving Party’s business records;</w:t>
      </w:r>
    </w:p>
    <w:p>
      <w:pPr>
        <w:spacing w:after="0" w:line="194" w:lineRule="exact"/>
        <w:rPr>
          <w:rFonts w:ascii="Arial" w:cs="Arial" w:eastAsia="Arial" w:hAnsi="Arial"/>
          <w:sz w:val="22"/>
          <w:szCs w:val="22"/>
          <w:color w:val="auto"/>
        </w:rPr>
      </w:pPr>
    </w:p>
    <w:p>
      <w:pPr>
        <w:ind w:left="1300" w:hanging="644"/>
        <w:spacing w:after="0"/>
        <w:tabs>
          <w:tab w:leader="none" w:pos="1300" w:val="left"/>
        </w:tabs>
        <w:numPr>
          <w:ilvl w:val="0"/>
          <w:numId w:val="146"/>
        </w:numPr>
        <w:rPr>
          <w:rFonts w:ascii="Arial" w:cs="Arial" w:eastAsia="Arial" w:hAnsi="Arial"/>
          <w:sz w:val="22"/>
          <w:szCs w:val="22"/>
          <w:color w:val="auto"/>
        </w:rPr>
      </w:pPr>
      <w:r>
        <w:rPr>
          <w:rFonts w:ascii="Arial" w:cs="Arial" w:eastAsia="Arial" w:hAnsi="Arial"/>
          <w:sz w:val="20"/>
          <w:szCs w:val="20"/>
          <w:color w:val="auto"/>
        </w:rPr>
        <w:t>is generally available to the public before its receipt from the Disclosing Party;</w:t>
      </w:r>
    </w:p>
    <w:p>
      <w:pPr>
        <w:spacing w:after="0" w:line="208" w:lineRule="exact"/>
        <w:rPr>
          <w:rFonts w:ascii="Arial" w:cs="Arial" w:eastAsia="Arial" w:hAnsi="Arial"/>
          <w:sz w:val="22"/>
          <w:szCs w:val="22"/>
          <w:color w:val="auto"/>
        </w:rPr>
      </w:pPr>
    </w:p>
    <w:p>
      <w:pPr>
        <w:jc w:val="both"/>
        <w:ind w:left="1300" w:hanging="644"/>
        <w:spacing w:after="0" w:line="238"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0"/>
          <w:szCs w:val="20"/>
          <w:color w:val="auto"/>
        </w:rPr>
        <w:t>became generally available to the public or otherwise part of the public domain after its disclosure by the Disclosing Party and other than through any act or omission of the Receiving Party or any of its Affiliates or discloses in breach of this Agreement;</w:t>
      </w:r>
    </w:p>
    <w:p>
      <w:pPr>
        <w:spacing w:after="0" w:line="197" w:lineRule="exact"/>
        <w:rPr>
          <w:rFonts w:ascii="Arial" w:cs="Arial" w:eastAsia="Arial" w:hAnsi="Arial"/>
          <w:sz w:val="22"/>
          <w:szCs w:val="22"/>
          <w:color w:val="auto"/>
        </w:rPr>
      </w:pPr>
    </w:p>
    <w:p>
      <w:pPr>
        <w:jc w:val="both"/>
        <w:ind w:left="1300" w:hanging="644"/>
        <w:spacing w:after="0" w:line="238"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0"/>
          <w:szCs w:val="20"/>
          <w:color w:val="auto"/>
        </w:rPr>
        <w:t>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197" w:lineRule="exact"/>
        <w:rPr>
          <w:rFonts w:ascii="Arial" w:cs="Arial" w:eastAsia="Arial" w:hAnsi="Arial"/>
          <w:sz w:val="22"/>
          <w:szCs w:val="22"/>
          <w:color w:val="auto"/>
        </w:rPr>
      </w:pPr>
    </w:p>
    <w:p>
      <w:pPr>
        <w:jc w:val="both"/>
        <w:ind w:left="1300" w:hanging="644"/>
        <w:spacing w:after="0" w:line="238"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0"/>
          <w:szCs w:val="20"/>
          <w:color w:val="auto"/>
        </w:rPr>
        <w:t>is developed by the Receiving Party or any of its Affiliates independently and without use of or reference to any Confidential Information received from the Disclosing Party, as documented by the Receiving Party’s business records.</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5"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Confidential Disclosure Agreement dated [****] by and between the Parties.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Continuing Know-How Transfer</w:t>
      </w:r>
      <w:r>
        <w:rPr>
          <w:rFonts w:ascii="Arial" w:cs="Arial" w:eastAsia="Arial" w:hAnsi="Arial"/>
          <w:sz w:val="18"/>
          <w:szCs w:val="18"/>
          <w:color w:val="auto"/>
        </w:rPr>
        <w:t>” has the meaning set forth in Section 4.3 (Continuing Know-How Transfer).</w:t>
      </w:r>
    </w:p>
    <w:p>
      <w:pPr>
        <w:spacing w:after="0" w:line="21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the possession by a Party (whether by ownership, license, or otherwise other than pursuant to this Agreement) of, (a) with respect to any tangible Know-How, the legal authority or right to physical possession of such tangible Know-How, with the right to provide such tangible Know-How to the other Party on the terms set forth herein, or (b) with respect to Patent Rights, Regulatory Approvals, Regulatory Submissions, intangible Know-How, or other intellectual property rights, the legal authority or right to grant a license, sublicense, access, or right to reference or use (as applicable) to the other Party under such Patent Rights, Regulatory Approvals, Regulatory Submissions, intangible Know-How, or other intellectual property rights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39" w:name="page240"/>
    <w:bookmarkEnd w:id="239"/>
    <w:p>
      <w:pPr>
        <w:jc w:val="both"/>
        <w:ind w:left="660"/>
        <w:spacing w:after="0" w:line="254" w:lineRule="auto"/>
        <w:rPr>
          <w:sz w:val="20"/>
          <w:szCs w:val="20"/>
          <w:color w:val="auto"/>
        </w:rPr>
      </w:pPr>
      <w:r>
        <w:rPr>
          <w:rFonts w:ascii="Arial" w:cs="Arial" w:eastAsia="Arial" w:hAnsi="Arial"/>
          <w:sz w:val="19"/>
          <w:szCs w:val="19"/>
          <w:color w:val="auto"/>
        </w:rPr>
        <w:t>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licenses, or sublicense and without being required to make any payment to any Third Party other than payment obligations related to Blueprint In-Licensed Rights or Zai In-Licensed Rights acquired or licensed in accordance with Section 2.6 (Third Party In-Licenses) under which the other Party elects to take a sublicense and agrees to reimburse the contracting Party as set forth in Section 2.6 (Third Party In-Licenses). Notwithstanding the foregoing, a Party and its Affiliates will not be deemed to “Control” any Patent Right or Know-How that, prior to the consummation of a Change of Control of such Party, is owned or in-licensed by a Third Party that becomes an Affiliate of such acquired Party after the Effective Date as a result of such Change of Control unless (i) prior to the consummation of such Change of Control, such acquired Party or any of its Affiliates also Controlled such Patent Right or Know-How, or (ii) after the consummation of such Change of Control, such acquired Party or any of its Affiliates determines to use or uses any such Patent Rights or Know-How in the performance of its obligations or exercise of its rights under this Agreement, in each of which cases ((i) and (ii)), such Patent Rights or Know-How will be “Controlled” by such Party for purposes of this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Controlling Party</w:t>
      </w:r>
      <w:r>
        <w:rPr>
          <w:rFonts w:ascii="Arial" w:cs="Arial" w:eastAsia="Arial" w:hAnsi="Arial"/>
          <w:sz w:val="18"/>
          <w:szCs w:val="18"/>
          <w:color w:val="auto"/>
        </w:rPr>
        <w:t>” has the meaning set forth in Section 14.3.2(a)(ii) (Enforcement Rights; Zai First Right).</w:t>
      </w:r>
    </w:p>
    <w:p>
      <w:pPr>
        <w:spacing w:after="0" w:line="216"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means, with respect to a particular subject matter at issue and a relevant Patent Right, that the manufacture, use, sale, offer for sale, or importation of such subject matter would fall within the scope of a claim in such Patent Right.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CRO</w:t>
      </w:r>
      <w:r>
        <w:rPr>
          <w:rFonts w:ascii="Arial" w:cs="Arial" w:eastAsia="Arial" w:hAnsi="Arial"/>
          <w:sz w:val="16"/>
          <w:szCs w:val="16"/>
          <w:color w:val="auto"/>
        </w:rPr>
        <w:t>” means a contract research organization.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Data Breach</w:t>
      </w:r>
      <w:r>
        <w:rPr>
          <w:rFonts w:ascii="Arial" w:cs="Arial" w:eastAsia="Arial" w:hAnsi="Arial"/>
          <w:sz w:val="18"/>
          <w:szCs w:val="18"/>
          <w:color w:val="auto"/>
        </w:rPr>
        <w:t>” has the meaning set forth in Section 12.5.2.</w:t>
      </w:r>
    </w:p>
    <w:p>
      <w:pPr>
        <w:spacing w:after="0" w:line="21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Debarred/Excluded</w:t>
      </w:r>
      <w:r>
        <w:rPr>
          <w:rFonts w:ascii="Arial" w:cs="Arial" w:eastAsia="Arial" w:hAnsi="Arial"/>
          <w:sz w:val="19"/>
          <w:szCs w:val="19"/>
          <w:color w:val="auto"/>
        </w:rPr>
        <w:t xml:space="preserve">” means any Person becoming debarred or suspended under 21 U.S.C. §335(a) or (b), the subject of a conviction described in Section 306 of the FD&amp;C Act, excluded, or having previously been excluded, from a federal or governmental health care program, debarred from federal contracting, convicted of or pled </w:t>
      </w:r>
      <w:r>
        <w:rPr>
          <w:rFonts w:ascii="Arial" w:cs="Arial" w:eastAsia="Arial" w:hAnsi="Arial"/>
          <w:sz w:val="19"/>
          <w:szCs w:val="19"/>
          <w:i w:val="1"/>
          <w:iCs w:val="1"/>
          <w:color w:val="auto"/>
        </w:rPr>
        <w:t>nolo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contendere </w:t>
      </w:r>
      <w:r>
        <w:rPr>
          <w:rFonts w:ascii="Arial" w:cs="Arial" w:eastAsia="Arial" w:hAnsi="Arial"/>
          <w:sz w:val="19"/>
          <w:szCs w:val="19"/>
          <w:color w:val="auto"/>
        </w:rPr>
        <w:t>to any felony, or to any federal or state legal violation (including misdemeanors) relating to prescription</w:t>
      </w:r>
      <w:r>
        <w:rPr>
          <w:rFonts w:ascii="Arial" w:cs="Arial" w:eastAsia="Arial" w:hAnsi="Arial"/>
          <w:sz w:val="19"/>
          <w:szCs w:val="19"/>
          <w:i w:val="1"/>
          <w:iCs w:val="1"/>
          <w:color w:val="auto"/>
        </w:rPr>
        <w:t xml:space="preserve"> </w:t>
      </w:r>
      <w:r>
        <w:rPr>
          <w:rFonts w:ascii="Arial" w:cs="Arial" w:eastAsia="Arial" w:hAnsi="Arial"/>
          <w:sz w:val="19"/>
          <w:szCs w:val="19"/>
          <w:color w:val="auto"/>
        </w:rPr>
        <w:t>drug products or fraud, the subject to OFAC sanctions or on the OFAC list of specially designated nationals, or the subject of any similar sanction of any Governmental Authority in the Territory.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Deficient Site</w:t>
      </w:r>
      <w:r>
        <w:rPr>
          <w:rFonts w:ascii="Arial" w:cs="Arial" w:eastAsia="Arial" w:hAnsi="Arial"/>
          <w:sz w:val="16"/>
          <w:szCs w:val="16"/>
          <w:color w:val="auto"/>
        </w:rPr>
        <w:t>” has the meaning set forth in Section 5.14.2 (Deficient Sublicensees or Sites and Replacement).</w:t>
      </w:r>
    </w:p>
    <w:p>
      <w:pPr>
        <w:spacing w:after="0" w:line="21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internal and external research, development, and regulatory activities related to pharmaceutical or biologic products, including (a) research, non-clinical testing, toxicology, testing and studies, non-clinical and preclinical activities, and Clinical Trials, (b) preparation, submission, review, and development of data or information (or reports relating thereto and analysis and review of such reports) for the purpose of reviewing the progress and status of the activities under subsection (a) or for the purposes of submission to a Regulatory Authority to obtain authorization to conduct Clinical Trials and to obtain, support, or maintain Regulatory Approval of a pharmaceutical or biologic product, but excluding activities directed to Manufacturing, Medical Affairs, or Commercialization, and (c) the design of future studies,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0" w:name="page241"/>
    <w:bookmarkEnd w:id="240"/>
    <w:p>
      <w:pPr>
        <w:jc w:val="both"/>
        <w:ind w:left="660"/>
        <w:spacing w:after="0" w:line="272" w:lineRule="auto"/>
        <w:rPr>
          <w:sz w:val="20"/>
          <w:szCs w:val="20"/>
          <w:color w:val="auto"/>
        </w:rPr>
      </w:pPr>
      <w:r>
        <w:rPr>
          <w:rFonts w:ascii="Arial" w:cs="Arial" w:eastAsia="Arial" w:hAnsi="Arial"/>
          <w:sz w:val="18"/>
          <w:szCs w:val="18"/>
          <w:color w:val="auto"/>
        </w:rPr>
        <w:t>clinical and preclinical activities, and Clinical Trials. Development will include development and regulatory activities for additional forms, 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observational studies, implementation and management of registries and analysis thereof, in each case, if required by any Regulatory Authority in any region in the Territory to support or maintain Regulatory Approval for a pharmaceutical or biologic product in such region). “</w:t>
      </w:r>
      <w:r>
        <w:rPr>
          <w:rFonts w:ascii="Arial" w:cs="Arial" w:eastAsia="Arial" w:hAnsi="Arial"/>
          <w:sz w:val="18"/>
          <w:szCs w:val="18"/>
          <w:b w:val="1"/>
          <w:bCs w:val="1"/>
          <w:color w:val="auto"/>
        </w:rPr>
        <w:t>Develop</w:t>
      </w:r>
      <w:r>
        <w:rPr>
          <w:rFonts w:ascii="Arial" w:cs="Arial" w:eastAsia="Arial" w:hAnsi="Arial"/>
          <w:sz w:val="18"/>
          <w:szCs w:val="18"/>
          <w:color w:val="auto"/>
        </w:rPr>
        <w:t>,” “</w:t>
      </w:r>
      <w:r>
        <w:rPr>
          <w:rFonts w:ascii="Arial" w:cs="Arial" w:eastAsia="Arial" w:hAnsi="Arial"/>
          <w:sz w:val="18"/>
          <w:szCs w:val="18"/>
          <w:b w:val="1"/>
          <w:bCs w:val="1"/>
          <w:color w:val="auto"/>
        </w:rPr>
        <w:t>Developing</w:t>
      </w:r>
      <w:r>
        <w:rPr>
          <w:rFonts w:ascii="Arial" w:cs="Arial" w:eastAsia="Arial" w:hAnsi="Arial"/>
          <w:sz w:val="18"/>
          <w:szCs w:val="18"/>
          <w:color w:val="auto"/>
        </w:rPr>
        <w:t>,” and “</w:t>
      </w:r>
      <w:r>
        <w:rPr>
          <w:rFonts w:ascii="Arial" w:cs="Arial" w:eastAsia="Arial" w:hAnsi="Arial"/>
          <w:sz w:val="18"/>
          <w:szCs w:val="18"/>
          <w:b w:val="1"/>
          <w:bCs w:val="1"/>
          <w:color w:val="auto"/>
        </w:rPr>
        <w:t>Developed</w:t>
      </w:r>
      <w:r>
        <w:rPr>
          <w:rFonts w:ascii="Arial" w:cs="Arial" w:eastAsia="Arial" w:hAnsi="Arial"/>
          <w:sz w:val="18"/>
          <w:szCs w:val="18"/>
          <w:color w:val="auto"/>
        </w:rPr>
        <w:t>” will be construed accordingly.</w:t>
      </w:r>
    </w:p>
    <w:p>
      <w:pPr>
        <w:spacing w:after="0" w:line="164"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Development Milestone Events</w:t>
      </w:r>
      <w:r>
        <w:rPr>
          <w:rFonts w:ascii="Arial" w:cs="Arial" w:eastAsia="Arial" w:hAnsi="Arial"/>
          <w:sz w:val="20"/>
          <w:szCs w:val="20"/>
          <w:color w:val="auto"/>
        </w:rPr>
        <w:t>” has the meaning set forth in Section 10.2.1 (Development Milestone Events and Payments).</w:t>
      </w:r>
    </w:p>
    <w:p>
      <w:pPr>
        <w:spacing w:after="0" w:line="16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Development Milestone Payments</w:t>
      </w:r>
      <w:r>
        <w:rPr>
          <w:rFonts w:ascii="Arial" w:cs="Arial" w:eastAsia="Arial" w:hAnsi="Arial"/>
          <w:sz w:val="20"/>
          <w:szCs w:val="20"/>
          <w:color w:val="auto"/>
        </w:rPr>
        <w:t>” has the meaning set forth in Section 10.2.1 (Development Milestone Events and Payments).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Subcontractor</w:t>
      </w:r>
      <w:r>
        <w:rPr>
          <w:rFonts w:ascii="Arial" w:cs="Arial" w:eastAsia="Arial" w:hAnsi="Arial"/>
          <w:sz w:val="16"/>
          <w:szCs w:val="16"/>
          <w:color w:val="auto"/>
        </w:rPr>
        <w:t>” has the meaning set forth in Section 2.2.3 (Right to Subcontract).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11.1.1 (Duty of Confidence).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set forth in Section 16.1 (General).</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means the U.S. dollar, and “$” will be interpreted accordingly.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EGFR</w:t>
      </w:r>
      <w:r>
        <w:rPr>
          <w:rFonts w:ascii="Arial" w:cs="Arial" w:eastAsia="Arial" w:hAnsi="Arial"/>
          <w:sz w:val="18"/>
          <w:szCs w:val="18"/>
          <w:color w:val="auto"/>
        </w:rPr>
        <w:t>” means epidermal growth factor receptor.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Examined Party</w:t>
      </w:r>
      <w:r>
        <w:rPr>
          <w:rFonts w:ascii="Arial" w:cs="Arial" w:eastAsia="Arial" w:hAnsi="Arial"/>
          <w:sz w:val="18"/>
          <w:szCs w:val="18"/>
          <w:color w:val="auto"/>
        </w:rPr>
        <w:t>” has the meaning set forth in Section 10.11 (Financial Records and Audits).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Excess Enrollment Reimbursement</w:t>
      </w:r>
      <w:r>
        <w:rPr>
          <w:rFonts w:ascii="Arial" w:cs="Arial" w:eastAsia="Arial" w:hAnsi="Arial"/>
          <w:sz w:val="20"/>
          <w:szCs w:val="20"/>
          <w:color w:val="auto"/>
        </w:rPr>
        <w:t>” has the meaning set forth in Section 5.2.3 (Enrollment of Additional Patients).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has the meaning set forth in Section 3.6.3 (Decisions of the JSC).</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means to make, have made, use, offer to sell, sell, import, export, Develop, Manufacture, perform Medical Affairs activities, or Commercialize. “</w:t>
      </w:r>
      <w:r>
        <w:rPr>
          <w:rFonts w:ascii="Arial" w:cs="Arial" w:eastAsia="Arial" w:hAnsi="Arial"/>
          <w:sz w:val="20"/>
          <w:szCs w:val="20"/>
          <w:b w:val="1"/>
          <w:bCs w:val="1"/>
          <w:color w:val="auto"/>
        </w:rPr>
        <w:t>Exploitation</w:t>
      </w:r>
      <w:r>
        <w:rPr>
          <w:rFonts w:ascii="Arial" w:cs="Arial" w:eastAsia="Arial" w:hAnsi="Arial"/>
          <w:sz w:val="20"/>
          <w:szCs w:val="20"/>
          <w:color w:val="auto"/>
        </w:rPr>
        <w:t>” will be construed accordingly.</w:t>
      </w:r>
    </w:p>
    <w:p>
      <w:pPr>
        <w:spacing w:after="0" w:line="16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FD&amp;C Act</w:t>
      </w:r>
      <w:r>
        <w:rPr>
          <w:rFonts w:ascii="Arial" w:cs="Arial" w:eastAsia="Arial" w:hAnsi="Arial"/>
          <w:sz w:val="20"/>
          <w:szCs w:val="20"/>
          <w:color w:val="auto"/>
        </w:rPr>
        <w:t>” means the United States Federal Food, Drug and Cosmetic Act, as amended from time to time, together with any rules, regulations, and requirements promulgated thereunder (including all additions, supplements, extensions, and modifications thereto).</w:t>
      </w:r>
    </w:p>
    <w:p>
      <w:pPr>
        <w:spacing w:after="0" w:line="177"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United States Food and Drug Administration or any successor entity thereto having essentially the same function.</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the prevention, treatment, and diagnosis of any indications in humans.</w:t>
      </w:r>
    </w:p>
    <w:p>
      <w:pPr>
        <w:spacing w:after="0" w:line="216"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any Licensed Product in any country or region, the first sale of such Licensed Product to a Third Party for distribution, use, or consumption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1" w:name="page242"/>
    <w:bookmarkEnd w:id="241"/>
    <w:p>
      <w:pPr>
        <w:ind w:left="660"/>
        <w:spacing w:after="0" w:line="260" w:lineRule="auto"/>
        <w:rPr>
          <w:sz w:val="20"/>
          <w:szCs w:val="20"/>
          <w:color w:val="auto"/>
        </w:rPr>
      </w:pPr>
      <w:r>
        <w:rPr>
          <w:rFonts w:ascii="Arial" w:cs="Arial" w:eastAsia="Arial" w:hAnsi="Arial"/>
          <w:sz w:val="20"/>
          <w:szCs w:val="20"/>
          <w:color w:val="auto"/>
        </w:rPr>
        <w:t>country or region after receiving all necessary Regulatory Approval and Reimbursement Approval (if required) to do so. First Commercial Sale excludes [****].</w:t>
      </w:r>
    </w:p>
    <w:p>
      <w:pPr>
        <w:spacing w:after="0" w:line="17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the work of one duly qualified employee of a Party full time for one year (consisting of a total of [****] per year) carrying out Development, Manufacturing, Medical Affairs activities, or other scientific or technical work under this Agreement. Overtime and work on weekends, holidays, and the like, in each case, will not be counted with any multiplier (</w:t>
      </w:r>
      <w:r>
        <w:rPr>
          <w:rFonts w:ascii="Arial" w:cs="Arial" w:eastAsia="Arial" w:hAnsi="Arial"/>
          <w:sz w:val="19"/>
          <w:szCs w:val="19"/>
          <w:i w:val="1"/>
          <w:iCs w:val="1"/>
          <w:color w:val="auto"/>
        </w:rPr>
        <w:t>e.g.</w:t>
      </w:r>
      <w:r>
        <w:rPr>
          <w:rFonts w:ascii="Arial" w:cs="Arial" w:eastAsia="Arial" w:hAnsi="Arial"/>
          <w:sz w:val="19"/>
          <w:szCs w:val="19"/>
          <w:color w:val="auto"/>
        </w:rPr>
        <w:t>, time-and-a-half or double time) toward the number of hours that are used to calculate the FTE contribution. The portion of an FTE billable by a Party for one individual during a given accounting period will be determined by dividing the number of hours worked directly by such individual on the work to be conducted under this Agreement during such accounting period and the number of FTE hours applicable for such accounting period based on [****] per Calendar Year.</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the amount for an FTE per Calendar Year, which for the Calendar Year ending on December 31,</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2021 will be [****].</w:t>
      </w:r>
    </w:p>
    <w:p>
      <w:pPr>
        <w:spacing w:after="0" w:line="194"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Fully Burdened Manufacturing Cost</w:t>
      </w:r>
      <w:r>
        <w:rPr>
          <w:rFonts w:ascii="Arial" w:cs="Arial" w:eastAsia="Arial" w:hAnsi="Arial"/>
          <w:sz w:val="20"/>
          <w:szCs w:val="20"/>
          <w:color w:val="auto"/>
        </w:rPr>
        <w:t>” means, with respect to any Blueprint Compound, Licensed Product, or any Zai Product (or component thereof), in each case, supplied by or on behalf of the applicable Party to the other Party or its Affiliates hereunder:</w:t>
      </w:r>
    </w:p>
    <w:p>
      <w:pPr>
        <w:spacing w:after="0" w:line="183" w:lineRule="exact"/>
        <w:rPr>
          <w:sz w:val="20"/>
          <w:szCs w:val="20"/>
          <w:color w:val="auto"/>
        </w:rPr>
      </w:pPr>
    </w:p>
    <w:p>
      <w:pPr>
        <w:jc w:val="both"/>
        <w:ind w:left="1300" w:hanging="644"/>
        <w:spacing w:after="0" w:line="256" w:lineRule="auto"/>
        <w:tabs>
          <w:tab w:leader="none" w:pos="1300" w:val="left"/>
        </w:tabs>
        <w:numPr>
          <w:ilvl w:val="0"/>
          <w:numId w:val="147"/>
        </w:numPr>
        <w:rPr>
          <w:rFonts w:ascii="Arial" w:cs="Arial" w:eastAsia="Arial" w:hAnsi="Arial"/>
          <w:sz w:val="21"/>
          <w:szCs w:val="21"/>
          <w:color w:val="auto"/>
        </w:rPr>
      </w:pPr>
      <w:r>
        <w:rPr>
          <w:rFonts w:ascii="Arial" w:cs="Arial" w:eastAsia="Arial" w:hAnsi="Arial"/>
          <w:sz w:val="19"/>
          <w:szCs w:val="19"/>
          <w:color w:val="auto"/>
        </w:rPr>
        <w:t>if and to the extent such Blueprint Compound, Licensed Product, or Zai Product (or any precursor or intermediate thereof), as applicable, is Manufactured by a Third Party manufacturer, (i) the actual Third Party costs of such Manufacturing incurred by the supplying Party, including the costs [****]; and</w:t>
      </w:r>
    </w:p>
    <w:p>
      <w:pPr>
        <w:spacing w:after="0" w:line="180" w:lineRule="exact"/>
        <w:rPr>
          <w:rFonts w:ascii="Arial" w:cs="Arial" w:eastAsia="Arial" w:hAnsi="Arial"/>
          <w:sz w:val="21"/>
          <w:szCs w:val="21"/>
          <w:color w:val="auto"/>
        </w:rPr>
      </w:pPr>
    </w:p>
    <w:p>
      <w:pPr>
        <w:jc w:val="both"/>
        <w:ind w:left="1300" w:hanging="644"/>
        <w:spacing w:after="0" w:line="238" w:lineRule="auto"/>
        <w:tabs>
          <w:tab w:leader="none" w:pos="1300"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if and to the extent such Blueprint Compound, Licensed Product, or Zai Product (or any precursor or intermediate thereof), as applicable, is Manufactured by a Party or its Affiliate, the actual, fully burdened costs [****], including the cost of [****] Such fully burdened costs will be calculated in accordance with applicable Accounting Standards, consistently applied.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16"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means all applicable good clinical practice standards for the design, conduct, performance, 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9"/>
          <w:szCs w:val="19"/>
          <w:b w:val="1"/>
          <w:bCs w:val="1"/>
          <w:color w:val="auto"/>
        </w:rPr>
        <w:t>ICH</w:t>
      </w:r>
      <w:r>
        <w:rPr>
          <w:rFonts w:ascii="Arial" w:cs="Arial" w:eastAsia="Arial" w:hAnsi="Arial"/>
          <w:sz w:val="19"/>
          <w:szCs w:val="19"/>
          <w:color w:val="auto"/>
        </w:rPr>
        <w:t xml:space="preserve"> </w:t>
      </w:r>
      <w:r>
        <w:rPr>
          <w:rFonts w:ascii="Arial" w:cs="Arial" w:eastAsia="Arial" w:hAnsi="Arial"/>
          <w:sz w:val="19"/>
          <w:szCs w:val="19"/>
          <w:b w:val="1"/>
          <w:bCs w:val="1"/>
          <w:color w:val="auto"/>
        </w:rPr>
        <w:t>Guidelines</w:t>
      </w:r>
      <w:r>
        <w:rPr>
          <w:rFonts w:ascii="Arial" w:cs="Arial" w:eastAsia="Arial" w:hAnsi="Arial"/>
          <w:sz w:val="19"/>
          <w:szCs w:val="19"/>
          <w:color w:val="auto"/>
        </w:rPr>
        <w:t>”) and any other guidelines for good clinical practice for trials on medicinal products in the Territory, (b)</w:t>
      </w:r>
      <w:r>
        <w:rPr>
          <w:rFonts w:ascii="Arial" w:cs="Arial" w:eastAsia="Arial" w:hAnsi="Arial"/>
          <w:sz w:val="19"/>
          <w:szCs w:val="19"/>
          <w:b w:val="1"/>
          <w:bCs w:val="1"/>
          <w:color w:val="auto"/>
        </w:rPr>
        <w:t xml:space="preserve"> </w:t>
      </w:r>
      <w:r>
        <w:rPr>
          <w:rFonts w:ascii="Arial" w:cs="Arial" w:eastAsia="Arial" w:hAnsi="Arial"/>
          <w:sz w:val="19"/>
          <w:szCs w:val="19"/>
          <w:color w:val="auto"/>
        </w:rPr>
        <w:t>the Declaration of Helsinki (2004) as last amended at the 52</w:t>
      </w:r>
      <w:r>
        <w:rPr>
          <w:rFonts w:ascii="Arial" w:cs="Arial" w:eastAsia="Arial" w:hAnsi="Arial"/>
          <w:sz w:val="28"/>
          <w:szCs w:val="28"/>
          <w:color w:val="auto"/>
          <w:vertAlign w:val="superscript"/>
        </w:rPr>
        <w:t>nd</w:t>
      </w:r>
      <w:r>
        <w:rPr>
          <w:rFonts w:ascii="Arial" w:cs="Arial" w:eastAsia="Arial" w:hAnsi="Arial"/>
          <w:sz w:val="19"/>
          <w:szCs w:val="19"/>
          <w:color w:val="auto"/>
        </w:rPr>
        <w:t xml:space="preserve">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Brand Elements</w:t>
      </w:r>
      <w:r>
        <w:rPr>
          <w:rFonts w:ascii="Arial" w:cs="Arial" w:eastAsia="Arial" w:hAnsi="Arial"/>
          <w:sz w:val="18"/>
          <w:szCs w:val="18"/>
          <w:color w:val="auto"/>
        </w:rPr>
        <w:t>” has the meaning set forth in Section 14.9.1 (Global Brand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2" w:name="page243"/>
    <w:bookmarkEnd w:id="242"/>
    <w:p>
      <w:pPr>
        <w:spacing w:after="0"/>
        <w:tabs>
          <w:tab w:leader="none" w:pos="64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Brand Strategy</w:t>
      </w:r>
      <w:r>
        <w:rPr>
          <w:rFonts w:ascii="Arial" w:cs="Arial" w:eastAsia="Arial" w:hAnsi="Arial"/>
          <w:sz w:val="18"/>
          <w:szCs w:val="18"/>
          <w:color w:val="auto"/>
        </w:rPr>
        <w:t>” has the meaning set forth in Section 9.2 (Commercialization Plan).</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Global Clinical Trial</w:t>
      </w:r>
      <w:r>
        <w:rPr>
          <w:rFonts w:ascii="Arial" w:cs="Arial" w:eastAsia="Arial" w:hAnsi="Arial"/>
          <w:sz w:val="20"/>
          <w:szCs w:val="20"/>
          <w:color w:val="auto"/>
        </w:rPr>
        <w:t>” means a Clinical Trial for a Licensed Product the data from which, at the time of commencement, is intended to be used to obtain Regulatory Approval both inside the Territory and in any of the following: [****].</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Development Plan</w:t>
      </w:r>
      <w:r>
        <w:rPr>
          <w:rFonts w:ascii="Arial" w:cs="Arial" w:eastAsia="Arial" w:hAnsi="Arial"/>
          <w:sz w:val="18"/>
          <w:szCs w:val="18"/>
          <w:color w:val="auto"/>
        </w:rPr>
        <w:t>” has the meaning set forth in Section 5.1 (Global Development Plan).</w:t>
      </w:r>
    </w:p>
    <w:p>
      <w:pPr>
        <w:spacing w:after="0" w:line="21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GLP</w:t>
      </w:r>
      <w:r>
        <w:rPr>
          <w:rFonts w:ascii="Arial" w:cs="Arial" w:eastAsia="Arial" w:hAnsi="Arial"/>
          <w:sz w:val="20"/>
          <w:szCs w:val="20"/>
          <w:color w:val="auto"/>
        </w:rPr>
        <w:t>” means all applicable good laboratory practice standards, including, as applicable, as set forth in the then-current good laboratory practice standards promulgated or endorsed by the U.S. Food and Drug Administration, as defined in 21 C.F.R. Part 58, and the equivalent Applicable Law in the region in the Territory, each as may be amended and applicable from time to time.</w:t>
      </w:r>
    </w:p>
    <w:p>
      <w:pPr>
        <w:spacing w:after="0" w:line="18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federal, national, state, provincial, or local government, or political subdivision thereof, or any multinational organization or any authority, agency, regulatory body, or commission entitled to exercise any administrative, executive, judicial, legislative, police, regulatory or taxing authority or power, or any court or tribunal (or any department, bureau or division of any of the foregoing, or any governmental arbitrator or arbitral body). Governmental Authorities include all Regulatory Authorities.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ICC</w:t>
      </w:r>
      <w:r>
        <w:rPr>
          <w:rFonts w:ascii="Arial" w:cs="Arial" w:eastAsia="Arial" w:hAnsi="Arial"/>
          <w:sz w:val="18"/>
          <w:szCs w:val="18"/>
          <w:color w:val="auto"/>
        </w:rPr>
        <w:t>” has the meaning set forth in Section 16.3.1 (Rules).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 Guidelines</w:t>
      </w:r>
      <w:r>
        <w:rPr>
          <w:rFonts w:ascii="Arial" w:cs="Arial" w:eastAsia="Arial" w:hAnsi="Arial"/>
          <w:sz w:val="18"/>
          <w:szCs w:val="18"/>
          <w:color w:val="auto"/>
        </w:rPr>
        <w:t>” has the meaning set forth in Section 1.96 (GCP).</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IDL</w:t>
      </w:r>
      <w:r>
        <w:rPr>
          <w:rFonts w:ascii="Arial" w:cs="Arial" w:eastAsia="Arial" w:hAnsi="Arial"/>
          <w:sz w:val="18"/>
          <w:szCs w:val="18"/>
          <w:color w:val="auto"/>
        </w:rPr>
        <w:t>” has the meaning set forth in Section 1.131 (Marketing Authorization Application or MAA).</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consistently applied.</w:t>
      </w:r>
    </w:p>
    <w:p>
      <w:pPr>
        <w:spacing w:after="0" w:line="21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required pursuant to 21 C.F.R. Part 312 or any comparable filings outside of the U.S. required to commence human clinical trials in such country or region (such as an application for a Clinical Trial Authorization in the Territory), and all supplements or amendments that may be filed with respect to the foregoing.</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13.3 (Indemnification Procedure).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13.3 (Indemnification Procedure).</w:t>
      </w:r>
    </w:p>
    <w:p>
      <w:pPr>
        <w:spacing w:after="0" w:line="216"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Indication</w:t>
      </w:r>
      <w:r>
        <w:rPr>
          <w:rFonts w:ascii="Arial" w:cs="Arial" w:eastAsia="Arial" w:hAnsi="Arial"/>
          <w:sz w:val="20"/>
          <w:szCs w:val="20"/>
          <w:color w:val="auto"/>
        </w:rPr>
        <w:t>” means [****] that a Licensed Product is [****] in the indication section of the Approved Labeling for such Licensed Product, or that is the subject of a Clinical Trial and where it is [****]</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Know-How Transfer</w:t>
      </w:r>
      <w:r>
        <w:rPr>
          <w:rFonts w:ascii="Arial" w:cs="Arial" w:eastAsia="Arial" w:hAnsi="Arial"/>
          <w:sz w:val="18"/>
          <w:szCs w:val="18"/>
          <w:color w:val="auto"/>
        </w:rPr>
        <w:t>” has the meaning set forth in Section 4.1 (Initial Know-How Transfer).</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Invention</w:t>
      </w:r>
      <w:r>
        <w:rPr>
          <w:rFonts w:ascii="Arial" w:cs="Arial" w:eastAsia="Arial" w:hAnsi="Arial"/>
          <w:sz w:val="20"/>
          <w:szCs w:val="20"/>
          <w:color w:val="auto"/>
        </w:rPr>
        <w:t>” means any process, method, composition, article of manufacture, discovery, or finding that is conceived or reduced to practice (whether or not patentable).</w:t>
      </w:r>
    </w:p>
    <w:p>
      <w:pPr>
        <w:spacing w:after="0" w:line="16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Collaboration Know-How</w:t>
      </w:r>
      <w:r>
        <w:rPr>
          <w:rFonts w:ascii="Arial" w:cs="Arial" w:eastAsia="Arial" w:hAnsi="Arial"/>
          <w:sz w:val="20"/>
          <w:szCs w:val="20"/>
          <w:color w:val="auto"/>
        </w:rPr>
        <w:t>” means (a) Blueprint/Zai Combination Know-How, and (b) other Collaboration Know-How, excluding any Assigned Collaboration Know-How, developed or invented jointly by a Party’s or its Affiliates’, licensees’, Sublicensees’, or Subcontractors’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3" w:name="page244"/>
    <w:bookmarkEnd w:id="243"/>
    <w:p>
      <w:pPr>
        <w:jc w:val="both"/>
        <w:ind w:left="660"/>
        <w:spacing w:after="0" w:line="278" w:lineRule="auto"/>
        <w:rPr>
          <w:sz w:val="20"/>
          <w:szCs w:val="20"/>
          <w:color w:val="auto"/>
        </w:rPr>
      </w:pPr>
      <w:r>
        <w:rPr>
          <w:rFonts w:ascii="Arial" w:cs="Arial" w:eastAsia="Arial" w:hAnsi="Arial"/>
          <w:sz w:val="18"/>
          <w:szCs w:val="18"/>
          <w:color w:val="auto"/>
        </w:rPr>
        <w:t>employees, agents, or independent contractors, or any Persons that are contractually required to assign or license such Collaboration Know-How to such Party or any Affiliate of such Party, on the one hand, and the other Party’s or its Affiliates’, licensees’, Sublicensees’, or Subcontractors’ employees, agents, or independent contractors, or any Persons that are contractually required to assign or license such Collaboration Know-How to such Party or any Affiliate of such Party, on the other hand, in the performance of activities under this Agreement during the Term.</w:t>
      </w:r>
    </w:p>
    <w:p>
      <w:pPr>
        <w:spacing w:after="0" w:line="159"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Collaboration Patent Rights</w:t>
      </w:r>
      <w:r>
        <w:rPr>
          <w:rFonts w:ascii="Arial" w:cs="Arial" w:eastAsia="Arial" w:hAnsi="Arial"/>
          <w:sz w:val="20"/>
          <w:szCs w:val="20"/>
          <w:color w:val="auto"/>
        </w:rPr>
        <w:t>” means all Collaboration Patent Rights that Cover Joint Collaboration Know-How, including Blueprint/Zai Combination Patent Rights.</w:t>
      </w:r>
    </w:p>
    <w:p>
      <w:pPr>
        <w:spacing w:after="0" w:line="163"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Collaboration Technology</w:t>
      </w:r>
      <w:r>
        <w:rPr>
          <w:rFonts w:ascii="Arial" w:cs="Arial" w:eastAsia="Arial" w:hAnsi="Arial"/>
          <w:sz w:val="20"/>
          <w:szCs w:val="20"/>
          <w:color w:val="auto"/>
        </w:rPr>
        <w:t>” means the Joint Collaboration Know-How and the Joint Collaboration Patent Rights.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JPT</w:t>
      </w:r>
      <w:r>
        <w:rPr>
          <w:rFonts w:ascii="Arial" w:cs="Arial" w:eastAsia="Arial" w:hAnsi="Arial"/>
          <w:sz w:val="18"/>
          <w:szCs w:val="18"/>
          <w:color w:val="auto"/>
        </w:rPr>
        <w:t>” has the meaning set forth in Section 3.3 (Joint Project Teams).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JPT Chairperson</w:t>
      </w:r>
      <w:r>
        <w:rPr>
          <w:rFonts w:ascii="Arial" w:cs="Arial" w:eastAsia="Arial" w:hAnsi="Arial"/>
          <w:sz w:val="18"/>
          <w:szCs w:val="18"/>
          <w:color w:val="auto"/>
        </w:rPr>
        <w:t>” has the meaning set forth in Section 3.3.1 (Formation; Composition; Meetings).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has the meaning set forth in Section 3.2.1 (Formation).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 Chairperson</w:t>
      </w:r>
      <w:r>
        <w:rPr>
          <w:rFonts w:ascii="Arial" w:cs="Arial" w:eastAsia="Arial" w:hAnsi="Arial"/>
          <w:sz w:val="18"/>
          <w:szCs w:val="18"/>
          <w:color w:val="auto"/>
        </w:rPr>
        <w:t>” has the meaning set forth in Section 3.2.1 (Formation).</w:t>
      </w:r>
    </w:p>
    <w:p>
      <w:pPr>
        <w:spacing w:after="0" w:line="21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information and materials, including records, discoveries, improvements, modifications, processes, techniques, methods, assays, chemical or biological materials, designs, protocols, formulas, data (including physical data, chemical data, toxicology data, animal data, raw data, clinical data, and analytical and quality control data), dosage regimens, control assays, product specifications, marketing, pricing and distribution costs, Inventions, algorithms, technology, forecasts, profiles, strategies, plans, results in any form whatsoever, know-how and trade secrets (in each case, whether or not patentable, copyrightable or otherwise).</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 of (a) with respect to Blueprint, [****] and (b) with respect to Zai, [****].</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highlight w:val="yellow"/>
        </w:rPr>
        <w:t>1.124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means any product containing a Blueprint Compound as an Active Ingredient, in any form, formulation, dosage form, or method of delivery[****]. [****]</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Listing Patents</w:t>
      </w:r>
      <w:r>
        <w:rPr>
          <w:rFonts w:ascii="Arial" w:cs="Arial" w:eastAsia="Arial" w:hAnsi="Arial"/>
          <w:sz w:val="18"/>
          <w:szCs w:val="18"/>
          <w:color w:val="auto"/>
        </w:rPr>
        <w:t>” has the meaning set forth in Section 14.6 (Patent Listings).</w:t>
      </w:r>
    </w:p>
    <w:p>
      <w:pPr>
        <w:spacing w:after="0" w:line="21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1.126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Local Manufacturing Approval</w:t>
      </w:r>
      <w:r>
        <w:rPr>
          <w:rFonts w:ascii="Arial" w:cs="Arial" w:eastAsia="Arial" w:hAnsi="Arial"/>
          <w:sz w:val="20"/>
          <w:szCs w:val="20"/>
          <w:color w:val="auto"/>
        </w:rPr>
        <w:t>” means receipt of all approvals and authorizations necessary for Zai or its Affiliate or their respective CMOs to Manufacture a particular Licensed Product in a particular region in the Territory (including after validation and qualification of Zai’s or such Affiliate’s or CMO’s applicable facilities in the Territory).</w:t>
      </w:r>
    </w:p>
    <w:p>
      <w:pPr>
        <w:spacing w:after="0" w:line="183"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0"/>
          <w:szCs w:val="20"/>
          <w:b w:val="1"/>
          <w:bCs w:val="1"/>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means damages, debts, obligations, and other liabilities, losses, claims, taxes, interest obligations, deficiencies, judgments, assessments, fines, fees, penalties, or expenses (including amounts paid in settlement, interest, court costs, costs of investigators, reasonable fees and expenses of attorneys, accountants, financial advisors, consultants, and other experts, and other expenses of litigation).</w:t>
      </w:r>
    </w:p>
    <w:p>
      <w:pPr>
        <w:spacing w:after="0" w:line="169"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means activities directed to manufacturing, processing, packaging, labeling, filling, finishing, assembly, shipping, storage, or freight of any pharmaceutical or biologic product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4" w:name="page245"/>
    <w:bookmarkEnd w:id="244"/>
    <w:p>
      <w:pPr>
        <w:jc w:val="both"/>
        <w:ind w:left="660"/>
        <w:spacing w:after="0" w:line="276" w:lineRule="auto"/>
        <w:rPr>
          <w:sz w:val="20"/>
          <w:szCs w:val="20"/>
          <w:color w:val="auto"/>
        </w:rPr>
      </w:pPr>
      <w:r>
        <w:rPr>
          <w:rFonts w:ascii="Arial" w:cs="Arial" w:eastAsia="Arial" w:hAnsi="Arial"/>
          <w:sz w:val="18"/>
          <w:szCs w:val="18"/>
          <w:color w:val="auto"/>
        </w:rPr>
        <w:t>components or process steps involving any product or any companion diagnostic), placebo, or comparator agent, as the case may be, including quality assurance and stability testing, characterization testing, quality control release testing of drug substance and drug product, quality assurance batch record review and release of product, process development, qualification, and validation, scale-up, pre-clinical, clinical, and commercial manufacture and analytic development, and product characterization, but excluding activities directed to Development, Commercialization, or Medical Affairs. “</w:t>
      </w:r>
      <w:r>
        <w:rPr>
          <w:rFonts w:ascii="Arial" w:cs="Arial" w:eastAsia="Arial" w:hAnsi="Arial"/>
          <w:sz w:val="18"/>
          <w:szCs w:val="18"/>
          <w:b w:val="1"/>
          <w:bCs w:val="1"/>
          <w:color w:val="auto"/>
        </w:rPr>
        <w:t>Manufacturing</w:t>
      </w:r>
      <w:r>
        <w:rPr>
          <w:rFonts w:ascii="Arial" w:cs="Arial" w:eastAsia="Arial" w:hAnsi="Arial"/>
          <w:sz w:val="18"/>
          <w:szCs w:val="18"/>
          <w:color w:val="auto"/>
        </w:rPr>
        <w:t>” and “</w:t>
      </w:r>
      <w:r>
        <w:rPr>
          <w:rFonts w:ascii="Arial" w:cs="Arial" w:eastAsia="Arial" w:hAnsi="Arial"/>
          <w:sz w:val="18"/>
          <w:szCs w:val="18"/>
          <w:b w:val="1"/>
          <w:bCs w:val="1"/>
          <w:color w:val="auto"/>
        </w:rPr>
        <w:t>Manufactured</w:t>
      </w:r>
      <w:r>
        <w:rPr>
          <w:rFonts w:ascii="Arial" w:cs="Arial" w:eastAsia="Arial" w:hAnsi="Arial"/>
          <w:sz w:val="18"/>
          <w:szCs w:val="18"/>
          <w:color w:val="auto"/>
        </w:rPr>
        <w:t>” will be construed accordingly.</w:t>
      </w:r>
    </w:p>
    <w:p>
      <w:pPr>
        <w:spacing w:after="0" w:line="159"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0"/>
          <w:szCs w:val="20"/>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means the transfer of the Blueprint Manufacturing Know-How related to a Blueprint Compound and Licensed Products containing such Blueprint Compound in accordance with the Manufacturing Technology Transfer Plan for such Blueprint Compound, which includes the provision of any technical assistance to enable the Manufacture of such Licensed Products [****].</w:t>
      </w:r>
    </w:p>
    <w:p>
      <w:pPr>
        <w:spacing w:after="0" w:line="16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Manufacturing Technology Transfer Plan</w:t>
      </w:r>
      <w:r>
        <w:rPr>
          <w:rFonts w:ascii="Arial" w:cs="Arial" w:eastAsia="Arial" w:hAnsi="Arial"/>
          <w:sz w:val="20"/>
          <w:szCs w:val="20"/>
          <w:color w:val="auto"/>
        </w:rPr>
        <w:t>” means, for each Blueprint Compound, the plan for the transfer to Zai and its designees of Blueprint Manufacturing Know-How for the Licensed Products that include such Blueprint Compound, which plan, among other things, will set forth [****].</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Marketing Authorization Application</w:t>
      </w:r>
      <w:r>
        <w:rPr>
          <w:rFonts w:ascii="Arial" w:cs="Arial" w:eastAsia="Arial" w:hAnsi="Arial"/>
          <w:sz w:val="19"/>
          <w:szCs w:val="19"/>
          <w:color w:val="auto"/>
        </w:rPr>
        <w:t>” or “</w:t>
      </w:r>
      <w:r>
        <w:rPr>
          <w:rFonts w:ascii="Arial" w:cs="Arial" w:eastAsia="Arial" w:hAnsi="Arial"/>
          <w:sz w:val="19"/>
          <w:szCs w:val="19"/>
          <w:b w:val="1"/>
          <w:bCs w:val="1"/>
          <w:color w:val="auto"/>
        </w:rPr>
        <w:t>MAA</w:t>
      </w:r>
      <w:r>
        <w:rPr>
          <w:rFonts w:ascii="Arial" w:cs="Arial" w:eastAsia="Arial" w:hAnsi="Arial"/>
          <w:sz w:val="19"/>
          <w:szCs w:val="19"/>
          <w:color w:val="auto"/>
        </w:rPr>
        <w:t>” means any new drug application, biologics license application, or other marketing authorization application, in each case, filed with the applicable Regulatory Authority in a country or other regulatory jurisdiction, which application is required to commercially market or sell a pharmaceutical or biologic product in such country or jurisdiction (and any amendments thereto). In the context of imported drugs, MAA is also known as the Import Drug License (“</w:t>
      </w:r>
      <w:r>
        <w:rPr>
          <w:rFonts w:ascii="Arial" w:cs="Arial" w:eastAsia="Arial" w:hAnsi="Arial"/>
          <w:sz w:val="19"/>
          <w:szCs w:val="19"/>
          <w:b w:val="1"/>
          <w:bCs w:val="1"/>
          <w:color w:val="auto"/>
        </w:rPr>
        <w:t>IDL</w:t>
      </w:r>
      <w:r>
        <w:rPr>
          <w:rFonts w:ascii="Arial" w:cs="Arial" w:eastAsia="Arial" w:hAnsi="Arial"/>
          <w:sz w:val="19"/>
          <w:szCs w:val="19"/>
          <w:color w:val="auto"/>
        </w:rPr>
        <w:t>”) application.</w:t>
      </w:r>
    </w:p>
    <w:p>
      <w:pPr>
        <w:spacing w:after="0" w:line="171"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b w:val="1"/>
          <w:bCs w:val="1"/>
          <w:color w:val="auto"/>
        </w:rPr>
        <w:t>1.132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Medical Affairs</w:t>
      </w:r>
      <w:r>
        <w:rPr>
          <w:rFonts w:ascii="Arial" w:cs="Arial" w:eastAsia="Arial" w:hAnsi="Arial"/>
          <w:sz w:val="20"/>
          <w:szCs w:val="20"/>
          <w:color w:val="auto"/>
        </w:rPr>
        <w:t>” means activities conducted by a Party’s medical affairs departments (or, if a Party does not have a medical affairs department, the equivalent function thereof), including communications with key opinion leaders, medical education, symposia, advisory boards (to the extent related to medical affairs or clinical guidance), activities performed in connection with patient registries, and other medical programs and communications, including educational grants, research grants (including conducting investigator-initiated studies), and charitable donations to the extent related to medical affairs and not to other activities that do not involve the promotion, marketing, sale, or other Commercialization of the Licensed Products and are not conducted by a Party’s medical affairs (or equivalent) departments.</w:t>
      </w:r>
    </w:p>
    <w:p>
      <w:pPr>
        <w:spacing w:after="0" w:line="189"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Medical Affairs Plan</w:t>
      </w:r>
      <w:r>
        <w:rPr>
          <w:rFonts w:ascii="Arial" w:cs="Arial" w:eastAsia="Arial" w:hAnsi="Arial"/>
          <w:sz w:val="20"/>
          <w:szCs w:val="20"/>
          <w:color w:val="auto"/>
        </w:rPr>
        <w:t>” means, with respect to a Licensed Product, [****] for the Medical Affairs activities for such Licensed Product to be conducted in the Territory, which plan will include medical information that Zai will provide in the Territory, including [****] that will be prepared and updated by Zai as provided in Section 8.1 (Medical Affairs Plans).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has the meaning set forth in Section 10.2.3(a) (Notification of Milestone Events).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has the meaning set forth in Section 10.2.3(a) (Notification of Milestone Events).</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 Licensed Product, the gross amount [****] by Zai and its Affiliates and Sublicensees (each of the foregoing, a “</w:t>
      </w:r>
      <w:r>
        <w:rPr>
          <w:rFonts w:ascii="Arial" w:cs="Arial" w:eastAsia="Arial" w:hAnsi="Arial"/>
          <w:sz w:val="20"/>
          <w:szCs w:val="20"/>
          <w:b w:val="1"/>
          <w:bCs w:val="1"/>
          <w:color w:val="auto"/>
        </w:rPr>
        <w:t>Seller</w:t>
      </w:r>
      <w:r>
        <w:rPr>
          <w:rFonts w:ascii="Arial" w:cs="Arial" w:eastAsia="Arial" w:hAnsi="Arial"/>
          <w:sz w:val="20"/>
          <w:szCs w:val="20"/>
          <w:color w:val="auto"/>
        </w:rPr>
        <w:t>”) to independent, unrelated persons (including Third Party Distributors) (“</w:t>
      </w:r>
      <w:r>
        <w:rPr>
          <w:rFonts w:ascii="Arial" w:cs="Arial" w:eastAsia="Arial" w:hAnsi="Arial"/>
          <w:sz w:val="20"/>
          <w:szCs w:val="20"/>
          <w:b w:val="1"/>
          <w:bCs w:val="1"/>
          <w:color w:val="auto"/>
        </w:rPr>
        <w:t>Buyers</w:t>
      </w:r>
      <w:r>
        <w:rPr>
          <w:rFonts w:ascii="Arial" w:cs="Arial" w:eastAsia="Arial" w:hAnsi="Arial"/>
          <w:sz w:val="20"/>
          <w:szCs w:val="20"/>
          <w:color w:val="auto"/>
        </w:rPr>
        <w:t xml:space="preserve">”) in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arm’s length transactions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5" w:name="page246"/>
    <w:bookmarkEnd w:id="245"/>
    <w:p>
      <w:pPr>
        <w:ind w:left="200"/>
        <w:spacing w:after="0"/>
        <w:rPr>
          <w:sz w:val="20"/>
          <w:szCs w:val="20"/>
          <w:color w:val="auto"/>
        </w:rPr>
      </w:pPr>
      <w:r>
        <w:rPr>
          <w:rFonts w:ascii="Arial" w:cs="Arial" w:eastAsia="Arial" w:hAnsi="Arial"/>
          <w:sz w:val="18"/>
          <w:szCs w:val="18"/>
          <w:color w:val="auto"/>
        </w:rPr>
        <w:t>to such Licensed Product, less the following deductions, in each case, to the extent [****] in connection with such</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Licensed Product:</w:t>
      </w:r>
    </w:p>
    <w:p>
      <w:pPr>
        <w:spacing w:after="0" w:line="197" w:lineRule="exact"/>
        <w:rPr>
          <w:sz w:val="20"/>
          <w:szCs w:val="20"/>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840" w:hanging="644"/>
        <w:spacing w:after="0"/>
        <w:tabs>
          <w:tab w:leader="none" w:pos="840" w:val="left"/>
        </w:tabs>
        <w:numPr>
          <w:ilvl w:val="0"/>
          <w:numId w:val="148"/>
        </w:numPr>
        <w:rPr>
          <w:rFonts w:ascii="Arial" w:cs="Arial" w:eastAsia="Arial" w:hAnsi="Arial"/>
          <w:sz w:val="22"/>
          <w:szCs w:val="22"/>
          <w:color w:val="auto"/>
        </w:rPr>
      </w:pPr>
      <w:r>
        <w:rPr>
          <w:rFonts w:ascii="Arial" w:cs="Arial" w:eastAsia="Arial" w:hAnsi="Arial"/>
          <w:sz w:val="20"/>
          <w:szCs w:val="20"/>
          <w:color w:val="auto"/>
        </w:rPr>
        <w:t>[****].</w:t>
      </w:r>
    </w:p>
    <w:p>
      <w:pPr>
        <w:spacing w:after="0" w:line="209" w:lineRule="exact"/>
        <w:rPr>
          <w:sz w:val="20"/>
          <w:szCs w:val="20"/>
          <w:color w:val="auto"/>
        </w:rPr>
      </w:pPr>
    </w:p>
    <w:p>
      <w:pPr>
        <w:jc w:val="both"/>
        <w:ind w:left="200"/>
        <w:spacing w:after="0" w:line="260" w:lineRule="auto"/>
        <w:rPr>
          <w:sz w:val="20"/>
          <w:szCs w:val="20"/>
          <w:color w:val="auto"/>
        </w:rPr>
      </w:pPr>
      <w:r>
        <w:rPr>
          <w:rFonts w:ascii="Arial" w:cs="Arial" w:eastAsia="Arial" w:hAnsi="Arial"/>
          <w:sz w:val="20"/>
          <w:szCs w:val="20"/>
          <w:color w:val="auto"/>
        </w:rPr>
        <w:t>If Seller receives non-cash consideration for a Licensed Product sold to a Buyer during the Term, then the Net Sales amount for such Licensed Product will be calculated based on [****].</w:t>
      </w:r>
    </w:p>
    <w:p>
      <w:pPr>
        <w:spacing w:after="0" w:line="177" w:lineRule="exact"/>
        <w:rPr>
          <w:sz w:val="20"/>
          <w:szCs w:val="20"/>
          <w:color w:val="auto"/>
        </w:rPr>
      </w:pPr>
    </w:p>
    <w:p>
      <w:pPr>
        <w:jc w:val="both"/>
        <w:ind w:left="200"/>
        <w:spacing w:after="0" w:line="278" w:lineRule="auto"/>
        <w:rPr>
          <w:sz w:val="20"/>
          <w:szCs w:val="20"/>
          <w:color w:val="auto"/>
        </w:rPr>
      </w:pPr>
      <w:r>
        <w:rPr>
          <w:rFonts w:ascii="Arial" w:cs="Arial" w:eastAsia="Arial" w:hAnsi="Arial"/>
          <w:sz w:val="18"/>
          <w:szCs w:val="18"/>
          <w:color w:val="auto"/>
        </w:rPr>
        <w:t xml:space="preserve">No deduction will be made for any item of cost incurred by any Seller in Developing or Commercializing Licensed Products except as permitted pursuant to clauses (a) to (f) of the foregoing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Licensed Products transferred to Buyers in reasonable quantities in connection with Clinical Trials, compassionate use or named-patient use, in each case, will give rise to Net Sales only to the extent [****]. If a single item falls into more than one of the categories set forth in clauses (a)-(f) above, then such item may not be deducted more than once.</w:t>
      </w:r>
    </w:p>
    <w:p>
      <w:pPr>
        <w:spacing w:after="0" w:line="165" w:lineRule="exact"/>
        <w:rPr>
          <w:sz w:val="20"/>
          <w:szCs w:val="20"/>
          <w:color w:val="auto"/>
        </w:rPr>
      </w:pPr>
    </w:p>
    <w:p>
      <w:pPr>
        <w:jc w:val="both"/>
        <w:ind w:left="200"/>
        <w:spacing w:after="0" w:line="246" w:lineRule="auto"/>
        <w:rPr>
          <w:sz w:val="20"/>
          <w:szCs w:val="20"/>
          <w:color w:val="auto"/>
        </w:rPr>
      </w:pPr>
      <w:r>
        <w:rPr>
          <w:rFonts w:ascii="Arial" w:cs="Arial" w:eastAsia="Arial" w:hAnsi="Arial"/>
          <w:sz w:val="20"/>
          <w:szCs w:val="20"/>
          <w:color w:val="auto"/>
        </w:rPr>
        <w:t>All deductions in clauses (a) through (f) above will be fairly and equitably allocated between such Licensed Product and other products of Zai and its Affiliates and Sublicensees such that such Licensed Product does not bear a disproportionate portion of such deductions. Calculations of Net Sales will be consistently applied across all products of Seller and will be consistent between periods.</w:t>
      </w:r>
    </w:p>
    <w:p>
      <w:pPr>
        <w:spacing w:after="0" w:line="191"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20"/>
          <w:szCs w:val="20"/>
          <w:color w:val="auto"/>
        </w:rPr>
        <w:t>Such amounts will be determined from the books and records of Seller, and will be calculated in accordance with applicable Accounting Standards.</w:t>
      </w:r>
    </w:p>
    <w:p>
      <w:pPr>
        <w:spacing w:after="0" w:line="177" w:lineRule="exact"/>
        <w:rPr>
          <w:sz w:val="20"/>
          <w:szCs w:val="20"/>
          <w:color w:val="auto"/>
        </w:rPr>
      </w:pPr>
    </w:p>
    <w:p>
      <w:pPr>
        <w:jc w:val="both"/>
        <w:ind w:left="200"/>
        <w:spacing w:after="0" w:line="260" w:lineRule="auto"/>
        <w:rPr>
          <w:sz w:val="20"/>
          <w:szCs w:val="20"/>
          <w:color w:val="auto"/>
        </w:rPr>
      </w:pPr>
      <w:r>
        <w:rPr>
          <w:rFonts w:ascii="Arial" w:cs="Arial" w:eastAsia="Arial" w:hAnsi="Arial"/>
          <w:sz w:val="20"/>
          <w:szCs w:val="20"/>
          <w:color w:val="auto"/>
        </w:rPr>
        <w:t>Transfers or sales between Zai and its Affiliates and Sublicensees will be disregarded for purposes of calculating Net Sales, except if such purchaser is an end user.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If a Licensed Product is a Combination Product, [****].</w:t>
      </w:r>
    </w:p>
    <w:p>
      <w:pPr>
        <w:spacing w:after="0" w:line="202" w:lineRule="exact"/>
        <w:rPr>
          <w:sz w:val="20"/>
          <w:szCs w:val="20"/>
          <w:color w:val="auto"/>
        </w:rPr>
      </w:pPr>
    </w:p>
    <w:p>
      <w:pPr>
        <w:jc w:val="both"/>
        <w:ind w:left="200"/>
        <w:spacing w:after="0" w:line="250" w:lineRule="auto"/>
        <w:rPr>
          <w:sz w:val="20"/>
          <w:szCs w:val="20"/>
          <w:color w:val="auto"/>
        </w:rPr>
      </w:pPr>
      <w:r>
        <w:rPr>
          <w:rFonts w:ascii="Arial" w:cs="Arial" w:eastAsia="Arial" w:hAnsi="Arial"/>
          <w:sz w:val="20"/>
          <w:szCs w:val="20"/>
          <w:color w:val="auto"/>
        </w:rPr>
        <w:t>If a Licensed Product containing the Blueprint Compound as the sole Active Ingredient is sold as part of an Combination Product and is sold separately in finished form, but the other Active Ingredients included in the Combination Product are not sold separately in finished form, [****].</w:t>
      </w:r>
    </w:p>
    <w:p>
      <w:pPr>
        <w:spacing w:after="0" w:line="159" w:lineRule="exact"/>
        <w:rPr>
          <w:sz w:val="20"/>
          <w:szCs w:val="20"/>
          <w:color w:val="auto"/>
        </w:rPr>
      </w:pPr>
    </w:p>
    <w:p>
      <w:pPr>
        <w:jc w:val="both"/>
        <w:ind w:left="200"/>
        <w:spacing w:after="0" w:line="250" w:lineRule="auto"/>
        <w:rPr>
          <w:sz w:val="20"/>
          <w:szCs w:val="20"/>
          <w:color w:val="auto"/>
        </w:rPr>
      </w:pPr>
      <w:r>
        <w:rPr>
          <w:rFonts w:ascii="Arial" w:cs="Arial" w:eastAsia="Arial" w:hAnsi="Arial"/>
          <w:sz w:val="20"/>
          <w:szCs w:val="20"/>
          <w:color w:val="auto"/>
        </w:rPr>
        <w:t>If a Licensed Product containing the Blueprint Compound as the sole Active Ingredient is sold as part of a Combination Product and is not sold separately in finished form, but the other Active Ingredients included in the Combination Product are sold separately in finished form, [****].</w:t>
      </w:r>
    </w:p>
    <w:p>
      <w:pPr>
        <w:spacing w:after="0" w:line="172" w:lineRule="exact"/>
        <w:rPr>
          <w:sz w:val="20"/>
          <w:szCs w:val="20"/>
          <w:color w:val="auto"/>
        </w:rPr>
      </w:pPr>
    </w:p>
    <w:p>
      <w:pPr>
        <w:jc w:val="both"/>
        <w:ind w:left="200"/>
        <w:spacing w:after="0" w:line="260" w:lineRule="auto"/>
        <w:rPr>
          <w:sz w:val="20"/>
          <w:szCs w:val="20"/>
          <w:color w:val="auto"/>
        </w:rPr>
      </w:pPr>
      <w:r>
        <w:rPr>
          <w:rFonts w:ascii="Arial" w:cs="Arial" w:eastAsia="Arial" w:hAnsi="Arial"/>
          <w:sz w:val="20"/>
          <w:szCs w:val="20"/>
          <w:color w:val="auto"/>
        </w:rPr>
        <w:t>If Net Sales of the Licensed Product when included in an Combination Product cannot be determined using the methods above (as neither the Licensed Product containing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46" w:name="page247"/>
    <w:bookmarkEnd w:id="246"/>
    <w:p>
      <w:pPr>
        <w:jc w:val="both"/>
        <w:ind w:left="660"/>
        <w:spacing w:after="0" w:line="243" w:lineRule="auto"/>
        <w:rPr>
          <w:sz w:val="20"/>
          <w:szCs w:val="20"/>
          <w:color w:val="auto"/>
        </w:rPr>
      </w:pPr>
      <w:r>
        <w:rPr>
          <w:rFonts w:ascii="Arial" w:cs="Arial" w:eastAsia="Arial" w:hAnsi="Arial"/>
          <w:sz w:val="20"/>
          <w:szCs w:val="20"/>
          <w:color w:val="auto"/>
        </w:rPr>
        <w:t>Blueprint Compound as the sole Active Ingredient nor the other Active Ingredients are sold separately), [****]. At least [****] prior to the anticipated First Commercial Sale of any such Combination Product in a region in the Territory, Zai will propose such good faith estimate to Blueprint, and Blueprint will [****] consider such proposal, and the Parties will seek to reach agreement on such allocation. If the Parties are unable to reach such agreement within [****] after Zai provides such proposal, then the issue will be resolved in accordance with Article 16 (Dispute Resolution).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Affiliate</w:t>
      </w:r>
      <w:r>
        <w:rPr>
          <w:rFonts w:ascii="Arial" w:cs="Arial" w:eastAsia="Arial" w:hAnsi="Arial"/>
          <w:sz w:val="18"/>
          <w:szCs w:val="18"/>
          <w:color w:val="auto"/>
        </w:rPr>
        <w:t>” has the meaning set forth in Section 2.8.3 (New Affiliate Exception).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Combination</w:t>
      </w:r>
      <w:r>
        <w:rPr>
          <w:rFonts w:ascii="Arial" w:cs="Arial" w:eastAsia="Arial" w:hAnsi="Arial"/>
          <w:sz w:val="18"/>
          <w:szCs w:val="18"/>
          <w:color w:val="auto"/>
        </w:rPr>
        <w:t>” has the meaning set forth in Section 5.9 (New Development Proposed by Zai).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Development Activities</w:t>
      </w:r>
      <w:r>
        <w:rPr>
          <w:rFonts w:ascii="Arial" w:cs="Arial" w:eastAsia="Arial" w:hAnsi="Arial"/>
          <w:sz w:val="18"/>
          <w:szCs w:val="18"/>
          <w:color w:val="auto"/>
        </w:rPr>
        <w:t>” has the meaning set forth in Section 5.9 (New Development Proposed by Zai).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Development Proposal</w:t>
      </w:r>
      <w:r>
        <w:rPr>
          <w:rFonts w:ascii="Arial" w:cs="Arial" w:eastAsia="Arial" w:hAnsi="Arial"/>
          <w:sz w:val="16"/>
          <w:szCs w:val="16"/>
          <w:color w:val="auto"/>
        </w:rPr>
        <w:t>” has the meaning set forth in Section 5.9 (New Development Proposed by Zai).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Indication</w:t>
      </w:r>
      <w:r>
        <w:rPr>
          <w:rFonts w:ascii="Arial" w:cs="Arial" w:eastAsia="Arial" w:hAnsi="Arial"/>
          <w:sz w:val="18"/>
          <w:szCs w:val="18"/>
          <w:color w:val="auto"/>
        </w:rPr>
        <w:t>” has the meaning set forth in Section 5.9 (New Development Proposed by Zai).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Territory-Specific Development Activities</w:t>
      </w:r>
      <w:r>
        <w:rPr>
          <w:rFonts w:ascii="Arial" w:cs="Arial" w:eastAsia="Arial" w:hAnsi="Arial"/>
          <w:sz w:val="18"/>
          <w:szCs w:val="18"/>
          <w:color w:val="auto"/>
        </w:rPr>
        <w:t>” has the meaning set forth in Section 5.9.1(a) (JSC Approval).</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1.144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NMPA</w:t>
      </w:r>
      <w:r>
        <w:rPr>
          <w:rFonts w:ascii="Arial" w:cs="Arial" w:eastAsia="Arial" w:hAnsi="Arial"/>
          <w:sz w:val="20"/>
          <w:szCs w:val="20"/>
          <w:color w:val="auto"/>
        </w:rPr>
        <w:t>” means the National Medical Products Administration of the PRC, and local counterparts thereto, and any successor agency or authority thereto having substantially the same function.</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Non-Clinical Development</w:t>
      </w:r>
      <w:r>
        <w:rPr>
          <w:rFonts w:ascii="Arial" w:cs="Arial" w:eastAsia="Arial" w:hAnsi="Arial"/>
          <w:sz w:val="18"/>
          <w:szCs w:val="18"/>
          <w:color w:val="auto"/>
        </w:rPr>
        <w:t>” means all Development excluding Clinical Development.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Non-Funding Party</w:t>
      </w:r>
      <w:r>
        <w:rPr>
          <w:rFonts w:ascii="Arial" w:cs="Arial" w:eastAsia="Arial" w:hAnsi="Arial"/>
          <w:sz w:val="18"/>
          <w:szCs w:val="18"/>
          <w:color w:val="auto"/>
        </w:rPr>
        <w:t>” has the meaning set forth in Section 5.8.1(a) (JSC Approval).</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NSCLC</w:t>
      </w:r>
      <w:r>
        <w:rPr>
          <w:rFonts w:ascii="Arial" w:cs="Arial" w:eastAsia="Arial" w:hAnsi="Arial"/>
          <w:sz w:val="18"/>
          <w:szCs w:val="18"/>
          <w:color w:val="auto"/>
        </w:rPr>
        <w:t>” means non-small cell lung cancer.</w:t>
      </w:r>
    </w:p>
    <w:p>
      <w:pPr>
        <w:spacing w:after="0" w:line="216"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1.148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Office of Foreign Assets Control of the United States Department of the Treasury or any successor agency thereto.</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Extensions</w:t>
      </w:r>
      <w:r>
        <w:rPr>
          <w:rFonts w:ascii="Arial" w:cs="Arial" w:eastAsia="Arial" w:hAnsi="Arial"/>
          <w:sz w:val="16"/>
          <w:szCs w:val="16"/>
          <w:color w:val="auto"/>
        </w:rPr>
        <w:t>” has the meaning set forth in Section 14.7 (Patent Term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 Section 15.2.3 (Termination for Patent Challenge).</w:t>
      </w:r>
    </w:p>
    <w:p>
      <w:pPr>
        <w:spacing w:after="0" w:line="216" w:lineRule="exact"/>
        <w:rPr>
          <w:sz w:val="20"/>
          <w:szCs w:val="20"/>
          <w:color w:val="auto"/>
        </w:rPr>
      </w:pPr>
    </w:p>
    <w:p>
      <w:pPr>
        <w:jc w:val="both"/>
        <w:ind w:left="660" w:hanging="647"/>
        <w:spacing w:after="0" w:line="323" w:lineRule="auto"/>
        <w:tabs>
          <w:tab w:leader="none" w:pos="640" w:val="left"/>
        </w:tabs>
        <w:rPr>
          <w:sz w:val="20"/>
          <w:szCs w:val="20"/>
          <w:color w:val="auto"/>
        </w:rPr>
      </w:pPr>
      <w:r>
        <w:rPr>
          <w:rFonts w:ascii="Arial" w:cs="Arial" w:eastAsia="Arial" w:hAnsi="Arial"/>
          <w:sz w:val="20"/>
          <w:szCs w:val="20"/>
          <w:b w:val="1"/>
          <w:bCs w:val="1"/>
          <w:color w:val="auto"/>
        </w:rPr>
        <w:t>1.152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activities directed to (a) preparing, filing, or prosecuting applications (of all types) for any Patent Right, (b) maintaining any Patent Right, or (c) deciding whether to abandon or maintain any Patent Right.</w:t>
      </w:r>
    </w:p>
    <w:p>
      <w:pPr>
        <w:spacing w:after="0" w:line="11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Patent Rights</w:t>
      </w:r>
      <w:r>
        <w:rPr>
          <w:rFonts w:ascii="Arial" w:cs="Arial" w:eastAsia="Arial" w:hAnsi="Arial"/>
          <w:sz w:val="20"/>
          <w:szCs w:val="20"/>
          <w:color w:val="auto"/>
        </w:rPr>
        <w:t>” means (a) all patents and patent applications in any country or region, (b) all patent applications filed either from such patents or patent applications or from an application claiming priority from any of these, including divisionals, continuations, continuations-in-part, provisionals, converted provisionals, and continued prosecution applications, (c) any and all patents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7" w:name="page248"/>
    <w:bookmarkEnd w:id="247"/>
    <w:p>
      <w:pPr>
        <w:jc w:val="both"/>
        <w:ind w:left="660"/>
        <w:spacing w:after="0" w:line="291" w:lineRule="auto"/>
        <w:rPr>
          <w:sz w:val="20"/>
          <w:szCs w:val="20"/>
          <w:color w:val="auto"/>
        </w:rPr>
      </w:pPr>
      <w:r>
        <w:rPr>
          <w:rFonts w:ascii="Arial" w:cs="Arial" w:eastAsia="Arial" w:hAnsi="Arial"/>
          <w:sz w:val="18"/>
          <w:szCs w:val="18"/>
          <w:color w:val="auto"/>
        </w:rPr>
        <w:t>issued or in the future issue from the foregoing patent applications, and (d) any and all substitutions, renewals, registrations, confirmations, extensions, or restorations, including revalidations, reissues, and re-examinations (including any supplementary protection certificates and the like) of the foregoing patents or patent applications.</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Term Adjustment</w:t>
      </w:r>
      <w:r>
        <w:rPr>
          <w:rFonts w:ascii="Arial" w:cs="Arial" w:eastAsia="Arial" w:hAnsi="Arial"/>
          <w:sz w:val="16"/>
          <w:szCs w:val="16"/>
          <w:color w:val="auto"/>
        </w:rPr>
        <w:t>” has the meaning set forth in Section 14.7 (Patent Term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Term Extension</w:t>
      </w:r>
      <w:r>
        <w:rPr>
          <w:rFonts w:ascii="Arial" w:cs="Arial" w:eastAsia="Arial" w:hAnsi="Arial"/>
          <w:sz w:val="16"/>
          <w:szCs w:val="16"/>
          <w:color w:val="auto"/>
        </w:rPr>
        <w:t>” has the meaning set forth in Section 14.7 (Patent Term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Patient Commitment</w:t>
      </w:r>
      <w:r>
        <w:rPr>
          <w:rFonts w:ascii="Arial" w:cs="Arial" w:eastAsia="Arial" w:hAnsi="Arial"/>
          <w:sz w:val="18"/>
          <w:szCs w:val="18"/>
          <w:color w:val="auto"/>
        </w:rPr>
        <w:t>” has the meaning set forth in Section 5.2.1 (Enrollment in Committed Trials).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set forth in Section 10.12.2 (Tax Cooperation).</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1.158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Permitted Zai Non-Clinical Development</w:t>
      </w:r>
      <w:r>
        <w:rPr>
          <w:rFonts w:ascii="Arial" w:cs="Arial" w:eastAsia="Arial" w:hAnsi="Arial"/>
          <w:sz w:val="20"/>
          <w:szCs w:val="20"/>
          <w:color w:val="auto"/>
        </w:rPr>
        <w:t>” has the meaning set forth in Section 5.7 (Non-Clinical and Preclinical Studies).</w:t>
      </w:r>
    </w:p>
    <w:p>
      <w:pPr>
        <w:spacing w:after="0" w:line="16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1.159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limited or general partnership, limited liability company, joint venture, joint stock company, trust, unincorporated association, governmental body, authority, bureau, or agency, or any other entity or body, or an individual.</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information related to a reasonably identifiable natural person.</w:t>
      </w:r>
    </w:p>
    <w:p>
      <w:pPr>
        <w:spacing w:after="0" w:line="216"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1.161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 Clinical Trial</w:t>
      </w:r>
      <w:r>
        <w:rPr>
          <w:rFonts w:ascii="Arial" w:cs="Arial" w:eastAsia="Arial" w:hAnsi="Arial"/>
          <w:sz w:val="20"/>
          <w:szCs w:val="20"/>
          <w:color w:val="auto"/>
        </w:rPr>
        <w:t>” means a clinical trial in humans that is generally consistent with 21 C.F.R. § 312.21(a), as amended (or its successor regulation), or, with respect to any other country or region, the equivalent of such a clinical trial in such other country or region.</w:t>
      </w:r>
    </w:p>
    <w:p>
      <w:pPr>
        <w:spacing w:after="0" w:line="17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1.162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II Clinical Trial</w:t>
      </w:r>
      <w:r>
        <w:rPr>
          <w:rFonts w:ascii="Arial" w:cs="Arial" w:eastAsia="Arial" w:hAnsi="Arial"/>
          <w:sz w:val="20"/>
          <w:szCs w:val="20"/>
          <w:color w:val="auto"/>
        </w:rPr>
        <w:t>” means a clinical trial in humans that is generally consistent with 21 C.F.R. § 312.21(b), as amended (or its successor regulation), or, with respect to any other country or region, the equivalent of such a clinical trial in such other country or region.</w:t>
      </w:r>
    </w:p>
    <w:p>
      <w:pPr>
        <w:spacing w:after="0" w:line="177"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1.163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III Clinical Trial</w:t>
      </w:r>
      <w:r>
        <w:rPr>
          <w:rFonts w:ascii="Arial" w:cs="Arial" w:eastAsia="Arial" w:hAnsi="Arial"/>
          <w:sz w:val="20"/>
          <w:szCs w:val="20"/>
          <w:color w:val="auto"/>
        </w:rPr>
        <w:t>” means a clinical trial in humans of a pharmaceutical or biologic product (including any Combination Regimen) that is generally consistent with 21 C.F.R. § 312.21(c), as amended (or its successor regulation), or, with respect to any other country or region, the equivalent of such a clinical trial in such other country or region.</w:t>
      </w:r>
    </w:p>
    <w:p>
      <w:pPr>
        <w:spacing w:after="0" w:line="18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Pivotal Trial</w:t>
      </w:r>
      <w:r>
        <w:rPr>
          <w:rFonts w:ascii="Arial" w:cs="Arial" w:eastAsia="Arial" w:hAnsi="Arial"/>
          <w:sz w:val="20"/>
          <w:szCs w:val="20"/>
          <w:color w:val="auto"/>
        </w:rPr>
        <w:t>” means any (a) [****] or (b) [****] in humans of a pharmaceutical or biologic product (including any Combination Regimen), the results of which, together with prior data and information concerning such product, are [****] in any particular jurisdiction and that is intended to support, or otherwise supports, the filing of an MAA in such jurisdiction (including any bridging study).</w:t>
      </w:r>
    </w:p>
    <w:p>
      <w:pPr>
        <w:spacing w:after="0" w:line="18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1.165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POC Trial</w:t>
      </w:r>
      <w:r>
        <w:rPr>
          <w:rFonts w:ascii="Arial" w:cs="Arial" w:eastAsia="Arial" w:hAnsi="Arial"/>
          <w:sz w:val="20"/>
          <w:szCs w:val="20"/>
          <w:color w:val="auto"/>
        </w:rPr>
        <w:t>” means a clinical trial [****] in humans of a pharmaceutical or biologic product (including any Combination Regimen) performed to [****] of such product and that [****].</w:t>
      </w:r>
    </w:p>
    <w:p>
      <w:pPr>
        <w:spacing w:after="0" w:line="16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1.166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PRC</w:t>
      </w:r>
      <w:r>
        <w:rPr>
          <w:rFonts w:ascii="Arial" w:cs="Arial" w:eastAsia="Arial" w:hAnsi="Arial"/>
          <w:sz w:val="20"/>
          <w:szCs w:val="20"/>
          <w:color w:val="auto"/>
        </w:rPr>
        <w:t>” means the People’s Republic of China, which, for purposes of this Agreement, does not include Hong Kong Special Administrative Region, Macau Special Administrative Region, or Taiwan.</w:t>
      </w:r>
    </w:p>
    <w:p>
      <w:pPr>
        <w:spacing w:after="0" w:line="177"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PRC Submission Estimated Timeline</w:t>
      </w:r>
      <w:r>
        <w:rPr>
          <w:rFonts w:ascii="Arial" w:cs="Arial" w:eastAsia="Arial" w:hAnsi="Arial"/>
          <w:sz w:val="20"/>
          <w:szCs w:val="20"/>
          <w:color w:val="auto"/>
        </w:rPr>
        <w:t>” means, for each Licensed Product, a written timeline setting forth the estimated dates of achievement of key regulatory milestones and submission 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8" w:name="page249"/>
    <w:bookmarkEnd w:id="248"/>
    <w:p>
      <w:pPr>
        <w:ind w:left="660" w:right="20"/>
        <w:spacing w:after="0" w:line="260" w:lineRule="auto"/>
        <w:rPr>
          <w:sz w:val="20"/>
          <w:szCs w:val="20"/>
          <w:color w:val="auto"/>
        </w:rPr>
      </w:pPr>
      <w:r>
        <w:rPr>
          <w:rFonts w:ascii="Arial" w:cs="Arial" w:eastAsia="Arial" w:hAnsi="Arial"/>
          <w:sz w:val="20"/>
          <w:szCs w:val="20"/>
          <w:color w:val="auto"/>
        </w:rPr>
        <w:t>applicable Regulatory Authorities in the PRC of key Regulatory Submissions (including each MAA) for such Licensed Product.</w:t>
      </w:r>
    </w:p>
    <w:p>
      <w:pPr>
        <w:spacing w:after="0" w:line="184"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1.168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Preapproved Subcontractor</w:t>
      </w:r>
      <w:r>
        <w:rPr>
          <w:rFonts w:ascii="Arial" w:cs="Arial" w:eastAsia="Arial" w:hAnsi="Arial"/>
          <w:sz w:val="20"/>
          <w:szCs w:val="20"/>
          <w:color w:val="auto"/>
        </w:rPr>
        <w:t>” means any Subcontractor that the JSC has approved as a Subcontractor that Zai may engage to perform its obligations or exercise its rights under this Agreement as further described in Section 2.2.3 (Right to Subcontract).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has the meaning set forth in Section 12.5.2.</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Infringement</w:t>
      </w:r>
      <w:r>
        <w:rPr>
          <w:rFonts w:ascii="Arial" w:cs="Arial" w:eastAsia="Arial" w:hAnsi="Arial"/>
          <w:sz w:val="18"/>
          <w:szCs w:val="18"/>
          <w:color w:val="auto"/>
        </w:rPr>
        <w:t>” has the meaning set forth in Section 14.3.1 (Patent Enforcement; Notice).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Marks</w:t>
      </w:r>
      <w:r>
        <w:rPr>
          <w:rFonts w:ascii="Arial" w:cs="Arial" w:eastAsia="Arial" w:hAnsi="Arial"/>
          <w:sz w:val="18"/>
          <w:szCs w:val="18"/>
          <w:color w:val="auto"/>
        </w:rPr>
        <w:t>” has the meaning set forth in Section 14.9.1 (Global Brand Elements).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Proposed Blueprint/Zai Combination</w:t>
      </w:r>
      <w:r>
        <w:rPr>
          <w:rFonts w:ascii="Arial" w:cs="Arial" w:eastAsia="Arial" w:hAnsi="Arial"/>
          <w:sz w:val="20"/>
          <w:szCs w:val="20"/>
          <w:color w:val="auto"/>
        </w:rPr>
        <w:t>” has the meaning set forth in Section 5.8.1 (Proposed Blueprint/Zai Combinations).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Prosecuting Party</w:t>
      </w:r>
      <w:r>
        <w:rPr>
          <w:rFonts w:ascii="Arial" w:cs="Arial" w:eastAsia="Arial" w:hAnsi="Arial"/>
          <w:sz w:val="18"/>
          <w:szCs w:val="18"/>
          <w:color w:val="auto"/>
        </w:rPr>
        <w:t>” has the meaning set forth under Section 14.2.3(a) (Blueprint/Zai Combination Technology).</w:t>
      </w:r>
    </w:p>
    <w:p>
      <w:pPr>
        <w:spacing w:after="0" w:line="21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b w:val="1"/>
          <w:bCs w:val="1"/>
          <w:color w:val="auto"/>
        </w:rPr>
        <w:t>1.174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Public Official</w:t>
      </w:r>
      <w:r>
        <w:rPr>
          <w:rFonts w:ascii="Arial" w:cs="Arial" w:eastAsia="Arial" w:hAnsi="Arial"/>
          <w:sz w:val="20"/>
          <w:szCs w:val="20"/>
          <w:color w:val="auto"/>
        </w:rPr>
        <w:t>” means (a) any officer, employee or representative of any regional, federal, state, provincial, county or municipal government or government department, agency or other division; (b) any officer, employee or representative of any commercial enterprise that is owned or controlled by a government, including any state-owned or controlled veterinary, laboratory or medical facility; (c) any officer, employee or representative of any public international organization, such as the International Monetary Fund, the United Nations or the World Bank; and (d) any person acting in an official capacity for any government or government entity, enterprise, or organization identified above.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Publication</w:t>
      </w:r>
      <w:r>
        <w:rPr>
          <w:rFonts w:ascii="Arial" w:cs="Arial" w:eastAsia="Arial" w:hAnsi="Arial"/>
          <w:sz w:val="18"/>
          <w:szCs w:val="18"/>
          <w:color w:val="auto"/>
        </w:rPr>
        <w:t>” has the meaning set forth in Section 11.5 (Publications).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11.1.1 (Duty of Confidence).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set forth in Section 10.12.2 (Tax Cooperation).</w:t>
      </w:r>
    </w:p>
    <w:p>
      <w:pPr>
        <w:spacing w:after="0" w:line="216" w:lineRule="exact"/>
        <w:rPr>
          <w:sz w:val="20"/>
          <w:szCs w:val="20"/>
          <w:color w:val="auto"/>
        </w:rPr>
      </w:pPr>
    </w:p>
    <w:p>
      <w:pPr>
        <w:jc w:val="both"/>
        <w:ind w:left="660" w:right="20" w:hanging="647"/>
        <w:spacing w:after="0" w:line="265" w:lineRule="auto"/>
        <w:tabs>
          <w:tab w:leader="none" w:pos="640" w:val="left"/>
        </w:tabs>
        <w:rPr>
          <w:sz w:val="20"/>
          <w:szCs w:val="20"/>
          <w:color w:val="auto"/>
        </w:rPr>
      </w:pPr>
      <w:r>
        <w:rPr>
          <w:rFonts w:ascii="Arial" w:cs="Arial" w:eastAsia="Arial" w:hAnsi="Arial"/>
          <w:sz w:val="20"/>
          <w:szCs w:val="20"/>
          <w:b w:val="1"/>
          <w:bCs w:val="1"/>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with respect to a particular country or other regulatory jurisdiction, any approval of an MAA or other approval, product, or establishment license, registration, permit, or authorization of any Regulatory Authority necessary for the commercial marketing or sale of a pharmaceutical or biologic product in such country or other regulatory jurisdiction, excluding, in each case, Reimbursement Approval.</w:t>
      </w:r>
    </w:p>
    <w:p>
      <w:pPr>
        <w:spacing w:after="0" w:line="169"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0"/>
          <w:szCs w:val="20"/>
          <w:b w:val="1"/>
          <w:bCs w:val="1"/>
          <w:color w:val="auto"/>
        </w:rPr>
        <w:t>1.179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applicable Governmental Authority with jurisdiction or authority over the Development, Manufacture, Commercialization, or other Exploitation (including Regulatory Approval or Reimbursement Approval) of pharmaceutical or biologic products in a particular country or other regulatory jurisdiction, including the NMPA, and any corresponding national or regional regulatory authorities.</w:t>
      </w:r>
    </w:p>
    <w:p>
      <w:pPr>
        <w:spacing w:after="0" w:line="16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1.180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Exclusivity</w:t>
      </w:r>
      <w:r>
        <w:rPr>
          <w:rFonts w:ascii="Arial" w:cs="Arial" w:eastAsia="Arial" w:hAnsi="Arial"/>
          <w:sz w:val="20"/>
          <w:szCs w:val="20"/>
          <w:color w:val="auto"/>
        </w:rPr>
        <w:t>” means any exclusive marketing rights or data protection or other exclusivity rights conferred by any Regulatory Authority with respect to a pharmaceutical or biologic product in a particular country or other regulatory jurisdiction that prohibits a Person from Commercializing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9" w:name="page250"/>
    <w:bookmarkEnd w:id="249"/>
    <w:p>
      <w:pPr>
        <w:spacing w:after="0"/>
        <w:tabs>
          <w:tab w:leader="none" w:pos="640" w:val="left"/>
        </w:tabs>
        <w:rPr>
          <w:sz w:val="20"/>
          <w:szCs w:val="20"/>
          <w:color w:val="auto"/>
        </w:rPr>
      </w:pPr>
      <w:r>
        <w:rPr>
          <w:rFonts w:ascii="Arial" w:cs="Arial" w:eastAsia="Arial" w:hAnsi="Arial"/>
          <w:sz w:val="20"/>
          <w:szCs w:val="20"/>
          <w:b w:val="1"/>
          <w:bCs w:val="1"/>
          <w:color w:val="auto"/>
        </w:rPr>
        <w:t>1.181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Submissions</w:t>
      </w:r>
      <w:r>
        <w:rPr>
          <w:rFonts w:ascii="Arial" w:cs="Arial" w:eastAsia="Arial" w:hAnsi="Arial"/>
          <w:sz w:val="19"/>
          <w:szCs w:val="19"/>
          <w:color w:val="auto"/>
        </w:rPr>
        <w:t>” means any filing, application, or submission with any Regulatory Authority in support of Developing, Manufacturing, or Commercializing a pharmaceutical or biologic product (including to obtain, support, or maintain Regulatory Approval from that Regulatory Authority), and all correspondence or communication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w:t>
      </w:r>
    </w:p>
    <w:p>
      <w:pPr>
        <w:spacing w:after="0" w:line="17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1.183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Reimbursement Approval</w:t>
      </w:r>
      <w:r>
        <w:rPr>
          <w:rFonts w:ascii="Arial" w:cs="Arial" w:eastAsia="Arial" w:hAnsi="Arial"/>
          <w:sz w:val="20"/>
          <w:szCs w:val="20"/>
          <w:color w:val="auto"/>
        </w:rPr>
        <w:t>” means an approval, agreement, determination, or other decision by the applicable Governmental Authority that establishes prices charged to end-users for pharmaceutical or biologic products at which a particular pharmaceutical or biologic product will be reimbursed by the Regulatory Authorities or other applicable Governmental Authorities in the Territory.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Site</w:t>
      </w:r>
      <w:r>
        <w:rPr>
          <w:rFonts w:ascii="Arial" w:cs="Arial" w:eastAsia="Arial" w:hAnsi="Arial"/>
          <w:sz w:val="16"/>
          <w:szCs w:val="16"/>
          <w:color w:val="auto"/>
        </w:rPr>
        <w:t>” has the meaning set forth in Section 5.14.2 (Deficient Sublicensees or Sites and Replacement).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 Period</w:t>
      </w:r>
      <w:r>
        <w:rPr>
          <w:rFonts w:ascii="Arial" w:cs="Arial" w:eastAsia="Arial" w:hAnsi="Arial"/>
          <w:sz w:val="18"/>
          <w:szCs w:val="18"/>
          <w:color w:val="auto"/>
        </w:rPr>
        <w:t>” has the meaning set forth in Section 11.5 (Publications).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Estimate</w:t>
      </w:r>
      <w:r>
        <w:rPr>
          <w:rFonts w:ascii="Arial" w:cs="Arial" w:eastAsia="Arial" w:hAnsi="Arial"/>
          <w:sz w:val="16"/>
          <w:szCs w:val="16"/>
          <w:color w:val="auto"/>
        </w:rPr>
        <w:t>” has the meaning set forth in Section 10.3.4 (Royalty Reports and Payments).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1.187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Royalty Patent Rights</w:t>
      </w:r>
      <w:r>
        <w:rPr>
          <w:rFonts w:ascii="Arial" w:cs="Arial" w:eastAsia="Arial" w:hAnsi="Arial"/>
          <w:sz w:val="20"/>
          <w:szCs w:val="20"/>
          <w:color w:val="auto"/>
        </w:rPr>
        <w:t>” means the Blueprint Patent Rights, Blueprint Manufacturing Patent Rights, and the Joint Collaboration Patent Rights.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Payments</w:t>
      </w:r>
      <w:r>
        <w:rPr>
          <w:rFonts w:ascii="Arial" w:cs="Arial" w:eastAsia="Arial" w:hAnsi="Arial"/>
          <w:sz w:val="16"/>
          <w:szCs w:val="16"/>
          <w:color w:val="auto"/>
        </w:rPr>
        <w:t>” has the meaning set forth in Section 10.3.1 (Royalty Rates).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Report</w:t>
      </w:r>
      <w:r>
        <w:rPr>
          <w:rFonts w:ascii="Arial" w:cs="Arial" w:eastAsia="Arial" w:hAnsi="Arial"/>
          <w:sz w:val="18"/>
          <w:szCs w:val="18"/>
          <w:color w:val="auto"/>
        </w:rPr>
        <w:t>” has the meaning set forth in Section 10.3.4 (Royalty Reports and Payments).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10.3.2 (Royalty Term).</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set forth in Section 16.3.1 (Arbitration; Rules).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Safety Agreement</w:t>
      </w:r>
      <w:r>
        <w:rPr>
          <w:rFonts w:ascii="Arial" w:cs="Arial" w:eastAsia="Arial" w:hAnsi="Arial"/>
          <w:sz w:val="16"/>
          <w:szCs w:val="16"/>
          <w:color w:val="auto"/>
        </w:rPr>
        <w:t>” has the meaning set forth in Section 6.5.1 (Adverse Events Reporting; Safety Agreements).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Events</w:t>
      </w:r>
      <w:r>
        <w:rPr>
          <w:rFonts w:ascii="Arial" w:cs="Arial" w:eastAsia="Arial" w:hAnsi="Arial"/>
          <w:sz w:val="16"/>
          <w:szCs w:val="16"/>
          <w:color w:val="auto"/>
        </w:rPr>
        <w:t>” has the meaning set forth in Section 10.2.2 (Sales Milestone Events and Payments).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Payments</w:t>
      </w:r>
      <w:r>
        <w:rPr>
          <w:rFonts w:ascii="Arial" w:cs="Arial" w:eastAsia="Arial" w:hAnsi="Arial"/>
          <w:sz w:val="16"/>
          <w:szCs w:val="16"/>
          <w:color w:val="auto"/>
        </w:rPr>
        <w:t>” has the meaning set forth in Section 10.2.2 (Sales Milestone Events and Payments).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Scientific Officers</w:t>
      </w:r>
      <w:r>
        <w:rPr>
          <w:rFonts w:ascii="Arial" w:cs="Arial" w:eastAsia="Arial" w:hAnsi="Arial"/>
          <w:sz w:val="18"/>
          <w:szCs w:val="18"/>
          <w:color w:val="auto"/>
        </w:rPr>
        <w:t>” has the meaning set forth in Section 2.8.2 (Competitive Product Disputes).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w:t>
      </w:r>
      <w:r>
        <w:rPr>
          <w:rFonts w:ascii="Arial" w:cs="Arial" w:eastAsia="Arial" w:hAnsi="Arial"/>
          <w:sz w:val="16"/>
          <w:szCs w:val="16"/>
          <w:color w:val="auto"/>
        </w:rPr>
        <w:t>” has the meaning set forth in Section 1.136 (Net Sales).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Shared Services Costs</w:t>
      </w:r>
      <w:r>
        <w:rPr>
          <w:rFonts w:ascii="Arial" w:cs="Arial" w:eastAsia="Arial" w:hAnsi="Arial"/>
          <w:sz w:val="18"/>
          <w:szCs w:val="18"/>
          <w:color w:val="auto"/>
        </w:rPr>
        <w:t xml:space="preserve">” means [****] </w:t>
      </w:r>
      <w:r>
        <w:rPr>
          <w:rFonts w:ascii="Arial" w:cs="Arial" w:eastAsia="Arial" w:hAnsi="Arial"/>
          <w:sz w:val="18"/>
          <w:szCs w:val="18"/>
          <w:b w:val="1"/>
          <w:bCs w:val="1"/>
          <w:color w:val="auto"/>
        </w:rPr>
        <w:t>1.197</w:t>
      </w:r>
      <w:r>
        <w:rPr>
          <w:rFonts w:ascii="Arial" w:cs="Arial" w:eastAsia="Arial" w:hAnsi="Arial"/>
          <w:sz w:val="18"/>
          <w:szCs w:val="18"/>
          <w:color w:val="auto"/>
        </w:rPr>
        <w:t xml:space="preserve"> [****].</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1.198</w:t>
      </w:r>
      <w:r>
        <w:rPr>
          <w:sz w:val="20"/>
          <w:szCs w:val="20"/>
          <w:color w:val="auto"/>
        </w:rPr>
        <w:tab/>
      </w:r>
      <w:r>
        <w:rPr>
          <w:rFonts w:ascii="Arial" w:cs="Arial" w:eastAsia="Arial" w:hAnsi="Arial"/>
          <w:sz w:val="19"/>
          <w:szCs w:val="19"/>
          <w:color w:val="auto"/>
        </w:rPr>
        <w:t>[****] has the meaning set forth in Section 5.2.2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0" w:name="page251"/>
    <w:bookmarkEnd w:id="250"/>
    <w:p>
      <w:pPr>
        <w:jc w:val="both"/>
        <w:ind w:left="660" w:hanging="647"/>
        <w:spacing w:after="0" w:line="323" w:lineRule="auto"/>
        <w:tabs>
          <w:tab w:leader="none" w:pos="640" w:val="left"/>
        </w:tabs>
        <w:rPr>
          <w:sz w:val="20"/>
          <w:szCs w:val="20"/>
          <w:color w:val="auto"/>
        </w:rPr>
      </w:pPr>
      <w:r>
        <w:rPr>
          <w:rFonts w:ascii="Arial" w:cs="Arial" w:eastAsia="Arial" w:hAnsi="Arial"/>
          <w:sz w:val="20"/>
          <w:szCs w:val="20"/>
          <w:b w:val="1"/>
          <w:bCs w:val="1"/>
          <w:color w:val="auto"/>
        </w:rPr>
        <w:t>1.199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contractor engaged by a Party to perform certain obligations or exercise certain rights of such Party under this Agreement on a fee-for-service basis (including CROs and CMOs).</w:t>
      </w:r>
    </w:p>
    <w:p>
      <w:pPr>
        <w:spacing w:after="0" w:line="11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1.200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Sublicensee</w:t>
      </w:r>
      <w:r>
        <w:rPr>
          <w:rFonts w:ascii="Arial" w:cs="Arial" w:eastAsia="Arial" w:hAnsi="Arial"/>
          <w:sz w:val="20"/>
          <w:szCs w:val="20"/>
          <w:color w:val="auto"/>
        </w:rPr>
        <w:t>” means any Person, excluding any Subcontractor or Third Party Distributor, (a) with respect to Zai, to whom Zai grants a sublicense of, or other authorization or permission granted under, the rights granted to Zai in Section 2.1 (License Grants to Zai), and (b) with respect to Blueprint, to whom Blueprint grants a sublicense of, or other authorization or permission granted under, the rights granted to Blueprint in Section 2.3 (License Grants to Blueprint).</w:t>
      </w:r>
    </w:p>
    <w:p>
      <w:pPr>
        <w:spacing w:after="0" w:line="185"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1.201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means any present or future taxes, levies, imposts, duties, charges, assessments or fees of any nature (including any interest thereon), including value add taxes (“</w:t>
      </w:r>
      <w:r>
        <w:rPr>
          <w:rFonts w:ascii="Arial" w:cs="Arial" w:eastAsia="Arial" w:hAnsi="Arial"/>
          <w:sz w:val="20"/>
          <w:szCs w:val="20"/>
          <w:b w:val="1"/>
          <w:bCs w:val="1"/>
          <w:color w:val="auto"/>
        </w:rPr>
        <w:t>VAT</w:t>
      </w:r>
      <w:r>
        <w:rPr>
          <w:rFonts w:ascii="Arial" w:cs="Arial" w:eastAsia="Arial" w:hAnsi="Arial"/>
          <w:sz w:val="20"/>
          <w:szCs w:val="20"/>
          <w:color w:val="auto"/>
        </w:rPr>
        <w:t>”).</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Technology Transfer</w:t>
      </w:r>
      <w:r>
        <w:rPr>
          <w:rFonts w:ascii="Arial" w:cs="Arial" w:eastAsia="Arial" w:hAnsi="Arial"/>
          <w:sz w:val="18"/>
          <w:szCs w:val="18"/>
          <w:color w:val="auto"/>
        </w:rPr>
        <w:t>” has the meaning set forth in Section 4.3 (Continuing Know-How Transfer).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1.203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15.1 (Term).</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1.204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the PRC, Hong Kong Special Administrative Region, Macau Special Administrative Region, and Taiwan, each of which will be deemed a separate region for purposes of this Agreement.</w:t>
      </w:r>
    </w:p>
    <w:p>
      <w:pPr>
        <w:spacing w:after="0" w:line="16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1.205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 Sponsor</w:t>
      </w:r>
      <w:r>
        <w:rPr>
          <w:rFonts w:ascii="Arial" w:cs="Arial" w:eastAsia="Arial" w:hAnsi="Arial"/>
          <w:sz w:val="20"/>
          <w:szCs w:val="20"/>
          <w:color w:val="auto"/>
        </w:rPr>
        <w:t>” means, with respect to a Territory-Specific Clinical Trial or a Global Clinical Trial for a Licensed Product to be conducted at sites in the Territory, the Party that holds the IND from the applicable Regulatory Authority in the Territory for such Clinical Trial in its name.</w:t>
      </w:r>
    </w:p>
    <w:p>
      <w:pPr>
        <w:spacing w:after="0" w:line="17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1.206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Territory-Specific Clinical Trial</w:t>
      </w:r>
      <w:r>
        <w:rPr>
          <w:rFonts w:ascii="Arial" w:cs="Arial" w:eastAsia="Arial" w:hAnsi="Arial"/>
          <w:sz w:val="20"/>
          <w:szCs w:val="20"/>
          <w:color w:val="auto"/>
        </w:rPr>
        <w:t>” means a Clinical Trial for a Licensed Product, the data from which at the time of commencement is intended to be used to obtain, support, or maintain Regulatory Approval in the Territory but not to obtain, support, or maintain Regulatory Approval in any of the following: [****].</w:t>
      </w:r>
    </w:p>
    <w:p>
      <w:pPr>
        <w:spacing w:after="0" w:line="177"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1.207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Territory-Specific Development Plans</w:t>
      </w:r>
      <w:r>
        <w:rPr>
          <w:rFonts w:ascii="Arial" w:cs="Arial" w:eastAsia="Arial" w:hAnsi="Arial"/>
          <w:sz w:val="20"/>
          <w:szCs w:val="20"/>
          <w:color w:val="auto"/>
        </w:rPr>
        <w:t>” has the meaning set forth in Section 5.4 (Territory-Specific Development Plans).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1.209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Claims</w:t>
      </w:r>
      <w:r>
        <w:rPr>
          <w:rFonts w:ascii="Arial" w:cs="Arial" w:eastAsia="Arial" w:hAnsi="Arial"/>
          <w:sz w:val="20"/>
          <w:szCs w:val="20"/>
          <w:color w:val="auto"/>
        </w:rPr>
        <w:t>” means collectively, any and all Third Party demands, claims, actions, suits, and proceedings (whether criminal or civil, in contract, tort, or otherwise).</w:t>
      </w:r>
    </w:p>
    <w:p>
      <w:pPr>
        <w:spacing w:after="0" w:line="16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1.210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Distributor</w:t>
      </w:r>
      <w:r>
        <w:rPr>
          <w:rFonts w:ascii="Arial" w:cs="Arial" w:eastAsia="Arial" w:hAnsi="Arial"/>
          <w:sz w:val="20"/>
          <w:szCs w:val="20"/>
          <w:color w:val="auto"/>
        </w:rPr>
        <w:t>” means any Third Party that purchases Licensed Product from Zai or its Affiliates, or Sublicensees, takes title to such Licensed Product, and distributes such Licensed Product directly to customers, but does not Develop or Manufacture any Blueprint Compound or Licensed Product and does not make any royalty, profit-share, or other payment to Zai or its Affiliates or Sublicensees, other than payment for the purchase of Licensed Products for resale.</w:t>
      </w:r>
    </w:p>
    <w:p>
      <w:pPr>
        <w:spacing w:after="0" w:line="185"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IP Agreement</w:t>
      </w:r>
      <w:r>
        <w:rPr>
          <w:rFonts w:ascii="Arial" w:cs="Arial" w:eastAsia="Arial" w:hAnsi="Arial"/>
          <w:sz w:val="20"/>
          <w:szCs w:val="20"/>
          <w:color w:val="auto"/>
        </w:rPr>
        <w:t>” means any agreement with a Third Party entered into by Blueprint or Zai respect to a grant of rights under any Blueprint Identified Rights or Zai Identified Rights.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territories and possessions.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Upfront Payment</w:t>
      </w:r>
      <w:r>
        <w:rPr>
          <w:rFonts w:ascii="Arial" w:cs="Arial" w:eastAsia="Arial" w:hAnsi="Arial"/>
          <w:sz w:val="18"/>
          <w:szCs w:val="18"/>
          <w:color w:val="auto"/>
        </w:rPr>
        <w:t>” has the meaning set forth in Section 10.1 (Upfront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1" w:name="page252"/>
    <w:bookmarkEnd w:id="251"/>
    <w:p>
      <w:pPr>
        <w:jc w:val="both"/>
        <w:ind w:left="660" w:hanging="647"/>
        <w:spacing w:after="0" w:line="259" w:lineRule="auto"/>
        <w:tabs>
          <w:tab w:leader="none" w:pos="640" w:val="left"/>
        </w:tabs>
        <w:rPr>
          <w:sz w:val="20"/>
          <w:szCs w:val="20"/>
          <w:color w:val="auto"/>
        </w:rPr>
      </w:pPr>
      <w:r>
        <w:rPr>
          <w:rFonts w:ascii="Arial" w:cs="Arial" w:eastAsia="Arial" w:hAnsi="Arial"/>
          <w:sz w:val="20"/>
          <w:szCs w:val="20"/>
          <w:b w:val="1"/>
          <w:bCs w:val="1"/>
          <w:color w:val="auto"/>
        </w:rPr>
        <w:t>1.214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xml:space="preserve">” means with respect to a particular country or region, a claim in any (a) unexpired and issued Patent Right that has not been irretrievably lapsed or been abandoned, disclaimed, permanently revoked, dedicated to the public, or held invalid, unenforceable, or not patentable by a final non-appealable decision of a court of competent jurisdiction or Governmental Authority in such country or region, or (b) pending patent application that has been pending for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claim ceases to be a Valid Claim by reason of foregoing subclause (b), then such claim would again be deemed a Valid Claim in the event such claim subsequently issues prior to the end of the then-current Royalty Term in such country or region.</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1.201 (Tax).</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 Credit</w:t>
      </w:r>
      <w:r>
        <w:rPr>
          <w:rFonts w:ascii="Arial" w:cs="Arial" w:eastAsia="Arial" w:hAnsi="Arial"/>
          <w:sz w:val="18"/>
          <w:szCs w:val="18"/>
          <w:color w:val="auto"/>
        </w:rPr>
        <w:t>” has the meaning set forth in Section 10.13 (VAT Credits).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 Section 3.4 (Working Groups).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left="660" w:right="2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1.219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Zai Collaboration Know-How</w:t>
      </w:r>
      <w:r>
        <w:rPr>
          <w:rFonts w:ascii="Arial" w:cs="Arial" w:eastAsia="Arial" w:hAnsi="Arial"/>
          <w:sz w:val="20"/>
          <w:szCs w:val="20"/>
          <w:color w:val="auto"/>
        </w:rPr>
        <w:t>” means Collaboration Know-How, other than Blueprint/Zai Combination Know-How or Assigned Collaboration Know-How, developed or invented solely by Zai’s or its Affiliates’, licensees’, Sublicensees’, or Subcontractors’ employees, agents, or independent contractors, or any Persons that are contractually required to assign or license such Collaboration Know-How (or Patent Rights Covering such Know-How) to Zai or any Affiliate of Zai, in each case, in the performance of activities under this Agreement during the Term.</w:t>
      </w:r>
    </w:p>
    <w:p>
      <w:pPr>
        <w:spacing w:after="0" w:line="18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1.220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Zai Collaboration Patent Rights</w:t>
      </w:r>
      <w:r>
        <w:rPr>
          <w:rFonts w:ascii="Arial" w:cs="Arial" w:eastAsia="Arial" w:hAnsi="Arial"/>
          <w:sz w:val="20"/>
          <w:szCs w:val="20"/>
          <w:color w:val="auto"/>
        </w:rPr>
        <w:t>” means all Collaboration Patent Rights that Cover Zai Collaboration Know-How. For clarity, Zai Collaboration Patent Rights do not include any Blueprint/Zai Combination Patent Rights or Assigned Collaboration Patent Rights.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Collaboration Technology</w:t>
      </w:r>
      <w:r>
        <w:rPr>
          <w:rFonts w:ascii="Arial" w:cs="Arial" w:eastAsia="Arial" w:hAnsi="Arial"/>
          <w:sz w:val="18"/>
          <w:szCs w:val="18"/>
          <w:color w:val="auto"/>
        </w:rPr>
        <w:t>” means Zai Collaboration Know-How and Zai Collaboration Patent Rights.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Identified General Rights</w:t>
      </w:r>
      <w:r>
        <w:rPr>
          <w:rFonts w:ascii="Arial" w:cs="Arial" w:eastAsia="Arial" w:hAnsi="Arial"/>
          <w:sz w:val="18"/>
          <w:szCs w:val="18"/>
          <w:color w:val="auto"/>
        </w:rPr>
        <w:t>” has the meaning set forth in Section 2.6.2 (Zai Identified Rights).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Identified Rights</w:t>
      </w:r>
      <w:r>
        <w:rPr>
          <w:rFonts w:ascii="Arial" w:cs="Arial" w:eastAsia="Arial" w:hAnsi="Arial"/>
          <w:sz w:val="18"/>
          <w:szCs w:val="18"/>
          <w:color w:val="auto"/>
        </w:rPr>
        <w:t>” has the meaning set forth in Section 2.6.2 (Zai Identified Rights).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Indemnitee(s)</w:t>
      </w:r>
      <w:r>
        <w:rPr>
          <w:rFonts w:ascii="Arial" w:cs="Arial" w:eastAsia="Arial" w:hAnsi="Arial"/>
          <w:sz w:val="18"/>
          <w:szCs w:val="18"/>
          <w:color w:val="auto"/>
        </w:rPr>
        <w:t>” has the meaning set forth in Section 13.2 (By Blueprint).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In-Licensed Rights</w:t>
      </w:r>
      <w:r>
        <w:rPr>
          <w:rFonts w:ascii="Arial" w:cs="Arial" w:eastAsia="Arial" w:hAnsi="Arial"/>
          <w:sz w:val="18"/>
          <w:szCs w:val="18"/>
          <w:color w:val="auto"/>
        </w:rPr>
        <w:t>” has the meaning set forth in Section 2.6.2 (Zai Identified Rights).</w:t>
      </w:r>
    </w:p>
    <w:p>
      <w:pPr>
        <w:spacing w:after="0" w:line="216" w:lineRule="exact"/>
        <w:rPr>
          <w:sz w:val="20"/>
          <w:szCs w:val="20"/>
          <w:color w:val="auto"/>
        </w:rPr>
      </w:pPr>
    </w:p>
    <w:p>
      <w:pPr>
        <w:jc w:val="both"/>
        <w:ind w:left="660" w:right="20" w:hanging="647"/>
        <w:spacing w:after="0" w:line="278" w:lineRule="auto"/>
        <w:tabs>
          <w:tab w:leader="none" w:pos="640" w:val="left"/>
        </w:tabs>
        <w:rPr>
          <w:sz w:val="20"/>
          <w:szCs w:val="20"/>
          <w:color w:val="auto"/>
        </w:rPr>
      </w:pPr>
      <w:r>
        <w:rPr>
          <w:rFonts w:ascii="Arial" w:cs="Arial" w:eastAsia="Arial" w:hAnsi="Arial"/>
          <w:sz w:val="20"/>
          <w:szCs w:val="20"/>
          <w:b w:val="1"/>
          <w:bCs w:val="1"/>
          <w:color w:val="auto"/>
        </w:rPr>
        <w:t>1.226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Know-How</w:t>
      </w:r>
      <w:r>
        <w:rPr>
          <w:rFonts w:ascii="Arial" w:cs="Arial" w:eastAsia="Arial" w:hAnsi="Arial"/>
          <w:sz w:val="18"/>
          <w:szCs w:val="18"/>
          <w:color w:val="auto"/>
        </w:rPr>
        <w:t>” means, subject to Section 2.6.6 (Right to Decline Zai In-Licensed Rights), all Know-How (excluding Zai’s interest in Blueprint/Zai Combination Know-How and other Joint Collaboration Know-How) that is</w:t>
      </w:r>
    </w:p>
    <w:p>
      <w:pPr>
        <w:spacing w:after="0" w:line="1" w:lineRule="exact"/>
        <w:rPr>
          <w:sz w:val="20"/>
          <w:szCs w:val="20"/>
          <w:color w:val="auto"/>
        </w:rPr>
      </w:pPr>
    </w:p>
    <w:p>
      <w:pPr>
        <w:ind w:left="660" w:right="20" w:hanging="4"/>
        <w:spacing w:after="0" w:line="297" w:lineRule="auto"/>
        <w:tabs>
          <w:tab w:leader="none" w:pos="93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Controlled by Zai or any of its Affiliates as of the Effective Date or during the Term, and (b) used by either Party in the Exploitation of a Blueprint Compound or a Licensed Product, including all Zai Collaboration Know-How.</w:t>
      </w:r>
    </w:p>
    <w:p>
      <w:pPr>
        <w:spacing w:after="0" w:line="14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1.227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Zai Patent Rights</w:t>
      </w:r>
      <w:r>
        <w:rPr>
          <w:rFonts w:ascii="Arial" w:cs="Arial" w:eastAsia="Arial" w:hAnsi="Arial"/>
          <w:sz w:val="20"/>
          <w:szCs w:val="20"/>
          <w:color w:val="auto"/>
        </w:rPr>
        <w:t>” means, subject to Section 2.6.6 (Right to Decline Zai In-Licensed Rights), all Patent Rights (excluding Zai’s interest in Blueprint/Zai Combination Patent Rights and other Joint Collaboration Patent Rights) that are (a) Controlled by Zai or any of its Affiliates as of the Effective Date or during the Term; and (b) practiced by either Party in the Exploitation of a Blueprint Compound or a Licensed Product, including all Zai Collaboration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2" w:name="page253"/>
    <w:bookmarkEnd w:id="252"/>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1.228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Zai Product</w:t>
      </w:r>
      <w:r>
        <w:rPr>
          <w:rFonts w:ascii="Arial" w:cs="Arial" w:eastAsia="Arial" w:hAnsi="Arial"/>
          <w:sz w:val="19"/>
          <w:szCs w:val="19"/>
          <w:color w:val="auto"/>
        </w:rPr>
        <w:t>” means any pharmaceutical or biologic product with respect to which Zai or any of its Affiliates has exclusive rights to Exploit inside the Territory or outside of the Territory, including all forms, modifications, and variants thereof that are Controlled by Zai, in each case, at the time that the JSC agrees in writing to include a Blueprint/Zai Combination containing such Zai Product under this Agreement pursuant to Section 5.8.1 (Proposed Blueprint/Zai Combinations) or Section 5.9 (New Development Proposed by Zai).</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Publication</w:t>
      </w:r>
      <w:r>
        <w:rPr>
          <w:rFonts w:ascii="Arial" w:cs="Arial" w:eastAsia="Arial" w:hAnsi="Arial"/>
          <w:sz w:val="18"/>
          <w:szCs w:val="18"/>
          <w:color w:val="auto"/>
        </w:rPr>
        <w:t>” has the meaning set forth in Section 11.5.1</w:t>
      </w:r>
      <w:r>
        <w:rPr>
          <w:rFonts w:ascii="Arial" w:cs="Arial" w:eastAsia="Arial" w:hAnsi="Arial"/>
          <w:sz w:val="18"/>
          <w:szCs w:val="18"/>
          <w:u w:val="single" w:color="auto"/>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Zai Specifications</w:t>
      </w:r>
      <w:r>
        <w:rPr>
          <w:rFonts w:ascii="Arial" w:cs="Arial" w:eastAsia="Arial" w:hAnsi="Arial"/>
          <w:sz w:val="18"/>
          <w:szCs w:val="18"/>
          <w:color w:val="auto"/>
        </w:rPr>
        <w:t>” has the meaning set forth in Section 7.2.3 (Specifications).</w:t>
      </w:r>
    </w:p>
    <w:p>
      <w:pPr>
        <w:spacing w:after="0" w:line="21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Zai Technology</w:t>
      </w:r>
      <w:r>
        <w:rPr>
          <w:rFonts w:ascii="Arial" w:cs="Arial" w:eastAsia="Arial" w:hAnsi="Arial"/>
          <w:sz w:val="20"/>
          <w:szCs w:val="20"/>
          <w:color w:val="auto"/>
        </w:rPr>
        <w:t>” means Zai Know-How, Zai Patent Rights, and Zai’s interest in the Joint Collaboration Technology.</w:t>
      </w:r>
    </w:p>
    <w:p>
      <w:pPr>
        <w:spacing w:after="0" w:line="163"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Zai Third Party IP Agreement</w:t>
      </w:r>
      <w:r>
        <w:rPr>
          <w:rFonts w:ascii="Arial" w:cs="Arial" w:eastAsia="Arial" w:hAnsi="Arial"/>
          <w:sz w:val="20"/>
          <w:szCs w:val="20"/>
          <w:color w:val="auto"/>
        </w:rPr>
        <w:t>” has the meaning set forth in Section 2.6.6(b) (Right to Decline Zai In-Licensed Rights).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LICENSES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 Grants to Zai</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0" w:lineRule="auto"/>
        <w:tabs>
          <w:tab w:leader="none" w:pos="13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b w:val="1"/>
          <w:bCs w:val="1"/>
          <w:color w:val="auto"/>
        </w:rPr>
        <w:t>In the Territory</w:t>
      </w:r>
      <w:r>
        <w:rPr>
          <w:rFonts w:ascii="Arial" w:cs="Arial" w:eastAsia="Arial" w:hAnsi="Arial"/>
          <w:sz w:val="18"/>
          <w:szCs w:val="18"/>
          <w:color w:val="auto"/>
        </w:rPr>
        <w:t>. Subject to the terms of this Agreement, Blueprint hereby grants to Zai (a) an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royalty-bearing license, with the right to grant sublicenses solely in accordance with Section 2.2 (Sublicensing and Subcontractors), under the Blueprint Technology to Exploit (other than to conduct or have conducted Non-Clinical Development, or Manufacture or have Manufactured) the Blueprint Compounds and the Licensed Products in the Field in the Territory in accordance with the Territory-Specific Development Plans, Global Development Plans, the Medical Affairs Plans, and the Commercialization Plans or as otherwise expressly permitted by this Agreement and (b) a non-exclusive, royalty-bearing license, with the right to grant sublicenses solely in accordance with Section 2.2 (Sublicensing and Subcontractors), under the Blueprint Technology to [****] in the Field in the Territory. Zai will not practice the Blueprint Technology licensed to Zai under this Section 2.1.1 (In the Territory) except as expressly set forth in the Territory-Specific Development Plans, Global Development Plan, Medical Affairs Plans, and Commercialization Plans or to conduct other activities expressly permitted under this Agreement. Notwithstanding any provision to the contrary set forth in this Agreement, [****].</w:t>
      </w:r>
    </w:p>
    <w:p>
      <w:pPr>
        <w:spacing w:after="0" w:line="172" w:lineRule="exact"/>
        <w:rPr>
          <w:sz w:val="20"/>
          <w:szCs w:val="20"/>
          <w:color w:val="auto"/>
        </w:rPr>
      </w:pPr>
    </w:p>
    <w:p>
      <w:pPr>
        <w:jc w:val="both"/>
        <w:ind w:left="1380" w:hanging="647"/>
        <w:spacing w:after="0" w:line="275" w:lineRule="auto"/>
        <w:tabs>
          <w:tab w:leader="none" w:pos="13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b w:val="1"/>
          <w:bCs w:val="1"/>
          <w:color w:val="auto"/>
        </w:rPr>
        <w:t>Manufacturing License</w:t>
      </w:r>
      <w:r>
        <w:rPr>
          <w:rFonts w:ascii="Arial" w:cs="Arial" w:eastAsia="Arial" w:hAnsi="Arial"/>
          <w:sz w:val="18"/>
          <w:szCs w:val="18"/>
          <w:color w:val="auto"/>
        </w:rPr>
        <w:t>. Subject to the terms of this Agreement, effective upon the commencement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Technology Transfer to Zai for the Manufacture of the Licensed Products in accordance with Section 7.2.2 (Clinical and Commercial Supply), Blueprint hereby grants to Zai [****] in accordance with and subject to the terms of this Agreement, including pursuant to Section 7.2 (Supply by Zai). Zai will not practice the Blueprint Manufacturing Technology licensed to Zai under this Section 2.1.2 (Manufacturing License) until the commencement of the Manufacturing Technology Transfer to Zai for the Manufacture of the Licensed Products in accordance with Section 7.2.2 (Clinical and Commercial Supply).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Sublicensing and Subcontractors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3" w:name="page254"/>
    <w:bookmarkEnd w:id="253"/>
    <w:p>
      <w:pPr>
        <w:jc w:val="both"/>
        <w:ind w:left="920" w:hanging="647"/>
        <w:spacing w:after="0" w:line="270" w:lineRule="auto"/>
        <w:tabs>
          <w:tab w:leader="none" w:pos="9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b w:val="1"/>
          <w:bCs w:val="1"/>
          <w:color w:val="auto"/>
        </w:rPr>
        <w:t>Right to Sublicense</w:t>
      </w:r>
      <w:r>
        <w:rPr>
          <w:rFonts w:ascii="Arial" w:cs="Arial" w:eastAsia="Arial" w:hAnsi="Arial"/>
          <w:sz w:val="18"/>
          <w:szCs w:val="18"/>
          <w:color w:val="auto"/>
        </w:rPr>
        <w:t>. Subject to the terms of this Agreement, Zai will have the right to grant sublicenses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rights granted under Section 2.1 (License Grants to Zai) to (a)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sublicense will automatically terminate if such Person ceases to be an Affiliate of Zai, (b) Development Subcontractors and Third Party Distributors in accordance with this Section 2.2 (Sublicensing and Subcontractors), and (c) subject to Blueprint’s prior written approval, not to be unreasonably withheld, conditioned, or delayed, Third Parties (other than Development Subcontractors and Third Party Distributors). Notwithstanding the foregoing, Zai will not grant a sublicense to a Third Party of all or substantially all of Zai’s rights or obligations under this Agreement with respect to one or more regions within the Territory without Blueprint’s prior written consent, which consent Blueprint may withhold, condition, or delay in its sole discretion. Each Sublicensee will hold its rights contingent on the rights licensed to Zai under the terms of this Agreement. Any termination of the licenses granted to Zai under Section 2.1 (License Grants to Zai) as a result of a termination of this Agreement with respect to one or more Licensed Products or in its entirety will, subject to Section 15.3.11 (Sublicense Survival), cause the Sublicensees to automatically lose the same rights under any sublicense.</w:t>
      </w:r>
    </w:p>
    <w:p>
      <w:pPr>
        <w:spacing w:after="0" w:line="169" w:lineRule="exact"/>
        <w:rPr>
          <w:sz w:val="20"/>
          <w:szCs w:val="20"/>
          <w:color w:val="auto"/>
        </w:rPr>
      </w:pPr>
    </w:p>
    <w:p>
      <w:pPr>
        <w:jc w:val="both"/>
        <w:ind w:left="920" w:hanging="647"/>
        <w:spacing w:after="0" w:line="269" w:lineRule="auto"/>
        <w:tabs>
          <w:tab w:leader="none" w:pos="9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b w:val="1"/>
          <w:bCs w:val="1"/>
          <w:color w:val="auto"/>
        </w:rPr>
        <w:t>Terms of Sublicenses to Third Parties</w:t>
      </w:r>
      <w:r>
        <w:rPr>
          <w:rFonts w:ascii="Arial" w:cs="Arial" w:eastAsia="Arial" w:hAnsi="Arial"/>
          <w:sz w:val="18"/>
          <w:szCs w:val="18"/>
          <w:color w:val="auto"/>
        </w:rPr>
        <w:t>. Zai will provide prior written notice to Blueprint identifying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intention to grant a sublicense under Section 2.2.1 (Right to Sublicense) to any Third Party (other than a sublicense granted by Zai to a Development Subcontractor or Third Party Distributor;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engagement is otherwise in accordance with Section 2.2.3 (Right to Subcontract)), the purpose of such sublicense, and the identity of the Third Party to whom Zai intends to grant such sublicense. Each sublicense to a Third Party will be granted under a written agreement that is consistent with the terms of this Agreement and that (a) requires each such Third Party Sublicensee to which Zai grants a sublicense of the rights granted to Zai under Section 2.1 (License Grants to Zai) to comply with the terms of this Agreement that are applicable to such sublicense (including obligations of confidentiality and non-use at least as stringent as those set forth Article 11 (Confidentiality; Publication), as applicable, the Milestone Event and Royalty Payment reporting obligations set forth under Section 10.2 (Milestone Payments) and Section 10.3 (Royalty Payments to Blueprint), the record keeping and audit requirements set forth under Section 5.14 (Clinical Trial Audit Rights), Section 10.11 (Financial Records and Audits), and the intellectual property provisions set forth in Article 14 (Intellectual Property)), and (b) precludes the granting of further sublicenses in contravention with the terms of this Agreement. Without limiting the generality of the foregoing, each sublicense agreement with such a Third Party entered into after the Effective Date must include (i) [****], (ii) [****], and (iii) [****].</w:t>
      </w:r>
    </w:p>
    <w:p>
      <w:pPr>
        <w:spacing w:after="0" w:line="174" w:lineRule="exact"/>
        <w:rPr>
          <w:sz w:val="20"/>
          <w:szCs w:val="20"/>
          <w:color w:val="auto"/>
        </w:rPr>
      </w:pPr>
    </w:p>
    <w:p>
      <w:pPr>
        <w:jc w:val="both"/>
        <w:ind w:left="920" w:hanging="647"/>
        <w:spacing w:after="0" w:line="242" w:lineRule="auto"/>
        <w:tabs>
          <w:tab w:leader="none" w:pos="9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20"/>
          <w:szCs w:val="20"/>
          <w:b w:val="1"/>
          <w:bCs w:val="1"/>
          <w:color w:val="auto"/>
        </w:rPr>
        <w:t>Right to Subcontract</w:t>
      </w:r>
      <w:r>
        <w:rPr>
          <w:rFonts w:ascii="Arial" w:cs="Arial" w:eastAsia="Arial" w:hAnsi="Arial"/>
          <w:sz w:val="20"/>
          <w:szCs w:val="20"/>
          <w:color w:val="auto"/>
        </w:rPr>
        <w:t>. Zai will not propose the engagement of any Subcontractor that is</w:t>
      </w:r>
      <w:r>
        <w:rPr>
          <w:rFonts w:ascii="Arial" w:cs="Arial" w:eastAsia="Arial" w:hAnsi="Arial"/>
          <w:sz w:val="20"/>
          <w:szCs w:val="20"/>
          <w:b w:val="1"/>
          <w:bCs w:val="1"/>
          <w:color w:val="auto"/>
        </w:rPr>
        <w:t xml:space="preserve"> </w:t>
      </w:r>
      <w:r>
        <w:rPr>
          <w:rFonts w:ascii="Arial" w:cs="Arial" w:eastAsia="Arial" w:hAnsi="Arial"/>
          <w:sz w:val="20"/>
          <w:szCs w:val="20"/>
          <w:color w:val="auto"/>
        </w:rPr>
        <w:t>Debarred/Excluded. Zai may engage (a) Subcontractors solely to perform Zai’s Development activities with respect to Licensed Products under this Agreement on Zai’s behalf (each a “</w:t>
      </w:r>
      <w:r>
        <w:rPr>
          <w:rFonts w:ascii="Arial" w:cs="Arial" w:eastAsia="Arial" w:hAnsi="Arial"/>
          <w:sz w:val="20"/>
          <w:szCs w:val="20"/>
          <w:b w:val="1"/>
          <w:bCs w:val="1"/>
          <w:color w:val="auto"/>
        </w:rPr>
        <w:t>Development</w:t>
      </w:r>
      <w:r>
        <w:rPr>
          <w:rFonts w:ascii="Arial" w:cs="Arial" w:eastAsia="Arial" w:hAnsi="Arial"/>
          <w:sz w:val="20"/>
          <w:szCs w:val="20"/>
          <w:color w:val="auto"/>
        </w:rPr>
        <w:t xml:space="preserve"> </w:t>
      </w:r>
      <w:r>
        <w:rPr>
          <w:rFonts w:ascii="Arial" w:cs="Arial" w:eastAsia="Arial" w:hAnsi="Arial"/>
          <w:sz w:val="20"/>
          <w:szCs w:val="20"/>
          <w:b w:val="1"/>
          <w:bCs w:val="1"/>
          <w:color w:val="auto"/>
        </w:rPr>
        <w:t>Subcontractor</w:t>
      </w:r>
      <w:r>
        <w:rPr>
          <w:rFonts w:ascii="Arial" w:cs="Arial" w:eastAsia="Arial" w:hAnsi="Arial"/>
          <w:sz w:val="20"/>
          <w:szCs w:val="20"/>
          <w:color w:val="auto"/>
        </w:rPr>
        <w:t>”) or (b) Third Party Distributors to distribute Licensed Products in the Territory on behalf</w:t>
      </w:r>
      <w:r>
        <w:rPr>
          <w:rFonts w:ascii="Arial" w:cs="Arial" w:eastAsia="Arial" w:hAnsi="Arial"/>
          <w:sz w:val="20"/>
          <w:szCs w:val="20"/>
          <w:b w:val="1"/>
          <w:bCs w:val="1"/>
          <w:color w:val="auto"/>
        </w:rPr>
        <w:t xml:space="preserve"> </w:t>
      </w:r>
      <w:r>
        <w:rPr>
          <w:rFonts w:ascii="Arial" w:cs="Arial" w:eastAsia="Arial" w:hAnsi="Arial"/>
          <w:sz w:val="20"/>
          <w:szCs w:val="20"/>
          <w:color w:val="auto"/>
        </w:rPr>
        <w:t>of Zai, in either case, without Blueprint’s prior written consent, but subject to the requirements set forth in the first, the second to last, and the last sentence of this Section 2.2.3 (Right to Subcontract), Section 2.2.4 (Notices of Sublicensing and Subcontractors), Section 2.2.5 (Zai Audits of Sublicensees and Subcontractors), and Section 2.2.6 (Responsibility for Sublicensees and Subcontractors). Prior to Zai’s engagement of the first Subcontractor (other than a Development Subcontractor or Third Party Distributor), Zai will provide to the JSC to review, discuss, and determine whether to approve as Preapproved Subcontractors a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254" w:name="page255"/>
    <w:bookmarkEnd w:id="254"/>
    <w:p>
      <w:pPr>
        <w:jc w:val="both"/>
        <w:ind w:left="920"/>
        <w:spacing w:after="0" w:line="268" w:lineRule="auto"/>
        <w:rPr>
          <w:sz w:val="20"/>
          <w:szCs w:val="20"/>
          <w:color w:val="auto"/>
        </w:rPr>
      </w:pPr>
      <w:r>
        <w:rPr>
          <w:rFonts w:ascii="Arial" w:cs="Arial" w:eastAsia="Arial" w:hAnsi="Arial"/>
          <w:sz w:val="18"/>
          <w:szCs w:val="18"/>
          <w:color w:val="auto"/>
        </w:rPr>
        <w:t xml:space="preserve">of Subcontractors that Zai may engage to perform its obligations and exercise its rights under this Agreement. In addition, during the term, Zai may propose additional Subcontractors to be approved by the JSC as Preapproved Subcontractors and following the approval by the JSC of any such additional Subcontractors, such Subcontractors will be Preapproved Subcontractors. Zai may engage any such Preapproved Subcontractor to perform Zai’s obligations and exercise of Zai’s rights under this Agreement. In addition, if Zai wishes to engage a Subcontractor (other than a Development Subcontractor or Third Party Distributor) that is not a Preapproved Subcontractor to perform its obligations or exercise its rights under this Agreement related to the (i) Manufacture of a Licensed Product following completion of the Manufacturing Technology Transfer, or (ii) the Commercialization of such Licensed Product in a region in the Territory, then, in each case ((i) and (ii)), Zai will provide written notice to Blueprint at least [****] before engaging any such Subcontractor identifying Zai’s intention to engage such Subcontractor, the purpose of engaging such Subcontractor, and the identity of such Subcontractor. Within [****] after the receipt of such written notice, Blueprint may provide written notice of its veto of Zai’s engagement of such proposed Subcontractor and in such case, Zai will not engage such Subcontractor to perform its obligations or exercise its rights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Blueprint will not unreasonably veto such engagement. If Blueprint does not provide written notice to Zai of Blueprint’s veto of Zai’s engagement of a particular proposed Subcontractor within [****] after Blueprint’s receipt of such notice, then Zai may engage such proposed Subcontractor to perform its obligations or exercise its rights under this Agreement (subject to the terms set forth herein). Any agreement pursuant to which Zai engages any Subcontractor (including any Development Subcontractor or Third Party Distributor) must be consistent with the terms of this Agreement, including containing obligations of confidentiality and non-use at least as stringent as those set forth Article 11 (Confidentiality; Publication), and terms that are consistent with the intellectual property provisions set forth in Article 14 (Intellectual Property). Without limiting the generality of the foregoing, unless otherwise agreed by the Parties, each agreement pursuant to which Zai engages a Subcontractor (including any Development Subcontractor or Third Party Distributor) to Exploit Licensed Products hereunder must include [****].</w:t>
      </w:r>
    </w:p>
    <w:p>
      <w:pPr>
        <w:spacing w:after="0" w:line="168" w:lineRule="exact"/>
        <w:rPr>
          <w:sz w:val="20"/>
          <w:szCs w:val="20"/>
          <w:color w:val="auto"/>
        </w:rPr>
      </w:pPr>
    </w:p>
    <w:p>
      <w:pPr>
        <w:jc w:val="both"/>
        <w:ind w:left="920" w:right="20" w:hanging="647"/>
        <w:spacing w:after="0" w:line="246" w:lineRule="auto"/>
        <w:tabs>
          <w:tab w:leader="none" w:pos="9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20"/>
          <w:szCs w:val="20"/>
          <w:b w:val="1"/>
          <w:bCs w:val="1"/>
          <w:color w:val="auto"/>
        </w:rPr>
        <w:t>Notice of Sublicenses and Subcontracts</w:t>
      </w:r>
      <w:r>
        <w:rPr>
          <w:rFonts w:ascii="Arial" w:cs="Arial" w:eastAsia="Arial" w:hAnsi="Arial"/>
          <w:sz w:val="20"/>
          <w:szCs w:val="20"/>
          <w:color w:val="auto"/>
        </w:rPr>
        <w:t>. Zai will provide Blueprint with a true and complete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each sublicense or subcontracting agreement (including all schedules, exhibits, and appendices thereto) with any Third Party (including any Development Subcontractor or Third Party Distributor) within [****] after it becomes effective[****] Any sublicense granted under this Agreement must either be in English or [****].</w:t>
      </w:r>
    </w:p>
    <w:p>
      <w:pPr>
        <w:spacing w:after="0" w:line="185" w:lineRule="exact"/>
        <w:rPr>
          <w:sz w:val="20"/>
          <w:szCs w:val="20"/>
          <w:color w:val="auto"/>
        </w:rPr>
      </w:pPr>
    </w:p>
    <w:p>
      <w:pPr>
        <w:jc w:val="both"/>
        <w:ind w:left="920" w:hanging="647"/>
        <w:spacing w:after="0" w:line="260" w:lineRule="auto"/>
        <w:tabs>
          <w:tab w:leader="none" w:pos="90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b w:val="1"/>
          <w:bCs w:val="1"/>
          <w:color w:val="auto"/>
        </w:rPr>
        <w:t>Zai Audits of Sublicensees and Subcontractors</w:t>
      </w:r>
      <w:r>
        <w:rPr>
          <w:rFonts w:ascii="Arial" w:cs="Arial" w:eastAsia="Arial" w:hAnsi="Arial"/>
          <w:sz w:val="19"/>
          <w:szCs w:val="19"/>
          <w:color w:val="auto"/>
        </w:rPr>
        <w:t>. Zai will provide Blueprint with copies of all quality</w:t>
      </w:r>
      <w:r>
        <w:rPr>
          <w:rFonts w:ascii="Arial" w:cs="Arial" w:eastAsia="Arial" w:hAnsi="Arial"/>
          <w:sz w:val="19"/>
          <w:szCs w:val="19"/>
          <w:b w:val="1"/>
          <w:bCs w:val="1"/>
          <w:color w:val="auto"/>
        </w:rPr>
        <w:t xml:space="preserve"> </w:t>
      </w:r>
      <w:r>
        <w:rPr>
          <w:rFonts w:ascii="Arial" w:cs="Arial" w:eastAsia="Arial" w:hAnsi="Arial"/>
          <w:sz w:val="19"/>
          <w:szCs w:val="19"/>
          <w:color w:val="auto"/>
        </w:rPr>
        <w:t>oversight or audit reports from audits that Zai (or its agent) has conducted on any Sublicensees or Subcontractors that Zai engages to perform its obligations or exercise its rights under this Agreement with respect to any Licensed Product, as well as all corrective action plans resulting from any such audits, in each case, to the extent such reports and plans are relevant to such Sublicensees or Subcontractors’ performance of such obligations or exercise of such rights no later than [****].</w:t>
      </w:r>
    </w:p>
    <w:p>
      <w:pPr>
        <w:spacing w:after="0" w:line="173" w:lineRule="exact"/>
        <w:rPr>
          <w:sz w:val="20"/>
          <w:szCs w:val="20"/>
          <w:color w:val="auto"/>
        </w:rPr>
      </w:pPr>
    </w:p>
    <w:p>
      <w:pPr>
        <w:jc w:val="both"/>
        <w:ind w:left="920" w:hanging="647"/>
        <w:spacing w:after="0" w:line="285" w:lineRule="auto"/>
        <w:tabs>
          <w:tab w:leader="none" w:pos="90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8"/>
          <w:szCs w:val="18"/>
          <w:b w:val="1"/>
          <w:bCs w:val="1"/>
          <w:color w:val="auto"/>
        </w:rPr>
        <w:t>Responsibility for Sublicensees and Subcontractors</w:t>
      </w:r>
      <w:r>
        <w:rPr>
          <w:rFonts w:ascii="Arial" w:cs="Arial" w:eastAsia="Arial" w:hAnsi="Arial"/>
          <w:sz w:val="18"/>
          <w:szCs w:val="18"/>
          <w:color w:val="auto"/>
        </w:rPr>
        <w:t>. Zai will require that all Sublicensees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perform the activities that they are sublicensed or engaged to perform (as applicable) in accordance with GLP, cGMP, and GCP, as applicable, and otherwise in compliance with Applicable Law. Notwithstanding any sublicense or subcontracting, Zai will remain primarily liable to Blueprint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55" w:name="page256"/>
    <w:bookmarkEnd w:id="255"/>
    <w:p>
      <w:pPr>
        <w:jc w:val="both"/>
        <w:ind w:left="1380"/>
        <w:spacing w:after="0" w:line="243" w:lineRule="auto"/>
        <w:rPr>
          <w:sz w:val="20"/>
          <w:szCs w:val="20"/>
          <w:color w:val="auto"/>
        </w:rPr>
      </w:pPr>
      <w:r>
        <w:rPr>
          <w:rFonts w:ascii="Arial" w:cs="Arial" w:eastAsia="Arial" w:hAnsi="Arial"/>
          <w:sz w:val="20"/>
          <w:szCs w:val="20"/>
          <w:color w:val="auto"/>
        </w:rPr>
        <w:t>performance of all of its obligations under, and Zai’s compliance with all provisions of, this Agreement. Zai will be fully responsible and liable for any breach of the terms of this Agreement by any of its Sublicensees or Subcontractors to the same extent as if Zai itself has committed any such breach and will terminate the agreement with any Sublicensee or Subcontractor [****] if such Sublicensee or Subcontractor is in breach of this Agreement and neither Zai nor such Subcontractor cures such breach in a timely manner [****].</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License Grants to Blueprint</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7" w:lineRule="auto"/>
        <w:tabs>
          <w:tab w:leader="none" w:pos="136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b w:val="1"/>
          <w:bCs w:val="1"/>
          <w:color w:val="auto"/>
        </w:rPr>
        <w:t>Development Activities</w:t>
      </w:r>
      <w:r>
        <w:rPr>
          <w:rFonts w:ascii="Arial" w:cs="Arial" w:eastAsia="Arial" w:hAnsi="Arial"/>
          <w:sz w:val="18"/>
          <w:szCs w:val="18"/>
          <w:color w:val="auto"/>
        </w:rPr>
        <w:t>. Subject to the terms of this Agreement, Zai hereby grants to Blueprint a</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non-exclusive, royalty-free license, with the right to grant sublicenses through multiple tiers, under the Zai Technology to perform the Development activities for the Blueprint Compounds and the Licensed Products in the Field for which it is responsible under a Global Development Plan, including any Global Clinical Trial for a Licensed Product (including a POC Trial or other Development of any Blueprint/Zai Combination approved by the JSC pursuant to Section 5.8.1 (Proposed Combinations)).</w:t>
      </w:r>
    </w:p>
    <w:p>
      <w:pPr>
        <w:spacing w:after="0" w:line="160" w:lineRule="exact"/>
        <w:rPr>
          <w:sz w:val="20"/>
          <w:szCs w:val="20"/>
          <w:color w:val="auto"/>
        </w:rPr>
      </w:pPr>
    </w:p>
    <w:p>
      <w:pPr>
        <w:jc w:val="both"/>
        <w:ind w:left="1380" w:hanging="647"/>
        <w:spacing w:after="0" w:line="245" w:lineRule="auto"/>
        <w:tabs>
          <w:tab w:leader="none" w:pos="136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20"/>
          <w:szCs w:val="20"/>
          <w:b w:val="1"/>
          <w:bCs w:val="1"/>
          <w:color w:val="auto"/>
        </w:rPr>
        <w:t>Outside of the Territory</w:t>
      </w:r>
      <w:r>
        <w:rPr>
          <w:rFonts w:ascii="Arial" w:cs="Arial" w:eastAsia="Arial" w:hAnsi="Arial"/>
          <w:sz w:val="20"/>
          <w:szCs w:val="20"/>
          <w:color w:val="auto"/>
        </w:rPr>
        <w:t>. Subject to the terms of this Agreement, Zai hereby grants to Blueprint a</w:t>
      </w:r>
      <w:r>
        <w:rPr>
          <w:rFonts w:ascii="Arial" w:cs="Arial" w:eastAsia="Arial" w:hAnsi="Arial"/>
          <w:sz w:val="20"/>
          <w:szCs w:val="20"/>
          <w:b w:val="1"/>
          <w:bCs w:val="1"/>
          <w:color w:val="auto"/>
        </w:rPr>
        <w:t xml:space="preserve"> </w:t>
      </w:r>
      <w:r>
        <w:rPr>
          <w:rFonts w:ascii="Arial" w:cs="Arial" w:eastAsia="Arial" w:hAnsi="Arial"/>
          <w:sz w:val="20"/>
          <w:szCs w:val="20"/>
          <w:color w:val="auto"/>
        </w:rPr>
        <w:t>perpetual, irrevocable, royalty-free license, with the right to grant sublicenses through multiple tiers, under the Zai Technology to Exploit the Blueprint Compounds and the Licensed Products in the Field outside of the Territory. Such license under this Section 2.3.2 (Outside of the Territory) will be (a) exclusive under the Zai Collaboration Technology and Zai’s interest in the Joint Collaboration Technology and (b) non-exclusive under all other Zai Technology.</w:t>
      </w:r>
    </w:p>
    <w:p>
      <w:pPr>
        <w:spacing w:after="0" w:line="184"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Retained Rights</w:t>
      </w:r>
      <w:r>
        <w:rPr>
          <w:rFonts w:ascii="Arial" w:cs="Arial" w:eastAsia="Arial" w:hAnsi="Arial"/>
          <w:sz w:val="18"/>
          <w:szCs w:val="18"/>
          <w:color w:val="auto"/>
        </w:rPr>
        <w:t>. Nothing in this Agreement will be interpreted to grant a Party any rights under any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owned or Controlled by the other Party, including Blueprint Technology, Blueprint Manufacturing Technology, Joint Collaboration Technology, or Zai Technology, in each case, that are not expressly granted herein, whether by implication, estoppel, or otherwise. Any rights not expressly granted to Blueprint by Zai under this Agreement are hereby retained by Zai. Any rights not expressly granted to Zai by Blueprint under this Agreement are hereby retained by Blueprint. In addition, Blueprint expressly retains (a) the exclusive right under the Blueprint Technology (on behalf of itself and its licensees and Sublicensees, other than Zai, Zai’s Affiliates and Zai’s Sublicensees) to conduct Non-Clinical Development involving Blueprint Compounds or Licensed Products anywhere in the world (including in the Territory[****]), (b) the right under the Blueprint Technology to perform Development activities for the Blueprint Compounds and the Licensed Products in the Territory in accordance with this Agreement, including to conduct Development activities under a Global Development Plan as provided hereunder (including in the event that Zai declines, through the JSC, to participate in a Global Clinical Trial proposed by Blueprint under Section 5.11 (New Development Proposed by Blueprint) or fails to satisfy the Patient Commitment with respect to one or more Committed Trials), (c) the right under the Blueprint Technology (on behalf of itself and its licensees and Sublicensees, other than Zai, Zai’s Affiliates and Zai’s Sublicensees) to Manufacture Licensed Products in the Territory itself or through its Affiliates or Third Parties (i) for use by Zai and its authorized Sublicensees in the Territory or (ii) for use by Blueprint, or its licensees, Sublicensees, Affiliates or Third Parties outside of the Territory, (d) the right to perform Blueprint’s other obligations under this Agreement, (e) in the event that Zai does not participate in a Global Clinical Trial for one or more Licensed Products in one or more Indications or with respect to one or more Combination Products or Combination Regimens, the non-exclusive right to Develop Blueprint Compounds and Licensed Products through the use of clinical trial sites, CROs, and other Third Parties in the Territory in connection with the performance of such Global Clinical Trials, and (f) the exclusive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56" w:name="page257"/>
    <w:bookmarkEnd w:id="256"/>
    <w:p>
      <w:pPr>
        <w:jc w:val="both"/>
        <w:ind w:left="660"/>
        <w:spacing w:after="0" w:line="250" w:lineRule="auto"/>
        <w:rPr>
          <w:sz w:val="20"/>
          <w:szCs w:val="20"/>
          <w:color w:val="auto"/>
        </w:rPr>
      </w:pPr>
      <w:r>
        <w:rPr>
          <w:rFonts w:ascii="Arial" w:cs="Arial" w:eastAsia="Arial" w:hAnsi="Arial"/>
          <w:sz w:val="20"/>
          <w:szCs w:val="20"/>
          <w:color w:val="auto"/>
        </w:rPr>
        <w:t>Exploit the Blueprint Compounds and Licensed Products outside of the Territory. Zai will not practice the Blueprint Technology and Blueprint will not practice the Zai Technology, in each case, other than as expressly licensed and permitted under this Agreement or otherwise agreed by the Parties in writing.</w:t>
      </w:r>
    </w:p>
    <w:p>
      <w:pPr>
        <w:spacing w:after="0" w:line="18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Combination Products Rights</w:t>
      </w:r>
      <w:r>
        <w:rPr>
          <w:rFonts w:ascii="Arial" w:cs="Arial" w:eastAsia="Arial" w:hAnsi="Arial"/>
          <w:sz w:val="19"/>
          <w:szCs w:val="19"/>
          <w:color w:val="auto"/>
        </w:rPr>
        <w:t>. Notwithstanding any other provision of this Agreement, for purposes of the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grants under Section 2.1 (License Grants to Zai) or Section 2.3 (License Grants to Blueprint), with respect to any Licensed Product that is a Combination Product or Combination Regimen, such license will only include rights with respect to any Blueprint Compound component of such Combination Product or Combination Regimen and not any other Active Ingredient Controlled by, as applicable, the Party granting such license (</w:t>
      </w:r>
      <w:r>
        <w:rPr>
          <w:rFonts w:ascii="Arial" w:cs="Arial" w:eastAsia="Arial" w:hAnsi="Arial"/>
          <w:sz w:val="19"/>
          <w:szCs w:val="19"/>
          <w:i w:val="1"/>
          <w:iCs w:val="1"/>
          <w:color w:val="auto"/>
        </w:rPr>
        <w:t>e.g.</w:t>
      </w:r>
      <w:r>
        <w:rPr>
          <w:rFonts w:ascii="Arial" w:cs="Arial" w:eastAsia="Arial" w:hAnsi="Arial"/>
          <w:sz w:val="19"/>
          <w:szCs w:val="19"/>
          <w:color w:val="auto"/>
        </w:rPr>
        <w:t>, with respect to Zai, any Zai Product or with respect to Blueprint, a compound Controlled by Blueprint other than BLU-701 or BLU-945) or any of its Affiliates except in the event that [****].</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8"/>
          <w:szCs w:val="18"/>
          <w:b w:val="1"/>
          <w:bCs w:val="1"/>
          <w:color w:val="auto"/>
        </w:rPr>
        <w:t>Third Party In-Licenses</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73" w:lineRule="auto"/>
        <w:tabs>
          <w:tab w:leader="none" w:pos="136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Blueprint will remain solely responsible for the payment of all royalties,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fees, milestone payments, and other payment obligations under all agreements entered into by Blueprint prior to the Effective Date. If, after the Effective Date during the Term, Blueprint intends to obtain Control of any Know-How or Patent Rights from a Third Party (whether by acquisition or license) that may be necessary or useful to Exploit one or more Blueprint Compounds or Licensed Products in the Field anywhere in the world (other than a Change of Control of Blueprint or as a result of the acquisition by Blueprint of a Third Party by merger, acquisition, or similar transaction or series of related transactions) (such Know-How and Patent Rights, “</w:t>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then Blueprint will notify Zai in writing of such Blueprint Identified Rights and Section 2.6.3 (Third Party IP Agreements) will apply.</w:t>
      </w:r>
    </w:p>
    <w:p>
      <w:pPr>
        <w:spacing w:after="0" w:line="163" w:lineRule="exact"/>
        <w:rPr>
          <w:sz w:val="20"/>
          <w:szCs w:val="20"/>
          <w:color w:val="auto"/>
        </w:rPr>
      </w:pPr>
    </w:p>
    <w:p>
      <w:pPr>
        <w:jc w:val="both"/>
        <w:ind w:left="1380" w:hanging="647"/>
        <w:spacing w:after="0" w:line="258" w:lineRule="auto"/>
        <w:tabs>
          <w:tab w:leader="none" w:pos="136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b w:val="1"/>
          <w:bCs w:val="1"/>
          <w:color w:val="auto"/>
        </w:rPr>
        <w:t>Zai Identified Rights</w:t>
      </w:r>
      <w:r>
        <w:rPr>
          <w:rFonts w:ascii="Arial" w:cs="Arial" w:eastAsia="Arial" w:hAnsi="Arial"/>
          <w:sz w:val="19"/>
          <w:szCs w:val="19"/>
          <w:color w:val="auto"/>
        </w:rPr>
        <w:t>. If Zai determines that a license under any Know-How or Patent Rights 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by a Third Party is [****] (“</w:t>
      </w:r>
      <w:r>
        <w:rPr>
          <w:rFonts w:ascii="Arial" w:cs="Arial" w:eastAsia="Arial" w:hAnsi="Arial"/>
          <w:sz w:val="19"/>
          <w:szCs w:val="19"/>
          <w:b w:val="1"/>
          <w:bCs w:val="1"/>
          <w:color w:val="auto"/>
        </w:rPr>
        <w:t>Zai Identified Rights</w:t>
      </w:r>
      <w:r>
        <w:rPr>
          <w:rFonts w:ascii="Arial" w:cs="Arial" w:eastAsia="Arial" w:hAnsi="Arial"/>
          <w:sz w:val="19"/>
          <w:szCs w:val="19"/>
          <w:color w:val="auto"/>
        </w:rPr>
        <w:t>”), then Zai will [****]. Blueprint will have the first right to acquire rights to any such Zai Identified Rights from such Third Party (whether by acquisition or license)[****]. If [****], then Blueprint will notify Zai of such intention within [****] and the terms of Section 2.6.3 (Third Party IP Agreements) will apply. If (a) Blueprint [****] within such [****] period or otherwise [****], or (b) [****], then Zai will have the right to acquire rights under such Zai Identified Rights from such Third Party solely for the Territory or any region therein and any such right obtained by Zai will be referred to as “</w:t>
      </w:r>
      <w:r>
        <w:rPr>
          <w:rFonts w:ascii="Arial" w:cs="Arial" w:eastAsia="Arial" w:hAnsi="Arial"/>
          <w:sz w:val="19"/>
          <w:szCs w:val="19"/>
          <w:b w:val="1"/>
          <w:bCs w:val="1"/>
          <w:color w:val="auto"/>
        </w:rPr>
        <w:t>Zai In-Licensed Rights</w:t>
      </w:r>
      <w:r>
        <w:rPr>
          <w:rFonts w:ascii="Arial" w:cs="Arial" w:eastAsia="Arial" w:hAnsi="Arial"/>
          <w:sz w:val="19"/>
          <w:szCs w:val="19"/>
          <w:color w:val="auto"/>
        </w:rPr>
        <w:t>.”</w:t>
      </w:r>
    </w:p>
    <w:p>
      <w:pPr>
        <w:spacing w:after="0" w:line="173" w:lineRule="exact"/>
        <w:rPr>
          <w:sz w:val="20"/>
          <w:szCs w:val="20"/>
          <w:color w:val="auto"/>
        </w:rPr>
      </w:pPr>
    </w:p>
    <w:p>
      <w:pPr>
        <w:jc w:val="both"/>
        <w:ind w:left="1380" w:hanging="647"/>
        <w:spacing w:after="0" w:line="260" w:lineRule="auto"/>
        <w:tabs>
          <w:tab w:leader="none" w:pos="136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9"/>
          <w:szCs w:val="19"/>
          <w:b w:val="1"/>
          <w:bCs w:val="1"/>
          <w:color w:val="auto"/>
        </w:rPr>
        <w:t>Blueprint In-Licensed Rights</w:t>
      </w:r>
      <w:r>
        <w:rPr>
          <w:rFonts w:ascii="Arial" w:cs="Arial" w:eastAsia="Arial" w:hAnsi="Arial"/>
          <w:sz w:val="19"/>
          <w:szCs w:val="19"/>
          <w:color w:val="auto"/>
        </w:rPr>
        <w:t>. Prior to executing a Third Party IP Agreement with a Third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acquire or license any Blueprint Identified Rights or Zai Identified Rights (together, “</w:t>
      </w:r>
      <w:r>
        <w:rPr>
          <w:rFonts w:ascii="Arial" w:cs="Arial" w:eastAsia="Arial" w:hAnsi="Arial"/>
          <w:sz w:val="19"/>
          <w:szCs w:val="19"/>
          <w:b w:val="1"/>
          <w:bCs w:val="1"/>
          <w:color w:val="auto"/>
        </w:rPr>
        <w:t>Blueprint In-Licensed Rights</w:t>
      </w:r>
      <w:r>
        <w:rPr>
          <w:rFonts w:ascii="Arial" w:cs="Arial" w:eastAsia="Arial" w:hAnsi="Arial"/>
          <w:sz w:val="19"/>
          <w:szCs w:val="19"/>
          <w:color w:val="auto"/>
        </w:rPr>
        <w:t>”), Blueprint will (a) provide Zai an opportunity to review and comment on [****],</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 (b) take Zai’s comments into consideration [****] prior to finalizing such Third Party IP Agreement, and (c) ensure that such Third Party IP Agreement includes [****]. Upon execution of such Third Party IP Agreement, Blueprint will notify Zai in writing and will provide [****].</w:t>
      </w:r>
    </w:p>
    <w:p>
      <w:pPr>
        <w:spacing w:after="0" w:line="173" w:lineRule="exact"/>
        <w:rPr>
          <w:sz w:val="20"/>
          <w:szCs w:val="20"/>
          <w:color w:val="auto"/>
        </w:rPr>
      </w:pPr>
    </w:p>
    <w:p>
      <w:pPr>
        <w:jc w:val="both"/>
        <w:ind w:left="1380" w:hanging="647"/>
        <w:spacing w:after="0" w:line="246" w:lineRule="auto"/>
        <w:tabs>
          <w:tab w:leader="none" w:pos="136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20"/>
          <w:szCs w:val="20"/>
          <w:b w:val="1"/>
          <w:bCs w:val="1"/>
          <w:color w:val="auto"/>
        </w:rPr>
        <w:t>Responsibility for Costs of Blueprint In-Licensed Rights</w:t>
      </w:r>
      <w:r>
        <w:rPr>
          <w:rFonts w:ascii="Arial" w:cs="Arial" w:eastAsia="Arial" w:hAnsi="Arial"/>
          <w:sz w:val="20"/>
          <w:szCs w:val="20"/>
          <w:color w:val="auto"/>
        </w:rPr>
        <w:t>. Subject to Zai’s right to decline a license or</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 of Blueprint In-Licensed Rights within [****] in accordance with the terms of Section 2.6.5 (Right to Decline Blueprint In-Licensed Rights), following Blueprint’s execution of the applicable Third Party IP Agreement (a) such Blueprint In-Licensed Rights will be included in the Blueprint Know-How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57" w:name="page258"/>
    <w:bookmarkEnd w:id="257"/>
    <w:p>
      <w:pPr>
        <w:jc w:val="both"/>
        <w:ind w:left="920"/>
        <w:spacing w:after="0" w:line="270" w:lineRule="auto"/>
        <w:rPr>
          <w:sz w:val="20"/>
          <w:szCs w:val="20"/>
          <w:color w:val="auto"/>
        </w:rPr>
      </w:pPr>
      <w:r>
        <w:rPr>
          <w:rFonts w:ascii="Arial" w:cs="Arial" w:eastAsia="Arial" w:hAnsi="Arial"/>
          <w:sz w:val="18"/>
          <w:szCs w:val="18"/>
          <w:color w:val="auto"/>
        </w:rPr>
        <w:t>Blueprint Patent Rights (as applicable) and licensed or sublicensed (as applicable) to Zai under the licenses granted in Section 2.1 (License Grants to Zai), subject to the terms of this Agreement and the applicable Third Party IP Agreement, and (b) Zai will reimburse Blueprint (i) [****] of any such payments under the applicable Third Party IP Agreement that [****] pertain to, or arise [****] as a result of, the Exploitation of the Blueprint Compounds or the Licensed Products in the Territory (for example, [****]) by Zai or its Affiliates or Sublicensees, and (ii) with respect to any [****] payments payable in consideration for any Blueprint In-Licensed Rights that pertain to, or arise as a result of, the Exploitation of the Blueprint Compounds or the Licensed Products both inside and outside of the Territory or are non-Territory-specific (for example, [****]), [****]. Blueprint will bear [****] of amounts payable in consideration for any Blueprint In-Licensed Rights that pertain to any product other than a Blueprint Compound or Licensed Product or that [****] pertain to, or arise [****] as a result of, the Exploitation of the Blueprint Compounds or the Licensed Products outside of the Territory (for example, [****]).</w:t>
      </w:r>
    </w:p>
    <w:p>
      <w:pPr>
        <w:spacing w:after="0" w:line="170" w:lineRule="exact"/>
        <w:rPr>
          <w:sz w:val="20"/>
          <w:szCs w:val="20"/>
          <w:color w:val="auto"/>
        </w:rPr>
      </w:pPr>
    </w:p>
    <w:p>
      <w:pPr>
        <w:jc w:val="both"/>
        <w:ind w:left="920" w:hanging="647"/>
        <w:spacing w:after="0" w:line="243" w:lineRule="auto"/>
        <w:tabs>
          <w:tab w:leader="none" w:pos="900" w:val="left"/>
        </w:tabs>
        <w:rPr>
          <w:sz w:val="20"/>
          <w:szCs w:val="20"/>
          <w:color w:val="auto"/>
        </w:rPr>
      </w:pPr>
      <w:r>
        <w:rPr>
          <w:rFonts w:ascii="Arial" w:cs="Arial" w:eastAsia="Arial" w:hAnsi="Arial"/>
          <w:sz w:val="20"/>
          <w:szCs w:val="20"/>
          <w:color w:val="auto"/>
        </w:rPr>
        <w:t>2.6.5</w:t>
      </w:r>
      <w:r>
        <w:rPr>
          <w:sz w:val="20"/>
          <w:szCs w:val="20"/>
          <w:color w:val="auto"/>
        </w:rPr>
        <w:tab/>
      </w:r>
      <w:r>
        <w:rPr>
          <w:rFonts w:ascii="Arial" w:cs="Arial" w:eastAsia="Arial" w:hAnsi="Arial"/>
          <w:sz w:val="20"/>
          <w:szCs w:val="20"/>
          <w:b w:val="1"/>
          <w:bCs w:val="1"/>
          <w:color w:val="auto"/>
        </w:rPr>
        <w:t>Right to Decline Blueprint In-Licensed Rights</w:t>
      </w:r>
      <w:r>
        <w:rPr>
          <w:rFonts w:ascii="Arial" w:cs="Arial" w:eastAsia="Arial" w:hAnsi="Arial"/>
          <w:sz w:val="20"/>
          <w:szCs w:val="20"/>
          <w:color w:val="auto"/>
        </w:rPr>
        <w:t>. Zai will have the right to decline a license or sublicense</w:t>
      </w:r>
      <w:r>
        <w:rPr>
          <w:rFonts w:ascii="Arial" w:cs="Arial" w:eastAsia="Arial" w:hAnsi="Arial"/>
          <w:sz w:val="20"/>
          <w:szCs w:val="20"/>
          <w:b w:val="1"/>
          <w:bCs w:val="1"/>
          <w:color w:val="auto"/>
        </w:rPr>
        <w:t xml:space="preserve"> </w:t>
      </w:r>
      <w:r>
        <w:rPr>
          <w:rFonts w:ascii="Arial" w:cs="Arial" w:eastAsia="Arial" w:hAnsi="Arial"/>
          <w:sz w:val="20"/>
          <w:szCs w:val="20"/>
          <w:color w:val="auto"/>
        </w:rPr>
        <w:t>(as applicable) from Blueprint under Blueprint In-Licensed Rights under a Third Party IP Agreement by providing written notice to Blueprint [****]. Upon Blueprint’s [****] receipt of such notice declining such a license or sublicense (as applicable) under any Blueprint In-Licensed Rights, Blueprint will not be deemed to Control such Blueprint In-Licensed Rights, the definitions of Blueprint Patent Rights and Blueprint Know-How will exclude such Blueprint In-Licensed Rights, as applicable, and such Blueprint In-Licensed Rights will not be included in the scope of the rights granted to Zai under Section 2.1 (License Grants to Zai).</w:t>
      </w:r>
    </w:p>
    <w:p>
      <w:pPr>
        <w:spacing w:after="0" w:line="189"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20"/>
          <w:szCs w:val="20"/>
          <w:color w:val="auto"/>
        </w:rPr>
        <w:t>2.6.6</w:t>
      </w:r>
      <w:r>
        <w:rPr>
          <w:sz w:val="20"/>
          <w:szCs w:val="20"/>
          <w:color w:val="auto"/>
        </w:rPr>
        <w:tab/>
      </w:r>
      <w:r>
        <w:rPr>
          <w:rFonts w:ascii="Arial" w:cs="Arial" w:eastAsia="Arial" w:hAnsi="Arial"/>
          <w:sz w:val="16"/>
          <w:szCs w:val="16"/>
          <w:b w:val="1"/>
          <w:bCs w:val="1"/>
          <w:color w:val="auto"/>
        </w:rPr>
        <w:t>Right to Decline Zai In-Licensed Rights; Responsibility for Costs</w:t>
      </w:r>
      <w:r>
        <w:rPr>
          <w:rFonts w:ascii="Arial" w:cs="Arial" w:eastAsia="Arial" w:hAnsi="Arial"/>
          <w:sz w:val="16"/>
          <w:szCs w:val="16"/>
          <w:color w:val="auto"/>
        </w:rPr>
        <w:t>.</w:t>
      </w:r>
    </w:p>
    <w:p>
      <w:pPr>
        <w:spacing w:after="0" w:line="216" w:lineRule="exact"/>
        <w:rPr>
          <w:sz w:val="20"/>
          <w:szCs w:val="20"/>
          <w:color w:val="auto"/>
        </w:rPr>
      </w:pPr>
    </w:p>
    <w:p>
      <w:pPr>
        <w:jc w:val="both"/>
        <w:ind w:left="920" w:hanging="656"/>
        <w:spacing w:after="0" w:line="280" w:lineRule="auto"/>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Zai In-Licensed Rights</w:t>
      </w:r>
      <w:r>
        <w:rPr>
          <w:rFonts w:ascii="Arial" w:cs="Arial" w:eastAsia="Arial" w:hAnsi="Arial"/>
          <w:sz w:val="18"/>
          <w:szCs w:val="18"/>
          <w:color w:val="auto"/>
        </w:rPr>
        <w:t>. Prior to executing a Third Party IP Agreement with a Third Party to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any Zai In-Licensed Rights, Zai will (i) provide Blueprint an opportunity to review and comment on [****], including any [****], (ii) take Blueprint’s comments into consideration [****] prior to finalizing such Third Party IP Agreement, and (iii) ensure that such Third Party IP Agreement includes [****]. Upon execution of such Third Party IP Agreement, Zai will notify Blueprint in writing and will provide [****].</w:t>
      </w:r>
    </w:p>
    <w:p>
      <w:pPr>
        <w:spacing w:after="0" w:line="156" w:lineRule="exact"/>
        <w:rPr>
          <w:rFonts w:ascii="Arial" w:cs="Arial" w:eastAsia="Arial" w:hAnsi="Arial"/>
          <w:sz w:val="18"/>
          <w:szCs w:val="18"/>
          <w:color w:val="auto"/>
        </w:rPr>
      </w:pPr>
    </w:p>
    <w:p>
      <w:pPr>
        <w:jc w:val="both"/>
        <w:ind w:left="920" w:hanging="656"/>
        <w:spacing w:after="0" w:line="275" w:lineRule="auto"/>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Right to Decline Zai In-Licensed Rights</w:t>
      </w:r>
      <w:r>
        <w:rPr>
          <w:rFonts w:ascii="Arial" w:cs="Arial" w:eastAsia="Arial" w:hAnsi="Arial"/>
          <w:sz w:val="18"/>
          <w:szCs w:val="18"/>
          <w:color w:val="auto"/>
        </w:rPr>
        <w:t>. Blueprint will have the right to decline a license or sublicense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from Zai under Zai In-Licensed Rights by providing written notice to Zai [****] (the “</w:t>
      </w:r>
      <w:r>
        <w:rPr>
          <w:rFonts w:ascii="Arial" w:cs="Arial" w:eastAsia="Arial" w:hAnsi="Arial"/>
          <w:sz w:val="18"/>
          <w:szCs w:val="18"/>
          <w:b w:val="1"/>
          <w:bCs w:val="1"/>
          <w:color w:val="auto"/>
        </w:rPr>
        <w:t>Zai</w:t>
      </w:r>
      <w:r>
        <w:rPr>
          <w:rFonts w:ascii="Arial" w:cs="Arial" w:eastAsia="Arial" w:hAnsi="Arial"/>
          <w:sz w:val="18"/>
          <w:szCs w:val="18"/>
          <w:color w:val="auto"/>
        </w:rPr>
        <w:t xml:space="preserve"> </w:t>
      </w:r>
      <w:r>
        <w:rPr>
          <w:rFonts w:ascii="Arial" w:cs="Arial" w:eastAsia="Arial" w:hAnsi="Arial"/>
          <w:sz w:val="18"/>
          <w:szCs w:val="18"/>
          <w:b w:val="1"/>
          <w:bCs w:val="1"/>
          <w:color w:val="auto"/>
        </w:rPr>
        <w:t>Third Party IP Agreement</w:t>
      </w:r>
      <w:r>
        <w:rPr>
          <w:rFonts w:ascii="Arial" w:cs="Arial" w:eastAsia="Arial" w:hAnsi="Arial"/>
          <w:sz w:val="18"/>
          <w:szCs w:val="18"/>
          <w:color w:val="auto"/>
        </w:rPr>
        <w:t>”) [****]. Upon Zai’s [****] receipt of such notice declining such a license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(as applicable) under any Zai In-Licensed Rights, Zai will not be deemed to Control such Zai In-Licensed Rights, the definitions of Zai Patent Rights and Zai Know-How will exclude such Zai In-Licensed Rights, as applicable, and such Zai In-Licensed Rights will not be included in the scope of the rights granted to Blueprint under Section 2.3 (License Grants to Blueprint).</w:t>
      </w:r>
    </w:p>
    <w:p>
      <w:pPr>
        <w:spacing w:after="0" w:line="162" w:lineRule="exact"/>
        <w:rPr>
          <w:rFonts w:ascii="Arial" w:cs="Arial" w:eastAsia="Arial" w:hAnsi="Arial"/>
          <w:sz w:val="18"/>
          <w:szCs w:val="18"/>
          <w:color w:val="auto"/>
        </w:rPr>
      </w:pPr>
    </w:p>
    <w:p>
      <w:pPr>
        <w:jc w:val="both"/>
        <w:ind w:left="920" w:hanging="656"/>
        <w:spacing w:after="0" w:line="280" w:lineRule="auto"/>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Responsibility for Costs of Zai In-Licensed Rights</w:t>
      </w:r>
      <w:r>
        <w:rPr>
          <w:rFonts w:ascii="Arial" w:cs="Arial" w:eastAsia="Arial" w:hAnsi="Arial"/>
          <w:sz w:val="18"/>
          <w:szCs w:val="18"/>
          <w:color w:val="auto"/>
        </w:rPr>
        <w:t>. Subject to Blueprint’s right to decline a license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of Zai In-Licensed Rights in accordance with the terms of Section 2.6.6(b) (Right to Decline Zai In-Licensed Rights), following Zai’s execution of the applicable Zai Third Party IP Agreement: (i) such Zai In-Licensed Rights will be included in the Zai Know-How or the Zai Patent Rights (as applicable) and licensed or sublicensed (as applicable) to Blueprint under the licenses granted in Section 2.3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58" w:name="page259"/>
    <w:bookmarkEnd w:id="258"/>
    <w:p>
      <w:pPr>
        <w:jc w:val="both"/>
        <w:ind w:left="1380"/>
        <w:spacing w:after="0" w:line="255" w:lineRule="auto"/>
        <w:rPr>
          <w:sz w:val="20"/>
          <w:szCs w:val="20"/>
          <w:color w:val="auto"/>
        </w:rPr>
      </w:pPr>
      <w:r>
        <w:rPr>
          <w:rFonts w:ascii="Arial" w:cs="Arial" w:eastAsia="Arial" w:hAnsi="Arial"/>
          <w:sz w:val="19"/>
          <w:szCs w:val="19"/>
          <w:color w:val="auto"/>
        </w:rPr>
        <w:t>Grants to Blueprint), subject to the terms of this Agreement and the applicable Zai Third Party IP Agreement, and (ii) Blueprint will reimburse Zai (A) [****] of any such payments under the applicable Zai Third Party IP Agreement that [****]pertain to, or arise [****] as a result of, the Exploitation of the Blueprint Compounds or the Licensed Products outside the Territory (for example, [****] by Blueprint, its Affiliates or (sub)licensees, and (B) with respect to [****] payments payable in consideration for any Zai In-Licensed Rights that pertain to, or arise as a result of, the Exploitation of the Blueprint Compounds or the Licensed Products both inside and outside of the Territory or are non-Territory-specific (for example, [****]), a [****]. Zai will bear [****]of amounts payable in consideration for any Zai In-Licensed Rights that pertain to any product other than a Blueprint Compound or Licensed Product or that [****] pertain to, or arise [****] as a result of, the Exploitation of the Blueprint Compounds or the Licensed Products in the Territory (for example, [****]).</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Exclusivity</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2" w:lineRule="auto"/>
        <w:tabs>
          <w:tab w:leader="none" w:pos="1360" w:val="left"/>
        </w:tabs>
        <w:rPr>
          <w:sz w:val="20"/>
          <w:szCs w:val="20"/>
          <w:color w:val="auto"/>
        </w:rPr>
      </w:pPr>
      <w:r>
        <w:rPr>
          <w:rFonts w:ascii="Arial" w:cs="Arial" w:eastAsia="Arial" w:hAnsi="Arial"/>
          <w:sz w:val="20"/>
          <w:szCs w:val="20"/>
          <w:color w:val="auto"/>
        </w:rPr>
        <w:t>2.8.1</w:t>
      </w:r>
      <w:r>
        <w:rPr>
          <w:sz w:val="20"/>
          <w:szCs w:val="20"/>
          <w:color w:val="auto"/>
        </w:rPr>
        <w:tab/>
      </w:r>
      <w:r>
        <w:rPr>
          <w:rFonts w:ascii="Arial" w:cs="Arial" w:eastAsia="Arial" w:hAnsi="Arial"/>
          <w:sz w:val="19"/>
          <w:szCs w:val="19"/>
          <w:b w:val="1"/>
          <w:bCs w:val="1"/>
          <w:color w:val="auto"/>
        </w:rPr>
        <w:t>Exclusivity Covenant</w:t>
      </w:r>
      <w:r>
        <w:rPr>
          <w:rFonts w:ascii="Arial" w:cs="Arial" w:eastAsia="Arial" w:hAnsi="Arial"/>
          <w:sz w:val="19"/>
          <w:szCs w:val="19"/>
          <w:color w:val="auto"/>
        </w:rPr>
        <w:t>. Subject to Section 2.8.3 (New Affiliate Exception), during the Term neither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will, and will ensure that its Affiliates and Sublicensees do not, independently or for or with any Third Party, [****] unless agreed in writing by the Parties (the “</w:t>
      </w:r>
      <w:r>
        <w:rPr>
          <w:rFonts w:ascii="Arial" w:cs="Arial" w:eastAsia="Arial" w:hAnsi="Arial"/>
          <w:sz w:val="19"/>
          <w:szCs w:val="19"/>
          <w:b w:val="1"/>
          <w:bCs w:val="1"/>
          <w:color w:val="auto"/>
        </w:rPr>
        <w:t>Competitive Activities</w:t>
      </w:r>
      <w:r>
        <w:rPr>
          <w:rFonts w:ascii="Arial" w:cs="Arial" w:eastAsia="Arial" w:hAnsi="Arial"/>
          <w:sz w:val="19"/>
          <w:szCs w:val="19"/>
          <w:color w:val="auto"/>
        </w:rPr>
        <w:t>”).</w:t>
      </w:r>
    </w:p>
    <w:p>
      <w:pPr>
        <w:spacing w:after="0" w:line="162" w:lineRule="exact"/>
        <w:rPr>
          <w:sz w:val="20"/>
          <w:szCs w:val="20"/>
          <w:color w:val="auto"/>
        </w:rPr>
      </w:pPr>
    </w:p>
    <w:p>
      <w:pPr>
        <w:jc w:val="both"/>
        <w:ind w:left="1380" w:hanging="647"/>
        <w:spacing w:after="0" w:line="269" w:lineRule="auto"/>
        <w:tabs>
          <w:tab w:leader="none" w:pos="1360" w:val="left"/>
        </w:tabs>
        <w:rPr>
          <w:sz w:val="20"/>
          <w:szCs w:val="20"/>
          <w:color w:val="auto"/>
        </w:rPr>
      </w:pPr>
      <w:r>
        <w:rPr>
          <w:rFonts w:ascii="Arial" w:cs="Arial" w:eastAsia="Arial" w:hAnsi="Arial"/>
          <w:sz w:val="20"/>
          <w:szCs w:val="20"/>
          <w:color w:val="auto"/>
        </w:rPr>
        <w:t>2.8.2</w:t>
      </w:r>
      <w:r>
        <w:rPr>
          <w:sz w:val="20"/>
          <w:szCs w:val="20"/>
          <w:color w:val="auto"/>
        </w:rPr>
        <w:tab/>
      </w:r>
      <w:r>
        <w:rPr>
          <w:rFonts w:ascii="Arial" w:cs="Arial" w:eastAsia="Arial" w:hAnsi="Arial"/>
          <w:sz w:val="18"/>
          <w:szCs w:val="18"/>
          <w:b w:val="1"/>
          <w:bCs w:val="1"/>
          <w:color w:val="auto"/>
        </w:rPr>
        <w:t>Competitive Product Disputes</w:t>
      </w:r>
      <w:r>
        <w:rPr>
          <w:rFonts w:ascii="Arial" w:cs="Arial" w:eastAsia="Arial" w:hAnsi="Arial"/>
          <w:sz w:val="18"/>
          <w:szCs w:val="18"/>
          <w:color w:val="auto"/>
        </w:rPr>
        <w:t>. If a Party disputes whether a pharmaceutical or biologic product is a</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Product, then the Parties will refer the matter to the head of Research &amp; Development of Zai and Blueprint (or, if a Party does not have a head of Research &amp; Development, its most senior employee having the equivalent responsibilities) or their designees (the “</w:t>
      </w:r>
      <w:r>
        <w:rPr>
          <w:rFonts w:ascii="Arial" w:cs="Arial" w:eastAsia="Arial" w:hAnsi="Arial"/>
          <w:sz w:val="18"/>
          <w:szCs w:val="18"/>
          <w:b w:val="1"/>
          <w:bCs w:val="1"/>
          <w:color w:val="auto"/>
        </w:rPr>
        <w:t>Scientific Officers</w:t>
      </w:r>
      <w:r>
        <w:rPr>
          <w:rFonts w:ascii="Arial" w:cs="Arial" w:eastAsia="Arial" w:hAnsi="Arial"/>
          <w:sz w:val="18"/>
          <w:szCs w:val="18"/>
          <w:color w:val="auto"/>
        </w:rPr>
        <w:t>”). The Scientific Officers will meet [****] to discuss and resolve the matter within [****] after referral of such matter to such Scientific Officers. If the Scientific Officers cannot agree on a resolution to the matter within such [****] period, then the Parties will refer such matter for resolution to an independent Third Party expert agreed upon by the Parties within [****] after the Scientific Officers failed to resolve such matter. Such independent Third Party expert will be [****], and unless otherwise agreed in writing by the Parties, must not [****]. Such expert will make its determination as to whether the applicable pharmaceutical or biologic product is a Competitive Product [****]. The Party bringing a dispute pursuant to this Section 2.8.2 (Competitive Product Disputes) will [****] engage such expert and the Parties will share the out-of-pocket costs incurred in connection with the engagement of such expert [****]. Within [****] of the engagement of such expert by the disputing Party, such expert will deliver a written decision to the Parties on the matter as to whether such product is a Competitive Product (including a detailed report as to such expert’s rationale for such decision), and such decision will be binding on the Parties.</w:t>
      </w:r>
    </w:p>
    <w:p>
      <w:pPr>
        <w:spacing w:after="0" w:line="176" w:lineRule="exact"/>
        <w:rPr>
          <w:sz w:val="20"/>
          <w:szCs w:val="20"/>
          <w:color w:val="auto"/>
        </w:rPr>
      </w:pPr>
    </w:p>
    <w:p>
      <w:pPr>
        <w:jc w:val="both"/>
        <w:ind w:left="1380" w:hanging="647"/>
        <w:spacing w:after="0" w:line="262" w:lineRule="auto"/>
        <w:tabs>
          <w:tab w:leader="none" w:pos="1360" w:val="left"/>
        </w:tabs>
        <w:rPr>
          <w:sz w:val="20"/>
          <w:szCs w:val="20"/>
          <w:color w:val="auto"/>
        </w:rPr>
      </w:pPr>
      <w:r>
        <w:rPr>
          <w:rFonts w:ascii="Arial" w:cs="Arial" w:eastAsia="Arial" w:hAnsi="Arial"/>
          <w:sz w:val="20"/>
          <w:szCs w:val="20"/>
          <w:color w:val="auto"/>
        </w:rPr>
        <w:t>2.8.3</w:t>
      </w:r>
      <w:r>
        <w:rPr>
          <w:sz w:val="20"/>
          <w:szCs w:val="20"/>
          <w:color w:val="auto"/>
        </w:rPr>
        <w:tab/>
      </w:r>
      <w:r>
        <w:rPr>
          <w:rFonts w:ascii="Arial" w:cs="Arial" w:eastAsia="Arial" w:hAnsi="Arial"/>
          <w:sz w:val="19"/>
          <w:szCs w:val="19"/>
          <w:b w:val="1"/>
          <w:bCs w:val="1"/>
          <w:color w:val="auto"/>
        </w:rPr>
        <w:t>New Affiliate Exception</w:t>
      </w:r>
      <w:r>
        <w:rPr>
          <w:rFonts w:ascii="Arial" w:cs="Arial" w:eastAsia="Arial" w:hAnsi="Arial"/>
          <w:sz w:val="19"/>
          <w:szCs w:val="19"/>
          <w:color w:val="auto"/>
        </w:rPr>
        <w:t>. Notwithstanding Section 2.8.1 (Exclusivity Covenant), if (1)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an Affiliate of a Party during the Term through merger, acquisition, consolidation, Change of Control, or other similar transaction (any such Third Party, a “</w:t>
      </w:r>
      <w:r>
        <w:rPr>
          <w:rFonts w:ascii="Arial" w:cs="Arial" w:eastAsia="Arial" w:hAnsi="Arial"/>
          <w:sz w:val="19"/>
          <w:szCs w:val="19"/>
          <w:b w:val="1"/>
          <w:bCs w:val="1"/>
          <w:color w:val="auto"/>
        </w:rPr>
        <w:t>New Affiliate</w:t>
      </w:r>
      <w:r>
        <w:rPr>
          <w:rFonts w:ascii="Arial" w:cs="Arial" w:eastAsia="Arial" w:hAnsi="Arial"/>
          <w:sz w:val="19"/>
          <w:szCs w:val="19"/>
          <w:color w:val="auto"/>
        </w:rPr>
        <w:t>”) and (2) such New Affiliate, as of the execution date of the definitive agreement with respect to such transaction, is engaged in Competitive Activities with respect to one or more Competitive Products,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59" w:name="page260"/>
    <w:bookmarkEnd w:id="259"/>
    <w:p>
      <w:pPr>
        <w:jc w:val="both"/>
        <w:ind w:left="1540" w:hanging="642"/>
        <w:spacing w:after="0" w:line="255" w:lineRule="auto"/>
        <w:tabs>
          <w:tab w:leader="none" w:pos="15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such transaction results in a Change of Control of a Party, then such New Affiliate of such Party (the “</w:t>
      </w:r>
      <w:r>
        <w:rPr>
          <w:rFonts w:ascii="Arial" w:cs="Arial" w:eastAsia="Arial" w:hAnsi="Arial"/>
          <w:sz w:val="19"/>
          <w:szCs w:val="19"/>
          <w:b w:val="1"/>
          <w:bCs w:val="1"/>
          <w:color w:val="auto"/>
        </w:rPr>
        <w:t>Acquiror</w:t>
      </w:r>
      <w:r>
        <w:rPr>
          <w:rFonts w:ascii="Arial" w:cs="Arial" w:eastAsia="Arial" w:hAnsi="Arial"/>
          <w:sz w:val="19"/>
          <w:szCs w:val="19"/>
          <w:color w:val="auto"/>
        </w:rPr>
        <w:t>”) and such Party and their respective Affiliates may continue to perform such Competitive Activities after such Change of Control and such Party will not be in violation of its exclusivity obligations set forth in Section 2.8.1 (Exclusivity Covenant), as long as (i) no Confidential Information of the other Party or Blueprint Technology (if the acquired Party is Zai) or Zai Technology (if the acquired Party is Blueprint) is used by or on behalf of such Party, its Acquiror and their respective Affiliates in connection with any such Competitive Activities, and (ii) such Party, its Acquiror and their respective Affiliates institute commercially reasonable [****] safeguards to ensure the requirements set forth in the foregoing clause (i) are met, including by creating “firewalls” between the personnel working on such Competitive Activities and the personnel teams charged with working on the Blueprint Compounds and Licensed Products hereunder or having access to data from activities performed under this Agreement or to the Confidential Information of the other Party.</w:t>
      </w:r>
    </w:p>
    <w:p>
      <w:pPr>
        <w:spacing w:after="0" w:line="181" w:lineRule="exact"/>
        <w:rPr>
          <w:rFonts w:ascii="Arial" w:cs="Arial" w:eastAsia="Arial" w:hAnsi="Arial"/>
          <w:sz w:val="19"/>
          <w:szCs w:val="19"/>
          <w:color w:val="auto"/>
        </w:rPr>
      </w:pPr>
    </w:p>
    <w:p>
      <w:pPr>
        <w:jc w:val="both"/>
        <w:ind w:left="1540" w:right="20" w:hanging="642"/>
        <w:spacing w:after="0" w:line="272" w:lineRule="auto"/>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such transaction does not result in a Change of Control of a Party, then such Party (i) will provide to the other Party [****], (ii) unless the Parties agree otherwise in writing, such Party and its New Affiliate (an “</w:t>
      </w:r>
      <w:r>
        <w:rPr>
          <w:rFonts w:ascii="Arial" w:cs="Arial" w:eastAsia="Arial" w:hAnsi="Arial"/>
          <w:sz w:val="18"/>
          <w:szCs w:val="18"/>
          <w:b w:val="1"/>
          <w:bCs w:val="1"/>
          <w:color w:val="auto"/>
        </w:rPr>
        <w:t>Acquiree</w:t>
      </w:r>
      <w:r>
        <w:rPr>
          <w:rFonts w:ascii="Arial" w:cs="Arial" w:eastAsia="Arial" w:hAnsi="Arial"/>
          <w:sz w:val="18"/>
          <w:szCs w:val="18"/>
          <w:color w:val="auto"/>
        </w:rPr>
        <w:t>”) will take one of the following actions set forth below in clauses (A) or</w:t>
      </w:r>
    </w:p>
    <w:p>
      <w:pPr>
        <w:jc w:val="both"/>
        <w:ind w:left="1540" w:right="20" w:hanging="7"/>
        <w:spacing w:after="0" w:line="266" w:lineRule="auto"/>
        <w:tabs>
          <w:tab w:leader="none" w:pos="187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and (iii) no later than [****] following the date of consummation of the relevant acquisition transaction, such Party will notify the other Party of which of the actions in the following clauses</w:t>
      </w:r>
    </w:p>
    <w:p>
      <w:pPr>
        <w:jc w:val="both"/>
        <w:ind w:left="1540" w:hanging="7"/>
        <w:spacing w:after="0" w:line="266" w:lineRule="auto"/>
        <w:tabs>
          <w:tab w:leader="none" w:pos="190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or (B), it will pursue: (A) divest, or cause its Acquiree to divest, whether by license or otherwise, its interest in the program of applicable Competitive Activities; or (B) terminate any further Competitive Activities. If such Party notifies the other Party in writing that it intends to divest the program of applicable Competitive Activities or terminate the performance of the applicable Competitive Activities, then such Party or its Acquiree will effect the consummation of such divestiture within [****] (or such other period as may be required to comply with Applicable Law), or effect such termination of the program of applicable Competitive Activities within [****], in each case, after the closing of the relevant transaction and will confirm to the other Party in writing when it completes such divestiture pursuant to clause (A) or termination pursuant to clause</w:t>
      </w:r>
    </w:p>
    <w:p>
      <w:pPr>
        <w:jc w:val="both"/>
        <w:ind w:left="1540" w:hanging="7"/>
        <w:spacing w:after="0" w:line="268" w:lineRule="auto"/>
        <w:tabs>
          <w:tab w:leader="none" w:pos="190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Such Party will keep the other Party reasonably informed of its efforts and progress in effecting such divesture or termination until such Party or its Acquiree completes the same. During such [****] or [****] period, as applicable, such Party and its Acquiree’s and their respective Affiliates’ conduct of such Competitive Activities will not constitute a breach by such Party of its exclusivity obligations set forth in Section 2.8.1 (Exclusivity Covenant), as long as during such period, (I) no Confidential Information of the other Party or Blueprint Technology (if the acquiring Party is Zai) or Zai Technology (if the acquiring Party is Blueprint) is used by or on behalf of such acquiring Party, its Acquiree, and their respective Affiliates in connection with any such Competitive Activities, and (II) such acquiring Party, its Acquiree and their respective Affiliates institute commercially reasonable [****] safeguards to ensure the requirements set forth in the foregoing clause (I) are met, including by creating “firewalls” between the personnel working under such Competitive Activities and the personnel teams charged with working on the Blueprint Compounds and Licensed Products hereunder or having access to data from activities performed under this Agreement or Confidential Information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GOVERNANCE</w:t>
      </w:r>
    </w:p>
    <w:p>
      <w:pPr>
        <w:spacing w:after="0" w:line="19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Alliance Managers</w:t>
      </w:r>
      <w:r>
        <w:rPr>
          <w:rFonts w:ascii="Arial" w:cs="Arial" w:eastAsia="Arial" w:hAnsi="Arial"/>
          <w:sz w:val="19"/>
          <w:szCs w:val="19"/>
          <w:color w:val="auto"/>
        </w:rPr>
        <w:t>. Each Party will appoint an individual to act as its alliance manager under this Agreement as</w:t>
      </w:r>
      <w:r>
        <w:rPr>
          <w:rFonts w:ascii="Arial" w:cs="Arial" w:eastAsia="Arial" w:hAnsi="Arial"/>
          <w:sz w:val="19"/>
          <w:szCs w:val="19"/>
          <w:b w:val="1"/>
          <w:bCs w:val="1"/>
          <w:color w:val="auto"/>
        </w:rPr>
        <w:t xml:space="preserve"> </w:t>
      </w:r>
      <w:r>
        <w:rPr>
          <w:rFonts w:ascii="Arial" w:cs="Arial" w:eastAsia="Arial" w:hAnsi="Arial"/>
          <w:sz w:val="19"/>
          <w:szCs w:val="19"/>
          <w:color w:val="auto"/>
        </w:rPr>
        <w:t>soon as practicable after the Effective Date (each an “</w:t>
      </w:r>
      <w:r>
        <w:rPr>
          <w:rFonts w:ascii="Arial" w:cs="Arial" w:eastAsia="Arial" w:hAnsi="Arial"/>
          <w:sz w:val="19"/>
          <w:szCs w:val="19"/>
          <w:b w:val="1"/>
          <w:bCs w:val="1"/>
          <w:color w:val="auto"/>
        </w:rPr>
        <w:t>Alliance Manager</w:t>
      </w:r>
      <w:r>
        <w:rPr>
          <w:rFonts w:ascii="Arial" w:cs="Arial" w:eastAsia="Arial" w:hAnsi="Arial"/>
          <w:sz w:val="19"/>
          <w:szCs w:val="19"/>
          <w:color w:val="auto"/>
        </w:rPr>
        <w:t>”). The Alliance Managers will: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all of which communications between the Parties will be in English; (c) facilitate the prompt resolution of any disputes; and (d) attend JSC, JPT, and Working Group meetings, in each case, as a non-voting member. An Alliance Manager may also bring any matter to the attention of the JSC, a JPT, or applicable Working Group if such Alliance Manager reasonably believes that such matter warrants such attention. Each Party will use reasonable efforts to keep an appropriate level of continuity but may replace its Alliance Manager at any time upon written notice to the other Party.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69" w:lineRule="auto"/>
        <w:tabs>
          <w:tab w:leader="none" w:pos="136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b w:val="1"/>
          <w:bCs w:val="1"/>
          <w:color w:val="auto"/>
        </w:rPr>
        <w:t>Formation</w:t>
      </w:r>
      <w:r>
        <w:rPr>
          <w:rFonts w:ascii="Arial" w:cs="Arial" w:eastAsia="Arial" w:hAnsi="Arial"/>
          <w:sz w:val="18"/>
          <w:szCs w:val="18"/>
          <w:color w:val="auto"/>
        </w:rPr>
        <w:t>. No later than [****] after the Effective Date, the Parties will establish a joint steering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w:t>
      </w:r>
      <w:r>
        <w:rPr>
          <w:rFonts w:ascii="Arial" w:cs="Arial" w:eastAsia="Arial" w:hAnsi="Arial"/>
          <w:sz w:val="18"/>
          <w:szCs w:val="18"/>
          <w:b w:val="1"/>
          <w:bCs w:val="1"/>
          <w:color w:val="auto"/>
        </w:rPr>
        <w:t>JSC</w:t>
      </w:r>
      <w:r>
        <w:rPr>
          <w:rFonts w:ascii="Arial" w:cs="Arial" w:eastAsia="Arial" w:hAnsi="Arial"/>
          <w:sz w:val="18"/>
          <w:szCs w:val="18"/>
          <w:color w:val="auto"/>
        </w:rPr>
        <w:t>”) to monitor and coordinate the Exploitation of the Blueprint Compounds and the Licensed Products in the Territory. The JSC will be composed of [****] representatives from each Party (unless otherwise agreed by the Parties) who are fluent in English and who have the appropriate and direct knowledge and expertise and requisite decision-making authority. Each Party may replace any of its representatives on the JSC and appoint a person to fill the vacancy arising from each such replacement. A Party that replaces a representative will notify the other Party at least [****] prior to the next scheduled meeting of the JSC. Both Parties will use reasonable efforts to keep an appropriate level of continuity in representation. Representatives may be represented at any meeting by another person designated by the absent representative. The JSC will be chaired by one of the representatives (“</w:t>
      </w:r>
      <w:r>
        <w:rPr>
          <w:rFonts w:ascii="Arial" w:cs="Arial" w:eastAsia="Arial" w:hAnsi="Arial"/>
          <w:sz w:val="18"/>
          <w:szCs w:val="18"/>
          <w:b w:val="1"/>
          <w:bCs w:val="1"/>
          <w:color w:val="auto"/>
        </w:rPr>
        <w:t>JSC Chairperson</w:t>
      </w:r>
      <w:r>
        <w:rPr>
          <w:rFonts w:ascii="Arial" w:cs="Arial" w:eastAsia="Arial" w:hAnsi="Arial"/>
          <w:sz w:val="18"/>
          <w:szCs w:val="18"/>
          <w:color w:val="auto"/>
        </w:rPr>
        <w:t>”) and will rotate between the Parties every 12 months during the Term. The initial JSC Chairperson of the JSC will be a representative of Zai for the period ending [****], and a Blueprint representative will become the JSC Chairperson of the JSC for the next [****] period during the Term. The role of the JSC Chairperson will be to convene and preside at meetings of the JSC and to ensure that the Alliance Managers prepare minutes, but the JSC Chairperson will have no additional powers or rights beyond those held by the other JSC representatives. Each Party’s representatives on the JSC will inform and coordinate within their respective organization to enable each Party to fulfill its obligations as agreed upon between the Parties under this Agreement, including within the time frames set forth hereunder.</w:t>
      </w:r>
    </w:p>
    <w:p>
      <w:pPr>
        <w:spacing w:after="0" w:line="171" w:lineRule="exact"/>
        <w:rPr>
          <w:sz w:val="20"/>
          <w:szCs w:val="20"/>
          <w:color w:val="auto"/>
        </w:rPr>
      </w:pPr>
    </w:p>
    <w:p>
      <w:pPr>
        <w:jc w:val="both"/>
        <w:ind w:left="1380" w:hanging="647"/>
        <w:spacing w:after="0" w:line="245" w:lineRule="auto"/>
        <w:tabs>
          <w:tab w:leader="none" w:pos="136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b w:val="1"/>
          <w:bCs w:val="1"/>
          <w:color w:val="auto"/>
        </w:rPr>
        <w:t>Meeting Agendas</w:t>
      </w:r>
      <w:r>
        <w:rPr>
          <w:rFonts w:ascii="Arial" w:cs="Arial" w:eastAsia="Arial" w:hAnsi="Arial"/>
          <w:sz w:val="20"/>
          <w:szCs w:val="20"/>
          <w:color w:val="auto"/>
        </w:rPr>
        <w:t>. Each Party will disclose to the other Party the proposed agenda items along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appropriate information at least [****] in advance of each meeting of the JSC;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under exigent circumstances requiring JSC input, a Party may provide its agenda items to the other Party within a shorter period of time in advance of a meeting, or may propose that there not be a specific agenda for a particular meeting, so long as such other Party consents to such later addition of such agenda items or the absence of a specific agenda for such JSC meeting.</w:t>
      </w:r>
    </w:p>
    <w:p>
      <w:pPr>
        <w:spacing w:after="0" w:line="184" w:lineRule="exact"/>
        <w:rPr>
          <w:sz w:val="20"/>
          <w:szCs w:val="20"/>
          <w:color w:val="auto"/>
        </w:rPr>
      </w:pPr>
    </w:p>
    <w:p>
      <w:pPr>
        <w:jc w:val="both"/>
        <w:ind w:left="1380" w:right="20" w:hanging="647"/>
        <w:spacing w:after="0" w:line="267" w:lineRule="auto"/>
        <w:tabs>
          <w:tab w:leader="none" w:pos="136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20"/>
          <w:szCs w:val="20"/>
          <w:b w:val="1"/>
          <w:bCs w:val="1"/>
          <w:color w:val="auto"/>
        </w:rPr>
        <w:t>Meetings</w:t>
      </w:r>
      <w:r>
        <w:rPr>
          <w:rFonts w:ascii="Arial" w:cs="Arial" w:eastAsia="Arial" w:hAnsi="Arial"/>
          <w:sz w:val="20"/>
          <w:szCs w:val="20"/>
          <w:color w:val="auto"/>
        </w:rPr>
        <w:t>. The JSC will hold meetings at such times as it elects to do so, but will meet no less frequently</w:t>
      </w:r>
      <w:r>
        <w:rPr>
          <w:rFonts w:ascii="Arial" w:cs="Arial" w:eastAsia="Arial" w:hAnsi="Arial"/>
          <w:sz w:val="20"/>
          <w:szCs w:val="20"/>
          <w:b w:val="1"/>
          <w:bCs w:val="1"/>
          <w:color w:val="auto"/>
        </w:rPr>
        <w:t xml:space="preserve"> </w:t>
      </w:r>
      <w:r>
        <w:rPr>
          <w:rFonts w:ascii="Arial" w:cs="Arial" w:eastAsia="Arial" w:hAnsi="Arial"/>
          <w:sz w:val="20"/>
          <w:szCs w:val="20"/>
          <w:color w:val="auto"/>
        </w:rPr>
        <w:t>than quarterly, unless otherwise agreed by the Parties. All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61" w:name="page262"/>
    <w:bookmarkEnd w:id="261"/>
    <w:p>
      <w:pPr>
        <w:jc w:val="both"/>
        <w:ind w:left="920"/>
        <w:spacing w:after="0" w:line="274" w:lineRule="auto"/>
        <w:rPr>
          <w:sz w:val="20"/>
          <w:szCs w:val="20"/>
          <w:color w:val="auto"/>
        </w:rPr>
      </w:pPr>
      <w:r>
        <w:rPr>
          <w:rFonts w:ascii="Arial" w:cs="Arial" w:eastAsia="Arial" w:hAnsi="Arial"/>
          <w:sz w:val="18"/>
          <w:szCs w:val="18"/>
          <w:color w:val="auto"/>
        </w:rPr>
        <w:t xml:space="preserve">will be conducted in English. The JSC may meet in person or by means of teleconference, internet teleconference, videoconference, or other similar communication method;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 meeting each Calendar Year will be conducted in person at a location selected alternatively by Blueprint and Zai or such other location as the Parties may agree. Each Party will be responsible for all of its own costs and expenses of participating in any JSC meeting. The Alliance Managers will jointly prepare and circulate minutes for each JSC meeting within [****] after each such meeting and will ensure that such minutes are reviewed and approved by their respective companies within [****] thereafter.</w:t>
      </w:r>
    </w:p>
    <w:p>
      <w:pPr>
        <w:spacing w:after="0" w:line="162"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8"/>
          <w:szCs w:val="18"/>
          <w:b w:val="1"/>
          <w:bCs w:val="1"/>
          <w:color w:val="auto"/>
        </w:rPr>
        <w:t>JSC Roles and Responsibilities</w:t>
      </w:r>
      <w:r>
        <w:rPr>
          <w:rFonts w:ascii="Arial" w:cs="Arial" w:eastAsia="Arial" w:hAnsi="Arial"/>
          <w:sz w:val="18"/>
          <w:szCs w:val="18"/>
          <w:color w:val="auto"/>
        </w:rPr>
        <w:t>. The responsibilities of the JSC will be to:</w:t>
      </w:r>
    </w:p>
    <w:p>
      <w:pPr>
        <w:spacing w:after="0" w:line="222" w:lineRule="exact"/>
        <w:rPr>
          <w:sz w:val="20"/>
          <w:szCs w:val="20"/>
          <w:color w:val="auto"/>
        </w:rPr>
      </w:pPr>
    </w:p>
    <w:p>
      <w:pPr>
        <w:ind w:left="1500" w:hanging="676"/>
        <w:spacing w:after="0"/>
        <w:tabs>
          <w:tab w:leader="none" w:pos="15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provide a forum for the discussion of the Parties’ activities under this Agreement;</w:t>
      </w:r>
    </w:p>
    <w:p>
      <w:pPr>
        <w:spacing w:after="0" w:line="215" w:lineRule="exact"/>
        <w:rPr>
          <w:rFonts w:ascii="Arial" w:cs="Arial" w:eastAsia="Arial" w:hAnsi="Arial"/>
          <w:sz w:val="20"/>
          <w:szCs w:val="20"/>
          <w:color w:val="auto"/>
        </w:rPr>
      </w:pPr>
    </w:p>
    <w:p>
      <w:pPr>
        <w:ind w:left="1460" w:right="20" w:hanging="508"/>
        <w:spacing w:after="0" w:line="287" w:lineRule="auto"/>
        <w:tabs>
          <w:tab w:leader="none" w:pos="14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review, discuss, and determine whether to approve the initial list of Preapproved Subcontractors and any updates thereto, as described in Section 2.2.3 (Right to Subcontract);</w:t>
      </w:r>
    </w:p>
    <w:p>
      <w:pPr>
        <w:spacing w:after="0" w:line="152" w:lineRule="exact"/>
        <w:rPr>
          <w:rFonts w:ascii="Arial" w:cs="Arial" w:eastAsia="Arial" w:hAnsi="Arial"/>
          <w:sz w:val="19"/>
          <w:szCs w:val="19"/>
          <w:color w:val="auto"/>
        </w:rPr>
      </w:pPr>
    </w:p>
    <w:p>
      <w:pPr>
        <w:jc w:val="both"/>
        <w:ind w:left="1460" w:hanging="508"/>
        <w:spacing w:after="0" w:line="291" w:lineRule="auto"/>
        <w:tabs>
          <w:tab w:leader="none" w:pos="14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oversee the JPTs and establish and oversee Working Groups as necessary or advisable to further the purpose of this Agreement and settle any disputes that arise within any JPT or Working Groups, as described in Section 3.6.2 (Resolution of JPT and Working Group Disputes);</w:t>
      </w:r>
    </w:p>
    <w:p>
      <w:pPr>
        <w:spacing w:after="0" w:line="151" w:lineRule="exact"/>
        <w:rPr>
          <w:rFonts w:ascii="Arial" w:cs="Arial" w:eastAsia="Arial" w:hAnsi="Arial"/>
          <w:sz w:val="18"/>
          <w:szCs w:val="18"/>
          <w:color w:val="auto"/>
        </w:rPr>
      </w:pPr>
    </w:p>
    <w:p>
      <w:pPr>
        <w:jc w:val="both"/>
        <w:ind w:left="1460" w:hanging="508"/>
        <w:spacing w:after="0" w:line="342" w:lineRule="auto"/>
        <w:tabs>
          <w:tab w:leader="none" w:pos="14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oversee the implementation of, and the coordination between the Parties of activities to be performed under, the Clinical Supply Agreement, the Commercial Supply Agreement, the Safety Agreements, and any other written agreement between the Parties with respect to the subject matter hereof;</w:t>
      </w:r>
    </w:p>
    <w:p>
      <w:pPr>
        <w:spacing w:after="0" w:line="117" w:lineRule="exact"/>
        <w:rPr>
          <w:rFonts w:ascii="Arial" w:cs="Arial" w:eastAsia="Arial" w:hAnsi="Arial"/>
          <w:sz w:val="16"/>
          <w:szCs w:val="16"/>
          <w:color w:val="auto"/>
        </w:rPr>
      </w:pPr>
    </w:p>
    <w:p>
      <w:pPr>
        <w:ind w:left="1460" w:right="20" w:hanging="508"/>
        <w:spacing w:after="0" w:line="260" w:lineRule="auto"/>
        <w:tabs>
          <w:tab w:leader="none" w:pos="14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review, discuss, and determine whether to approve each Manufacturing Technology Transfer Plan, as described in Section 4.2 (Manufacturing Technology Transfer);</w:t>
      </w:r>
    </w:p>
    <w:p>
      <w:pPr>
        <w:spacing w:after="0" w:line="176" w:lineRule="exact"/>
        <w:rPr>
          <w:rFonts w:ascii="Arial" w:cs="Arial" w:eastAsia="Arial" w:hAnsi="Arial"/>
          <w:sz w:val="20"/>
          <w:szCs w:val="20"/>
          <w:color w:val="auto"/>
        </w:rPr>
      </w:pPr>
    </w:p>
    <w:p>
      <w:pPr>
        <w:jc w:val="both"/>
        <w:ind w:left="1460" w:hanging="508"/>
        <w:spacing w:after="0" w:line="246" w:lineRule="auto"/>
        <w:tabs>
          <w:tab w:leader="none" w:pos="14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change in the scope of Manufacturing activities to be transferred to Zai in connection with the Manufacturing Technology Transfer for any Blueprint Compound and any updates or amendments thereto, as described in Section 4.2 (Manufacturing Technology Transfer);</w:t>
      </w:r>
    </w:p>
    <w:p>
      <w:pPr>
        <w:spacing w:after="0" w:line="191"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 PRC Submission Estimated Timeline for each Licensed Product and each update thereto for each Licensed Product, in each case, as described in Section 5.6.2 (Amendments and Obligations);</w:t>
      </w:r>
    </w:p>
    <w:p>
      <w:pPr>
        <w:spacing w:after="0" w:line="185"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initial Territory-Specific Development Plan for each Licensed Product and each update thereto, in each case, as described in Section 5.4 (Territory-Specific Development Plans);</w:t>
      </w:r>
    </w:p>
    <w:p>
      <w:pPr>
        <w:spacing w:after="0" w:line="185" w:lineRule="exact"/>
        <w:rPr>
          <w:rFonts w:ascii="Arial" w:cs="Arial" w:eastAsia="Arial" w:hAnsi="Arial"/>
          <w:sz w:val="20"/>
          <w:szCs w:val="20"/>
          <w:color w:val="auto"/>
        </w:rPr>
      </w:pPr>
    </w:p>
    <w:p>
      <w:pPr>
        <w:jc w:val="both"/>
        <w:ind w:left="1460" w:right="20" w:hanging="508"/>
        <w:spacing w:after="0" w:line="250" w:lineRule="auto"/>
        <w:tabs>
          <w:tab w:leader="none" w:pos="14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review and discuss the initial Global Development Plan for each Licensed Product and each update thereto for any Licensed Product, in each case, as described in Section 5.1 (Global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62" w:name="page263"/>
    <w:bookmarkEnd w:id="262"/>
    <w:p>
      <w:pPr>
        <w:jc w:val="both"/>
        <w:ind w:left="1460" w:hanging="508"/>
        <w:spacing w:after="0" w:line="269" w:lineRule="auto"/>
        <w:tabs>
          <w:tab w:leader="none" w:pos="14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review, discuss, and determine whether to approve allocation to Zai of any new or additional activities under the Global Development Plan, including any additional Committed Trials proposed by Blueprint, as described in Section 5.1 (Global Development Plan);</w:t>
      </w:r>
    </w:p>
    <w:p>
      <w:pPr>
        <w:spacing w:after="0" w:line="169" w:lineRule="exact"/>
        <w:rPr>
          <w:rFonts w:ascii="Arial" w:cs="Arial" w:eastAsia="Arial" w:hAnsi="Arial"/>
          <w:sz w:val="19"/>
          <w:szCs w:val="19"/>
          <w:color w:val="auto"/>
        </w:rPr>
      </w:pPr>
    </w:p>
    <w:p>
      <w:pPr>
        <w:ind w:left="1460" w:hanging="508"/>
        <w:spacing w:after="0"/>
        <w:tabs>
          <w:tab w:leader="none" w:pos="1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 discuss, and determine whether to approve for Development under this Agreement [****];</w:t>
      </w:r>
    </w:p>
    <w:p>
      <w:pPr>
        <w:spacing w:after="0" w:line="238" w:lineRule="exact"/>
        <w:rPr>
          <w:rFonts w:ascii="Arial" w:cs="Arial" w:eastAsia="Arial" w:hAnsi="Arial"/>
          <w:sz w:val="18"/>
          <w:szCs w:val="18"/>
          <w:color w:val="auto"/>
        </w:rPr>
      </w:pPr>
    </w:p>
    <w:p>
      <w:pPr>
        <w:jc w:val="both"/>
        <w:ind w:left="1460" w:hanging="508"/>
        <w:spacing w:after="0" w:line="269" w:lineRule="auto"/>
        <w:tabs>
          <w:tab w:leader="none" w:pos="14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review, discuss, and determine whether to approve any New Development Proposal, and review, discuss, and determine whether to approve any New Territory-Specific Development Activities, in each case, as described in Section 5.9 (New Development Proposed by Zai);</w:t>
      </w:r>
    </w:p>
    <w:p>
      <w:pPr>
        <w:spacing w:after="0" w:line="169" w:lineRule="exact"/>
        <w:rPr>
          <w:rFonts w:ascii="Arial" w:cs="Arial" w:eastAsia="Arial" w:hAnsi="Arial"/>
          <w:sz w:val="19"/>
          <w:szCs w:val="19"/>
          <w:color w:val="auto"/>
        </w:rPr>
      </w:pPr>
    </w:p>
    <w:p>
      <w:pPr>
        <w:jc w:val="both"/>
        <w:ind w:left="1460" w:hanging="508"/>
        <w:spacing w:after="0" w:line="25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regulatory strategy for the Territory with respect to each Licensed Product and each update thereto, as described in Section 6.1 (Regulatory Strategy);</w:t>
      </w:r>
    </w:p>
    <w:p>
      <w:pPr>
        <w:spacing w:after="0" w:line="185"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review and discuss Zai’s plan for undertaking additional regulatory activities for any Licensed Product delegated by Blueprint or the JSC to Zai, as described in Section 6.2.1 (Obtaining and Maintaining Regulatory Approvals);</w:t>
      </w:r>
    </w:p>
    <w:p>
      <w:pPr>
        <w:spacing w:after="0" w:line="185" w:lineRule="exact"/>
        <w:rPr>
          <w:rFonts w:ascii="Arial" w:cs="Arial" w:eastAsia="Arial" w:hAnsi="Arial"/>
          <w:sz w:val="20"/>
          <w:szCs w:val="20"/>
          <w:color w:val="auto"/>
        </w:rPr>
      </w:pPr>
    </w:p>
    <w:p>
      <w:pPr>
        <w:ind w:left="1460" w:right="20" w:hanging="508"/>
        <w:spacing w:after="0" w:line="26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review, discuss, and determine matters that may have a material adverse impact upon the regulatory status of the Licensed Products pursuant to Section 6.7 (No Harmful Actions);</w:t>
      </w:r>
    </w:p>
    <w:p>
      <w:pPr>
        <w:spacing w:after="0" w:line="176" w:lineRule="exact"/>
        <w:rPr>
          <w:rFonts w:ascii="Arial" w:cs="Arial" w:eastAsia="Arial" w:hAnsi="Arial"/>
          <w:sz w:val="20"/>
          <w:szCs w:val="20"/>
          <w:color w:val="auto"/>
        </w:rPr>
      </w:pPr>
    </w:p>
    <w:p>
      <w:pPr>
        <w:ind w:left="1460" w:hanging="508"/>
        <w:spacing w:after="0"/>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discuss and determine whether to approve [****];</w:t>
      </w:r>
    </w:p>
    <w:p>
      <w:pPr>
        <w:spacing w:after="0" w:line="215" w:lineRule="exact"/>
        <w:rPr>
          <w:rFonts w:ascii="Arial" w:cs="Arial" w:eastAsia="Arial" w:hAnsi="Arial"/>
          <w:sz w:val="20"/>
          <w:szCs w:val="20"/>
          <w:color w:val="auto"/>
        </w:rPr>
      </w:pPr>
    </w:p>
    <w:p>
      <w:pPr>
        <w:ind w:left="1460" w:right="20" w:hanging="508"/>
        <w:spacing w:after="0" w:line="26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review, discuss, and determine whether to approve each Medical Affairs Plan and each update thereto, as described in Section 8.1 (Medical Affairs Plans);</w:t>
      </w:r>
    </w:p>
    <w:p>
      <w:pPr>
        <w:spacing w:after="0" w:line="176" w:lineRule="exact"/>
        <w:rPr>
          <w:rFonts w:ascii="Arial" w:cs="Arial" w:eastAsia="Arial" w:hAnsi="Arial"/>
          <w:sz w:val="20"/>
          <w:szCs w:val="20"/>
          <w:color w:val="auto"/>
        </w:rPr>
      </w:pPr>
    </w:p>
    <w:p>
      <w:pPr>
        <w:ind w:left="1460" w:right="20" w:hanging="508"/>
        <w:spacing w:after="0" w:line="26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review, discuss, and determine whether to approve each Commercialization Plan and each update thereto, as described in Section 9.2 (Commercialization Plans);</w:t>
      </w:r>
    </w:p>
    <w:p>
      <w:pPr>
        <w:spacing w:after="0" w:line="176" w:lineRule="exact"/>
        <w:rPr>
          <w:rFonts w:ascii="Arial" w:cs="Arial" w:eastAsia="Arial" w:hAnsi="Arial"/>
          <w:sz w:val="20"/>
          <w:szCs w:val="20"/>
          <w:color w:val="auto"/>
        </w:rPr>
      </w:pPr>
    </w:p>
    <w:p>
      <w:pPr>
        <w:jc w:val="both"/>
        <w:ind w:left="1460" w:hanging="508"/>
        <w:spacing w:after="0" w:line="246"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determine whether a Product Mark is not appropriate for the Territory due to linguistic reasons or market research showing that such Product Mark is not appropriate, and review and comment on any alternative Product Marks selected by Zai, in each case, as described in Section 14.9.2 (Product Marks in the Territory);</w:t>
      </w:r>
    </w:p>
    <w:p>
      <w:pPr>
        <w:spacing w:after="0" w:line="191" w:lineRule="exact"/>
        <w:rPr>
          <w:rFonts w:ascii="Arial" w:cs="Arial" w:eastAsia="Arial" w:hAnsi="Arial"/>
          <w:sz w:val="20"/>
          <w:szCs w:val="20"/>
          <w:color w:val="auto"/>
        </w:rPr>
      </w:pPr>
    </w:p>
    <w:p>
      <w:pPr>
        <w:jc w:val="both"/>
        <w:ind w:left="1460" w:hanging="508"/>
        <w:spacing w:after="0" w:line="291" w:lineRule="auto"/>
        <w:tabs>
          <w:tab w:leader="none" w:pos="1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 discuss, and determine whether to approve any brand strategy for a Licensed Product that is specific to the Territory (or any region therein) and that is inconsistent with the Global Brand Strategy for such Licensed Product, as described in Section 9.2 (Commercialization Plans);</w:t>
      </w:r>
    </w:p>
    <w:p>
      <w:pPr>
        <w:spacing w:after="0" w:line="151" w:lineRule="exact"/>
        <w:rPr>
          <w:rFonts w:ascii="Arial" w:cs="Arial" w:eastAsia="Arial" w:hAnsi="Arial"/>
          <w:sz w:val="18"/>
          <w:szCs w:val="18"/>
          <w:color w:val="auto"/>
        </w:rPr>
      </w:pPr>
    </w:p>
    <w:p>
      <w:pPr>
        <w:ind w:left="1460" w:hanging="508"/>
        <w:spacing w:after="0" w:line="316" w:lineRule="auto"/>
        <w:tabs>
          <w:tab w:leader="none" w:pos="1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 discuss, and determine whether to approve any alternative Licensed Product-specific trademark selected by Zai in accordance with Section 14.9.2 (Product Marks in the Territory); and</w:t>
      </w:r>
    </w:p>
    <w:p>
      <w:pPr>
        <w:spacing w:after="0" w:line="129" w:lineRule="exact"/>
        <w:rPr>
          <w:rFonts w:ascii="Arial" w:cs="Arial" w:eastAsia="Arial" w:hAnsi="Arial"/>
          <w:sz w:val="18"/>
          <w:szCs w:val="18"/>
          <w:color w:val="auto"/>
        </w:rPr>
      </w:pPr>
    </w:p>
    <w:p>
      <w:pPr>
        <w:ind w:left="1460" w:hanging="508"/>
        <w:spacing w:after="0" w:line="260" w:lineRule="auto"/>
        <w:tabs>
          <w:tab w:leader="none" w:pos="14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perform such other functions as expressly set forth in this Agreement or allocated to the JSC by the Parties’ written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63" w:name="page264"/>
    <w:bookmarkEnd w:id="263"/>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Joint Project Teams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67" w:lineRule="auto"/>
        <w:tabs>
          <w:tab w:leader="none" w:pos="136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b w:val="1"/>
          <w:bCs w:val="1"/>
          <w:color w:val="auto"/>
        </w:rPr>
        <w:t>Formation; Composition; Meetings</w:t>
      </w:r>
      <w:r>
        <w:rPr>
          <w:rFonts w:ascii="Arial" w:cs="Arial" w:eastAsia="Arial" w:hAnsi="Arial"/>
          <w:sz w:val="18"/>
          <w:szCs w:val="18"/>
          <w:color w:val="auto"/>
        </w:rPr>
        <w:t>. No later than [****], the Parties will form one or more joint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teams to coordinate and oversee the day-to-day performance of the activities and obligations of the Parties under this Agreement related to the Exploitation of each Blueprint Compound and the corresponding Licensed Products (each, a “</w:t>
      </w:r>
      <w:r>
        <w:rPr>
          <w:rFonts w:ascii="Arial" w:cs="Arial" w:eastAsia="Arial" w:hAnsi="Arial"/>
          <w:sz w:val="18"/>
          <w:szCs w:val="18"/>
          <w:b w:val="1"/>
          <w:bCs w:val="1"/>
          <w:color w:val="auto"/>
        </w:rPr>
        <w:t>JPT</w:t>
      </w:r>
      <w:r>
        <w:rPr>
          <w:rFonts w:ascii="Arial" w:cs="Arial" w:eastAsia="Arial" w:hAnsi="Arial"/>
          <w:sz w:val="18"/>
          <w:szCs w:val="18"/>
          <w:color w:val="auto"/>
        </w:rPr>
        <w:t>”). Each JPT will be composed of representatives from each Party who have direct knowledge and expertise in each of the following functional areas (as applicable depending on the stage of the applicable Licensed Products): clinical, clinical operations, pharmaceutical and biologic product development (including Companion Diagnostics, to the extent applicable), regulatory, safety, manufacturing, intellectual property, marketing, and commercial, in each case, as such functional areas relate to products similar to the applicable Licensed Product. Initially, only one JPT will be formed for all Licensed Products, but the JPT may during the Term elect to form separate JPTs for one or more Licensed Products. Each Party may replace any of its representatives on a JPT and appoint a person to fill the vacancy arising from each such replacement. A Party that replaces a representative will notify the other Party at least [****] prior to the next scheduled meeting of the applicable JPT. An individual may serve on more than one JPT and each Party will use reasonable efforts to keep an appropriate level of continuity in representation. Representatives may be represented at any meeting by another person designated by the absent representative. Each Party’s representatives on the JPT will inform and coordinate within their respective organization to enable each Party to fulfill its obligations within the time frames as agreed upon between the Parties under this Agreement. Each JPT will be chaired by one of the representatives (“</w:t>
      </w:r>
      <w:r>
        <w:rPr>
          <w:rFonts w:ascii="Arial" w:cs="Arial" w:eastAsia="Arial" w:hAnsi="Arial"/>
          <w:sz w:val="18"/>
          <w:szCs w:val="18"/>
          <w:b w:val="1"/>
          <w:bCs w:val="1"/>
          <w:color w:val="auto"/>
        </w:rPr>
        <w:t>JPT</w:t>
      </w:r>
      <w:r>
        <w:rPr>
          <w:rFonts w:ascii="Arial" w:cs="Arial" w:eastAsia="Arial" w:hAnsi="Arial"/>
          <w:sz w:val="18"/>
          <w:szCs w:val="18"/>
          <w:color w:val="auto"/>
        </w:rPr>
        <w:t xml:space="preserve"> </w:t>
      </w:r>
      <w:r>
        <w:rPr>
          <w:rFonts w:ascii="Arial" w:cs="Arial" w:eastAsia="Arial" w:hAnsi="Arial"/>
          <w:sz w:val="18"/>
          <w:szCs w:val="18"/>
          <w:b w:val="1"/>
          <w:bCs w:val="1"/>
          <w:color w:val="auto"/>
        </w:rPr>
        <w:t>Chairperson</w:t>
      </w:r>
      <w:r>
        <w:rPr>
          <w:rFonts w:ascii="Arial" w:cs="Arial" w:eastAsia="Arial" w:hAnsi="Arial"/>
          <w:sz w:val="18"/>
          <w:szCs w:val="18"/>
          <w:color w:val="auto"/>
        </w:rPr>
        <w:t>”) and will rotate between the Parties every [****] during the Term. The initial JPT</w:t>
      </w:r>
      <w:r>
        <w:rPr>
          <w:rFonts w:ascii="Arial" w:cs="Arial" w:eastAsia="Arial" w:hAnsi="Arial"/>
          <w:sz w:val="18"/>
          <w:szCs w:val="18"/>
          <w:b w:val="1"/>
          <w:bCs w:val="1"/>
          <w:color w:val="auto"/>
        </w:rPr>
        <w:t xml:space="preserve"> </w:t>
      </w:r>
      <w:r>
        <w:rPr>
          <w:rFonts w:ascii="Arial" w:cs="Arial" w:eastAsia="Arial" w:hAnsi="Arial"/>
          <w:sz w:val="18"/>
          <w:szCs w:val="18"/>
          <w:color w:val="auto"/>
        </w:rPr>
        <w:t>Chairperson of each JPT will be a representative of Blueprint for the period [****] and a Zai representative will become the JPT Chairperson of each JPT for the next [****] period during the Term. Each JPT will meet as frequently as, and will operate as, the JSC may determine [****]. The role of the JPT Chairperson will be to convene and preside at meetings of the applicable JPT and to ensure that the Alliance Managers prepare minutes, but the JPT Chairperson will have no additional powers or rights beyond those held by the other JPT representatives. The JPTs may meet in person or by means of teleconference, Internet conference, videoconference, or other similar communications method, and the JPT for each Blueprint Compound and corresponding Licensed Products may hold meetings at the same time as one or more other JPTs if agreed by the Parties. All meetings of each JPT will be held in English. Each JPT and its activities will be subject to the oversight of, and will report to, the JSC. In no event will the authority of any JPT exceed the authority of the JSC. Each Party will be responsible for all of its own costs and expenses of participating in the JPTs. The Alliance Managers will jointly prepare and circulate minutes for each JPT meeting within [****] after each such meeting and will ensure that such minutes are reviewed and approved by their respective companies within [****] thereafter.</w:t>
      </w:r>
    </w:p>
    <w:p>
      <w:pPr>
        <w:spacing w:after="0" w:line="191"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8"/>
          <w:szCs w:val="18"/>
          <w:b w:val="1"/>
          <w:bCs w:val="1"/>
          <w:color w:val="auto"/>
        </w:rPr>
        <w:t>JPT Roles and Responsibilities</w:t>
      </w:r>
      <w:r>
        <w:rPr>
          <w:rFonts w:ascii="Arial" w:cs="Arial" w:eastAsia="Arial" w:hAnsi="Arial"/>
          <w:sz w:val="18"/>
          <w:szCs w:val="18"/>
          <w:color w:val="auto"/>
        </w:rPr>
        <w:t>. The responsibilities of the JPT will be to:</w:t>
      </w:r>
    </w:p>
    <w:p>
      <w:pPr>
        <w:spacing w:after="0" w:line="222" w:lineRule="exact"/>
        <w:rPr>
          <w:sz w:val="20"/>
          <w:szCs w:val="20"/>
          <w:color w:val="auto"/>
        </w:rPr>
      </w:pPr>
    </w:p>
    <w:p>
      <w:pPr>
        <w:ind w:left="1920" w:hanging="508"/>
        <w:spacing w:after="0" w:line="287" w:lineRule="auto"/>
        <w:tabs>
          <w:tab w:leader="none" w:pos="19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oversee the day-to-day performance of the activities and obligations of each Party under this Agreement related to the Exploitation of each Blueprint Compound and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64" w:name="page265"/>
    <w:bookmarkEnd w:id="264"/>
    <w:p>
      <w:pPr>
        <w:ind w:left="1460" w:right="20" w:hanging="508"/>
        <w:spacing w:after="0" w:line="26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discuss and develop the Manufacturing Technology Transfer Plan for each Blueprint Compound, as described in Section 4.2 (Manufacturing Technology Transfer);</w:t>
      </w:r>
    </w:p>
    <w:p>
      <w:pPr>
        <w:spacing w:after="0" w:line="176"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and discuss updates of any Blueprint Know-How related to any Blueprint Compound or Licensed Product developed by Blueprint or its Affiliates or licensees since the previous meeting, as described in Section 4.3 (Continuing Know-How Transfer);</w:t>
      </w:r>
    </w:p>
    <w:p>
      <w:pPr>
        <w:spacing w:after="0" w:line="185"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discuss, and submit to the JSC the [****] PRC Submission Estimated Timeline for each Licensed Product and each update thereto for each Licensed Product, as described in Section 5.6.2 (Amendments and Obligations);</w:t>
      </w:r>
    </w:p>
    <w:p>
      <w:pPr>
        <w:spacing w:after="0" w:line="185"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discuss, provide comments on, and submit to the JSC the Territory-Specific Development Plan for each Licensed Product, and each update thereto, as described in Section 5.4 (Territory-Specific Development Plans);</w:t>
      </w:r>
    </w:p>
    <w:p>
      <w:pPr>
        <w:spacing w:after="0" w:line="185" w:lineRule="exact"/>
        <w:rPr>
          <w:rFonts w:ascii="Arial" w:cs="Arial" w:eastAsia="Arial" w:hAnsi="Arial"/>
          <w:sz w:val="20"/>
          <w:szCs w:val="20"/>
          <w:color w:val="auto"/>
        </w:rPr>
      </w:pPr>
    </w:p>
    <w:p>
      <w:pPr>
        <w:jc w:val="both"/>
        <w:ind w:left="1460" w:hanging="508"/>
        <w:spacing w:after="0" w:line="25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inclusion of any Non-Clinical Development in the Territory-Specific Development Plan for a Licensed Product, as described in Section 5.7 (Non-Clinical and Preclinical Studies);</w:t>
      </w:r>
    </w:p>
    <w:p>
      <w:pPr>
        <w:spacing w:after="0" w:line="185" w:lineRule="exact"/>
        <w:rPr>
          <w:rFonts w:ascii="Arial" w:cs="Arial" w:eastAsia="Arial" w:hAnsi="Arial"/>
          <w:sz w:val="20"/>
          <w:szCs w:val="20"/>
          <w:color w:val="auto"/>
        </w:rPr>
      </w:pPr>
    </w:p>
    <w:p>
      <w:pPr>
        <w:ind w:left="1460" w:hanging="508"/>
        <w:spacing w:after="0" w:line="26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and discuss the Global Development Plan for each Licensed Product, and each update thereto, as described in Section 5.1 (Global Development Plans);</w:t>
      </w:r>
    </w:p>
    <w:p>
      <w:pPr>
        <w:spacing w:after="0" w:line="176" w:lineRule="exact"/>
        <w:rPr>
          <w:rFonts w:ascii="Arial" w:cs="Arial" w:eastAsia="Arial" w:hAnsi="Arial"/>
          <w:sz w:val="20"/>
          <w:szCs w:val="20"/>
          <w:color w:val="auto"/>
        </w:rPr>
      </w:pPr>
    </w:p>
    <w:p>
      <w:pPr>
        <w:ind w:left="1460" w:right="20" w:hanging="508"/>
        <w:spacing w:after="0" w:line="316"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discuss, develop, and submit to the JSC the Global Development Plan for any Proposed Blueprint/Zai Combination, as described in Section 5.8.1 (Proposed Blueprint/Zai Combinations);</w:t>
      </w:r>
    </w:p>
    <w:p>
      <w:pPr>
        <w:spacing w:after="0" w:line="129" w:lineRule="exact"/>
        <w:rPr>
          <w:rFonts w:ascii="Arial" w:cs="Arial" w:eastAsia="Arial" w:hAnsi="Arial"/>
          <w:sz w:val="18"/>
          <w:szCs w:val="18"/>
          <w:color w:val="auto"/>
        </w:rPr>
      </w:pPr>
    </w:p>
    <w:p>
      <w:pPr>
        <w:jc w:val="both"/>
        <w:ind w:left="1460" w:hanging="508"/>
        <w:spacing w:after="0" w:line="291"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 discuss, provide comments on, and submit to the JSC any update to the Territory-Specific Development Plan for any Licensed Product that includes any New Territory-Specific Development Activities that have been approved by the JSC, as described in Section 5.9.1(a) (JSC Approval);</w:t>
      </w:r>
    </w:p>
    <w:p>
      <w:pPr>
        <w:spacing w:after="0" w:line="151" w:lineRule="exact"/>
        <w:rPr>
          <w:rFonts w:ascii="Arial" w:cs="Arial" w:eastAsia="Arial" w:hAnsi="Arial"/>
          <w:sz w:val="18"/>
          <w:szCs w:val="18"/>
          <w:color w:val="auto"/>
        </w:rPr>
      </w:pPr>
    </w:p>
    <w:p>
      <w:pPr>
        <w:ind w:left="1460" w:right="20" w:hanging="508"/>
        <w:spacing w:after="0" w:line="26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discuss, develop, and submit to the JSC the regulatory strategy for the Territory for each Licensed Product, as described in Section 6.1 (Regulatory Strategy);</w:t>
      </w:r>
    </w:p>
    <w:p>
      <w:pPr>
        <w:spacing w:after="0" w:line="176" w:lineRule="exact"/>
        <w:rPr>
          <w:rFonts w:ascii="Arial" w:cs="Arial" w:eastAsia="Arial" w:hAnsi="Arial"/>
          <w:sz w:val="20"/>
          <w:szCs w:val="20"/>
          <w:color w:val="auto"/>
        </w:rPr>
      </w:pPr>
    </w:p>
    <w:p>
      <w:pPr>
        <w:ind w:left="1460" w:hanging="508"/>
        <w:spacing w:after="0" w:line="26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and monitor the Parties’ compliance with the Safety Agreements, as described in Section 6.5.1 (Safety Agreements);</w:t>
      </w:r>
    </w:p>
    <w:p>
      <w:pPr>
        <w:spacing w:after="0" w:line="176" w:lineRule="exact"/>
        <w:rPr>
          <w:rFonts w:ascii="Arial" w:cs="Arial" w:eastAsia="Arial" w:hAnsi="Arial"/>
          <w:sz w:val="20"/>
          <w:szCs w:val="20"/>
          <w:color w:val="auto"/>
        </w:rPr>
      </w:pPr>
    </w:p>
    <w:p>
      <w:pPr>
        <w:jc w:val="both"/>
        <w:ind w:left="1460" w:hanging="508"/>
        <w:spacing w:after="0" w:line="246"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and monitor the Parties’ compliance with and performance under the Clinical Supply Agreement, the Commercial Supply Agreement, and any other written agreement between the Parties with respect to the subject matter hereof, and review and discuss Manufacturing of the Licensed Products by each Party for the Territory;</w:t>
      </w:r>
    </w:p>
    <w:p>
      <w:pPr>
        <w:spacing w:after="0" w:line="191" w:lineRule="exact"/>
        <w:rPr>
          <w:rFonts w:ascii="Arial" w:cs="Arial" w:eastAsia="Arial" w:hAnsi="Arial"/>
          <w:sz w:val="20"/>
          <w:szCs w:val="20"/>
          <w:color w:val="auto"/>
        </w:rPr>
      </w:pPr>
    </w:p>
    <w:p>
      <w:pPr>
        <w:ind w:left="1460" w:hanging="508"/>
        <w:spacing w:after="0" w:line="260" w:lineRule="auto"/>
        <w:tabs>
          <w:tab w:leader="none" w:pos="14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 discuss, and comment on the Medical Affairs Plan for each Licensed Product and each update thereto, as described in Section 8.1 (Medical Affairs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65" w:name="page266"/>
    <w:bookmarkEnd w:id="265"/>
    <w:p>
      <w:pPr>
        <w:jc w:val="both"/>
        <w:ind w:left="1900" w:hanging="508"/>
        <w:spacing w:after="0" w:line="250"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review and discuss each report provided by Zai of the Medical Affairs activities performed by or on behalf of Zai in the Territory for each Licensed Product, as described in Section 8.3 (Medical Affairs Reports);</w:t>
      </w:r>
    </w:p>
    <w:p>
      <w:pPr>
        <w:spacing w:after="0" w:line="185" w:lineRule="exact"/>
        <w:rPr>
          <w:rFonts w:ascii="Arial" w:cs="Arial" w:eastAsia="Arial" w:hAnsi="Arial"/>
          <w:sz w:val="20"/>
          <w:szCs w:val="20"/>
          <w:color w:val="auto"/>
        </w:rPr>
      </w:pPr>
    </w:p>
    <w:p>
      <w:pPr>
        <w:ind w:left="1900" w:right="20" w:hanging="508"/>
        <w:spacing w:after="0" w:line="260"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review, discuss, and comment on the Commercialization Plan for each Licensed Product and each update thereto, as described in Section 9.2 (Commercialization Plans);</w:t>
      </w:r>
    </w:p>
    <w:p>
      <w:pPr>
        <w:spacing w:after="0" w:line="176" w:lineRule="exact"/>
        <w:rPr>
          <w:rFonts w:ascii="Arial" w:cs="Arial" w:eastAsia="Arial" w:hAnsi="Arial"/>
          <w:sz w:val="20"/>
          <w:szCs w:val="20"/>
          <w:color w:val="auto"/>
        </w:rPr>
      </w:pPr>
    </w:p>
    <w:p>
      <w:pPr>
        <w:jc w:val="both"/>
        <w:ind w:left="1900" w:right="20" w:hanging="508"/>
        <w:spacing w:after="0" w:line="250"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review and discuss each report provided by Zai of the Commercialization activities performed by or on behalf of Zai in the Territory for each Licensed Product, as described in Section 9.4 (Commercialization Reports);</w:t>
      </w:r>
    </w:p>
    <w:p>
      <w:pPr>
        <w:spacing w:after="0" w:line="185" w:lineRule="exact"/>
        <w:rPr>
          <w:rFonts w:ascii="Arial" w:cs="Arial" w:eastAsia="Arial" w:hAnsi="Arial"/>
          <w:sz w:val="20"/>
          <w:szCs w:val="20"/>
          <w:color w:val="auto"/>
        </w:rPr>
      </w:pPr>
    </w:p>
    <w:p>
      <w:pPr>
        <w:jc w:val="both"/>
        <w:ind w:left="1900" w:hanging="508"/>
        <w:spacing w:after="0" w:line="246"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coordinate activities between the Parties with respect to certain Commercialization and Medical Affairs activities for the Licensed Products inside and outside of the Territory, as described in Section 8.4 (Coordination of Medical Affairs Activities) and Section 9.5 (Coordination of Commercialization Activities; Blueprint Support), respectively;</w:t>
      </w:r>
    </w:p>
    <w:p>
      <w:pPr>
        <w:spacing w:after="0" w:line="191" w:lineRule="exact"/>
        <w:rPr>
          <w:rFonts w:ascii="Arial" w:cs="Arial" w:eastAsia="Arial" w:hAnsi="Arial"/>
          <w:sz w:val="20"/>
          <w:szCs w:val="20"/>
          <w:color w:val="auto"/>
        </w:rPr>
      </w:pPr>
    </w:p>
    <w:p>
      <w:pPr>
        <w:ind w:left="1900" w:hanging="508"/>
        <w:spacing w:after="0" w:line="260"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raise matters for which the JPT is responsible to the JSC for discussion or resolution as appropriate; and</w:t>
      </w:r>
    </w:p>
    <w:p>
      <w:pPr>
        <w:spacing w:after="0" w:line="176" w:lineRule="exact"/>
        <w:rPr>
          <w:rFonts w:ascii="Arial" w:cs="Arial" w:eastAsia="Arial" w:hAnsi="Arial"/>
          <w:sz w:val="20"/>
          <w:szCs w:val="20"/>
          <w:color w:val="auto"/>
        </w:rPr>
      </w:pPr>
    </w:p>
    <w:p>
      <w:pPr>
        <w:ind w:left="1900" w:right="20" w:hanging="508"/>
        <w:spacing w:after="0" w:line="260" w:lineRule="auto"/>
        <w:tabs>
          <w:tab w:leader="none" w:pos="1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perform such other functions as expressly set forth in this Agreement or allocated to JPT by the Parties’ written agreement or by the JSC.</w:t>
      </w:r>
    </w:p>
    <w:p>
      <w:pPr>
        <w:spacing w:after="0" w:line="171"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Working Groups</w:t>
      </w:r>
      <w:r>
        <w:rPr>
          <w:rFonts w:ascii="Arial" w:cs="Arial" w:eastAsia="Arial" w:hAnsi="Arial"/>
          <w:sz w:val="18"/>
          <w:szCs w:val="18"/>
          <w:color w:val="auto"/>
        </w:rPr>
        <w:t>. From time to time, the JSC may establish joint working groups (each, a “</w:t>
      </w:r>
      <w:r>
        <w:rPr>
          <w:rFonts w:ascii="Arial" w:cs="Arial" w:eastAsia="Arial" w:hAnsi="Arial"/>
          <w:sz w:val="18"/>
          <w:szCs w:val="18"/>
          <w:b w:val="1"/>
          <w:bCs w:val="1"/>
          <w:color w:val="auto"/>
        </w:rPr>
        <w:t>Working Group</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an “as-needed” basis to oversee specific functional areas or activities and coordinate the day-to-day performance of such activities under this Agreement, which establishment of Working Groups will be reflected in the minutes of the meetings of the JSC. Each such Working Group will have at least two representatives of each Party and will be otherwise constituted, will meet as frequently as, and will operate as the JSC may determine. Working Groups may meet in person or by means of teleconference, Internet conference, videoconference, or other similar communications method. Each Working Group and its activities will be subject to the oversight of, and will report to, the JSC. In no event will the authority of any Working Group exceed the authority of the JSC. Each Party will be responsible for all of its own costs and expenses of participating in any Working Group. The Alliance Managers will jointly prepare and circulate minutes for each Working Group meeting within [****] after each such meeting and will ensure that such minutes are reviewed and approved by their respective companies within [****] thereafter.</w:t>
      </w:r>
    </w:p>
    <w:p>
      <w:pPr>
        <w:spacing w:after="0" w:line="170"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b w:val="1"/>
          <w:bCs w:val="1"/>
          <w:color w:val="auto"/>
        </w:rPr>
        <w:t>Non-Member Attendance</w:t>
      </w:r>
      <w:r>
        <w:rPr>
          <w:rFonts w:ascii="Arial" w:cs="Arial" w:eastAsia="Arial" w:hAnsi="Arial"/>
          <w:sz w:val="19"/>
          <w:szCs w:val="19"/>
          <w:color w:val="auto"/>
        </w:rPr>
        <w:t>. Each Party may from time to time invite a reasonable number of participants,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addition to its representatives, to attend a meeting of the JSC (in a non-voting capacity), a JPT, or any Working Group if such participants have expertise that is relevant to the planned agenda for such JSC, JPT, or Working Group meeting;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either Party intends to have any Third Party (including any consultant) attend such a meeting, then such Party will provide prior written notice to the other Party reasonably in advance of such meeting and will ensure that such Third Party is bound by obligations of confidentiality and non-use at least as stringent as those set forth in Article 11 (Confidentiality; Publication). Notwithstanding anything to the contrary set forth in this Agreement, if the other Party objects in good faith to the participation of such Third Party in such meeting due to a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concern regarding competitively sensitive information that is reasonably likely to be discussed at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meeting </w:t>
      </w:r>
      <w:r>
        <w:rPr>
          <w:rFonts w:ascii="Arial" w:cs="Arial" w:eastAsia="Arial" w:hAnsi="Arial"/>
          <w:sz w:val="19"/>
          <w:szCs w:val="19"/>
          <w:i w:val="1"/>
          <w:iCs w:val="1"/>
          <w:color w:val="auto"/>
        </w:rPr>
        <w:t>(i.e.</w:t>
      </w:r>
      <w:r>
        <w:rPr>
          <w:rFonts w:ascii="Arial" w:cs="Arial" w:eastAsia="Arial" w:hAnsi="Arial"/>
          <w:sz w:val="19"/>
          <w:szCs w:val="19"/>
          <w:color w:val="auto"/>
        </w:rPr>
        <w:t>, a consultant that also provides services to a Third Party with a Competitive Product), then such Third Party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66" w:name="page267"/>
    <w:bookmarkEnd w:id="266"/>
    <w:p>
      <w:pPr>
        <w:jc w:val="both"/>
        <w:ind w:left="660"/>
        <w:spacing w:after="0" w:line="260" w:lineRule="auto"/>
        <w:rPr>
          <w:sz w:val="20"/>
          <w:szCs w:val="20"/>
          <w:color w:val="auto"/>
        </w:rPr>
      </w:pPr>
      <w:r>
        <w:rPr>
          <w:rFonts w:ascii="Arial" w:cs="Arial" w:eastAsia="Arial" w:hAnsi="Arial"/>
          <w:sz w:val="20"/>
          <w:szCs w:val="20"/>
          <w:color w:val="auto"/>
        </w:rPr>
        <w:t>permitted to participate in such meeting (or the portion thereof during which such competitively sensitive information is reasonably likely to be discussed).</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6"/>
          <w:szCs w:val="16"/>
          <w:b w:val="1"/>
          <w:bCs w:val="1"/>
          <w:color w:val="auto"/>
        </w:rPr>
        <w:t>Decision-Making</w:t>
      </w:r>
      <w:r>
        <w:rPr>
          <w:rFonts w:ascii="Arial" w:cs="Arial" w:eastAsia="Arial" w:hAnsi="Arial"/>
          <w:sz w:val="16"/>
          <w:szCs w:val="16"/>
          <w:color w:val="auto"/>
        </w:rPr>
        <w:t>.</w:t>
      </w:r>
    </w:p>
    <w:p>
      <w:pPr>
        <w:spacing w:after="0" w:line="21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3.6.1</w:t>
      </w:r>
      <w:r>
        <w:rPr>
          <w:sz w:val="20"/>
          <w:szCs w:val="20"/>
          <w:color w:val="auto"/>
        </w:rPr>
        <w:tab/>
      </w:r>
      <w:r>
        <w:rPr>
          <w:rFonts w:ascii="Arial" w:cs="Arial" w:eastAsia="Arial" w:hAnsi="Arial"/>
          <w:sz w:val="19"/>
          <w:szCs w:val="19"/>
          <w:b w:val="1"/>
          <w:bCs w:val="1"/>
          <w:color w:val="auto"/>
        </w:rPr>
        <w:t>General Process</w:t>
      </w:r>
      <w:r>
        <w:rPr>
          <w:rFonts w:ascii="Arial" w:cs="Arial" w:eastAsia="Arial" w:hAnsi="Arial"/>
          <w:sz w:val="19"/>
          <w:szCs w:val="19"/>
          <w:color w:val="auto"/>
        </w:rPr>
        <w:t>. The JSC, the JPTs, and any Working Group will only have the powers expressly assigned</w:t>
      </w:r>
      <w:r>
        <w:rPr>
          <w:rFonts w:ascii="Arial" w:cs="Arial" w:eastAsia="Arial" w:hAnsi="Arial"/>
          <w:sz w:val="19"/>
          <w:szCs w:val="19"/>
          <w:b w:val="1"/>
          <w:bCs w:val="1"/>
          <w:color w:val="auto"/>
        </w:rPr>
        <w:t xml:space="preserve"> </w:t>
      </w:r>
      <w:r>
        <w:rPr>
          <w:rFonts w:ascii="Arial" w:cs="Arial" w:eastAsia="Arial" w:hAnsi="Arial"/>
          <w:sz w:val="19"/>
          <w:szCs w:val="19"/>
          <w:color w:val="auto"/>
        </w:rPr>
        <w:t>to it in this Article 3 (Governance) and elsewhere in this Agreement and will not have the authority to: (a) modify or amend the terms of this Agreement; or (b) waive either Party’s compliance with the terms of this Agreement. All decisions of the JSC, a JPT, and any Working Group will be made by unanimous vote, with each Party’s representatives having one vote (</w:t>
      </w:r>
      <w:r>
        <w:rPr>
          <w:rFonts w:ascii="Arial" w:cs="Arial" w:eastAsia="Arial" w:hAnsi="Arial"/>
          <w:sz w:val="19"/>
          <w:szCs w:val="19"/>
          <w:i w:val="1"/>
          <w:iCs w:val="1"/>
          <w:color w:val="auto"/>
        </w:rPr>
        <w:t>i.e.</w:t>
      </w:r>
      <w:r>
        <w:rPr>
          <w:rFonts w:ascii="Arial" w:cs="Arial" w:eastAsia="Arial" w:hAnsi="Arial"/>
          <w:sz w:val="19"/>
          <w:szCs w:val="19"/>
          <w:color w:val="auto"/>
        </w:rPr>
        <w:t>, one vote per Party). No action taken at any meeting of the JSC or any JPT or Working Group will be effective unless there is a quorum at such meeting, and at all such meetings, a quorum will be reached if two voting representatives of each Party are present or participating in such meeting. [****]</w:t>
      </w:r>
    </w:p>
    <w:p>
      <w:pPr>
        <w:spacing w:after="0" w:line="173" w:lineRule="exact"/>
        <w:rPr>
          <w:sz w:val="20"/>
          <w:szCs w:val="20"/>
          <w:color w:val="auto"/>
        </w:rPr>
      </w:pPr>
    </w:p>
    <w:p>
      <w:pPr>
        <w:jc w:val="both"/>
        <w:ind w:left="1300" w:right="20" w:hanging="647"/>
        <w:spacing w:after="0" w:line="323" w:lineRule="auto"/>
        <w:tabs>
          <w:tab w:leader="none" w:pos="128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8"/>
          <w:szCs w:val="18"/>
          <w:b w:val="1"/>
          <w:bCs w:val="1"/>
          <w:color w:val="auto"/>
        </w:rPr>
        <w:t>Resolution of JPT and Working Group Disputes</w:t>
      </w:r>
      <w:r>
        <w:rPr>
          <w:rFonts w:ascii="Arial" w:cs="Arial" w:eastAsia="Arial" w:hAnsi="Arial"/>
          <w:sz w:val="18"/>
          <w:szCs w:val="18"/>
          <w:color w:val="auto"/>
        </w:rPr>
        <w:t>. The JSC will [****] to resolve all disputes that arise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a JPT or any Working Group within [****] after any such matter is brought to the JSC for resolution.</w:t>
      </w:r>
    </w:p>
    <w:p>
      <w:pPr>
        <w:spacing w:after="0" w:line="118"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9"/>
          <w:szCs w:val="19"/>
          <w:b w:val="1"/>
          <w:bCs w:val="1"/>
          <w:color w:val="auto"/>
        </w:rPr>
        <w:t>Decisions of the JSC</w:t>
      </w:r>
      <w:r>
        <w:rPr>
          <w:rFonts w:ascii="Arial" w:cs="Arial" w:eastAsia="Arial" w:hAnsi="Arial"/>
          <w:sz w:val="19"/>
          <w:szCs w:val="19"/>
          <w:color w:val="auto"/>
        </w:rPr>
        <w:t>. The JSC [****] to promptly resolve any such matter for which it has authority. If</w:t>
      </w:r>
      <w:r>
        <w:rPr>
          <w:rFonts w:ascii="Arial" w:cs="Arial" w:eastAsia="Arial" w:hAnsi="Arial"/>
          <w:sz w:val="19"/>
          <w:szCs w:val="19"/>
          <w:b w:val="1"/>
          <w:bCs w:val="1"/>
          <w:color w:val="auto"/>
        </w:rPr>
        <w:t xml:space="preserve"> </w:t>
      </w:r>
      <w:r>
        <w:rPr>
          <w:rFonts w:ascii="Arial" w:cs="Arial" w:eastAsia="Arial" w:hAnsi="Arial"/>
          <w:sz w:val="19"/>
          <w:szCs w:val="19"/>
          <w:color w:val="auto"/>
        </w:rPr>
        <w:t>[****] the JSC is unable to resolve any such matter referred to it by the JPT or any Working Group or any matter that is within the scope of the JSC’s authority or any other disagreement between the Parties that may be referred to the JSC, in each case, within a period of [****], then a Party may refer such matter for resolution in accordance with 3.7.1 (Referral to Executive Officers) to the Chief Executive Officer of Blueprint (or an executive officer of Blueprint designated by the Chief Executive Officer of Blueprint who has the power and authority to resolve such matter) and the Chief Executive Officer of Zai (or an executive officer of Zai designated by the Chief Executive Officer of Zai who has the power and authority to resolve such matter) (collectively, the “</w:t>
      </w:r>
      <w:r>
        <w:rPr>
          <w:rFonts w:ascii="Arial" w:cs="Arial" w:eastAsia="Arial" w:hAnsi="Arial"/>
          <w:sz w:val="19"/>
          <w:szCs w:val="19"/>
          <w:b w:val="1"/>
          <w:bCs w:val="1"/>
          <w:color w:val="auto"/>
        </w:rPr>
        <w:t>Executive Officers</w:t>
      </w:r>
      <w:r>
        <w:rPr>
          <w:rFonts w:ascii="Arial" w:cs="Arial" w:eastAsia="Arial" w:hAnsi="Arial"/>
          <w:sz w:val="19"/>
          <w:szCs w:val="19"/>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color w:val="auto"/>
        </w:rPr>
        <w:t>Resolution of JSC Disputes</w:t>
      </w:r>
      <w:r>
        <w:rPr>
          <w:rFonts w:ascii="Arial" w:cs="Arial" w:eastAsia="Arial" w:hAnsi="Arial"/>
          <w:sz w:val="16"/>
          <w:szCs w:val="16"/>
          <w:color w:val="auto"/>
        </w:rPr>
        <w:t>.</w:t>
      </w:r>
    </w:p>
    <w:p>
      <w:pPr>
        <w:spacing w:after="0" w:line="216" w:lineRule="exact"/>
        <w:rPr>
          <w:sz w:val="20"/>
          <w:szCs w:val="20"/>
          <w:color w:val="auto"/>
        </w:rPr>
      </w:pPr>
    </w:p>
    <w:p>
      <w:pPr>
        <w:jc w:val="both"/>
        <w:ind w:left="1300" w:hanging="647"/>
        <w:spacing w:after="0" w:line="280" w:lineRule="auto"/>
        <w:tabs>
          <w:tab w:leader="none" w:pos="1280" w:val="left"/>
        </w:tabs>
        <w:rPr>
          <w:sz w:val="20"/>
          <w:szCs w:val="20"/>
          <w:color w:val="auto"/>
        </w:rPr>
      </w:pPr>
      <w:r>
        <w:rPr>
          <w:rFonts w:ascii="Arial" w:cs="Arial" w:eastAsia="Arial" w:hAnsi="Arial"/>
          <w:sz w:val="20"/>
          <w:szCs w:val="20"/>
          <w:color w:val="auto"/>
        </w:rPr>
        <w:t>3.7.1</w:t>
      </w:r>
      <w:r>
        <w:rPr>
          <w:sz w:val="20"/>
          <w:szCs w:val="20"/>
          <w:color w:val="auto"/>
        </w:rPr>
        <w:tab/>
      </w:r>
      <w:r>
        <w:rPr>
          <w:rFonts w:ascii="Arial" w:cs="Arial" w:eastAsia="Arial" w:hAnsi="Arial"/>
          <w:sz w:val="18"/>
          <w:szCs w:val="18"/>
          <w:b w:val="1"/>
          <w:bCs w:val="1"/>
          <w:color w:val="auto"/>
        </w:rPr>
        <w:t>Referral to Executive Officers</w:t>
      </w:r>
      <w:r>
        <w:rPr>
          <w:rFonts w:ascii="Arial" w:cs="Arial" w:eastAsia="Arial" w:hAnsi="Arial"/>
          <w:sz w:val="18"/>
          <w:szCs w:val="18"/>
          <w:color w:val="auto"/>
        </w:rPr>
        <w:t>. If a Party makes an election under Section 3.6.3 (Decisions of the JSC) to</w:t>
      </w:r>
      <w:r>
        <w:rPr>
          <w:rFonts w:ascii="Arial" w:cs="Arial" w:eastAsia="Arial" w:hAnsi="Arial"/>
          <w:sz w:val="18"/>
          <w:szCs w:val="18"/>
          <w:b w:val="1"/>
          <w:bCs w:val="1"/>
          <w:color w:val="auto"/>
        </w:rPr>
        <w:t xml:space="preserve"> </w:t>
      </w:r>
      <w:r>
        <w:rPr>
          <w:rFonts w:ascii="Arial" w:cs="Arial" w:eastAsia="Arial" w:hAnsi="Arial"/>
          <w:sz w:val="18"/>
          <w:szCs w:val="18"/>
          <w:color w:val="auto"/>
        </w:rPr>
        <w:t>refer a matter on which the JSC cannot reach a consensus decision for resolution by the Executive Officers, then the JSC will submit in writing the respective positions of the Parties to their respective Executive Officers. The Executive Officers will [****] to resolve any such matter so referred to them [****], and any final decision that the Executive Officers agree to in writing will be conclusive and binding on the Parties.</w:t>
      </w:r>
    </w:p>
    <w:p>
      <w:pPr>
        <w:spacing w:after="0" w:line="15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20"/>
          <w:szCs w:val="20"/>
          <w:b w:val="1"/>
          <w:bCs w:val="1"/>
          <w:color w:val="auto"/>
        </w:rPr>
        <w:t>Final Decision-Making Authority</w:t>
      </w:r>
      <w:r>
        <w:rPr>
          <w:rFonts w:ascii="Arial" w:cs="Arial" w:eastAsia="Arial" w:hAnsi="Arial"/>
          <w:sz w:val="20"/>
          <w:szCs w:val="20"/>
          <w:color w:val="auto"/>
        </w:rPr>
        <w:t>. If the Executive Officers are unable to reach agreement on any such</w:t>
      </w:r>
      <w:r>
        <w:rPr>
          <w:rFonts w:ascii="Arial" w:cs="Arial" w:eastAsia="Arial" w:hAnsi="Arial"/>
          <w:sz w:val="20"/>
          <w:szCs w:val="20"/>
          <w:b w:val="1"/>
          <w:bCs w:val="1"/>
          <w:color w:val="auto"/>
        </w:rPr>
        <w:t xml:space="preserve"> </w:t>
      </w:r>
      <w:r>
        <w:rPr>
          <w:rFonts w:ascii="Arial" w:cs="Arial" w:eastAsia="Arial" w:hAnsi="Arial"/>
          <w:sz w:val="20"/>
          <w:szCs w:val="20"/>
          <w:color w:val="auto"/>
        </w:rPr>
        <w:t>matter referred to them [****] after such matter is so referred (or such longer period as the Executive Officers may agree upon), then:</w:t>
      </w:r>
    </w:p>
    <w:p>
      <w:pPr>
        <w:spacing w:after="0" w:line="177" w:lineRule="exact"/>
        <w:rPr>
          <w:sz w:val="20"/>
          <w:szCs w:val="20"/>
          <w:color w:val="auto"/>
        </w:rPr>
      </w:pPr>
    </w:p>
    <w:p>
      <w:pPr>
        <w:jc w:val="both"/>
        <w:ind w:left="1880" w:right="20" w:hanging="495"/>
        <w:spacing w:after="0" w:line="272" w:lineRule="auto"/>
        <w:tabs>
          <w:tab w:leader="none" w:pos="1880"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No Change; Status Quo</w:t>
      </w:r>
      <w:r>
        <w:rPr>
          <w:rFonts w:ascii="Arial" w:cs="Arial" w:eastAsia="Arial" w:hAnsi="Arial"/>
          <w:sz w:val="19"/>
          <w:szCs w:val="19"/>
          <w:color w:val="auto"/>
        </w:rPr>
        <w:t>. Neither Party will have final decision-making authority [****]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matters set forth in the foregoing [****] must be decided by unanimous agreement of the Parties in order to take any action or adopt any change from the then-current </w:t>
      </w:r>
      <w:r>
        <w:rPr>
          <w:rFonts w:ascii="Arial" w:cs="Arial" w:eastAsia="Arial" w:hAnsi="Arial"/>
          <w:sz w:val="19"/>
          <w:szCs w:val="19"/>
          <w:i w:val="1"/>
          <w:iCs w:val="1"/>
          <w:color w:val="auto"/>
        </w:rPr>
        <w:t>status quo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67" w:name="page268"/>
    <w:bookmarkEnd w:id="267"/>
    <w:p>
      <w:pPr>
        <w:ind w:left="1860" w:right="20" w:hanging="495"/>
        <w:spacing w:after="0" w:line="267" w:lineRule="auto"/>
        <w:tabs>
          <w:tab w:leader="none" w:pos="1860" w:val="left"/>
        </w:tabs>
        <w:numPr>
          <w:ilvl w:val="0"/>
          <w:numId w:val="160"/>
        </w:numPr>
        <w:rPr>
          <w:rFonts w:ascii="Arial" w:cs="Arial" w:eastAsia="Arial" w:hAnsi="Arial"/>
          <w:sz w:val="20"/>
          <w:szCs w:val="20"/>
          <w:color w:val="auto"/>
        </w:rPr>
      </w:pPr>
      <w:r>
        <w:rPr>
          <w:rFonts w:ascii="Arial" w:cs="Arial" w:eastAsia="Arial" w:hAnsi="Arial"/>
          <w:sz w:val="20"/>
          <w:szCs w:val="20"/>
          <w:b w:val="1"/>
          <w:bCs w:val="1"/>
          <w:color w:val="auto"/>
        </w:rPr>
        <w:t>Zai Decisions</w:t>
      </w:r>
      <w:r>
        <w:rPr>
          <w:rFonts w:ascii="Arial" w:cs="Arial" w:eastAsia="Arial" w:hAnsi="Arial"/>
          <w:sz w:val="20"/>
          <w:szCs w:val="20"/>
          <w:color w:val="auto"/>
        </w:rPr>
        <w:t>. Except for any decision listed in Section 3.7.2(a) (No Change; Status Quo), Zai will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have final decision-making authority with respect to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64" w:lineRule="exact"/>
        <w:rPr>
          <w:rFonts w:ascii="Arial" w:cs="Arial" w:eastAsia="Arial" w:hAnsi="Arial"/>
          <w:sz w:val="20"/>
          <w:szCs w:val="20"/>
          <w:color w:val="auto"/>
        </w:rPr>
      </w:pPr>
    </w:p>
    <w:p>
      <w:pPr>
        <w:ind w:left="3300" w:hanging="639"/>
        <w:spacing w:after="0"/>
        <w:tabs>
          <w:tab w:leader="none" w:pos="33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and</w:t>
      </w:r>
    </w:p>
    <w:p>
      <w:pPr>
        <w:spacing w:after="0" w:line="206" w:lineRule="exact"/>
        <w:rPr>
          <w:rFonts w:ascii="Arial" w:cs="Arial" w:eastAsia="Arial" w:hAnsi="Arial"/>
          <w:sz w:val="22"/>
          <w:szCs w:val="22"/>
          <w:color w:val="auto"/>
        </w:rPr>
      </w:pPr>
    </w:p>
    <w:p>
      <w:pPr>
        <w:ind w:left="3300" w:hanging="639"/>
        <w:spacing w:after="0"/>
        <w:tabs>
          <w:tab w:leader="none" w:pos="33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t>
      </w:r>
    </w:p>
    <w:p>
      <w:pPr>
        <w:spacing w:after="0" w:line="204" w:lineRule="exact"/>
        <w:rPr>
          <w:rFonts w:ascii="Arial" w:cs="Arial" w:eastAsia="Arial" w:hAnsi="Arial"/>
          <w:sz w:val="22"/>
          <w:szCs w:val="22"/>
          <w:color w:val="auto"/>
        </w:rPr>
      </w:pPr>
    </w:p>
    <w:p>
      <w:pPr>
        <w:ind w:left="1860" w:hanging="495"/>
        <w:spacing w:after="0" w:line="323" w:lineRule="auto"/>
        <w:tabs>
          <w:tab w:leader="none" w:pos="186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Blueprint Decisions</w:t>
      </w:r>
      <w:r>
        <w:rPr>
          <w:rFonts w:ascii="Arial" w:cs="Arial" w:eastAsia="Arial" w:hAnsi="Arial"/>
          <w:sz w:val="18"/>
          <w:szCs w:val="18"/>
          <w:color w:val="auto"/>
        </w:rPr>
        <w:t>. Except for any decision listed in Section 3.7.2(a) (No Change; Status Quo),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Blueprint will have final decision-making authority with respect to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p>
    <w:p>
      <w:pPr>
        <w:spacing w:after="0" w:line="118" w:lineRule="exact"/>
        <w:rPr>
          <w:sz w:val="20"/>
          <w:szCs w:val="20"/>
          <w:color w:val="auto"/>
        </w:rPr>
      </w:pPr>
    </w:p>
    <w:p>
      <w:pPr>
        <w:jc w:val="both"/>
        <w:ind w:left="1280" w:hanging="647"/>
        <w:spacing w:after="0" w:line="255" w:lineRule="auto"/>
        <w:tabs>
          <w:tab w:leader="none" w:pos="1260" w:val="left"/>
        </w:tabs>
        <w:rPr>
          <w:sz w:val="20"/>
          <w:szCs w:val="20"/>
          <w:color w:val="auto"/>
        </w:rPr>
      </w:pPr>
      <w:r>
        <w:rPr>
          <w:rFonts w:ascii="Arial" w:cs="Arial" w:eastAsia="Arial" w:hAnsi="Arial"/>
          <w:sz w:val="20"/>
          <w:szCs w:val="20"/>
          <w:color w:val="auto"/>
        </w:rPr>
        <w:t>3.7.3</w:t>
      </w:r>
      <w:r>
        <w:rPr>
          <w:sz w:val="20"/>
          <w:szCs w:val="20"/>
          <w:color w:val="auto"/>
        </w:rPr>
        <w:tab/>
      </w:r>
      <w:r>
        <w:rPr>
          <w:rFonts w:ascii="Arial" w:cs="Arial" w:eastAsia="Arial" w:hAnsi="Arial"/>
          <w:sz w:val="19"/>
          <w:szCs w:val="19"/>
          <w:b w:val="1"/>
          <w:bCs w:val="1"/>
          <w:color w:val="auto"/>
        </w:rPr>
        <w:t>Limitations on Decision-Making</w:t>
      </w:r>
      <w:r>
        <w:rPr>
          <w:rFonts w:ascii="Arial" w:cs="Arial" w:eastAsia="Arial" w:hAnsi="Arial"/>
          <w:sz w:val="19"/>
          <w:szCs w:val="19"/>
          <w:color w:val="auto"/>
        </w:rPr>
        <w:t>. Notwithstanding any provision to the contrary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without the other Party’s prior written consent, no decision of the JSC or a Party’s Executive Officer (in the exercise of a Party’s final decision-making authority on any such matters), in each case, may make a decision that could reasonably be expected to (a) result in a [****] in the other Party’s obligations, costs, or expenses under this Agreement, or any Global Development Plan or Territory-Specific Development Plan, unless, in each case, such actions are necessary for Blueprint to comply with Applicable Law as the Territory Sponsor or as the owner and holder of any Regulatory Submission, Regulatory Approval, or Reimbursement Approval, as applicable, for a Licensed Product in the Territory, (b) require the other Party to take any action that such other Party [****] would (i) require such other Party to violate any Applicable Law, the requirements of any Regulatory Authority, or any agreement with any Third Party entered into by such other Party or (ii) require such other Party to infringe or misappropriate any intellectual property rights of any Third Party, (c) conflict with, amend, interpret, modify, or waive compliance under this Agreement, or (d) impose any obligation on either Party that would be in violation of such Party’s written standard operating procedures, written business policies, or written compliance policies or procedures.</w:t>
      </w:r>
    </w:p>
    <w:p>
      <w:pPr>
        <w:spacing w:after="0" w:line="176"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9"/>
          <w:szCs w:val="19"/>
          <w:b w:val="1"/>
          <w:bCs w:val="1"/>
          <w:color w:val="auto"/>
        </w:rPr>
        <w:t>Discontinuation of JSC</w:t>
      </w:r>
      <w:r>
        <w:rPr>
          <w:rFonts w:ascii="Arial" w:cs="Arial" w:eastAsia="Arial" w:hAnsi="Arial"/>
          <w:sz w:val="19"/>
          <w:szCs w:val="19"/>
          <w:color w:val="auto"/>
        </w:rPr>
        <w:t>. The JSC will continue to exist until the first to occur of (a) the Parties agreeing to disband</w:t>
      </w:r>
      <w:r>
        <w:rPr>
          <w:rFonts w:ascii="Arial" w:cs="Arial" w:eastAsia="Arial" w:hAnsi="Arial"/>
          <w:sz w:val="19"/>
          <w:szCs w:val="19"/>
          <w:b w:val="1"/>
          <w:bCs w:val="1"/>
          <w:color w:val="auto"/>
        </w:rPr>
        <w:t xml:space="preserve"> </w:t>
      </w:r>
      <w:r>
        <w:rPr>
          <w:rFonts w:ascii="Arial" w:cs="Arial" w:eastAsia="Arial" w:hAnsi="Arial"/>
          <w:sz w:val="19"/>
          <w:szCs w:val="19"/>
          <w:color w:val="auto"/>
        </w:rPr>
        <w:t>the JSC, or (b) Blueprint providing written notice to Zai of its intention to disband and no longer participate in the JSC. Once the JSC is disbanded, the JSC will have no further obligations under this Agreement and, thereafter, the Alliance Managers will be the points of contact for the exchange of information between the Parties under this Agreement and any references in this Agreement to decisions of the JSC will automatically become references to decisions by and between the Parties in writing, subject to the other terms of this Agreement and consistent with the terms of Section 3.7.2 (Final Decision-Making Authority).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TECHNOLOGY TRANSFERS</w:t>
      </w:r>
    </w:p>
    <w:p>
      <w:pPr>
        <w:spacing w:after="0" w:line="19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20"/>
          <w:szCs w:val="20"/>
          <w:b w:val="1"/>
          <w:bCs w:val="1"/>
          <w:color w:val="auto"/>
        </w:rPr>
        <w:t>Initial Know-How Transfer</w:t>
      </w:r>
      <w:r>
        <w:rPr>
          <w:rFonts w:ascii="Arial" w:cs="Arial" w:eastAsia="Arial" w:hAnsi="Arial"/>
          <w:sz w:val="20"/>
          <w:szCs w:val="20"/>
          <w:color w:val="auto"/>
        </w:rPr>
        <w:t>. [****] Blueprint will provide and transfer to Zai copies of Blueprint Know-How</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Blueprint Manufacturing Know-How, the transfer of which will be performed pursuant to Section 4.2 (Manufacturing Technology Transfer)) that exists on the Effective Date to the extent not previously provided to Zai, including data and results required for Zai to file an IND for the Licensed Products, in each case, in the Territory (the “</w:t>
      </w:r>
      <w:r>
        <w:rPr>
          <w:rFonts w:ascii="Arial" w:cs="Arial" w:eastAsia="Arial" w:hAnsi="Arial"/>
          <w:sz w:val="20"/>
          <w:szCs w:val="20"/>
          <w:b w:val="1"/>
          <w:bCs w:val="1"/>
          <w:color w:val="auto"/>
        </w:rPr>
        <w:t>Initial Know-How Transfer</w:t>
      </w:r>
      <w:r>
        <w:rPr>
          <w:rFonts w:ascii="Arial" w:cs="Arial" w:eastAsia="Arial" w:hAnsi="Arial"/>
          <w:sz w:val="20"/>
          <w:szCs w:val="20"/>
          <w:color w:val="auto"/>
        </w:rPr>
        <w:t>”). Blueprint may make such Blueprint Know-How available in such reasonable form as Blueprint determines, including, if Blueprint so elects, in the form such Blueprint Know-How is maintained by Blueprint.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268" w:name="page269"/>
    <w:bookmarkEnd w:id="268"/>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Manufacturing Technology Transfer</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58" w:lineRule="auto"/>
        <w:tabs>
          <w:tab w:leader="none" w:pos="136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9"/>
          <w:szCs w:val="19"/>
          <w:b w:val="1"/>
          <w:bCs w:val="1"/>
          <w:color w:val="auto"/>
        </w:rPr>
        <w:t>Initiation of Manufacturing Technology Transfer</w:t>
      </w:r>
      <w:r>
        <w:rPr>
          <w:rFonts w:ascii="Arial" w:cs="Arial" w:eastAsia="Arial" w:hAnsi="Arial"/>
          <w:sz w:val="19"/>
          <w:szCs w:val="19"/>
          <w:color w:val="auto"/>
        </w:rPr>
        <w:t>. In addition to the Blueprint Know-How provided to</w:t>
      </w:r>
      <w:r>
        <w:rPr>
          <w:rFonts w:ascii="Arial" w:cs="Arial" w:eastAsia="Arial" w:hAnsi="Arial"/>
          <w:sz w:val="19"/>
          <w:szCs w:val="19"/>
          <w:b w:val="1"/>
          <w:bCs w:val="1"/>
          <w:color w:val="auto"/>
        </w:rPr>
        <w:t xml:space="preserve"> </w:t>
      </w:r>
      <w:r>
        <w:rPr>
          <w:rFonts w:ascii="Arial" w:cs="Arial" w:eastAsia="Arial" w:hAnsi="Arial"/>
          <w:sz w:val="19"/>
          <w:szCs w:val="19"/>
          <w:color w:val="auto"/>
        </w:rPr>
        <w:t>Zai pursuant to the Initial Know-How Transfer, unless otherwise agreed by the Parties, on a Blueprint Compound-by-Blueprint Compound basis, upon [****] commencing [****] and ending no later than [****], Blueprint and Zai will jointly develop a draft Manufacturing Technology Transfer Plan for such Licensed Products containing such Blueprint Compound. Notwithstanding the foregoing, Blueprint will have the right to elect to initiate a Manufacturing Technology Transfer with respect to a Blueprint Compound at any time during the Term by developing a draft Manufacturing Technology Transfer Plan for Licensed Products containing such Blueprint Compound.</w:t>
      </w:r>
    </w:p>
    <w:p>
      <w:pPr>
        <w:spacing w:after="0" w:line="173" w:lineRule="exact"/>
        <w:rPr>
          <w:sz w:val="20"/>
          <w:szCs w:val="20"/>
          <w:color w:val="auto"/>
        </w:rPr>
      </w:pPr>
    </w:p>
    <w:p>
      <w:pPr>
        <w:jc w:val="both"/>
        <w:ind w:left="1380" w:hanging="647"/>
        <w:spacing w:after="0" w:line="245" w:lineRule="auto"/>
        <w:tabs>
          <w:tab w:leader="none" w:pos="1360" w:val="left"/>
        </w:tabs>
        <w:rPr>
          <w:sz w:val="20"/>
          <w:szCs w:val="20"/>
          <w:color w:val="auto"/>
        </w:rPr>
      </w:pPr>
      <w:r>
        <w:rPr>
          <w:rFonts w:ascii="Arial" w:cs="Arial" w:eastAsia="Arial" w:hAnsi="Arial"/>
          <w:sz w:val="20"/>
          <w:szCs w:val="20"/>
          <w:color w:val="auto"/>
        </w:rPr>
        <w:t>4.2.2</w:t>
      </w:r>
      <w:r>
        <w:rPr>
          <w:sz w:val="20"/>
          <w:szCs w:val="20"/>
          <w:color w:val="auto"/>
        </w:rPr>
        <w:tab/>
      </w:r>
      <w:r>
        <w:rPr>
          <w:rFonts w:ascii="Arial" w:cs="Arial" w:eastAsia="Arial" w:hAnsi="Arial"/>
          <w:sz w:val="20"/>
          <w:szCs w:val="20"/>
          <w:b w:val="1"/>
          <w:bCs w:val="1"/>
          <w:color w:val="auto"/>
        </w:rPr>
        <w:t>Approval of Manufacturing Technology Transfer Plans</w:t>
      </w:r>
      <w:r>
        <w:rPr>
          <w:rFonts w:ascii="Arial" w:cs="Arial" w:eastAsia="Arial" w:hAnsi="Arial"/>
          <w:sz w:val="20"/>
          <w:szCs w:val="20"/>
          <w:color w:val="auto"/>
        </w:rPr>
        <w:t>. Following development thereof, 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will submit each Manufacturing Technology Transfer Plan to the JPT to review and discuss, and thereafter to the JSC to review, discuss, and determine whether to approve no later than [****] following either Party’s submission to the JPT of each such plan. Blueprint or Zai may propose updates or amendments to any Manufacturing Technology Transfer Plan from time to time, and such updates or amendments will become effective upon approval thereof by the JSC.</w:t>
      </w:r>
    </w:p>
    <w:p>
      <w:pPr>
        <w:spacing w:after="0" w:line="184" w:lineRule="exact"/>
        <w:rPr>
          <w:sz w:val="20"/>
          <w:szCs w:val="20"/>
          <w:color w:val="auto"/>
        </w:rPr>
      </w:pPr>
    </w:p>
    <w:p>
      <w:pPr>
        <w:jc w:val="both"/>
        <w:ind w:left="1380" w:hanging="647"/>
        <w:spacing w:after="0" w:line="255" w:lineRule="auto"/>
        <w:tabs>
          <w:tab w:leader="none" w:pos="1360" w:val="left"/>
        </w:tabs>
        <w:rPr>
          <w:sz w:val="20"/>
          <w:szCs w:val="20"/>
          <w:color w:val="auto"/>
        </w:rPr>
      </w:pPr>
      <w:r>
        <w:rPr>
          <w:rFonts w:ascii="Arial" w:cs="Arial" w:eastAsia="Arial" w:hAnsi="Arial"/>
          <w:sz w:val="20"/>
          <w:szCs w:val="20"/>
          <w:color w:val="auto"/>
        </w:rPr>
        <w:t>4.2.3</w:t>
      </w:r>
      <w:r>
        <w:rPr>
          <w:sz w:val="20"/>
          <w:szCs w:val="20"/>
          <w:color w:val="auto"/>
        </w:rPr>
        <w:tab/>
      </w:r>
      <w:r>
        <w:rPr>
          <w:rFonts w:ascii="Arial" w:cs="Arial" w:eastAsia="Arial" w:hAnsi="Arial"/>
          <w:sz w:val="19"/>
          <w:szCs w:val="19"/>
          <w:b w:val="1"/>
          <w:bCs w:val="1"/>
          <w:color w:val="auto"/>
        </w:rPr>
        <w:t>Manufacturing Transfer Plan Requirements</w:t>
      </w:r>
      <w:r>
        <w:rPr>
          <w:rFonts w:ascii="Arial" w:cs="Arial" w:eastAsia="Arial" w:hAnsi="Arial"/>
          <w:sz w:val="19"/>
          <w:szCs w:val="19"/>
          <w:color w:val="auto"/>
        </w:rPr>
        <w:t>. Unless otherwise agreed by the JSC, each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Technology Transfer Plan will contemplate the transfer to Zai of, at minimum, all Manufacturing steps that are necessary for Zai to obtain all applicable Regulatory Approvals (including Local Manufacturing Approvals) required to market and sell a locally-Manufactured version of such Licensed Product in the PRC in the name of Zai or its Affiliate. If transfer of the Manufacture [****] of a Blueprint Compound is not [****] for Zai to obtain all applicable Regulatory Approvals (including Local Manufacturing Approvals) required to market and sell a locally-Manufactured version of such Licensed Product in the PRC in the name of Zai or its Affiliate, and Manufacture [****] is not otherwise transferred to Zai under the initial Manufacturing Technology Transfer Plan for such Blueprint Compound, then, if requested by Zai and agreed to by Blueprint, Blueprint will prepare and submit to the JSC for approval, a Manufacturing Technology Transfer Plan for the transfer of Manufacture to Zai [****] of such Blueprint Compound.</w:t>
      </w:r>
    </w:p>
    <w:p>
      <w:pPr>
        <w:spacing w:after="0" w:line="184" w:lineRule="exact"/>
        <w:rPr>
          <w:sz w:val="20"/>
          <w:szCs w:val="20"/>
          <w:color w:val="auto"/>
        </w:rPr>
      </w:pPr>
    </w:p>
    <w:p>
      <w:pPr>
        <w:jc w:val="both"/>
        <w:ind w:left="1380" w:hanging="647"/>
        <w:spacing w:after="0" w:line="255" w:lineRule="auto"/>
        <w:tabs>
          <w:tab w:leader="none" w:pos="136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19"/>
          <w:szCs w:val="19"/>
          <w:b w:val="1"/>
          <w:bCs w:val="1"/>
          <w:color w:val="auto"/>
        </w:rPr>
        <w:t>Performance of Manufacturing Technology Transfers</w:t>
      </w:r>
      <w:r>
        <w:rPr>
          <w:rFonts w:ascii="Arial" w:cs="Arial" w:eastAsia="Arial" w:hAnsi="Arial"/>
          <w:sz w:val="19"/>
          <w:szCs w:val="19"/>
          <w:color w:val="auto"/>
        </w:rPr>
        <w:t>. If the Manufacturing Technology Transfer Plan</w:t>
      </w:r>
      <w:r>
        <w:rPr>
          <w:rFonts w:ascii="Arial" w:cs="Arial" w:eastAsia="Arial" w:hAnsi="Arial"/>
          <w:sz w:val="19"/>
          <w:szCs w:val="19"/>
          <w:b w:val="1"/>
          <w:bCs w:val="1"/>
          <w:color w:val="auto"/>
        </w:rPr>
        <w:t xml:space="preserve"> </w:t>
      </w:r>
      <w:r>
        <w:rPr>
          <w:rFonts w:ascii="Arial" w:cs="Arial" w:eastAsia="Arial" w:hAnsi="Arial"/>
          <w:sz w:val="19"/>
          <w:szCs w:val="19"/>
          <w:color w:val="auto"/>
        </w:rPr>
        <w:t>for a Blueprint Compound contemplates the Manufacturing of the applicable Licensed Product from [****], then Blueprint will supply to Zai each of such [****] in accordance with Article 7 (Manufacturing). [****] Blueprint will perform (or cause one or more applicable Third Parties (including any CMO engaged by Blueprint to Manufacture such Licensed Product) to perform) a Manufacturing Technology Transfer for such Licensed Products containing such Blueprint Compound in accordance with such plan. The Parties will [****] complete the Manufacturing Technology Transfer for Licensed Products containing each Blueprint Compound [****] following the approval of the applicable Manufacturing Technology Transfer Plan pursuant to the applicable Manufacturing Technology Transfer Plan, but in any event [****]. Without limiting the foregoing, the Parties will [****] to complete a Manufacturing Technology Transfer with respect to each Licensed Product [****]. Thereafter during the Term, Blueprint (a) will provide Blueprint Manufacturing Know-How as part of the Continuing Know-How Transfer in accordance with Section 4.3 (Continuing Know-How Transfer) and (b) may transfer additional Manufacturing steps with respect to a Blueprint Compound to Zai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69" w:name="page270"/>
    <w:bookmarkEnd w:id="269"/>
    <w:p>
      <w:pPr>
        <w:ind w:left="1360" w:right="20"/>
        <w:spacing w:after="0" w:line="260" w:lineRule="auto"/>
        <w:rPr>
          <w:sz w:val="20"/>
          <w:szCs w:val="20"/>
          <w:color w:val="auto"/>
        </w:rPr>
      </w:pPr>
      <w:r>
        <w:rPr>
          <w:rFonts w:ascii="Arial" w:cs="Arial" w:eastAsia="Arial" w:hAnsi="Arial"/>
          <w:sz w:val="20"/>
          <w:szCs w:val="20"/>
          <w:color w:val="auto"/>
        </w:rPr>
        <w:t>proposing another Manufacturing Technology Transfer Plan (or an amendment or update to a prior Manufacturing Technology Transfer Plan) to the JSC.</w:t>
      </w:r>
    </w:p>
    <w:p>
      <w:pPr>
        <w:spacing w:after="0" w:line="171"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Continuing Know-How Transfer</w:t>
      </w:r>
      <w:r>
        <w:rPr>
          <w:rFonts w:ascii="Arial" w:cs="Arial" w:eastAsia="Arial" w:hAnsi="Arial"/>
          <w:sz w:val="19"/>
          <w:szCs w:val="19"/>
          <w:color w:val="auto"/>
        </w:rPr>
        <w:t>. Following the applicable Manufacturing Technology Transfer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Compound and the Licensed Products containing such Blueprint Compound and the Initial Know-How Transfer for each Licensed Product, Blueprint will provide to the JPT in advance of its meeting [****] a summary of any additional Blueprint Manufacturing Know-How and other Blueprint Know-How, in each case, developed by Blueprint or its Affiliates or licensees since the previous quarterly summary that was provided to the JPT. Upon Zai’s reasonable request during the Term, Blueprint will (a) make available to Zai all Blueprint Manufacturing Know-How and other Blueprint Know-How, in each case, in Blueprint’s possession and not previously provided to Zai hereunder and that is necessary or reasonably useful for Zai’s Exploitation of any Blueprint Compound or Licensed Product (as applicable) in accordance with this Agreement, (b) provide a schedule of applicable Blueprint Manufacturing Patent Rights following delivery of a Manufacturing Technology Transfer Plan, (c) transfer any such Blueprint Know-How or Blueprint Manufacturing Know-How, or provide such schedule, to Zai no later than [****] after Zai’s request therefor, and (d) [****] after the Initial Know-How Transfer or Manufacturing Technology Transfer for a Blueprint Compound or Licensed Product (as applicable), provide Zai with reasonable access to Blueprint personnel involved in the Development or Manufacture of such Blueprint Compound or Licensed Product (as applicable) (and the corresponding Blueprint Compound), either in-person at Blueprint’s facility or by teleconference (the “</w:t>
      </w:r>
      <w:r>
        <w:rPr>
          <w:rFonts w:ascii="Arial" w:cs="Arial" w:eastAsia="Arial" w:hAnsi="Arial"/>
          <w:sz w:val="19"/>
          <w:szCs w:val="19"/>
          <w:b w:val="1"/>
          <w:bCs w:val="1"/>
          <w:color w:val="auto"/>
        </w:rPr>
        <w:t>Continuing Know-How Transfer</w:t>
      </w:r>
      <w:r>
        <w:rPr>
          <w:rFonts w:ascii="Arial" w:cs="Arial" w:eastAsia="Arial" w:hAnsi="Arial"/>
          <w:sz w:val="19"/>
          <w:szCs w:val="19"/>
          <w:color w:val="auto"/>
        </w:rPr>
        <w:t>,” and together with the Initial Know-How Transfer and the Manufacturing Technology Transfer, the “</w:t>
      </w:r>
      <w:r>
        <w:rPr>
          <w:rFonts w:ascii="Arial" w:cs="Arial" w:eastAsia="Arial" w:hAnsi="Arial"/>
          <w:sz w:val="19"/>
          <w:szCs w:val="19"/>
          <w:b w:val="1"/>
          <w:bCs w:val="1"/>
          <w:color w:val="auto"/>
        </w:rPr>
        <w:t>Technology Transfers</w:t>
      </w:r>
      <w:r>
        <w:rPr>
          <w:rFonts w:ascii="Arial" w:cs="Arial" w:eastAsia="Arial" w:hAnsi="Arial"/>
          <w:sz w:val="19"/>
          <w:szCs w:val="19"/>
          <w:color w:val="auto"/>
        </w:rPr>
        <w:t>”). Zai may only use the Blueprint Know-How to perform its obligations or exercise its rights under this Agreement and in accordance with the terms hereof. Notwithstanding anything to the contrary set forth in this Agreement, the terms of this Section 4.3 (Continuing Know-How Transfer) will not apply to any data or results of any Global Clinical Trial (including a Global Clinical Trial for a Licensed Product in a New Indication or for a Combination Product or Combination Regimen) unless [****]</w:t>
      </w:r>
    </w:p>
    <w:p>
      <w:pPr>
        <w:spacing w:after="0" w:line="178"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Conduct of Technology Transfer</w:t>
      </w:r>
      <w:r>
        <w:rPr>
          <w:rFonts w:ascii="Arial" w:cs="Arial" w:eastAsia="Arial" w:hAnsi="Arial"/>
          <w:sz w:val="20"/>
          <w:szCs w:val="20"/>
          <w:color w:val="auto"/>
        </w:rPr>
        <w:t>. Blueprint personnel will not be obligated to travel to Zai’s (or its designee’s)</w:t>
      </w:r>
      <w:r>
        <w:rPr>
          <w:rFonts w:ascii="Arial" w:cs="Arial" w:eastAsia="Arial" w:hAnsi="Arial"/>
          <w:sz w:val="20"/>
          <w:szCs w:val="20"/>
          <w:b w:val="1"/>
          <w:bCs w:val="1"/>
          <w:color w:val="auto"/>
        </w:rPr>
        <w:t xml:space="preserve"> </w:t>
      </w:r>
      <w:r>
        <w:rPr>
          <w:rFonts w:ascii="Arial" w:cs="Arial" w:eastAsia="Arial" w:hAnsi="Arial"/>
          <w:sz w:val="20"/>
          <w:szCs w:val="20"/>
          <w:color w:val="auto"/>
        </w:rPr>
        <w:t>facilities in connection with the performance of any Technology Transfer. Any materials provided by Blueprint to Zai in connection with the transfer of Blueprint Know-How (including pursuant to any Technology Transfer) will remain the sole property of Blueprint.</w:t>
      </w:r>
    </w:p>
    <w:p>
      <w:pPr>
        <w:spacing w:after="0" w:line="183"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8"/>
          <w:szCs w:val="18"/>
          <w:b w:val="1"/>
          <w:bCs w:val="1"/>
          <w:color w:val="auto"/>
        </w:rPr>
        <w:t>Technology Transfer Costs</w:t>
      </w:r>
      <w:r>
        <w:rPr>
          <w:rFonts w:ascii="Arial" w:cs="Arial" w:eastAsia="Arial" w:hAnsi="Arial"/>
          <w:sz w:val="18"/>
          <w:szCs w:val="18"/>
          <w:color w:val="auto"/>
        </w:rPr>
        <w:t>. Blueprint will provide consultation and assistance with qualified personnel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Technology Transfer for each Blueprint Compound and the Licensed Products containing such Blueprint Compound as reasonably requested by Zai, subject to personnel availability. Blueprint will be responsible for the internal costs of up to [****] of such consultation and assistance for each Blueprint Compound. Zai will reimburse Blueprint for (a) internal costs (at the FTE Rate) in excess of [****] of such consultation and assistance for each Blueprint Compound and (b) all out-of-pocket costs, in each case ((a) and (b)), reasonably incurred by or on behalf of Blueprint in connection with such assistance within [****] after receiving Blueprint’s invoice therefor.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PROGRAM</w:t>
      </w:r>
    </w:p>
    <w:p>
      <w:pPr>
        <w:spacing w:after="0" w:line="19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20"/>
          <w:szCs w:val="20"/>
          <w:b w:val="1"/>
          <w:bCs w:val="1"/>
          <w:color w:val="auto"/>
        </w:rPr>
        <w:t>Global Development Plan</w:t>
      </w:r>
      <w:r>
        <w:rPr>
          <w:rFonts w:ascii="Arial" w:cs="Arial" w:eastAsia="Arial" w:hAnsi="Arial"/>
          <w:sz w:val="20"/>
          <w:szCs w:val="20"/>
          <w:color w:val="auto"/>
        </w:rPr>
        <w:t>. The global Development of Licensed Products that involves activities both inside and</w:t>
      </w:r>
      <w:r>
        <w:rPr>
          <w:rFonts w:ascii="Arial" w:cs="Arial" w:eastAsia="Arial" w:hAnsi="Arial"/>
          <w:sz w:val="20"/>
          <w:szCs w:val="20"/>
          <w:b w:val="1"/>
          <w:bCs w:val="1"/>
          <w:color w:val="auto"/>
        </w:rPr>
        <w:t xml:space="preserve"> </w:t>
      </w:r>
      <w:r>
        <w:rPr>
          <w:rFonts w:ascii="Arial" w:cs="Arial" w:eastAsia="Arial" w:hAnsi="Arial"/>
          <w:sz w:val="20"/>
          <w:szCs w:val="20"/>
          <w:color w:val="auto"/>
        </w:rPr>
        <w:t>outside of the Territory will be conducted pursuant to a written Development plan (as updated from time to time in accordance with this Section 5.1 (Global Development Plan), the “</w:t>
      </w:r>
      <w:r>
        <w:rPr>
          <w:rFonts w:ascii="Arial" w:cs="Arial" w:eastAsia="Arial" w:hAnsi="Arial"/>
          <w:sz w:val="20"/>
          <w:szCs w:val="20"/>
          <w:b w:val="1"/>
          <w:bCs w:val="1"/>
          <w:color w:val="auto"/>
        </w:rPr>
        <w:t>Global Development Plan</w:t>
      </w:r>
      <w:r>
        <w:rPr>
          <w:rFonts w:ascii="Arial" w:cs="Arial" w:eastAsia="Arial" w:hAnsi="Arial"/>
          <w:sz w:val="20"/>
          <w:szCs w:val="20"/>
          <w:color w:val="auto"/>
        </w:rPr>
        <w:t>”). The initial Global Development Plan has been agreed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70" w:name="page271"/>
    <w:bookmarkEnd w:id="270"/>
    <w:p>
      <w:pPr>
        <w:jc w:val="both"/>
        <w:ind w:left="660"/>
        <w:spacing w:after="0" w:line="269" w:lineRule="auto"/>
        <w:rPr>
          <w:sz w:val="20"/>
          <w:szCs w:val="20"/>
          <w:color w:val="auto"/>
        </w:rPr>
      </w:pPr>
      <w:r>
        <w:rPr>
          <w:rFonts w:ascii="Arial" w:cs="Arial" w:eastAsia="Arial" w:hAnsi="Arial"/>
          <w:sz w:val="18"/>
          <w:szCs w:val="18"/>
          <w:color w:val="auto"/>
        </w:rPr>
        <w:t xml:space="preserve">in writing on or prior to the Effective Date and is attached hereto as </w:t>
      </w:r>
      <w:r>
        <w:rPr>
          <w:rFonts w:ascii="Arial" w:cs="Arial" w:eastAsia="Arial" w:hAnsi="Arial"/>
          <w:sz w:val="18"/>
          <w:szCs w:val="18"/>
          <w:b w:val="1"/>
          <w:bCs w:val="1"/>
          <w:color w:val="auto"/>
        </w:rPr>
        <w:t>Schedule 5.1</w:t>
      </w:r>
      <w:r>
        <w:rPr>
          <w:rFonts w:ascii="Arial" w:cs="Arial" w:eastAsia="Arial" w:hAnsi="Arial"/>
          <w:sz w:val="18"/>
          <w:szCs w:val="18"/>
          <w:color w:val="auto"/>
        </w:rPr>
        <w:t xml:space="preserve"> (Global Development Plan). [****] With respect to the Licensed Products, the Global Development Plan will be consistent with the overall global development synopsis for each such Licensed Product provided by Blueprint to Zai prior to the Effective Date, and will include, as applicable to each Licensed Product, all Global Clinical Trials (including Clinical Trials that Blueprint has determined will include trial sites both inside and outside of the Territory) for the Licensed Products. Zai will support the global Development of each Licensed Product by conducting certain Development activities in the Territory as set forth in, and in accordance with, the Global Development Plan, including by satisfying the enrollment requirements for the Committed Trials as required under Section 5.2 (Enrollment in Global Clinical Trials). The Global Development Plan will include for each Licensed Product [****]. From time to time, Blueprint (or the JPT, with respect to any Blueprint/Zai Combination) may make and implement updates to the then-current Global Development Plan for one or more Licensed Products, including to contemplate the conduct of the Development of any Licensed Product for a New Indication or a new Combination Product or Combination Regimen. To the extent such amendments (i) are [****], and (ii) include activities to be conducted in the Territory, Blueprint will submit such proposed updates to the JSC for review and discussion before adopting such updates,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updates to the Global Development Plan include [****] in the Territory,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proposed Committed Trials, then such update must be approved by the JSC.</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Enrollment in Committed Trials</w:t>
      </w:r>
      <w:r>
        <w:rPr>
          <w:rFonts w:ascii="Arial" w:cs="Arial" w:eastAsia="Arial" w:hAnsi="Arial"/>
          <w:sz w:val="18"/>
          <w:szCs w:val="18"/>
          <w:color w:val="auto"/>
        </w:rPr>
        <w:t>.</w:t>
      </w:r>
    </w:p>
    <w:p>
      <w:pPr>
        <w:spacing w:after="0" w:line="216"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20"/>
          <w:szCs w:val="20"/>
          <w:b w:val="1"/>
          <w:bCs w:val="1"/>
          <w:color w:val="auto"/>
        </w:rPr>
        <w:t>Enrollment in Committed Trials</w:t>
      </w:r>
      <w:r>
        <w:rPr>
          <w:rFonts w:ascii="Arial" w:cs="Arial" w:eastAsia="Arial" w:hAnsi="Arial"/>
          <w:sz w:val="20"/>
          <w:szCs w:val="20"/>
          <w:color w:val="auto"/>
        </w:rPr>
        <w:t>. Zai will, in accordance with the Global Development Plan for each</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enroll and treat [****].</w:t>
      </w:r>
    </w:p>
    <w:p>
      <w:pPr>
        <w:spacing w:after="0" w:line="163" w:lineRule="exact"/>
        <w:rPr>
          <w:sz w:val="20"/>
          <w:szCs w:val="20"/>
          <w:color w:val="auto"/>
        </w:rPr>
      </w:pPr>
    </w:p>
    <w:p>
      <w:pPr>
        <w:jc w:val="both"/>
        <w:ind w:left="1380" w:hanging="647"/>
        <w:spacing w:after="0" w:line="246" w:lineRule="auto"/>
        <w:tabs>
          <w:tab w:leader="none" w:pos="136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20"/>
          <w:szCs w:val="20"/>
          <w:b w:val="1"/>
          <w:bCs w:val="1"/>
          <w:color w:val="auto"/>
        </w:rPr>
        <w:t>Failure to Satisfy Patient Commitments</w:t>
      </w:r>
      <w:r>
        <w:rPr>
          <w:rFonts w:ascii="Arial" w:cs="Arial" w:eastAsia="Arial" w:hAnsi="Arial"/>
          <w:sz w:val="20"/>
          <w:szCs w:val="20"/>
          <w:color w:val="auto"/>
        </w:rPr>
        <w:t>. On a Committed Trial-by-Committed Trial basis,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otherwise agree in writing, if Zai fails to enroll the Patient Commitment in such Committed Trial, other than due to [****] then Zai will reimburse Blueprint for [****]. Zai will pay each Shortfall Reimbursement to Blueprint within [****] after receiving Blueprint’s invoice therefor. For example, [****].</w:t>
      </w:r>
    </w:p>
    <w:p>
      <w:pPr>
        <w:spacing w:after="0" w:line="185"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5.2.3</w:t>
      </w:r>
      <w:r>
        <w:rPr>
          <w:sz w:val="20"/>
          <w:szCs w:val="20"/>
          <w:color w:val="auto"/>
        </w:rPr>
        <w:tab/>
      </w:r>
      <w:r>
        <w:rPr>
          <w:rFonts w:ascii="Arial" w:cs="Arial" w:eastAsia="Arial" w:hAnsi="Arial"/>
          <w:sz w:val="20"/>
          <w:szCs w:val="20"/>
          <w:b w:val="1"/>
          <w:bCs w:val="1"/>
          <w:color w:val="auto"/>
        </w:rPr>
        <w:t>Enrollment of Additional Patients in Committed Trials</w:t>
      </w:r>
      <w:r>
        <w:rPr>
          <w:rFonts w:ascii="Arial" w:cs="Arial" w:eastAsia="Arial" w:hAnsi="Arial"/>
          <w:sz w:val="20"/>
          <w:szCs w:val="20"/>
          <w:color w:val="auto"/>
        </w:rPr>
        <w:t>. If requested by Blueprint for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Trials and agreed to by Zai, then Zai will enroll and treat additional patients in each such Committed Trial in excess of the Patient Commitment and Blueprint will reimburse Zai for [****]. Blueprint will pay each Excess Enrollment Reimbursement to Zai within [****] after receiving Zai’s invoice therefor. For example, [****]</w:t>
      </w:r>
    </w:p>
    <w:p>
      <w:pPr>
        <w:spacing w:after="0" w:line="18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0"/>
          <w:szCs w:val="20"/>
          <w:color w:val="auto"/>
        </w:rPr>
        <w:t>5.2.4</w:t>
      </w:r>
      <w:r>
        <w:rPr>
          <w:sz w:val="20"/>
          <w:szCs w:val="20"/>
          <w:color w:val="auto"/>
        </w:rPr>
        <w:tab/>
      </w:r>
      <w:r>
        <w:rPr>
          <w:rFonts w:ascii="Arial" w:cs="Arial" w:eastAsia="Arial" w:hAnsi="Arial"/>
          <w:sz w:val="19"/>
          <w:szCs w:val="19"/>
          <w:b w:val="1"/>
          <w:bCs w:val="1"/>
          <w:color w:val="auto"/>
        </w:rPr>
        <w:t>Data Access Criteria</w:t>
      </w:r>
      <w:r>
        <w:rPr>
          <w:rFonts w:ascii="Arial" w:cs="Arial" w:eastAsia="Arial" w:hAnsi="Arial"/>
          <w:sz w:val="19"/>
          <w:szCs w:val="19"/>
          <w:color w:val="auto"/>
        </w:rPr>
        <w:t>. Subject to the terms of this Agreement, Blueprint and Zai will share in a timely</w:t>
      </w:r>
      <w:r>
        <w:rPr>
          <w:rFonts w:ascii="Arial" w:cs="Arial" w:eastAsia="Arial" w:hAnsi="Arial"/>
          <w:sz w:val="19"/>
          <w:szCs w:val="19"/>
          <w:b w:val="1"/>
          <w:bCs w:val="1"/>
          <w:color w:val="auto"/>
        </w:rPr>
        <w:t xml:space="preserve"> </w:t>
      </w:r>
      <w:r>
        <w:rPr>
          <w:rFonts w:ascii="Arial" w:cs="Arial" w:eastAsia="Arial" w:hAnsi="Arial"/>
          <w:sz w:val="19"/>
          <w:szCs w:val="19"/>
          <w:color w:val="auto"/>
        </w:rPr>
        <w:t>fashion and allow the other Party to utilize data generated from each Party’s on-going and future Clinical Trials and Regulatory Submissions for all Indications for the Licensed Products, including as set forth in Section 4.3 (Ongoing Know-How Transfer), Section 5.16 (Development Reports), Section 5.17 (Data Exchange and Use), and Section 6.4 (Right of Reference). [****] If Zai does not satisfy the criteria set forth in the foregoing clause (a) or (b), then Zai will not have any rights with respect to any data or results generated from such Global Clinical Trial for such Licensed Product, including pursuant to Section 4.3 (Ongoing Know-How Transfer), Section 5.17 (Data Exchange and Use) or pursuant to Section 6.4 (Right of Reference), except as necessary for Zai to comply with Applicable Law or safety reporting requirements of the applicable Regulatory Authorities in the Territory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71" w:name="page272"/>
    <w:bookmarkEnd w:id="271"/>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20"/>
          <w:szCs w:val="20"/>
          <w:b w:val="1"/>
          <w:bCs w:val="1"/>
          <w:color w:val="auto"/>
        </w:rPr>
        <w:t>Zai Decision to Use a CRO</w:t>
      </w:r>
      <w:r>
        <w:rPr>
          <w:rFonts w:ascii="Arial" w:cs="Arial" w:eastAsia="Arial" w:hAnsi="Arial"/>
          <w:sz w:val="20"/>
          <w:szCs w:val="20"/>
          <w:color w:val="auto"/>
        </w:rPr>
        <w:t>. If Zai decides to engage a Development Subcontractor to perform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Trials with respect to Licensed Products in the Territory assigned to Zai under the Global Development Plan on Zai’s behalf, then, if applicable, Zai will [****] engaging a local Affiliate of the same contract research organization that Blueprint has engaged or plans to engage, in each case, to perform such Clinical Trials outside of the Territory (including if such Clinical Trial is a Committed Trials).</w:t>
      </w:r>
    </w:p>
    <w:p>
      <w:pPr>
        <w:spacing w:after="0" w:line="18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Territory-Specific Development Plans</w:t>
      </w:r>
      <w:r>
        <w:rPr>
          <w:rFonts w:ascii="Arial" w:cs="Arial" w:eastAsia="Arial" w:hAnsi="Arial"/>
          <w:sz w:val="18"/>
          <w:szCs w:val="18"/>
          <w:color w:val="auto"/>
        </w:rPr>
        <w:t>. Except for the activities allocated to Zai under the Global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 for a Licensed Product pursuant to Section 5.1 (Global Development Plan), all Development of each Licensed Product in the Territory under this Agreement will be conducted pursuant to a written development plan for each such Licensed Product (each, as updated from time to time in accordance with this Section 5.4 (Territory-Specific Development Plans) and Section 3.2 (Joint Steering Committee), a “</w:t>
      </w:r>
      <w:r>
        <w:rPr>
          <w:rFonts w:ascii="Arial" w:cs="Arial" w:eastAsia="Arial" w:hAnsi="Arial"/>
          <w:sz w:val="18"/>
          <w:szCs w:val="18"/>
          <w:b w:val="1"/>
          <w:bCs w:val="1"/>
          <w:color w:val="auto"/>
        </w:rPr>
        <w:t>Territory-Specific Development Plan</w:t>
      </w:r>
      <w:r>
        <w:rPr>
          <w:rFonts w:ascii="Arial" w:cs="Arial" w:eastAsia="Arial" w:hAnsi="Arial"/>
          <w:sz w:val="18"/>
          <w:szCs w:val="18"/>
          <w:color w:val="auto"/>
        </w:rPr>
        <w:t>”). At least [****] prior to Zai’s planned initiation of any Development activities for a Licensed Product in the Territory that are not contemplated under the Global Development Plan, Zai will provide the applicable JPT with an initial draft of the Territory-Specific Development Plan for such Licensed Product for the JPT’s review and comment. Each such Territory-Specific Development Plan will contain [****] (a) [****], (b) all major Clinical Development activities for such Licensed Product and all Territory-Specific Clinical Trials and the trial design thereof, in each case, to be conducted solely in furtherance of obtaining Regulatory Approval of such Licensed Product in the Territory (and not outside of the Territory) for the upcoming [****] period, (c) [****] timelines for achieving such activities described in (a) and (b), and (d) [****] key elements involved in obtaining Regulatory Approval of such Licensed Product from all applicable Regulatory Authorities throughout the Territory and the regulatory strategy for each Licensed Product for the Territory approved by the JSC pursuant to Section 6.1 (Regulatory Strategy). Each Territory-Specific Development Plan will include all Clinical Development required to obtain and maintain Regulatory Approval for the applicable Licensed Product in each region of the Territory. Zai will take the applicable JPT’s comments [****] and incorporate such comments where appropriate prior to finalizing the initial Territory-Specific Development Plan for each Licensed Product. From time to time thereafter, [****] to include any New Territory-Specific Development Activities, Zai will propose updates to each Territory-Specific Development Plan in consultation with Blueprint through the applicable JPT and submit each initial Territory-Specific Development Plan and each such proposed updated Territory-Specific Development Plan to the JSC. The JSC will review, discuss, and determine whether to approve the initial Territory-Specific Development Plan for each Licensed Product and each update thereto. Once approved by the JSC, each update to a Territory-Specific Development Plan for a Licensed Product will become effective and supersede the then-current Territory-Specific Development Plan for such Licensed Product.</w:t>
      </w:r>
    </w:p>
    <w:p>
      <w:pPr>
        <w:spacing w:after="0" w:line="200" w:lineRule="exact"/>
        <w:rPr>
          <w:sz w:val="20"/>
          <w:szCs w:val="20"/>
          <w:color w:val="auto"/>
        </w:rPr>
      </w:pPr>
    </w:p>
    <w:p>
      <w:pPr>
        <w:spacing w:after="0" w:line="20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20"/>
          <w:szCs w:val="20"/>
          <w:b w:val="1"/>
          <w:bCs w:val="1"/>
          <w:color w:val="auto"/>
        </w:rPr>
        <w:t>Development Diligence</w:t>
      </w:r>
      <w:r>
        <w:rPr>
          <w:rFonts w:ascii="Arial" w:cs="Arial" w:eastAsia="Arial" w:hAnsi="Arial"/>
          <w:sz w:val="20"/>
          <w:szCs w:val="20"/>
          <w:color w:val="auto"/>
        </w:rPr>
        <w:t>. Subject to the terms of this Agreement, Zai will be responsible for and will use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Efforts to Develop and obtain Regulatory Approval, and, if applicable, Reimbursement Approval, for [****] each Licensed Product that is the subject of a Territory-Specific Development Plan or Global Development Plan in the Field in the Territory. Without limiting the generality of the foregoing, Zai will use Commercially Reasonable Efforts to [****].</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PRC Submission Estimated Timeline</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48" w:lineRule="auto"/>
        <w:tabs>
          <w:tab w:leader="none" w:pos="1360" w:val="left"/>
        </w:tabs>
        <w:rPr>
          <w:sz w:val="20"/>
          <w:szCs w:val="20"/>
          <w:color w:val="auto"/>
        </w:rPr>
      </w:pPr>
      <w:r>
        <w:rPr>
          <w:rFonts w:ascii="Arial" w:cs="Arial" w:eastAsia="Arial" w:hAnsi="Arial"/>
          <w:sz w:val="20"/>
          <w:szCs w:val="20"/>
          <w:color w:val="auto"/>
        </w:rPr>
        <w:t>5.6.1</w:t>
      </w:r>
      <w:r>
        <w:rPr>
          <w:sz w:val="20"/>
          <w:szCs w:val="20"/>
          <w:color w:val="auto"/>
        </w:rPr>
        <w:tab/>
      </w:r>
      <w:r>
        <w:rPr>
          <w:rFonts w:ascii="Arial" w:cs="Arial" w:eastAsia="Arial" w:hAnsi="Arial"/>
          <w:sz w:val="20"/>
          <w:szCs w:val="20"/>
          <w:b w:val="1"/>
          <w:bCs w:val="1"/>
          <w:color w:val="auto"/>
        </w:rPr>
        <w:t>Other Licensed Products</w:t>
      </w:r>
      <w:r>
        <w:rPr>
          <w:rFonts w:ascii="Arial" w:cs="Arial" w:eastAsia="Arial" w:hAnsi="Arial"/>
          <w:sz w:val="20"/>
          <w:szCs w:val="20"/>
          <w:color w:val="auto"/>
        </w:rPr>
        <w:t>. [****] the Parties have finalized the PRC Submission Estimated Timeline</w:t>
      </w:r>
      <w:r>
        <w:rPr>
          <w:rFonts w:ascii="Arial" w:cs="Arial" w:eastAsia="Arial" w:hAnsi="Arial"/>
          <w:sz w:val="20"/>
          <w:szCs w:val="20"/>
          <w:b w:val="1"/>
          <w:bCs w:val="1"/>
          <w:color w:val="auto"/>
        </w:rPr>
        <w:t xml:space="preserve"> </w:t>
      </w:r>
      <w:r>
        <w:rPr>
          <w:rFonts w:ascii="Arial" w:cs="Arial" w:eastAsia="Arial" w:hAnsi="Arial"/>
          <w:sz w:val="20"/>
          <w:szCs w:val="20"/>
          <w:color w:val="auto"/>
        </w:rPr>
        <w:t>[****], in each case, such PRC Submission Estimated Timeline is included in the initial Global Development Plan. In addition, the JPT will develop a PRC Submission Estimated Timeline for any additional Licensed Products at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72" w:name="page273"/>
    <w:bookmarkEnd w:id="272"/>
    <w:p>
      <w:pPr>
        <w:ind w:left="1380" w:right="20"/>
        <w:spacing w:after="0" w:line="260" w:lineRule="auto"/>
        <w:rPr>
          <w:sz w:val="20"/>
          <w:szCs w:val="20"/>
          <w:color w:val="auto"/>
        </w:rPr>
      </w:pPr>
      <w:r>
        <w:rPr>
          <w:rFonts w:ascii="Arial" w:cs="Arial" w:eastAsia="Arial" w:hAnsi="Arial"/>
          <w:sz w:val="20"/>
          <w:szCs w:val="20"/>
          <w:color w:val="auto"/>
        </w:rPr>
        <w:t>time. The JPT will submit each such PRC Submission Estimated Timeline to the JSC to review, discuss, and determine whether to approve.</w:t>
      </w:r>
    </w:p>
    <w:p>
      <w:pPr>
        <w:spacing w:after="0" w:line="171" w:lineRule="exact"/>
        <w:rPr>
          <w:sz w:val="20"/>
          <w:szCs w:val="20"/>
          <w:color w:val="auto"/>
        </w:rPr>
      </w:pPr>
    </w:p>
    <w:p>
      <w:pPr>
        <w:jc w:val="both"/>
        <w:ind w:left="1380" w:hanging="647"/>
        <w:spacing w:after="0" w:line="272" w:lineRule="auto"/>
        <w:tabs>
          <w:tab w:leader="none" w:pos="1360" w:val="left"/>
        </w:tabs>
        <w:rPr>
          <w:sz w:val="20"/>
          <w:szCs w:val="20"/>
          <w:color w:val="auto"/>
        </w:rPr>
      </w:pPr>
      <w:r>
        <w:rPr>
          <w:rFonts w:ascii="Arial" w:cs="Arial" w:eastAsia="Arial" w:hAnsi="Arial"/>
          <w:sz w:val="20"/>
          <w:szCs w:val="20"/>
          <w:color w:val="auto"/>
        </w:rPr>
        <w:t>5.6.2</w:t>
      </w:r>
      <w:r>
        <w:rPr>
          <w:sz w:val="20"/>
          <w:szCs w:val="20"/>
          <w:color w:val="auto"/>
        </w:rPr>
        <w:tab/>
      </w:r>
      <w:r>
        <w:rPr>
          <w:rFonts w:ascii="Arial" w:cs="Arial" w:eastAsia="Arial" w:hAnsi="Arial"/>
          <w:sz w:val="18"/>
          <w:szCs w:val="18"/>
          <w:b w:val="1"/>
          <w:bCs w:val="1"/>
          <w:color w:val="auto"/>
        </w:rPr>
        <w:t>Amendments and Obligations</w:t>
      </w:r>
      <w:r>
        <w:rPr>
          <w:rFonts w:ascii="Arial" w:cs="Arial" w:eastAsia="Arial" w:hAnsi="Arial"/>
          <w:sz w:val="18"/>
          <w:szCs w:val="18"/>
          <w:color w:val="auto"/>
        </w:rPr>
        <w:t>. The JPT will update, and will provide to the JSC to review, discuss, and</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to approve, the PRC Submission Estimated Timeline for each Licensed Product annually to include in detail the anticipated key regulatory activities for such Licensed Product [****] in the Territory and the dates on which such activities are estimated to occur. Without limiting the obligations set forth in Section 5.5 (Development Diligence), Zai will use Commercially Reasonable Efforts to: (a) make all Regulatory Submissions to the NMPA pursuant to and in accordance with Section 6.2.1 (Obtaining and Maintaining Regulatory Approvals) for each Licensed Product and in accordance with the applicable PRC Submission Estimated Timeline (as may be amended by the JSC from time to time) [****] and (b) promptly obtain all approvals from the applicable Regulatory Authorities required to dose the first patient with each Licensed Product in Clinical Trials in the Territory.</w:t>
      </w:r>
    </w:p>
    <w:p>
      <w:pPr>
        <w:spacing w:after="0" w:line="16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Non-Clinical and Preclinical Studies</w:t>
      </w:r>
      <w:r>
        <w:rPr>
          <w:rFonts w:ascii="Arial" w:cs="Arial" w:eastAsia="Arial" w:hAnsi="Arial"/>
          <w:sz w:val="19"/>
          <w:szCs w:val="19"/>
          <w:color w:val="auto"/>
        </w:rPr>
        <w:t>. Blueprint will be responsible for [****] Non-Clinical Development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Products, other than specific Non-Clinical Development for any Licensed Product that (a) is required specifically in support of [****] for such Licensed Product in the Territory, which additional Non-Clinical Development will, subject to approval by the JPT [****] be included under the Territory-Specific Development Plan for such Licensed Product or (b) that the JPT otherwise agrees to include in a Territory-Specific Development Plan, and in each case ((a) or (b)), for which Zai will be responsible (such Non-Clinical Development, “</w:t>
      </w:r>
      <w:r>
        <w:rPr>
          <w:rFonts w:ascii="Arial" w:cs="Arial" w:eastAsia="Arial" w:hAnsi="Arial"/>
          <w:sz w:val="19"/>
          <w:szCs w:val="19"/>
          <w:b w:val="1"/>
          <w:bCs w:val="1"/>
          <w:color w:val="auto"/>
        </w:rPr>
        <w:t>Permitted Zai</w:t>
      </w:r>
      <w:r>
        <w:rPr>
          <w:rFonts w:ascii="Arial" w:cs="Arial" w:eastAsia="Arial" w:hAnsi="Arial"/>
          <w:sz w:val="19"/>
          <w:szCs w:val="19"/>
          <w:color w:val="auto"/>
        </w:rPr>
        <w:t xml:space="preserve"> </w:t>
      </w:r>
      <w:r>
        <w:rPr>
          <w:rFonts w:ascii="Arial" w:cs="Arial" w:eastAsia="Arial" w:hAnsi="Arial"/>
          <w:sz w:val="19"/>
          <w:szCs w:val="19"/>
          <w:b w:val="1"/>
          <w:bCs w:val="1"/>
          <w:color w:val="auto"/>
        </w:rPr>
        <w:t>Non-Clinical Development</w:t>
      </w:r>
      <w:r>
        <w:rPr>
          <w:rFonts w:ascii="Arial" w:cs="Arial" w:eastAsia="Arial" w:hAnsi="Arial"/>
          <w:sz w:val="19"/>
          <w:szCs w:val="19"/>
          <w:color w:val="auto"/>
        </w:rPr>
        <w:t>”). Notwithstanding any provision to the contrary set forth in this Agreement, in no</w:t>
      </w:r>
      <w:r>
        <w:rPr>
          <w:rFonts w:ascii="Arial" w:cs="Arial" w:eastAsia="Arial" w:hAnsi="Arial"/>
          <w:sz w:val="19"/>
          <w:szCs w:val="19"/>
          <w:b w:val="1"/>
          <w:bCs w:val="1"/>
          <w:color w:val="auto"/>
        </w:rPr>
        <w:t xml:space="preserve"> </w:t>
      </w:r>
      <w:r>
        <w:rPr>
          <w:rFonts w:ascii="Arial" w:cs="Arial" w:eastAsia="Arial" w:hAnsi="Arial"/>
          <w:sz w:val="19"/>
          <w:szCs w:val="19"/>
          <w:color w:val="auto"/>
        </w:rPr>
        <w:t>event will the JPT be permitted to withhold consent to Zai’s performance of any specific Non-Clinical Development in the Territory that is required specifically in support of [****] for such Licensed Product in the Territory, unless[****]. Blueprint will provide support and cooperation as reasonably requested by Zai in connection with any such Permitted Zai Non-Clinical Development. In addition, Zai will provide support and cooperation as reasonably requested by Blueprint in connection with any Non-Clinical Development for any Blueprint/Zai Combination that is required to support [****] for such product outside of the Territory. The Party generating data and results (or on whose behalf such data and results are generated) in the course of conducting such Non-Clinical Development for any Licensed Product will provide such data and results to the other Party in accordance with Section 5.17 (Data Exchange and Use).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6"/>
          <w:szCs w:val="16"/>
          <w:b w:val="1"/>
          <w:bCs w:val="1"/>
          <w:color w:val="auto"/>
        </w:rPr>
        <w:t>Proposed Blueprint/Zai Combination Products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1" w:lineRule="auto"/>
        <w:tabs>
          <w:tab w:leader="none" w:pos="1360" w:val="left"/>
        </w:tabs>
        <w:rPr>
          <w:sz w:val="20"/>
          <w:szCs w:val="20"/>
          <w:color w:val="auto"/>
        </w:rPr>
      </w:pPr>
      <w:r>
        <w:rPr>
          <w:rFonts w:ascii="Arial" w:cs="Arial" w:eastAsia="Arial" w:hAnsi="Arial"/>
          <w:sz w:val="20"/>
          <w:szCs w:val="20"/>
          <w:color w:val="auto"/>
        </w:rPr>
        <w:t>5.8.1</w:t>
      </w:r>
      <w:r>
        <w:rPr>
          <w:sz w:val="20"/>
          <w:szCs w:val="20"/>
          <w:color w:val="auto"/>
        </w:rPr>
        <w:tab/>
      </w:r>
      <w:r>
        <w:rPr>
          <w:rFonts w:ascii="Arial" w:cs="Arial" w:eastAsia="Arial" w:hAnsi="Arial"/>
          <w:sz w:val="18"/>
          <w:szCs w:val="18"/>
          <w:b w:val="1"/>
          <w:bCs w:val="1"/>
          <w:color w:val="auto"/>
        </w:rPr>
        <w:t>Proposed Combinations</w:t>
      </w:r>
      <w:r>
        <w:rPr>
          <w:rFonts w:ascii="Arial" w:cs="Arial" w:eastAsia="Arial" w:hAnsi="Arial"/>
          <w:sz w:val="18"/>
          <w:szCs w:val="18"/>
          <w:color w:val="auto"/>
        </w:rPr>
        <w:t>. If the JPT wishes to include, under the Global Development Plan,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Blueprint/Zai Combination (each, a “</w:t>
      </w:r>
      <w:r>
        <w:rPr>
          <w:rFonts w:ascii="Arial" w:cs="Arial" w:eastAsia="Arial" w:hAnsi="Arial"/>
          <w:sz w:val="18"/>
          <w:szCs w:val="18"/>
          <w:b w:val="1"/>
          <w:bCs w:val="1"/>
          <w:color w:val="auto"/>
        </w:rPr>
        <w:t>Proposed Blueprint/Zai Combination</w:t>
      </w:r>
      <w:r>
        <w:rPr>
          <w:rFonts w:ascii="Arial" w:cs="Arial" w:eastAsia="Arial" w:hAnsi="Arial"/>
          <w:sz w:val="18"/>
          <w:szCs w:val="18"/>
          <w:color w:val="auto"/>
        </w:rPr>
        <w:t>”), then the JPT will develop a Global Development Plan for such Proposed Blueprint/Zai Combination, which plan will include the conduct of a POC Trial for such Proposed Blueprint/Zai Combination and a regulatory strategy for the applicable Proposed Blueprint/Zai Combination and the conduct those Clinical Trials contemplated in such Global Development Plan. Thereafter, the JPT will submit such plans, along with details regarding the scope of intellectual property rights relating to the applicable Active Ingredient Controlled by Zai or its Affiliates that will be licensed or sublicensed (as applicable) to Blueprint (where any license for Blueprint to obtain any right to any Zai Product beyond the conduct of Clinical Trials in accordance with this Section 5.8.1 (Proposed Combinations) will only be as contemplated under an agreement or amendment to this Agreement entered into by the Parties pursuant to Section 5.8.2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3" w:name="page274"/>
    <w:bookmarkEnd w:id="273"/>
    <w:p>
      <w:pPr>
        <w:ind w:left="920"/>
        <w:spacing w:after="0"/>
        <w:rPr>
          <w:sz w:val="20"/>
          <w:szCs w:val="20"/>
          <w:color w:val="auto"/>
        </w:rPr>
      </w:pPr>
      <w:r>
        <w:rPr>
          <w:rFonts w:ascii="Arial" w:cs="Arial" w:eastAsia="Arial" w:hAnsi="Arial"/>
          <w:sz w:val="18"/>
          <w:szCs w:val="18"/>
          <w:color w:val="auto"/>
        </w:rPr>
        <w:t>Exploitation of Proposed Blueprint/Zai Combinations)), to the JSC for its review, discussion, and approval.</w:t>
      </w:r>
    </w:p>
    <w:p>
      <w:pPr>
        <w:spacing w:after="0" w:line="233" w:lineRule="exact"/>
        <w:rPr>
          <w:sz w:val="20"/>
          <w:szCs w:val="20"/>
          <w:color w:val="auto"/>
        </w:rPr>
      </w:pPr>
    </w:p>
    <w:p>
      <w:pPr>
        <w:ind w:left="1420" w:right="20" w:hanging="495"/>
        <w:spacing w:after="0" w:line="293" w:lineRule="auto"/>
        <w:tabs>
          <w:tab w:leader="none" w:pos="1420" w:val="left"/>
        </w:tabs>
        <w:numPr>
          <w:ilvl w:val="0"/>
          <w:numId w:val="161"/>
        </w:numPr>
        <w:rPr>
          <w:rFonts w:ascii="Arial" w:cs="Arial" w:eastAsia="Arial" w:hAnsi="Arial"/>
          <w:sz w:val="19"/>
          <w:szCs w:val="19"/>
          <w:color w:val="auto"/>
        </w:rPr>
      </w:pPr>
      <w:r>
        <w:rPr>
          <w:rFonts w:ascii="Arial" w:cs="Arial" w:eastAsia="Arial" w:hAnsi="Arial"/>
          <w:sz w:val="19"/>
          <w:szCs w:val="19"/>
          <w:b w:val="1"/>
          <w:bCs w:val="1"/>
          <w:color w:val="auto"/>
        </w:rPr>
        <w:t>JSC Approval</w:t>
      </w:r>
      <w:r>
        <w:rPr>
          <w:rFonts w:ascii="Arial" w:cs="Arial" w:eastAsia="Arial" w:hAnsi="Arial"/>
          <w:sz w:val="19"/>
          <w:szCs w:val="19"/>
          <w:color w:val="auto"/>
        </w:rPr>
        <w:t>. If the JSC approves the Development under this Agreement of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Proposed Blueprint/Zai Combination under the Global Development Plan, then [****].</w:t>
      </w:r>
    </w:p>
    <w:p>
      <w:pPr>
        <w:spacing w:after="0" w:line="141" w:lineRule="exact"/>
        <w:rPr>
          <w:rFonts w:ascii="Arial" w:cs="Arial" w:eastAsia="Arial" w:hAnsi="Arial"/>
          <w:sz w:val="19"/>
          <w:szCs w:val="19"/>
          <w:color w:val="auto"/>
        </w:rPr>
      </w:pPr>
    </w:p>
    <w:p>
      <w:pPr>
        <w:jc w:val="both"/>
        <w:ind w:left="1420" w:hanging="495"/>
        <w:spacing w:after="0" w:line="246" w:lineRule="auto"/>
        <w:tabs>
          <w:tab w:leader="none" w:pos="1420" w:val="left"/>
        </w:tabs>
        <w:numPr>
          <w:ilvl w:val="0"/>
          <w:numId w:val="161"/>
        </w:numPr>
        <w:rPr>
          <w:rFonts w:ascii="Arial" w:cs="Arial" w:eastAsia="Arial" w:hAnsi="Arial"/>
          <w:sz w:val="20"/>
          <w:szCs w:val="20"/>
          <w:color w:val="auto"/>
        </w:rPr>
      </w:pPr>
      <w:r>
        <w:rPr>
          <w:rFonts w:ascii="Arial" w:cs="Arial" w:eastAsia="Arial" w:hAnsi="Arial"/>
          <w:sz w:val="20"/>
          <w:szCs w:val="20"/>
          <w:b w:val="1"/>
          <w:bCs w:val="1"/>
          <w:color w:val="auto"/>
        </w:rPr>
        <w:t>No JSC Approval</w:t>
      </w:r>
      <w:r>
        <w:rPr>
          <w:rFonts w:ascii="Arial" w:cs="Arial" w:eastAsia="Arial" w:hAnsi="Arial"/>
          <w:sz w:val="20"/>
          <w:szCs w:val="20"/>
          <w:color w:val="auto"/>
        </w:rPr>
        <w:t>. If the JSC does not approve the Development under this Agreement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Blueprint/Zai Combination, then such Proposed Blueprint/Zai Combination will not be a Blueprint/Zai Combination for purposes of this Agreement and the Parties may not Exploit such Proposed Blueprint/Zai Combination under this Agreement unless and until the JSC approves the Development such Proposed Blueprint/Zai Combination hereunder.</w:t>
      </w:r>
    </w:p>
    <w:p>
      <w:pPr>
        <w:spacing w:after="0" w:line="185" w:lineRule="exact"/>
        <w:rPr>
          <w:sz w:val="20"/>
          <w:szCs w:val="20"/>
          <w:color w:val="auto"/>
        </w:rPr>
      </w:pPr>
    </w:p>
    <w:p>
      <w:pPr>
        <w:jc w:val="both"/>
        <w:ind w:left="920" w:hanging="647"/>
        <w:spacing w:after="0" w:line="248" w:lineRule="auto"/>
        <w:tabs>
          <w:tab w:leader="none" w:pos="900" w:val="left"/>
        </w:tabs>
        <w:rPr>
          <w:sz w:val="20"/>
          <w:szCs w:val="20"/>
          <w:color w:val="auto"/>
        </w:rPr>
      </w:pPr>
      <w:r>
        <w:rPr>
          <w:rFonts w:ascii="Arial" w:cs="Arial" w:eastAsia="Arial" w:hAnsi="Arial"/>
          <w:sz w:val="20"/>
          <w:szCs w:val="20"/>
          <w:color w:val="auto"/>
        </w:rPr>
        <w:t>5.8.2</w:t>
      </w:r>
      <w:r>
        <w:rPr>
          <w:sz w:val="20"/>
          <w:szCs w:val="20"/>
          <w:color w:val="auto"/>
        </w:rPr>
        <w:tab/>
      </w:r>
      <w:r>
        <w:rPr>
          <w:rFonts w:ascii="Arial" w:cs="Arial" w:eastAsia="Arial" w:hAnsi="Arial"/>
          <w:sz w:val="20"/>
          <w:szCs w:val="20"/>
          <w:b w:val="1"/>
          <w:bCs w:val="1"/>
          <w:color w:val="auto"/>
        </w:rPr>
        <w:t>Further Exploitation of Proposed Blueprint/Zai Combinations</w:t>
      </w:r>
      <w:r>
        <w:rPr>
          <w:rFonts w:ascii="Arial" w:cs="Arial" w:eastAsia="Arial" w:hAnsi="Arial"/>
          <w:sz w:val="20"/>
          <w:szCs w:val="20"/>
          <w:color w:val="auto"/>
        </w:rPr>
        <w:t>. If the JSC determines to approve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of a Pivotal Trial as a Global Clinical Trial for any Blueprint/Zai Combination that was a Proposed Blueprint/Zai Combination approved by the JSC pursuant to Section 5.8.1 (Proposed Blueprint/Zai Combinations), then:</w:t>
      </w:r>
    </w:p>
    <w:p>
      <w:pPr>
        <w:spacing w:after="0" w:line="189" w:lineRule="exact"/>
        <w:rPr>
          <w:sz w:val="20"/>
          <w:szCs w:val="20"/>
          <w:color w:val="auto"/>
        </w:rPr>
      </w:pPr>
    </w:p>
    <w:p>
      <w:pPr>
        <w:ind w:left="1420" w:hanging="495"/>
        <w:spacing w:after="0"/>
        <w:tabs>
          <w:tab w:leader="none" w:pos="14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JSC will determine which Party will conduct such Pivotal Trial as a Global Clinical Trial;</w:t>
      </w:r>
    </w:p>
    <w:p>
      <w:pPr>
        <w:spacing w:after="0" w:line="215" w:lineRule="exact"/>
        <w:rPr>
          <w:rFonts w:ascii="Arial" w:cs="Arial" w:eastAsia="Arial" w:hAnsi="Arial"/>
          <w:sz w:val="20"/>
          <w:szCs w:val="20"/>
          <w:color w:val="auto"/>
        </w:rPr>
      </w:pPr>
    </w:p>
    <w:p>
      <w:pPr>
        <w:ind w:left="1420" w:hanging="495"/>
        <w:spacing w:after="0"/>
        <w:tabs>
          <w:tab w:leader="none" w:pos="14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following completion [****];</w:t>
      </w:r>
    </w:p>
    <w:p>
      <w:pPr>
        <w:spacing w:after="0" w:line="215" w:lineRule="exact"/>
        <w:rPr>
          <w:rFonts w:ascii="Arial" w:cs="Arial" w:eastAsia="Arial" w:hAnsi="Arial"/>
          <w:sz w:val="20"/>
          <w:szCs w:val="20"/>
          <w:color w:val="auto"/>
        </w:rPr>
      </w:pPr>
    </w:p>
    <w:p>
      <w:pPr>
        <w:jc w:val="both"/>
        <w:ind w:left="1420" w:hanging="495"/>
        <w:spacing w:after="0" w:line="276"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Zai will not be required to grant any license to Blueprint to seek Regulatory Approval for, or Commercialize the Zai Product included in such Blueprint/Zai Combination, and (ii) Blueprint will not be required to grant any license to Zai to seek Regulatory Approval for, or Commercialize, the Blueprint Compound included in such Blueprint/Zai Combination, in each case ((i) and (ii)), unless the Parties reach agreement on the terms and conditions for such commercial arrangement under this Section 5.8.2 (Further Exploitation of Proposed Blueprint/Zai Combinations);</w:t>
      </w:r>
    </w:p>
    <w:p>
      <w:pPr>
        <w:spacing w:after="0" w:line="164" w:lineRule="exact"/>
        <w:rPr>
          <w:rFonts w:ascii="Arial" w:cs="Arial" w:eastAsia="Arial" w:hAnsi="Arial"/>
          <w:sz w:val="18"/>
          <w:szCs w:val="18"/>
          <w:color w:val="auto"/>
        </w:rPr>
      </w:pPr>
    </w:p>
    <w:p>
      <w:pPr>
        <w:jc w:val="both"/>
        <w:ind w:left="1420" w:hanging="495"/>
        <w:spacing w:after="0" w:line="244" w:lineRule="auto"/>
        <w:tabs>
          <w:tab w:leader="none" w:pos="14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notwithstanding any provision to the contrary set forth in this Agreement, no license will be deemed to have been granted to Blueprint or its Affiliates or (sub)licensees to Exploit any Zai Product, except that the license grant to Blueprint under Section 2.3 (License Grants to Blueprint) will include the right to Develop Blueprint/Zai Combinations solely through POC Trials if approved by the JSC pursuant to Section 5.8.1 (Proposed Combinations);</w:t>
      </w:r>
    </w:p>
    <w:p>
      <w:pPr>
        <w:spacing w:after="0" w:line="194" w:lineRule="exact"/>
        <w:rPr>
          <w:rFonts w:ascii="Arial" w:cs="Arial" w:eastAsia="Arial" w:hAnsi="Arial"/>
          <w:sz w:val="20"/>
          <w:szCs w:val="20"/>
          <w:color w:val="auto"/>
        </w:rPr>
      </w:pPr>
    </w:p>
    <w:p>
      <w:pPr>
        <w:jc w:val="both"/>
        <w:ind w:left="1420" w:hanging="495"/>
        <w:spacing w:after="0" w:line="250" w:lineRule="auto"/>
        <w:tabs>
          <w:tab w:leader="none" w:pos="14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Parties will [****] reach agreement on such commercial arrangement prior to commencement of such Pivotal Trial or any further Development of such Blueprint/Zai Combination after completion of the POC Trial for such Blueprint/Zai Combination; and</w:t>
      </w:r>
    </w:p>
    <w:p>
      <w:pPr>
        <w:spacing w:after="0" w:line="185" w:lineRule="exact"/>
        <w:rPr>
          <w:rFonts w:ascii="Arial" w:cs="Arial" w:eastAsia="Arial" w:hAnsi="Arial"/>
          <w:sz w:val="20"/>
          <w:szCs w:val="20"/>
          <w:color w:val="auto"/>
        </w:rPr>
      </w:pPr>
    </w:p>
    <w:p>
      <w:pPr>
        <w:jc w:val="both"/>
        <w:ind w:left="1420" w:hanging="495"/>
        <w:spacing w:after="0" w:line="291"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Party will conduct further Development or other Exploitation of the applicable Blueprint/Zai Combination inside or outside of the Territory, unless and until the Parties enter into a written agreement setting forth such terms as described above in Section 5.8.2(a) through Section 5.8.2(c).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74" w:name="page275"/>
    <w:bookmarkEnd w:id="274"/>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New Development Proposed by Zai</w:t>
      </w:r>
      <w:r>
        <w:rPr>
          <w:rFonts w:ascii="Arial" w:cs="Arial" w:eastAsia="Arial" w:hAnsi="Arial"/>
          <w:sz w:val="20"/>
          <w:szCs w:val="20"/>
          <w:color w:val="auto"/>
        </w:rPr>
        <w:t>. Notwithstanding Zai’s final decision-making authority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activities for a Licensed Product that are Territory-specific as set forth in Section 3.7.2(b) (Zai Decisions), if [****], then, in either case ((a) or (b)), Zai will present to the JSC to review, discuss, and determine whether to approve, a proposal to add such Development activities for such New Indication or such New Combination to the Territory-Specific Development Plan for the applicable Licensed Product, including the regions in the Territory in which such activities would be conducted (a “</w:t>
      </w:r>
      <w:r>
        <w:rPr>
          <w:rFonts w:ascii="Arial" w:cs="Arial" w:eastAsia="Arial" w:hAnsi="Arial"/>
          <w:sz w:val="20"/>
          <w:szCs w:val="20"/>
          <w:b w:val="1"/>
          <w:bCs w:val="1"/>
          <w:color w:val="auto"/>
        </w:rPr>
        <w:t>New Development Proposal</w:t>
      </w:r>
      <w:r>
        <w:rPr>
          <w:rFonts w:ascii="Arial" w:cs="Arial" w:eastAsia="Arial" w:hAnsi="Arial"/>
          <w:sz w:val="20"/>
          <w:szCs w:val="20"/>
          <w:color w:val="auto"/>
        </w:rPr>
        <w:t>”). Each New Development Proposal will describe [****] the applicable Non-Clinical Development and Clinical Trials that Zai desires to conduct with respect to such New Indication or such New Combination, including [****] (the “</w:t>
      </w:r>
      <w:r>
        <w:rPr>
          <w:rFonts w:ascii="Arial" w:cs="Arial" w:eastAsia="Arial" w:hAnsi="Arial"/>
          <w:sz w:val="20"/>
          <w:szCs w:val="20"/>
          <w:b w:val="1"/>
          <w:bCs w:val="1"/>
          <w:color w:val="auto"/>
        </w:rPr>
        <w:t>New</w:t>
      </w:r>
      <w:r>
        <w:rPr>
          <w:rFonts w:ascii="Arial" w:cs="Arial" w:eastAsia="Arial" w:hAnsi="Arial"/>
          <w:sz w:val="20"/>
          <w:szCs w:val="20"/>
          <w:color w:val="auto"/>
        </w:rPr>
        <w:t xml:space="preserve"> </w:t>
      </w:r>
      <w:r>
        <w:rPr>
          <w:rFonts w:ascii="Arial" w:cs="Arial" w:eastAsia="Arial" w:hAnsi="Arial"/>
          <w:sz w:val="20"/>
          <w:szCs w:val="20"/>
          <w:b w:val="1"/>
          <w:bCs w:val="1"/>
          <w:color w:val="auto"/>
        </w:rPr>
        <w:t>Development Activities</w:t>
      </w:r>
      <w:r>
        <w:rPr>
          <w:rFonts w:ascii="Arial" w:cs="Arial" w:eastAsia="Arial" w:hAnsi="Arial"/>
          <w:sz w:val="20"/>
          <w:szCs w:val="20"/>
          <w:color w:val="auto"/>
        </w:rPr>
        <w:t>”), as well as [****] anticipated to result from such New Development Activities,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92" w:lineRule="exact"/>
        <w:rPr>
          <w:sz w:val="20"/>
          <w:szCs w:val="20"/>
          <w:color w:val="auto"/>
        </w:rPr>
      </w:pPr>
    </w:p>
    <w:p>
      <w:pPr>
        <w:ind w:left="1360" w:right="20" w:hanging="647"/>
        <w:spacing w:after="0" w:line="323" w:lineRule="auto"/>
        <w:tabs>
          <w:tab w:leader="none" w:pos="1340" w:val="left"/>
        </w:tabs>
        <w:rPr>
          <w:sz w:val="20"/>
          <w:szCs w:val="20"/>
          <w:color w:val="auto"/>
        </w:rPr>
      </w:pPr>
      <w:r>
        <w:rPr>
          <w:rFonts w:ascii="Arial" w:cs="Arial" w:eastAsia="Arial" w:hAnsi="Arial"/>
          <w:sz w:val="20"/>
          <w:szCs w:val="20"/>
          <w:color w:val="auto"/>
        </w:rPr>
        <w:t>5.9.1</w:t>
      </w:r>
      <w:r>
        <w:rPr>
          <w:sz w:val="20"/>
          <w:szCs w:val="20"/>
          <w:color w:val="auto"/>
        </w:rPr>
        <w:tab/>
      </w:r>
      <w:r>
        <w:rPr>
          <w:rFonts w:ascii="Arial" w:cs="Arial" w:eastAsia="Arial" w:hAnsi="Arial"/>
          <w:sz w:val="18"/>
          <w:szCs w:val="18"/>
          <w:b w:val="1"/>
          <w:bCs w:val="1"/>
          <w:color w:val="auto"/>
        </w:rPr>
        <w:t>JSC Decision Regarding New Development Activities</w:t>
      </w:r>
      <w:r>
        <w:rPr>
          <w:rFonts w:ascii="Arial" w:cs="Arial" w:eastAsia="Arial" w:hAnsi="Arial"/>
          <w:sz w:val="18"/>
          <w:szCs w:val="18"/>
          <w:color w:val="auto"/>
        </w:rPr>
        <w:t>. The JSC will review, discuss, and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approve a New Development Proposal within [****] after receipt thereof from Zai.</w:t>
      </w:r>
    </w:p>
    <w:p>
      <w:pPr>
        <w:spacing w:after="0" w:line="118" w:lineRule="exact"/>
        <w:rPr>
          <w:sz w:val="20"/>
          <w:szCs w:val="20"/>
          <w:color w:val="auto"/>
        </w:rPr>
      </w:pPr>
    </w:p>
    <w:p>
      <w:pPr>
        <w:jc w:val="both"/>
        <w:ind w:left="1860" w:hanging="495"/>
        <w:spacing w:after="0" w:line="256" w:lineRule="auto"/>
        <w:tabs>
          <w:tab w:leader="none" w:pos="1860"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JSC Approval</w:t>
      </w:r>
      <w:r>
        <w:rPr>
          <w:rFonts w:ascii="Arial" w:cs="Arial" w:eastAsia="Arial" w:hAnsi="Arial"/>
          <w:sz w:val="19"/>
          <w:szCs w:val="19"/>
          <w:color w:val="auto"/>
        </w:rPr>
        <w:t>. If the JSC approves a New Development Proposal, then upon such an approval, (i)</w:t>
      </w:r>
      <w:r>
        <w:rPr>
          <w:rFonts w:ascii="Arial" w:cs="Arial" w:eastAsia="Arial" w:hAnsi="Arial"/>
          <w:sz w:val="19"/>
          <w:szCs w:val="19"/>
          <w:b w:val="1"/>
          <w:bCs w:val="1"/>
          <w:color w:val="auto"/>
        </w:rPr>
        <w:t xml:space="preserve"> </w:t>
      </w:r>
      <w:r>
        <w:rPr>
          <w:rFonts w:ascii="Arial" w:cs="Arial" w:eastAsia="Arial" w:hAnsi="Arial"/>
          <w:sz w:val="19"/>
          <w:szCs w:val="19"/>
          <w:color w:val="auto"/>
        </w:rPr>
        <w:t>the New Development Activities set forth in such New Development Proposal will be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Territory-Specific Development Activities</w:t>
      </w:r>
      <w:r>
        <w:rPr>
          <w:rFonts w:ascii="Arial" w:cs="Arial" w:eastAsia="Arial" w:hAnsi="Arial"/>
          <w:sz w:val="19"/>
          <w:szCs w:val="19"/>
          <w:color w:val="auto"/>
        </w:rPr>
        <w:t>” for purposes of this Agreement, and (ii) the JPT will</w:t>
      </w:r>
      <w:r>
        <w:rPr>
          <w:rFonts w:ascii="Arial" w:cs="Arial" w:eastAsia="Arial" w:hAnsi="Arial"/>
          <w:sz w:val="19"/>
          <w:szCs w:val="19"/>
          <w:b w:val="1"/>
          <w:bCs w:val="1"/>
          <w:color w:val="auto"/>
        </w:rPr>
        <w:t xml:space="preserve"> </w:t>
      </w:r>
      <w:r>
        <w:rPr>
          <w:rFonts w:ascii="Arial" w:cs="Arial" w:eastAsia="Arial" w:hAnsi="Arial"/>
          <w:sz w:val="19"/>
          <w:szCs w:val="19"/>
          <w:color w:val="auto"/>
        </w:rPr>
        <w:t>update the Territory-Specific Development Plan for such Licensed Product to include such New Territory-Specific Development Activities for those regions in the Territory agreed by the JSC, including the proposed timelines, in each case, for such New Development Activities set forth in such New Development Proposal (as may be amended by the JSC upon such approval). Any New Territory-Specific Development Activities included in a Territory-Specific Development Plan pursuant to this Section 5.9.1(a) (JSC Approval) will be Development activities for all purposes under Section 5.5 (Development Diligence).</w:t>
      </w:r>
    </w:p>
    <w:p>
      <w:pPr>
        <w:spacing w:after="0" w:line="180" w:lineRule="exact"/>
        <w:rPr>
          <w:rFonts w:ascii="Arial" w:cs="Arial" w:eastAsia="Arial" w:hAnsi="Arial"/>
          <w:sz w:val="19"/>
          <w:szCs w:val="19"/>
          <w:color w:val="auto"/>
        </w:rPr>
      </w:pPr>
    </w:p>
    <w:p>
      <w:pPr>
        <w:jc w:val="both"/>
        <w:ind w:left="1860" w:hanging="495"/>
        <w:spacing w:after="0" w:line="248" w:lineRule="auto"/>
        <w:tabs>
          <w:tab w:leader="none" w:pos="18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No JSC Approval</w:t>
      </w:r>
      <w:r>
        <w:rPr>
          <w:rFonts w:ascii="Arial" w:cs="Arial" w:eastAsia="Arial" w:hAnsi="Arial"/>
          <w:sz w:val="20"/>
          <w:szCs w:val="20"/>
          <w:color w:val="auto"/>
        </w:rPr>
        <w:t>. If the JSC fails to approve a New Development Proposal, then upon such a</w:t>
      </w:r>
      <w:r>
        <w:rPr>
          <w:rFonts w:ascii="Arial" w:cs="Arial" w:eastAsia="Arial" w:hAnsi="Arial"/>
          <w:sz w:val="20"/>
          <w:szCs w:val="20"/>
          <w:b w:val="1"/>
          <w:bCs w:val="1"/>
          <w:color w:val="auto"/>
        </w:rPr>
        <w:t xml:space="preserve"> </w:t>
      </w:r>
      <w:r>
        <w:rPr>
          <w:rFonts w:ascii="Arial" w:cs="Arial" w:eastAsia="Arial" w:hAnsi="Arial"/>
          <w:sz w:val="20"/>
          <w:szCs w:val="20"/>
          <w:color w:val="auto"/>
        </w:rPr>
        <w:t>failure, the New Development Activities proposed in the New Development Proposal will not be included in any Territory-Specific Development Plan and Zai will not perform any such New Development Activities.</w:t>
      </w:r>
    </w:p>
    <w:p>
      <w:pPr>
        <w:spacing w:after="0" w:line="183"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8"/>
          <w:szCs w:val="18"/>
          <w:b w:val="1"/>
          <w:bCs w:val="1"/>
          <w:color w:val="auto"/>
        </w:rPr>
        <w:t>Standard of Conduct</w:t>
      </w:r>
      <w:r>
        <w:rPr>
          <w:rFonts w:ascii="Arial" w:cs="Arial" w:eastAsia="Arial" w:hAnsi="Arial"/>
          <w:sz w:val="18"/>
          <w:szCs w:val="18"/>
          <w:color w:val="auto"/>
        </w:rPr>
        <w:t>. Each Party will perform, and will cause its Affiliates, sublicensees (or Sublicensees,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and subcontractors (or Subcontractors, as applicable) to perform, all Development activities for the Licensed Products under this Agreement (including under each Territory-Specific Development Plan and each Global Development Plan and any New Territory-Specific Development Activities) in good scientific manner, in a timely, professional manner, and in compliance with the applicable Territory-Specific Development Plan or Global Development Plan, as applicable, in accordance with GLP, cGMP, and GCP, as applicable, and in compliance with Applicable Law and with applicable FDA and EMA requirements to the extent necessary for the submission of data generated from such activities in Regulatory Submissions in the U.S. and the European Union. In addition, each Party will conduct its obligations with respect to any Global Clinical Trial under a Global Development Plan or (with respect to Zai) Territory-Specific Clinical Trial under a Territory-Specific Development Plan (as applicable) in strict adherence with the study design set forth in the applicable protocol therefor and as set forth in such Global Development Plan or such Territory-Specific Development Plan, each as may be amended from time to time, and will comply with each statistical analysis plan implemented by the other Party (as applicable) in connection therewith. Zai will not perform any Development of Blueprint Compounds or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275" w:name="page276"/>
    <w:bookmarkEnd w:id="275"/>
    <w:p>
      <w:pPr>
        <w:ind w:left="640" w:right="20"/>
        <w:spacing w:after="0" w:line="260" w:lineRule="auto"/>
        <w:rPr>
          <w:sz w:val="20"/>
          <w:szCs w:val="20"/>
          <w:color w:val="auto"/>
        </w:rPr>
      </w:pPr>
      <w:r>
        <w:rPr>
          <w:rFonts w:ascii="Arial" w:cs="Arial" w:eastAsia="Arial" w:hAnsi="Arial"/>
          <w:sz w:val="20"/>
          <w:szCs w:val="20"/>
          <w:color w:val="auto"/>
        </w:rPr>
        <w:t>Products except for those activities set forth in a Territory-Specific Development Plan or set forth in, and allocated to Zai under, a Global Development Plan.</w:t>
      </w:r>
    </w:p>
    <w:p>
      <w:pPr>
        <w:spacing w:after="0" w:line="171"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8"/>
          <w:szCs w:val="18"/>
          <w:b w:val="1"/>
          <w:bCs w:val="1"/>
          <w:color w:val="auto"/>
        </w:rPr>
        <w:t>New Development Proposed by Blueprint</w:t>
      </w:r>
      <w:r>
        <w:rPr>
          <w:rFonts w:ascii="Arial" w:cs="Arial" w:eastAsia="Arial" w:hAnsi="Arial"/>
          <w:sz w:val="18"/>
          <w:szCs w:val="18"/>
          <w:color w:val="auto"/>
        </w:rPr>
        <w:t>. At anytime during the Term, Blueprint may propose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Committed Trials in addition to those identified on </w:t>
      </w:r>
      <w:r>
        <w:rPr>
          <w:rFonts w:ascii="Arial" w:cs="Arial" w:eastAsia="Arial" w:hAnsi="Arial"/>
          <w:sz w:val="18"/>
          <w:szCs w:val="18"/>
          <w:b w:val="1"/>
          <w:bCs w:val="1"/>
          <w:color w:val="auto"/>
        </w:rPr>
        <w:t>Schedule 1.60</w:t>
      </w:r>
      <w:r>
        <w:rPr>
          <w:rFonts w:ascii="Arial" w:cs="Arial" w:eastAsia="Arial" w:hAnsi="Arial"/>
          <w:sz w:val="18"/>
          <w:szCs w:val="18"/>
          <w:color w:val="auto"/>
        </w:rPr>
        <w:t xml:space="preserve"> (Committed Trials) by adding additional Global Clinical Trials for Licensed Products in New Indications or as new Combination Products or Combination Regimens (beyond the Indications, Combination Products, and Combination Regimens contemplated by the then-current Committed Trials) to the Global Development Plan in accordance with Section 5.1 (Global Development Plan).</w:t>
      </w:r>
    </w:p>
    <w:p>
      <w:pPr>
        <w:spacing w:after="0" w:line="156" w:lineRule="exact"/>
        <w:rPr>
          <w:sz w:val="20"/>
          <w:szCs w:val="20"/>
          <w:color w:val="auto"/>
        </w:rPr>
      </w:pPr>
    </w:p>
    <w:p>
      <w:pPr>
        <w:jc w:val="both"/>
        <w:ind w:left="1360" w:hanging="647"/>
        <w:spacing w:after="0" w:line="245" w:lineRule="auto"/>
        <w:tabs>
          <w:tab w:leader="none" w:pos="1340" w:val="left"/>
        </w:tabs>
        <w:rPr>
          <w:sz w:val="20"/>
          <w:szCs w:val="20"/>
          <w:color w:val="auto"/>
        </w:rPr>
      </w:pPr>
      <w:r>
        <w:rPr>
          <w:rFonts w:ascii="Arial" w:cs="Arial" w:eastAsia="Arial" w:hAnsi="Arial"/>
          <w:sz w:val="20"/>
          <w:szCs w:val="20"/>
          <w:color w:val="auto"/>
        </w:rPr>
        <w:t>5.11.1</w:t>
      </w:r>
      <w:r>
        <w:rPr>
          <w:sz w:val="20"/>
          <w:szCs w:val="20"/>
          <w:color w:val="auto"/>
        </w:rPr>
        <w:tab/>
      </w:r>
      <w:r>
        <w:rPr>
          <w:rFonts w:ascii="Arial" w:cs="Arial" w:eastAsia="Arial" w:hAnsi="Arial"/>
          <w:sz w:val="20"/>
          <w:szCs w:val="20"/>
          <w:b w:val="1"/>
          <w:bCs w:val="1"/>
          <w:color w:val="auto"/>
        </w:rPr>
        <w:t>Zai Election Not to Sponsor</w:t>
      </w:r>
      <w:r>
        <w:rPr>
          <w:rFonts w:ascii="Arial" w:cs="Arial" w:eastAsia="Arial" w:hAnsi="Arial"/>
          <w:sz w:val="20"/>
          <w:szCs w:val="20"/>
          <w:color w:val="auto"/>
        </w:rPr>
        <w:t>. If the JSC does not approve the allocation of responsibility to Zai to serve as</w:t>
      </w:r>
      <w:r>
        <w:rPr>
          <w:rFonts w:ascii="Arial" w:cs="Arial" w:eastAsia="Arial" w:hAnsi="Arial"/>
          <w:sz w:val="20"/>
          <w:szCs w:val="20"/>
          <w:b w:val="1"/>
          <w:bCs w:val="1"/>
          <w:color w:val="auto"/>
        </w:rPr>
        <w:t xml:space="preserve"> </w:t>
      </w:r>
      <w:r>
        <w:rPr>
          <w:rFonts w:ascii="Arial" w:cs="Arial" w:eastAsia="Arial" w:hAnsi="Arial"/>
          <w:sz w:val="20"/>
          <w:szCs w:val="20"/>
          <w:color w:val="auto"/>
        </w:rPr>
        <w:t>the Territory Sponsor or regulatory agent in the Territory for, or to otherwise implement in the Territory, such additional Global Clinical Trials added to the Global Development Plan by Blueprint for a Licensed Product for any New Indication or new Combination Product or Combination Regimen (beyond the Indications, Combination Products, and Combination Regimens contemplated by the then-current Committed Trials), then:</w:t>
      </w:r>
    </w:p>
    <w:p>
      <w:pPr>
        <w:spacing w:after="0" w:line="184" w:lineRule="exact"/>
        <w:rPr>
          <w:sz w:val="20"/>
          <w:szCs w:val="20"/>
          <w:color w:val="auto"/>
        </w:rPr>
      </w:pPr>
    </w:p>
    <w:p>
      <w:pPr>
        <w:jc w:val="both"/>
        <w:ind w:left="1860" w:hanging="495"/>
        <w:spacing w:after="0" w:line="253" w:lineRule="auto"/>
        <w:tabs>
          <w:tab w:leader="none" w:pos="1860"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Not A Committed Trial</w:t>
      </w:r>
      <w:r>
        <w:rPr>
          <w:rFonts w:ascii="Arial" w:cs="Arial" w:eastAsia="Arial" w:hAnsi="Arial"/>
          <w:sz w:val="20"/>
          <w:szCs w:val="20"/>
          <w:color w:val="auto"/>
        </w:rPr>
        <w:t>. The proposed Global Clinical Trial will not be considered a Committed</w:t>
      </w:r>
      <w:r>
        <w:rPr>
          <w:rFonts w:ascii="Arial" w:cs="Arial" w:eastAsia="Arial" w:hAnsi="Arial"/>
          <w:sz w:val="20"/>
          <w:szCs w:val="20"/>
          <w:b w:val="1"/>
          <w:bCs w:val="1"/>
          <w:color w:val="auto"/>
        </w:rPr>
        <w:t xml:space="preserve"> </w:t>
      </w:r>
      <w:r>
        <w:rPr>
          <w:rFonts w:ascii="Arial" w:cs="Arial" w:eastAsia="Arial" w:hAnsi="Arial"/>
          <w:sz w:val="20"/>
          <w:szCs w:val="20"/>
          <w:color w:val="auto"/>
        </w:rPr>
        <w:t>Trial under this Agreement and Zai will not be obligated to implement such Global Clinical Trials in the Territory;</w:t>
      </w:r>
    </w:p>
    <w:p>
      <w:pPr>
        <w:spacing w:after="0" w:line="177" w:lineRule="exact"/>
        <w:rPr>
          <w:rFonts w:ascii="Arial" w:cs="Arial" w:eastAsia="Arial" w:hAnsi="Arial"/>
          <w:sz w:val="20"/>
          <w:szCs w:val="20"/>
          <w:color w:val="auto"/>
        </w:rPr>
      </w:pPr>
    </w:p>
    <w:p>
      <w:pPr>
        <w:jc w:val="both"/>
        <w:ind w:left="1860" w:hanging="495"/>
        <w:spacing w:after="0" w:line="285" w:lineRule="auto"/>
        <w:tabs>
          <w:tab w:leader="none" w:pos="18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Right to Develop</w:t>
      </w:r>
      <w:r>
        <w:rPr>
          <w:rFonts w:ascii="Arial" w:cs="Arial" w:eastAsia="Arial" w:hAnsi="Arial"/>
          <w:sz w:val="18"/>
          <w:szCs w:val="18"/>
          <w:color w:val="auto"/>
        </w:rPr>
        <w:t>. Notwithstanding any provision to the contrary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terms of Section 2.1 (License Grant to Zai)), Blueprint will have the right to implement such Global Clinical Trials for such Licensed Product for such New Indication or for such new Combination Product or Combination Regimen globally (including in the Territory) [****]; and</w:t>
      </w:r>
    </w:p>
    <w:p>
      <w:pPr>
        <w:spacing w:after="0" w:line="150" w:lineRule="exact"/>
        <w:rPr>
          <w:rFonts w:ascii="Arial" w:cs="Arial" w:eastAsia="Arial" w:hAnsi="Arial"/>
          <w:sz w:val="18"/>
          <w:szCs w:val="18"/>
          <w:color w:val="auto"/>
        </w:rPr>
      </w:pPr>
    </w:p>
    <w:p>
      <w:pPr>
        <w:ind w:left="1860" w:hanging="495"/>
        <w:spacing w:after="0" w:line="267" w:lineRule="auto"/>
        <w:tabs>
          <w:tab w:leader="none" w:pos="1860"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Zai Assistance</w:t>
      </w:r>
      <w:r>
        <w:rPr>
          <w:rFonts w:ascii="Arial" w:cs="Arial" w:eastAsia="Arial" w:hAnsi="Arial"/>
          <w:sz w:val="20"/>
          <w:szCs w:val="20"/>
          <w:color w:val="auto"/>
        </w:rPr>
        <w:t>. Zai will provide reasonable assistance to Blueprint to recruit and enroll patients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Territory for such Global Clinical Trials [****].</w:t>
      </w:r>
    </w:p>
    <w:p>
      <w:pPr>
        <w:spacing w:after="0" w:line="163" w:lineRule="exact"/>
        <w:rPr>
          <w:sz w:val="20"/>
          <w:szCs w:val="20"/>
          <w:color w:val="auto"/>
        </w:rPr>
      </w:pPr>
    </w:p>
    <w:p>
      <w:pPr>
        <w:jc w:val="both"/>
        <w:ind w:left="1360" w:hanging="647"/>
        <w:spacing w:after="0" w:line="271" w:lineRule="auto"/>
        <w:tabs>
          <w:tab w:leader="none" w:pos="1340" w:val="left"/>
        </w:tabs>
        <w:rPr>
          <w:sz w:val="20"/>
          <w:szCs w:val="20"/>
          <w:color w:val="auto"/>
        </w:rPr>
      </w:pPr>
      <w:r>
        <w:rPr>
          <w:rFonts w:ascii="Arial" w:cs="Arial" w:eastAsia="Arial" w:hAnsi="Arial"/>
          <w:sz w:val="20"/>
          <w:szCs w:val="20"/>
          <w:color w:val="auto"/>
        </w:rPr>
        <w:t>5.11.2</w:t>
      </w:r>
      <w:r>
        <w:rPr>
          <w:sz w:val="20"/>
          <w:szCs w:val="20"/>
          <w:color w:val="auto"/>
        </w:rPr>
        <w:tab/>
      </w:r>
      <w:r>
        <w:rPr>
          <w:rFonts w:ascii="Arial" w:cs="Arial" w:eastAsia="Arial" w:hAnsi="Arial"/>
          <w:sz w:val="18"/>
          <w:szCs w:val="18"/>
          <w:b w:val="1"/>
          <w:bCs w:val="1"/>
          <w:color w:val="auto"/>
        </w:rPr>
        <w:t>Patient Commitment for Data Access</w:t>
      </w:r>
      <w:r>
        <w:rPr>
          <w:rFonts w:ascii="Arial" w:cs="Arial" w:eastAsia="Arial" w:hAnsi="Arial"/>
          <w:sz w:val="18"/>
          <w:szCs w:val="18"/>
          <w:color w:val="auto"/>
        </w:rPr>
        <w:t>. If Zai wishes to be granted rights with respect to any data or</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generated in such Global Clinical Trials for such Licensed Product for such New Indication or for such new Combination Product or Combination Regimen added to the Global Development Plan by Blueprint (beyond the Indications, Combination Products, and Combination Regimens contemplated by the then-current Committed Trials), including pursuant to Section 4.3 (Continuing Know-How Transfer), Section 5.17 (Data Exchange and Use) or Section 6.4 (Right of Reference), then: (a) each Global Clinical Trial for such Licensed Product for such New Indication or such new Combination Product or Combination Regimen will be considered a Committed Trial for all purposes under this Agreement, (b) Zai will be obligated to satisfy the Patient Commitment with respect to all Global Clinical Trials for such Licensed Product for such New Indication or such new Combination Product or Combination Regimen, and (c) the terms of Section 5.2 (Enrollment in Global Clinical Trials) will apply to all Global Clinical Trials for such Licensed Product for such New Indication or for such new Combination Product or Combination Regimen.</w:t>
      </w:r>
    </w:p>
    <w:p>
      <w:pPr>
        <w:spacing w:after="0" w:line="165"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5.12</w:t>
        <w:tab/>
        <w:t>Development of Co-Formulated Products</w:t>
      </w:r>
      <w:r>
        <w:rPr>
          <w:rFonts w:ascii="Arial" w:cs="Arial" w:eastAsia="Arial" w:hAnsi="Arial"/>
          <w:sz w:val="20"/>
          <w:szCs w:val="20"/>
          <w:color w:val="auto"/>
        </w:rPr>
        <w:t>. Unless otherwise agreed by the Parties, in the course of performing</w:t>
      </w:r>
      <w:r>
        <w:rPr>
          <w:rFonts w:ascii="Arial" w:cs="Arial" w:eastAsia="Arial" w:hAnsi="Arial"/>
          <w:sz w:val="20"/>
          <w:szCs w:val="20"/>
          <w:b w:val="1"/>
          <w:bCs w:val="1"/>
          <w:color w:val="auto"/>
        </w:rPr>
        <w:t xml:space="preserve"> </w:t>
      </w:r>
      <w:r>
        <w:rPr>
          <w:rFonts w:ascii="Arial" w:cs="Arial" w:eastAsia="Arial" w:hAnsi="Arial"/>
          <w:sz w:val="20"/>
          <w:szCs w:val="20"/>
          <w:color w:val="auto"/>
        </w:rPr>
        <w:t>their obligations and exercising their rights under this Agreement, neither Party will (independently or for or with any Third Party) Develop any co-formulated pharmaceutical or biologic product that includes a Blueprint Compound together with any Zai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76" w:name="page277"/>
    <w:bookmarkEnd w:id="276"/>
    <w:p>
      <w:pPr>
        <w:spacing w:after="0"/>
        <w:tabs>
          <w:tab w:leader="none" w:pos="640"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6"/>
          <w:szCs w:val="16"/>
          <w:b w:val="1"/>
          <w:bCs w:val="1"/>
          <w:color w:val="auto"/>
        </w:rPr>
        <w:t>Responsibility for Development Costs</w:t>
      </w:r>
      <w:r>
        <w:rPr>
          <w:rFonts w:ascii="Arial" w:cs="Arial" w:eastAsia="Arial" w:hAnsi="Arial"/>
          <w:sz w:val="16"/>
          <w:szCs w:val="16"/>
          <w:color w:val="auto"/>
        </w:rPr>
        <w:t>.</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5.13.1  </w:t>
      </w:r>
      <w:r>
        <w:rPr>
          <w:rFonts w:ascii="Arial" w:cs="Arial" w:eastAsia="Arial" w:hAnsi="Arial"/>
          <w:sz w:val="20"/>
          <w:szCs w:val="20"/>
          <w:b w:val="1"/>
          <w:bCs w:val="1"/>
          <w:color w:val="auto"/>
        </w:rPr>
        <w:t>Territory-Specific Development Costs</w:t>
      </w:r>
      <w:r>
        <w:rPr>
          <w:rFonts w:ascii="Arial" w:cs="Arial" w:eastAsia="Arial" w:hAnsi="Arial"/>
          <w:sz w:val="20"/>
          <w:szCs w:val="20"/>
          <w:color w:val="auto"/>
        </w:rPr>
        <w:t>. Except as otherwise set forth in this Agreement, [****].</w:t>
      </w:r>
    </w:p>
    <w:p>
      <w:pPr>
        <w:spacing w:after="0" w:line="216"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19"/>
          <w:szCs w:val="19"/>
          <w:color w:val="auto"/>
        </w:rPr>
        <w:t xml:space="preserve">5.13.2 </w:t>
      </w:r>
      <w:r>
        <w:rPr>
          <w:rFonts w:ascii="Arial" w:cs="Arial" w:eastAsia="Arial" w:hAnsi="Arial"/>
          <w:sz w:val="19"/>
          <w:szCs w:val="19"/>
          <w:b w:val="1"/>
          <w:bCs w:val="1"/>
          <w:color w:val="auto"/>
        </w:rPr>
        <w:t>Global Development Costs</w:t>
      </w:r>
      <w:r>
        <w:rPr>
          <w:rFonts w:ascii="Arial" w:cs="Arial" w:eastAsia="Arial" w:hAnsi="Arial"/>
          <w:sz w:val="19"/>
          <w:szCs w:val="19"/>
          <w:color w:val="auto"/>
        </w:rPr>
        <w:t>. Except as otherwise set forth in this Agreement, and otherwise subject to Section 5.1 (Global Development Plan), Zai will be responsible for and will pay (a) all Third Party out-of-pocket costs [****] (b) all other costs and expenses [****], (c) costs of [****], and (d) the internal costs (at the FTE Rate) of Blueprint personnel incurred [****]. Blueprint will invoice Zai quarterly for the foregoing costs incurred by or on behalf of Blueprint in such Calendar Quarter, and Zai will pay the undisputed invoiced amounts within [****] after the date of any such invoice.</w:t>
      </w:r>
    </w:p>
    <w:p>
      <w:pPr>
        <w:spacing w:after="0" w:line="173" w:lineRule="exact"/>
        <w:rPr>
          <w:sz w:val="20"/>
          <w:szCs w:val="20"/>
          <w:color w:val="auto"/>
        </w:rPr>
      </w:pPr>
    </w:p>
    <w:p>
      <w:pPr>
        <w:jc w:val="both"/>
        <w:ind w:left="1380" w:hanging="647"/>
        <w:spacing w:after="0" w:line="243" w:lineRule="auto"/>
        <w:rPr>
          <w:sz w:val="20"/>
          <w:szCs w:val="20"/>
          <w:color w:val="auto"/>
        </w:rPr>
      </w:pPr>
      <w:r>
        <w:rPr>
          <w:rFonts w:ascii="Arial" w:cs="Arial" w:eastAsia="Arial" w:hAnsi="Arial"/>
          <w:sz w:val="20"/>
          <w:szCs w:val="20"/>
          <w:color w:val="auto"/>
        </w:rPr>
        <w:t xml:space="preserve">5.13.3 </w:t>
      </w:r>
      <w:r>
        <w:rPr>
          <w:rFonts w:ascii="Arial" w:cs="Arial" w:eastAsia="Arial" w:hAnsi="Arial"/>
          <w:sz w:val="20"/>
          <w:szCs w:val="20"/>
          <w:b w:val="1"/>
          <w:bCs w:val="1"/>
          <w:color w:val="auto"/>
        </w:rPr>
        <w:t>Shared Services</w:t>
      </w:r>
      <w:r>
        <w:rPr>
          <w:rFonts w:ascii="Arial" w:cs="Arial" w:eastAsia="Arial" w:hAnsi="Arial"/>
          <w:sz w:val="20"/>
          <w:szCs w:val="20"/>
          <w:color w:val="auto"/>
        </w:rPr>
        <w:t>. Zai will be responsible for and will pay [****] of the Shared Services Costs incurred by Blueprint in connection with any Committed Trials. Blueprint will invoice Zai quarterly for the foregoing costs incurred by or on behalf of Blueprint in each Calendar Quarter, and Zai will pay the undisputed invoiced amounts within [****] after the date of any such invoice. Blueprint will be responsible for and will pay [****] of the Shared Services Costs incurred by Zai in the performance of any Committed Trials, if any. Zai will invoice Blueprint quarterly for the foregoing costs incurred by or on behalf of Zai in each Calendar Quarter, and Blueprint will pay the undisputed invoiced amounts within [****] after the date of any such invoice.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Clinical Trial Audit Rights</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55" w:lineRule="auto"/>
        <w:rPr>
          <w:sz w:val="20"/>
          <w:szCs w:val="20"/>
          <w:color w:val="auto"/>
        </w:rPr>
      </w:pPr>
      <w:r>
        <w:rPr>
          <w:rFonts w:ascii="Arial" w:cs="Arial" w:eastAsia="Arial" w:hAnsi="Arial"/>
          <w:sz w:val="20"/>
          <w:szCs w:val="20"/>
          <w:color w:val="auto"/>
        </w:rPr>
        <w:t xml:space="preserve">5.14.1 </w:t>
      </w:r>
      <w:r>
        <w:rPr>
          <w:rFonts w:ascii="Arial" w:cs="Arial" w:eastAsia="Arial" w:hAnsi="Arial"/>
          <w:sz w:val="20"/>
          <w:szCs w:val="20"/>
          <w:b w:val="1"/>
          <w:bCs w:val="1"/>
          <w:color w:val="auto"/>
        </w:rPr>
        <w:t>Conduct of Audits</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Upon reasonable notification by Blueprint [****], Blueprint or its representatives may conduct an audit of Zai, its Affiliates, or any Sublicensees, Subcontractors, and all Clinical Trial sites engaged by Zai or its Affiliates or Sublicensees to perform Zai’s obligations under any Global Development Plan or Territory-Specific Development Plan, in each case, to ensure that the applicable Global Clinical Trials and Territory-Specific Clinical Trials are conducted in compliance with the applicable Global Development Plan or Territory-Specific Development Plan, GCP, and Applicable Law and meet Blueprint’s global Clinical Trial standards provided by Blueprint from time to time during the Term. [****] Blueprint will provide Zai with a written summary of Blueprint’s findings of any deficiencies or other areas of remediation that Blueprint identifies during any such audit. Zai will use Commercially Reasonable Efforts to remediate any such deficiencies within [****] following Zai’s receipt of such report[****]. Without limiting the foregoing, Zai will have the right to be present at any such audit conducted by Blueprint pursuant to this Section 5.14.1 (Conduct of Audits) of any Sublicensees, Subcontractors, or Clinical Trial sites.</w:t>
      </w:r>
    </w:p>
    <w:p>
      <w:pPr>
        <w:spacing w:after="0" w:line="182" w:lineRule="exact"/>
        <w:rPr>
          <w:sz w:val="20"/>
          <w:szCs w:val="20"/>
          <w:color w:val="auto"/>
        </w:rPr>
      </w:pPr>
    </w:p>
    <w:p>
      <w:pPr>
        <w:jc w:val="both"/>
        <w:ind w:left="1380" w:hanging="647"/>
        <w:spacing w:after="0" w:line="257" w:lineRule="auto"/>
        <w:rPr>
          <w:sz w:val="20"/>
          <w:szCs w:val="20"/>
          <w:color w:val="auto"/>
        </w:rPr>
      </w:pPr>
      <w:r>
        <w:rPr>
          <w:rFonts w:ascii="Arial" w:cs="Arial" w:eastAsia="Arial" w:hAnsi="Arial"/>
          <w:sz w:val="19"/>
          <w:szCs w:val="19"/>
          <w:color w:val="auto"/>
        </w:rPr>
        <w:t xml:space="preserve">5.14.2 </w:t>
      </w:r>
      <w:r>
        <w:rPr>
          <w:rFonts w:ascii="Arial" w:cs="Arial" w:eastAsia="Arial" w:hAnsi="Arial"/>
          <w:sz w:val="19"/>
          <w:szCs w:val="19"/>
          <w:b w:val="1"/>
          <w:bCs w:val="1"/>
          <w:color w:val="auto"/>
        </w:rPr>
        <w:t>Deficient Sites and Replacement</w:t>
      </w:r>
      <w:r>
        <w:rPr>
          <w:rFonts w:ascii="Arial" w:cs="Arial" w:eastAsia="Arial" w:hAnsi="Arial"/>
          <w:sz w:val="19"/>
          <w:szCs w:val="19"/>
          <w:color w:val="auto"/>
        </w:rPr>
        <w:t>. With respect to any Global Clinical Trial or Territory-Specific Clinical Trial, if either Party reasonably determines that any deficiencies with respect to a Clinical Trial site identified pursuant to Section 5.14.1 (Conduct of Audits) (each, a “</w:t>
      </w:r>
      <w:r>
        <w:rPr>
          <w:rFonts w:ascii="Arial" w:cs="Arial" w:eastAsia="Arial" w:hAnsi="Arial"/>
          <w:sz w:val="19"/>
          <w:szCs w:val="19"/>
          <w:b w:val="1"/>
          <w:bCs w:val="1"/>
          <w:color w:val="auto"/>
        </w:rPr>
        <w:t>Deficient Site</w:t>
      </w:r>
      <w:r>
        <w:rPr>
          <w:rFonts w:ascii="Arial" w:cs="Arial" w:eastAsia="Arial" w:hAnsi="Arial"/>
          <w:sz w:val="19"/>
          <w:szCs w:val="19"/>
          <w:color w:val="auto"/>
        </w:rPr>
        <w:t>”) may cause a Regulatory Authority to reject or otherwise deem deficient the Clinical Trial data from the conduct of any such Global Clinical Trial or Territory-Specific Clinical Trial (as applicable) at such Deficient Site, then such Party will notify the other Party of such Deficient Site and the Parties will discuss and attempt to agree upon a remediation plan for such Deficient Site. If the Parties cannot agree to such a remediation plan for a Deficient Site that is participating in a Global Clinical Trial, then Zai will promptly remove such Deficient Site from the applicable Global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77" w:name="page278"/>
    <w:bookmarkEnd w:id="277"/>
    <w:p>
      <w:pPr>
        <w:jc w:val="both"/>
        <w:ind w:left="1380"/>
        <w:spacing w:after="0" w:line="246" w:lineRule="auto"/>
        <w:rPr>
          <w:sz w:val="20"/>
          <w:szCs w:val="20"/>
          <w:color w:val="auto"/>
        </w:rPr>
      </w:pPr>
      <w:r>
        <w:rPr>
          <w:rFonts w:ascii="Arial" w:cs="Arial" w:eastAsia="Arial" w:hAnsi="Arial"/>
          <w:sz w:val="20"/>
          <w:szCs w:val="20"/>
          <w:color w:val="auto"/>
        </w:rPr>
        <w:t>Trial or Territory-Specific Clinical Trial and replace such Deficient Site with a new Clinical Trial site (a “</w:t>
      </w:r>
      <w:r>
        <w:rPr>
          <w:rFonts w:ascii="Arial" w:cs="Arial" w:eastAsia="Arial" w:hAnsi="Arial"/>
          <w:sz w:val="20"/>
          <w:szCs w:val="20"/>
          <w:b w:val="1"/>
          <w:bCs w:val="1"/>
          <w:color w:val="auto"/>
        </w:rPr>
        <w:t>Replacement Site</w:t>
      </w:r>
      <w:r>
        <w:rPr>
          <w:rFonts w:ascii="Arial" w:cs="Arial" w:eastAsia="Arial" w:hAnsi="Arial"/>
          <w:sz w:val="20"/>
          <w:szCs w:val="20"/>
          <w:color w:val="auto"/>
        </w:rPr>
        <w:t>”) within the Territory[****] (unless not permitted by Applicable Law or for ethical reasons). Any such Replacement Site will be compliant in all respects with Applicable Law and Blueprint’s global Clinical Trial standards.</w:t>
      </w:r>
    </w:p>
    <w:p>
      <w:pPr>
        <w:spacing w:after="0" w:line="185" w:lineRule="exact"/>
        <w:rPr>
          <w:sz w:val="20"/>
          <w:szCs w:val="20"/>
          <w:color w:val="auto"/>
        </w:rPr>
      </w:pPr>
    </w:p>
    <w:p>
      <w:pPr>
        <w:jc w:val="both"/>
        <w:ind w:left="1380" w:hanging="647"/>
        <w:spacing w:after="0" w:line="242" w:lineRule="auto"/>
        <w:rPr>
          <w:sz w:val="20"/>
          <w:szCs w:val="20"/>
          <w:color w:val="auto"/>
        </w:rPr>
      </w:pPr>
      <w:r>
        <w:rPr>
          <w:rFonts w:ascii="Arial" w:cs="Arial" w:eastAsia="Arial" w:hAnsi="Arial"/>
          <w:sz w:val="20"/>
          <w:szCs w:val="20"/>
          <w:color w:val="auto"/>
        </w:rPr>
        <w:t xml:space="preserve">5.14.3 </w:t>
      </w:r>
      <w:r>
        <w:rPr>
          <w:rFonts w:ascii="Arial" w:cs="Arial" w:eastAsia="Arial" w:hAnsi="Arial"/>
          <w:sz w:val="20"/>
          <w:szCs w:val="20"/>
          <w:b w:val="1"/>
          <w:bCs w:val="1"/>
          <w:color w:val="auto"/>
        </w:rPr>
        <w:t>Zai Audits</w:t>
      </w:r>
      <w:r>
        <w:rPr>
          <w:rFonts w:ascii="Arial" w:cs="Arial" w:eastAsia="Arial" w:hAnsi="Arial"/>
          <w:sz w:val="20"/>
          <w:szCs w:val="20"/>
          <w:color w:val="auto"/>
        </w:rPr>
        <w:t>. Zai will provide Blueprint with copies of all quality oversight or audit reports prepared in connection with any audit that Zai or its Affiliates or Sublicensees conduct of any Sublicensee, Subcontractor, or Clinical Trial site that Zai or its Affiliates or Sublicensees have engaged or are evaluating to potentially engage to fulfill Zai’s obligations under a Global Development Plan or a Territory-Specific Development Plan no later than [****] after receiving or preparing any such report (as applicable), including English translations thereof. If Blueprint believes in good faith that any such quality oversight or audit report may be necessary in connection with obtaining, supporting, or maintaining one or more Regulatory Approvals for a Licensed Product or for other communications with Regulatory Authorities outside of the Territory, then upon Blueprint’s request, Zai will provide a certified translation thereof [****].</w:t>
      </w:r>
    </w:p>
    <w:p>
      <w:pPr>
        <w:spacing w:after="0" w:line="19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b w:val="1"/>
          <w:bCs w:val="1"/>
          <w:color w:val="auto"/>
        </w:rPr>
        <w:t>5.15</w:t>
      </w:r>
      <w:r>
        <w:rPr>
          <w:sz w:val="20"/>
          <w:szCs w:val="20"/>
          <w:color w:val="auto"/>
        </w:rPr>
        <w:tab/>
      </w:r>
      <w:r>
        <w:rPr>
          <w:rFonts w:ascii="Arial" w:cs="Arial" w:eastAsia="Arial" w:hAnsi="Arial"/>
          <w:sz w:val="18"/>
          <w:szCs w:val="18"/>
          <w:b w:val="1"/>
          <w:bCs w:val="1"/>
          <w:color w:val="auto"/>
        </w:rPr>
        <w:t>Development Records</w:t>
      </w:r>
      <w:r>
        <w:rPr>
          <w:rFonts w:ascii="Arial" w:cs="Arial" w:eastAsia="Arial" w:hAnsi="Arial"/>
          <w:sz w:val="18"/>
          <w:szCs w:val="18"/>
          <w:color w:val="auto"/>
        </w:rPr>
        <w:t>. Zai will, and will cause its Affiliates, Sublicensees, and Subcontractors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complete, current, and accurate records of all Development activities conducted by or on behalf of Zai, and its Affiliates, Sublicensees, and Subcontractors, respectively, pursuant to this Agreement and all data and other information resulting from such activities consistent with its usual practices, in validated computer systems that are compliant with 21 C.F.R. §11 and in accordance with Applicable Law of both the United States and the Territory. [****] Zai will maintain all such records relating to the Development of Licensed Products for a period of [****]. Such records will fully and properly reflect all work done and results achieved in the performance of the Development activities for the Licensed Products in good scientific manner appropriate for regulatory and patent purposes. Zai will document all Non-Clinical Development and Clinical Trials in formal written study reports in accordance with GLP, cGMP, and GCP, as applicable, and in compliance with Applicable Law. Upon Blueprint’s reasonable request, not more frequently than [****] during which Zai or its Affiliates, Sublicensees, or Subcontractors are performing or having performed Development activities for any Licensed Product, Zai will, and will cause its Affiliates, Sublicensees, and Subcontractors to, allow Blueprint to access, review, and copy such records (including access to relevant databases). Blueprint will have the right to use the data and results generated by or on behalf of Zai and its Affiliates, Sublicensees, and Subcontractors hereunder to Exploit the Blueprint Compounds and Licensed Products outside of the Territory and to perform Development activities under a Global Development Plan that are allocated to Blueprint thereunder. Each Party will ensure that all records or other documents that it transmits to the other Party electronically under this Agreement are transmitted over secure systems that include adequate encryption safeguards to prevent unauthorized access and maintain data security.</w:t>
      </w:r>
    </w:p>
    <w:p>
      <w:pPr>
        <w:spacing w:after="0" w:line="16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5.16</w:t>
      </w:r>
      <w:r>
        <w:rPr>
          <w:sz w:val="20"/>
          <w:szCs w:val="20"/>
          <w:color w:val="auto"/>
        </w:rPr>
        <w:tab/>
      </w:r>
      <w:r>
        <w:rPr>
          <w:rFonts w:ascii="Arial" w:cs="Arial" w:eastAsia="Arial" w:hAnsi="Arial"/>
          <w:sz w:val="19"/>
          <w:szCs w:val="19"/>
          <w:b w:val="1"/>
          <w:bCs w:val="1"/>
          <w:color w:val="auto"/>
        </w:rPr>
        <w:t>Development Reports</w:t>
      </w:r>
      <w:r>
        <w:rPr>
          <w:rFonts w:ascii="Arial" w:cs="Arial" w:eastAsia="Arial" w:hAnsi="Arial"/>
          <w:sz w:val="19"/>
          <w:szCs w:val="19"/>
          <w:color w:val="auto"/>
        </w:rPr>
        <w:t>. No later than [****] during which Zai is performing, or having performed,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for any Licensed Product, Zai will provide Blueprint[****] with [****] written reports [****] the Development activities performed during the period since the preceding report, the Development activities in process, and the future activities that Zai or its Sublicensees or Subcontractors expect to initiate, including a summary of the data, timelines, and results of such Development activities. Such reports will be in English. Zai will also establish a secure link that includes adequate encryption safeguards to provide Blueprint with electronic access to, and secure file transfer of, such information. Without limiting the foregoing, such reports will contain sufficient detail to enable Blueprint to assess Zai’s compliance with its Development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8" w:name="page279"/>
    <w:bookmarkEnd w:id="278"/>
    <w:p>
      <w:pPr>
        <w:jc w:val="both"/>
        <w:ind w:left="640"/>
        <w:spacing w:after="0" w:line="260" w:lineRule="auto"/>
        <w:rPr>
          <w:sz w:val="20"/>
          <w:szCs w:val="20"/>
          <w:color w:val="auto"/>
        </w:rPr>
      </w:pPr>
      <w:r>
        <w:rPr>
          <w:rFonts w:ascii="Arial" w:cs="Arial" w:eastAsia="Arial" w:hAnsi="Arial"/>
          <w:sz w:val="19"/>
          <w:szCs w:val="19"/>
          <w:color w:val="auto"/>
        </w:rPr>
        <w:t>obligations set forth in Section 5.5 (Development Diligence). Zai will [****] respond to Blueprint’s [****] requests from time to time for additional information regarding significant Development activities for any Licensed Product performed by or on behalf of Zai or its Affiliates, Sublicensees, or Subcontractors. The Parties will discuss the status, progress, and results of all Development activities at each JSC meeting. Such reports will be the Confidential Information of Zai and subject to the terms of Article 11 (Confidentiality; Publication).</w:t>
      </w:r>
    </w:p>
    <w:p>
      <w:pPr>
        <w:spacing w:after="0" w:line="174"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5.17</w:t>
      </w:r>
      <w:r>
        <w:rPr>
          <w:sz w:val="20"/>
          <w:szCs w:val="20"/>
          <w:color w:val="auto"/>
        </w:rPr>
        <w:tab/>
      </w:r>
      <w:r>
        <w:rPr>
          <w:rFonts w:ascii="Arial" w:cs="Arial" w:eastAsia="Arial" w:hAnsi="Arial"/>
          <w:sz w:val="18"/>
          <w:szCs w:val="18"/>
          <w:b w:val="1"/>
          <w:bCs w:val="1"/>
          <w:color w:val="auto"/>
        </w:rPr>
        <w:t>Data Exchange and Use</w:t>
      </w:r>
      <w:r>
        <w:rPr>
          <w:rFonts w:ascii="Arial" w:cs="Arial" w:eastAsia="Arial" w:hAnsi="Arial"/>
          <w:sz w:val="18"/>
          <w:szCs w:val="18"/>
          <w:color w:val="auto"/>
        </w:rPr>
        <w:t>. Subject to Section 5.2.4 (Data Access Criteria) and Section 5.8.1(a) (JSC Approval),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its adverse event and safety data reporting obligations set forth in Section 6.5 (Adverse Events Reporting), each Party will [****] provide the other Party with copies of all data and results and all supporting documentation (</w:t>
      </w:r>
      <w:r>
        <w:rPr>
          <w:rFonts w:ascii="Arial" w:cs="Arial" w:eastAsia="Arial" w:hAnsi="Arial"/>
          <w:sz w:val="18"/>
          <w:szCs w:val="18"/>
          <w:i w:val="1"/>
          <w:iCs w:val="1"/>
          <w:color w:val="auto"/>
        </w:rPr>
        <w:t>e.g.</w:t>
      </w:r>
      <w:r>
        <w:rPr>
          <w:rFonts w:ascii="Arial" w:cs="Arial" w:eastAsia="Arial" w:hAnsi="Arial"/>
          <w:sz w:val="18"/>
          <w:szCs w:val="18"/>
          <w:color w:val="auto"/>
        </w:rPr>
        <w:t xml:space="preserve">, protocols, investigator’s brochures, case report forms, and analysis plans) Controlled by such Party that are generated by or on behalf of such Party or its Affiliates, Sublicensees, or Subcontractors, if applicable, in the Development of each Licensed Product or any Companion Diagnostic, </w:t>
      </w:r>
      <w:r>
        <w:rPr>
          <w:rFonts w:ascii="Arial" w:cs="Arial" w:eastAsia="Arial" w:hAnsi="Arial"/>
          <w:sz w:val="18"/>
          <w:szCs w:val="18"/>
          <w:i w:val="1"/>
          <w:iCs w:val="1"/>
          <w:color w:val="auto"/>
        </w:rPr>
        <w:t>provided, however</w:t>
      </w:r>
      <w:r>
        <w:rPr>
          <w:rFonts w:ascii="Arial" w:cs="Arial" w:eastAsia="Arial" w:hAnsi="Arial"/>
          <w:sz w:val="18"/>
          <w:szCs w:val="18"/>
          <w:color w:val="auto"/>
        </w:rPr>
        <w:t>, that Blueprint may decline to receive copies of data and results of Development of a Blueprint/Zai Combination Product or other Combination Product or Combination Regimen. Zai will have the right to use and reference such data and results provided by Blueprint for the purpose of obtaining, supporting, and maintaining Local Manufacturing Approvals, Regulatory Approvals, and any Reimbursement Approval, as applicable, of the Licensed Products and Companion Diagnostics in the Territory, without additional consideration. Blueprint and its designees will have the right to use and reference such data and results provided by Zai for the purpose of obtaining, supporting, or maintaining Regulatory Approval or any Reimbursement Approval, as applicable, of any Licensed Product or Companion Diagnostic (a) outside of the Territory during the Term, or (b) anywhere in the world following termination of this Agreement, in each case ((a) and (b)), without additional consideration.</w:t>
      </w:r>
    </w:p>
    <w:p>
      <w:pPr>
        <w:spacing w:after="0" w:line="16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5.18</w:t>
      </w:r>
      <w:r>
        <w:rPr>
          <w:sz w:val="20"/>
          <w:szCs w:val="20"/>
          <w:color w:val="auto"/>
        </w:rPr>
        <w:tab/>
      </w:r>
      <w:r>
        <w:rPr>
          <w:rFonts w:ascii="Arial" w:cs="Arial" w:eastAsia="Arial" w:hAnsi="Arial"/>
          <w:sz w:val="19"/>
          <w:szCs w:val="19"/>
          <w:b w:val="1"/>
          <w:bCs w:val="1"/>
          <w:color w:val="auto"/>
        </w:rPr>
        <w:t>Development of Companion Diagnostics</w:t>
      </w:r>
      <w:r>
        <w:rPr>
          <w:rFonts w:ascii="Arial" w:cs="Arial" w:eastAsia="Arial" w:hAnsi="Arial"/>
          <w:sz w:val="19"/>
          <w:szCs w:val="19"/>
          <w:color w:val="auto"/>
        </w:rPr>
        <w:t>. In connection with the Development or Commercialization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for which the JSC has approved a Territory-Specific Development Plan (as applicable) contemplating the Development of one or more companion diagnostic products to be used in connection with such Licensed Product (each a “</w:t>
      </w:r>
      <w:r>
        <w:rPr>
          <w:rFonts w:ascii="Arial" w:cs="Arial" w:eastAsia="Arial" w:hAnsi="Arial"/>
          <w:sz w:val="19"/>
          <w:szCs w:val="19"/>
          <w:b w:val="1"/>
          <w:bCs w:val="1"/>
          <w:color w:val="auto"/>
        </w:rPr>
        <w:t>Companion Diagnostic</w:t>
      </w:r>
      <w:r>
        <w:rPr>
          <w:rFonts w:ascii="Arial" w:cs="Arial" w:eastAsia="Arial" w:hAnsi="Arial"/>
          <w:sz w:val="19"/>
          <w:szCs w:val="19"/>
          <w:color w:val="auto"/>
        </w:rPr>
        <w:t>”), Zai may elect to Develop one or more Companion Diagnostics solely in the Territory. Unless otherwise allocated to Zai under a Global Development Plan for a Licensed Product, Blueprint will be responsible for Developing Companion Diagnostics for Licensed Products if such Companion Diagnostics are to be used with one or more Licensed Products inside and outside of the Territory. If JSC determines that Zai will Develop a Companion Diagnostic for use with the Commercialization of any Licensed Product in the Territory, then Zai will be responsible [****]. Without limiting Zai’s reimbursement obligations under Section 5.13 (Responsibility for Development Costs) (which obligations pertain to the Development of each Licensed Product, including the cost to purchase Companion Diagnostics [****] to screen patients in connection with the Development of such Licensed Products), Blueprint will be responsible for [****] Notwithstanding Blueprint’s responsibility for [****] if Zai wishes to use any Companion Diagnostic Developed by Blueprint in connection with Zai’s Commercialization of any Licensed Product in the Territory, then Zai will reimburse Blueprint for: (a) [****] that are related to the Development of Companion Diagnostics for use with a Licensed Product solely in the Territory [****] and (b) with respect to [****] that are related to the Development of Companion Diagnostics for use [****] the Territory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REGULATORY</w:t>
      </w:r>
    </w:p>
    <w:p>
      <w:pPr>
        <w:spacing w:after="0" w:line="19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Regulatory Strategy</w:t>
      </w:r>
      <w:r>
        <w:rPr>
          <w:rFonts w:ascii="Arial" w:cs="Arial" w:eastAsia="Arial" w:hAnsi="Arial"/>
          <w:sz w:val="19"/>
          <w:szCs w:val="19"/>
          <w:color w:val="auto"/>
        </w:rPr>
        <w:t>. [****] the JPT will discuss and develop a regulatory strategy for the Territory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and will submit the same to the JSC to review, discuss, and determine whether to approve. From time to time the JPT may update the regulatory strategy for the Territory for any Licensed Product and submit the same to the JSC to review, discuss, and determine whether to approve. Once approved by the JSC, each update to a regulatory strategy for such a Licensed Product will become effective and supersede the then-current regulatory strategy for the Territory for such Licensed Product and such approved regulatory strategy will be included in the Territory-Specific Development Plan. The Parties will reasonably coordinate with respect to the implementation of the regulatory strategy for each Licensed Product in the Territory.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Zai’s Regulatory Responsibilities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48" w:lineRule="auto"/>
        <w:tabs>
          <w:tab w:leader="none" w:pos="136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20"/>
          <w:szCs w:val="20"/>
          <w:b w:val="1"/>
          <w:bCs w:val="1"/>
          <w:color w:val="auto"/>
        </w:rPr>
        <w:t>Obtaining and Maintaining Regulatory Approvals</w:t>
      </w:r>
      <w:r>
        <w:rPr>
          <w:rFonts w:ascii="Arial" w:cs="Arial" w:eastAsia="Arial" w:hAnsi="Arial"/>
          <w:sz w:val="20"/>
          <w:szCs w:val="20"/>
          <w:color w:val="auto"/>
        </w:rPr>
        <w:t>. Each Party will keep the other Party informed of</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developments related to the Licensed Products in each region in the Territory and will promptly notify the other Party in writing of any decision by any Regulatory Authority in the Territory regarding any Licensed Product.</w:t>
      </w:r>
    </w:p>
    <w:p>
      <w:pPr>
        <w:spacing w:after="0" w:line="183" w:lineRule="exact"/>
        <w:rPr>
          <w:sz w:val="20"/>
          <w:szCs w:val="20"/>
          <w:color w:val="auto"/>
        </w:rPr>
      </w:pPr>
    </w:p>
    <w:p>
      <w:pPr>
        <w:ind w:left="1880" w:hanging="495"/>
        <w:spacing w:after="0" w:line="268" w:lineRule="auto"/>
        <w:tabs>
          <w:tab w:leader="none" w:pos="18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In the PRC</w:t>
      </w:r>
      <w:r>
        <w:rPr>
          <w:rFonts w:ascii="Arial" w:cs="Arial" w:eastAsia="Arial" w:hAnsi="Arial"/>
          <w:sz w:val="18"/>
          <w:szCs w:val="18"/>
          <w:color w:val="auto"/>
        </w:rPr>
        <w:t>. Prior to [****], Zai or one of its Affiliates will be responsible for undertaking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activities and interactions with Regulatory Authorities in the PRC for such Licensed Product in Blueprint’s name as the express and authorized regulatory agent of record for Blueprint in the Territory and will take such actions on behalf of and for the benefit of Blueprint in the PRC in accordance with the applicable regulatory strategy approved by the JSC (including performing any and all regulatory activities assigned to Zai in this Agreement or by the JSC during the Term in connection with the Development or Commercialization of a Licensed Product in the Territory). Following [****] Zai or one of its Affiliates will be responsible for all regulatory activities and interactions with Regulatory Authorities in the PRC leading up to and including obtaining (to the extent not already obtained) and thereafter maintaining, Local Manufacturing Approvals, Regulatory Approvals, and any Reimbursement Approvals, as applicable, for such Licensed Product in the PRC in Zai’s or its Affiliate’s own name in accordance with the applicable regulatory strategy approved by the JSC. Prior to undertaking any such activities and interactions relating to obtaining and maintaining Local Manufacturing Approvals, Regulatory Approvals, or Reimbursement Approvals for any Licensed Product in the PRC, whether prior to or after [****] for the applicable Licensed Product, Zai will submit a [****] plan for undertaking the same to the JSC for review and discussion. Following [****] Zai or one of its Affiliates will continue to be responsible for all regulatory activities and interactions with Regulatory Authorities in the PRC with respect to any imported version of such Licensed Product as the express and authorized regulatory agent of record for Blueprint in the PRC and will continue to take such actions with respect to the imported Licensed Product on behalf of and for the benefit of Blueprint in the PRC in accordance with the applicable regulatory strategy approved by the JSC.</w:t>
      </w:r>
    </w:p>
    <w:p>
      <w:pPr>
        <w:spacing w:after="0" w:line="180" w:lineRule="exact"/>
        <w:rPr>
          <w:rFonts w:ascii="Arial" w:cs="Arial" w:eastAsia="Arial" w:hAnsi="Arial"/>
          <w:sz w:val="18"/>
          <w:szCs w:val="18"/>
          <w:color w:val="auto"/>
        </w:rPr>
      </w:pPr>
    </w:p>
    <w:p>
      <w:pPr>
        <w:jc w:val="both"/>
        <w:ind w:left="1880" w:hanging="495"/>
        <w:spacing w:after="0" w:line="248" w:lineRule="auto"/>
        <w:tabs>
          <w:tab w:leader="none" w:pos="1880"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Obtaining and Maintaining Regulatory Approvals outside the PRC</w:t>
      </w:r>
      <w:r>
        <w:rPr>
          <w:rFonts w:ascii="Arial" w:cs="Arial" w:eastAsia="Arial" w:hAnsi="Arial"/>
          <w:sz w:val="20"/>
          <w:szCs w:val="20"/>
          <w:color w:val="auto"/>
        </w:rPr>
        <w:t>. Zai will be responsible for</w:t>
      </w:r>
      <w:r>
        <w:rPr>
          <w:rFonts w:ascii="Arial" w:cs="Arial" w:eastAsia="Arial" w:hAnsi="Arial"/>
          <w:sz w:val="20"/>
          <w:szCs w:val="20"/>
          <w:b w:val="1"/>
          <w:bCs w:val="1"/>
          <w:color w:val="auto"/>
        </w:rPr>
        <w:t xml:space="preserve"> </w:t>
      </w:r>
      <w:r>
        <w:rPr>
          <w:rFonts w:ascii="Arial" w:cs="Arial" w:eastAsia="Arial" w:hAnsi="Arial"/>
          <w:sz w:val="20"/>
          <w:szCs w:val="20"/>
          <w:color w:val="auto"/>
        </w:rPr>
        <w:t>all regulatory activities with respect to Licensed Products leading up to and including obtaining, and thereafter maintaining, Regulatory Approvals and any Reimbursement Approvals in all regions of the Territory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0" w:name="page281"/>
    <w:bookmarkEnd w:id="280"/>
    <w:p>
      <w:pPr>
        <w:ind w:left="1860" w:right="20"/>
        <w:spacing w:after="0" w:line="260" w:lineRule="auto"/>
        <w:rPr>
          <w:sz w:val="20"/>
          <w:szCs w:val="20"/>
          <w:color w:val="auto"/>
        </w:rPr>
      </w:pPr>
      <w:r>
        <w:rPr>
          <w:rFonts w:ascii="Arial" w:cs="Arial" w:eastAsia="Arial" w:hAnsi="Arial"/>
          <w:sz w:val="20"/>
          <w:szCs w:val="20"/>
          <w:color w:val="auto"/>
        </w:rPr>
        <w:t>PRC in its own name or in the name of its Affiliate, Sublicensee, or Third Party Distributor, in each case, in accordance with the regulatory strategy approved by the JSC.</w:t>
      </w:r>
    </w:p>
    <w:p>
      <w:pPr>
        <w:spacing w:after="0" w:line="171"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19"/>
          <w:szCs w:val="19"/>
          <w:b w:val="1"/>
          <w:bCs w:val="1"/>
          <w:color w:val="auto"/>
        </w:rPr>
        <w:t>Consultation with NMPA</w:t>
      </w:r>
      <w:r>
        <w:rPr>
          <w:rFonts w:ascii="Arial" w:cs="Arial" w:eastAsia="Arial" w:hAnsi="Arial"/>
          <w:sz w:val="19"/>
          <w:szCs w:val="19"/>
          <w:color w:val="auto"/>
        </w:rPr>
        <w:t>. If Blueprint determines in its reasonable discretion that a consultation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NMPA may be necessary to conduct any Development of Licensed Products in the Territory contemplated under this Agreement, then at Blueprint’s reasonable request, Zai will request a consultation meeting with the NMPA to discuss such Development in advance of commencing such Development. In such event, the Parties will coordinate with each other regarding the contents of any materials to be shared with the NMPA in connection with such meeting.</w:t>
      </w:r>
    </w:p>
    <w:p>
      <w:pPr>
        <w:spacing w:after="0" w:line="173" w:lineRule="exact"/>
        <w:rPr>
          <w:sz w:val="20"/>
          <w:szCs w:val="20"/>
          <w:color w:val="auto"/>
        </w:rPr>
      </w:pPr>
    </w:p>
    <w:p>
      <w:pPr>
        <w:jc w:val="both"/>
        <w:ind w:left="1360" w:hanging="647"/>
        <w:spacing w:after="0" w:line="271" w:lineRule="auto"/>
        <w:tabs>
          <w:tab w:leader="none" w:pos="1340" w:val="left"/>
        </w:tabs>
        <w:rPr>
          <w:sz w:val="20"/>
          <w:szCs w:val="20"/>
          <w:color w:val="auto"/>
        </w:rPr>
      </w:pPr>
      <w:r>
        <w:rPr>
          <w:rFonts w:ascii="Arial" w:cs="Arial" w:eastAsia="Arial" w:hAnsi="Arial"/>
          <w:sz w:val="20"/>
          <w:szCs w:val="20"/>
          <w:color w:val="auto"/>
        </w:rPr>
        <w:t>6.2.3</w:t>
      </w:r>
      <w:r>
        <w:rPr>
          <w:sz w:val="20"/>
          <w:szCs w:val="20"/>
          <w:color w:val="auto"/>
        </w:rPr>
        <w:tab/>
      </w:r>
      <w:r>
        <w:rPr>
          <w:rFonts w:ascii="Arial" w:cs="Arial" w:eastAsia="Arial" w:hAnsi="Arial"/>
          <w:sz w:val="18"/>
          <w:szCs w:val="18"/>
          <w:b w:val="1"/>
          <w:bCs w:val="1"/>
          <w:color w:val="auto"/>
        </w:rPr>
        <w:t>Review of Regulatory Submissions</w:t>
      </w:r>
      <w:r>
        <w:rPr>
          <w:rFonts w:ascii="Arial" w:cs="Arial" w:eastAsia="Arial" w:hAnsi="Arial"/>
          <w:sz w:val="18"/>
          <w:szCs w:val="18"/>
          <w:color w:val="auto"/>
        </w:rPr>
        <w:t>. Zai will provide to Blueprint for review and comment drafts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Submissions in the Territory for the Licensed Products. Zai will incorporate any [****] comments received from Blueprint on such Regulatory Submissions. In addition, each Party will notify the other Party of any Regulatory Submissions for the Licensed Products and any comments or other correspondences related thereto submitted to or received from any Regulatory Authority in the Territory and will provide the other Party with copies thereof as soon as reasonably practicable, but in all events within [****] after submission or receipt thereof (or such longer time period as may be necessary to obtain translations thereof). If any such Regulatory Submission, comment, or correspondence is not in English, then Zai will provide Blueprint with a certified English translation [****] after receipt of such Regulatory Submission, comment, or correspondence[****]. Blueprint will have the right to review and comment on all such Regulatory Submissions, and Zai will [****] and incorporate such comments [****]</w:t>
      </w:r>
    </w:p>
    <w:p>
      <w:pPr>
        <w:spacing w:after="0" w:line="170" w:lineRule="exact"/>
        <w:rPr>
          <w:sz w:val="20"/>
          <w:szCs w:val="20"/>
          <w:color w:val="auto"/>
        </w:rPr>
      </w:pPr>
    </w:p>
    <w:p>
      <w:pPr>
        <w:jc w:val="both"/>
        <w:ind w:left="1360" w:hanging="647"/>
        <w:spacing w:after="0" w:line="258" w:lineRule="auto"/>
        <w:tabs>
          <w:tab w:leader="none" w:pos="1340" w:val="left"/>
        </w:tabs>
        <w:rPr>
          <w:sz w:val="20"/>
          <w:szCs w:val="20"/>
          <w:color w:val="auto"/>
        </w:rPr>
      </w:pPr>
      <w:r>
        <w:rPr>
          <w:rFonts w:ascii="Arial" w:cs="Arial" w:eastAsia="Arial" w:hAnsi="Arial"/>
          <w:sz w:val="20"/>
          <w:szCs w:val="20"/>
          <w:color w:val="auto"/>
        </w:rPr>
        <w:t>6.2.4</w:t>
      </w:r>
      <w:r>
        <w:rPr>
          <w:sz w:val="20"/>
          <w:szCs w:val="20"/>
          <w:color w:val="auto"/>
        </w:rPr>
        <w:tab/>
      </w:r>
      <w:r>
        <w:rPr>
          <w:rFonts w:ascii="Arial" w:cs="Arial" w:eastAsia="Arial" w:hAnsi="Arial"/>
          <w:sz w:val="19"/>
          <w:szCs w:val="19"/>
          <w:b w:val="1"/>
          <w:bCs w:val="1"/>
          <w:color w:val="auto"/>
        </w:rPr>
        <w:t>Notice of Meetings</w:t>
      </w:r>
      <w:r>
        <w:rPr>
          <w:rFonts w:ascii="Arial" w:cs="Arial" w:eastAsia="Arial" w:hAnsi="Arial"/>
          <w:sz w:val="19"/>
          <w:szCs w:val="19"/>
          <w:color w:val="auto"/>
        </w:rPr>
        <w:t>. Each Party will provide the other Party with notice of any meeting or discussion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Regulatory Authority in the Territory related to any Licensed Product no later than [****] after receiving notice thereof [****] Zai will lead any such meeting or discussion and Blueprint or its designee will have the right, but not the obligation, to attend and participate in any such meeting or discussion unless prohibited or restricted by Applicable Law or Regulatory Authority. At Zai’s request, Blueprint will reasonably cooperate with Zai in preparing for any such meeting or discussion. If Blueprint elects not to attend such meeting or discussion, then Zai will provide to Blueprint a written summary thereof in English [****] following such meeting or discussion.</w:t>
      </w:r>
    </w:p>
    <w:p>
      <w:pPr>
        <w:spacing w:after="0" w:line="173" w:lineRule="exact"/>
        <w:rPr>
          <w:sz w:val="20"/>
          <w:szCs w:val="20"/>
          <w:color w:val="auto"/>
        </w:rPr>
      </w:pPr>
    </w:p>
    <w:p>
      <w:pPr>
        <w:jc w:val="both"/>
        <w:ind w:left="1360" w:hanging="647"/>
        <w:spacing w:after="0" w:line="285" w:lineRule="auto"/>
        <w:tabs>
          <w:tab w:leader="none" w:pos="1340" w:val="left"/>
        </w:tabs>
        <w:rPr>
          <w:sz w:val="20"/>
          <w:szCs w:val="20"/>
          <w:color w:val="auto"/>
        </w:rPr>
      </w:pPr>
      <w:r>
        <w:rPr>
          <w:rFonts w:ascii="Arial" w:cs="Arial" w:eastAsia="Arial" w:hAnsi="Arial"/>
          <w:sz w:val="20"/>
          <w:szCs w:val="20"/>
          <w:color w:val="auto"/>
        </w:rPr>
        <w:t>6.2.5</w:t>
      </w:r>
      <w:r>
        <w:rPr>
          <w:sz w:val="20"/>
          <w:szCs w:val="20"/>
          <w:color w:val="auto"/>
        </w:rPr>
        <w:tab/>
      </w:r>
      <w:r>
        <w:rPr>
          <w:rFonts w:ascii="Arial" w:cs="Arial" w:eastAsia="Arial" w:hAnsi="Arial"/>
          <w:sz w:val="18"/>
          <w:szCs w:val="18"/>
          <w:b w:val="1"/>
          <w:bCs w:val="1"/>
          <w:color w:val="auto"/>
        </w:rPr>
        <w:t>Zai Responsibility for Costs and Expenses</w:t>
      </w:r>
      <w:r>
        <w:rPr>
          <w:rFonts w:ascii="Arial" w:cs="Arial" w:eastAsia="Arial" w:hAnsi="Arial"/>
          <w:sz w:val="18"/>
          <w:szCs w:val="18"/>
          <w:color w:val="auto"/>
        </w:rPr>
        <w:t>. Zai will be responsible for all costs and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all regulatory activities leading up to and including obtaining and thereafter maintaining, Local Manufacturing Approvals, Regulatory Approvals, and any Reimbursement Approvals, as applicable, for each Licensed Product from Regulatory Authorities in the Territory.</w:t>
      </w:r>
    </w:p>
    <w:p>
      <w:pPr>
        <w:spacing w:after="0" w:line="15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Blueprint’s Regulatory Responsibilities</w:t>
      </w:r>
      <w:r>
        <w:rPr>
          <w:rFonts w:ascii="Arial" w:cs="Arial" w:eastAsia="Arial" w:hAnsi="Arial"/>
          <w:sz w:val="19"/>
          <w:szCs w:val="19"/>
          <w:color w:val="auto"/>
        </w:rPr>
        <w:t>. Other than with respect to a locally-Manufactured version of a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following [****] therefor (if applicable), Blueprint will own and hold all Regulatory Submissions, Regulatory Approvals, and Reimbursement Approvals, as applicable, for all Licensed Products in the PRC, and upon Zai’s reasonable request Blueprint will provide Zai with access to and copies of the applicable Regulatory Submissions, Regulatory Approvals, and Reimbursement Approvals for such Licensed Products in the PRC. Following [****] with respect a locally-Manufactured version of a Licensed Product, Zai will own and hold the Local Manufacturing Approvals, Regulatory Submissions, Regulatory Approvals,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81" w:name="page282"/>
    <w:bookmarkEnd w:id="281"/>
    <w:p>
      <w:pPr>
        <w:jc w:val="both"/>
        <w:ind w:left="660"/>
        <w:spacing w:after="0" w:line="255" w:lineRule="auto"/>
        <w:rPr>
          <w:sz w:val="20"/>
          <w:szCs w:val="20"/>
          <w:color w:val="auto"/>
        </w:rPr>
      </w:pPr>
      <w:r>
        <w:rPr>
          <w:rFonts w:ascii="Arial" w:cs="Arial" w:eastAsia="Arial" w:hAnsi="Arial"/>
          <w:sz w:val="19"/>
          <w:szCs w:val="19"/>
          <w:color w:val="auto"/>
        </w:rPr>
        <w:t>Reimbursement Approvals, as applicable, for such locally-Manufactured version of such Licensed Product (and any Combination Regimen of which such Licensed Product is a part) in the PRC, and upon Blueprint’s reasonable request Zai will provide Blueprint with access to and copies of the applicable Local Manufacturing Approvals, Regulatory Submissions, Regulatory Approvals, and Reimbursement Approvals for such locally-Manufactured version of such Licensed Product (and each Combination Regimen of which it is a part) in the PRC. For clarity, following [****], Blueprint will continue to own and hold the IDL and other Regulatory Submissions, Regulatory Approvals, and other approvals and authorizations in the PRC, as applicable, with respect to imported Licensed Products. Subject to Section 5.2.4 (Data Access Criteria) and Section 5.8.1(a) (JSC Approval), Blueprint will reasonably cooperate with Zai in obtaining any Regulatory Approvals and any Reimbursement Approvals, as applicable, for each Licensed Product in the Territory by providing access to Regulatory Approvals, Regulatory Submissions, clinical data, and other data, information, and documentation for the Licensed Products, both inside and outside of the Territory, in each case, to the extent Controlled by Blueprint. Zai [****] in connection with providing any such access or further assistance to Zai.</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Right of Reference</w:t>
      </w:r>
      <w:r>
        <w:rPr>
          <w:rFonts w:ascii="Arial" w:cs="Arial" w:eastAsia="Arial" w:hAnsi="Arial"/>
          <w:sz w:val="18"/>
          <w:szCs w:val="18"/>
          <w:color w:val="auto"/>
        </w:rPr>
        <w:t>. Subject to Section 5.2.4 (Data Access Criteria) and Section 5.8.1(a) (JSC Approval),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will grant, and hereby does grant, to the other Party and its Affiliates, licensees, and Sublicensees a right of reference to all Regulatory Submissions pertaining to the Licensed Products in the Field submitted by or on behalf of such Party or its Affiliates, including any Zai Product as necessary in relation to any Blueprint/Zai Combination. Subject to Section 5.8.1(b) (No JSC Approval), Section 5.8.2 (Further Exploitation of Proposed Additional Blueprint/Zai Combinations that are Blueprint/Zai Combinations), and Section 5.11 (New Development Proposed by Blueprint), Zai and its Affiliates and Sublicensees may use such right of reference to Blueprint’s Regulatory Submissions solely for the purpose of seeking, obtaining, supporting, and maintaining Local Manufacturing Approvals, Regulatory Approvals, and any Reimbursement Approvals, as applicable, for the applicable Licensed Product in the Field in the Territory, as Blueprint’s authorized regulatory agent of record, or on its own behalf for a locally-Manufactured version of a Licensed Product following [****] for such Licensed Product. Subject to Section 5.8.1(b) (No JSC Approval) and Section 5.8.2 (Further Exploitation of Proposed Additional Blueprint/Zai Combinations that are Blueprint/Zai Combinations), Blueprint and its Affiliates, licensees, and Sublicensees may use such right of reference to Zai’s Regulatory Submissions, if any, solely for the purpose of seeking, obtaining, supporting, and maintaining Regulatory Approval and any Reimbursement Approvals of Licensed Products outside of the Territory. Each Party will bear its own costs and expenses associated with providing the other Party with the right of reference pursuant to this Section 6.4 (Right of Reference). Each Party will take such actions as may be reasonably requested by the other Party to give effect to the intent of this Section 6.4 (Right of Reference) and to give the other Party the benefit of the granting Party’s Regulatory Submissions in the other Party’s territory as provided herein. Such actions may include (a) providing to the other Party copies of correspondence and communications received from the applicable Regulatory Authorities related to such Party’s application for Regulatory Approval of the Licensed Products in the Territory or outside of the Territory, as applicable, or (b) providing the other Party with any underlying raw data or information submitted by the granting Party to the Regulatory Authority with respect to any Regulatory Submissions Controlled by such granting Party or its Affiliates that relates to any Licensed Product.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b w:val="1"/>
          <w:bCs w:val="1"/>
          <w:color w:val="auto"/>
        </w:rPr>
        <w:t>Adverse Events Reporting</w:t>
      </w:r>
      <w:r>
        <w:rPr>
          <w:rFonts w:ascii="Arial" w:cs="Arial" w:eastAsia="Arial" w:hAnsi="Arial"/>
          <w:sz w:val="16"/>
          <w:szCs w:val="16"/>
          <w:color w:val="auto"/>
        </w:rPr>
        <w:t>.</w:t>
      </w:r>
    </w:p>
    <w:p>
      <w:pPr>
        <w:spacing w:after="0" w:line="216" w:lineRule="exact"/>
        <w:rPr>
          <w:sz w:val="20"/>
          <w:szCs w:val="20"/>
          <w:color w:val="auto"/>
        </w:rPr>
      </w:pPr>
    </w:p>
    <w:p>
      <w:pPr>
        <w:jc w:val="both"/>
        <w:ind w:left="1380" w:right="20" w:hanging="647"/>
        <w:spacing w:after="0" w:line="253" w:lineRule="auto"/>
        <w:tabs>
          <w:tab w:leader="none" w:pos="136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20"/>
          <w:szCs w:val="20"/>
          <w:b w:val="1"/>
          <w:bCs w:val="1"/>
          <w:color w:val="auto"/>
        </w:rPr>
        <w:t>Safety Agreements</w:t>
      </w:r>
      <w:r>
        <w:rPr>
          <w:rFonts w:ascii="Arial" w:cs="Arial" w:eastAsia="Arial" w:hAnsi="Arial"/>
          <w:sz w:val="20"/>
          <w:szCs w:val="20"/>
          <w:color w:val="auto"/>
        </w:rPr>
        <w:t>. [****] the Parties will enter into one or more written agreements setting forth</w:t>
      </w:r>
      <w:r>
        <w:rPr>
          <w:rFonts w:ascii="Arial" w:cs="Arial" w:eastAsia="Arial" w:hAnsi="Arial"/>
          <w:sz w:val="20"/>
          <w:szCs w:val="20"/>
          <w:b w:val="1"/>
          <w:bCs w:val="1"/>
          <w:color w:val="auto"/>
        </w:rPr>
        <w:t xml:space="preserve"> </w:t>
      </w:r>
      <w:r>
        <w:rPr>
          <w:rFonts w:ascii="Arial" w:cs="Arial" w:eastAsia="Arial" w:hAnsi="Arial"/>
          <w:sz w:val="20"/>
          <w:szCs w:val="20"/>
          <w:color w:val="auto"/>
        </w:rPr>
        <w:t>worldwide safety and pharmacovigilance procedures for the Parties with respect to each Licensed Product (each a “</w:t>
      </w:r>
      <w:r>
        <w:rPr>
          <w:rFonts w:ascii="Arial" w:cs="Arial" w:eastAsia="Arial" w:hAnsi="Arial"/>
          <w:sz w:val="20"/>
          <w:szCs w:val="20"/>
          <w:b w:val="1"/>
          <w:bCs w:val="1"/>
          <w:color w:val="auto"/>
        </w:rPr>
        <w:t>Safety Agreement</w:t>
      </w:r>
      <w:r>
        <w:rPr>
          <w:rFonts w:ascii="Arial" w:cs="Arial" w:eastAsia="Arial" w:hAnsi="Arial"/>
          <w:sz w:val="20"/>
          <w:szCs w:val="20"/>
          <w:color w:val="auto"/>
        </w:rPr>
        <w:t>”). Each Safety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2" w:name="page283"/>
    <w:bookmarkEnd w:id="282"/>
    <w:p>
      <w:pPr>
        <w:jc w:val="both"/>
        <w:ind w:left="920"/>
        <w:spacing w:after="0" w:line="268" w:lineRule="auto"/>
        <w:rPr>
          <w:sz w:val="20"/>
          <w:szCs w:val="20"/>
          <w:color w:val="auto"/>
        </w:rPr>
      </w:pPr>
      <w:r>
        <w:rPr>
          <w:rFonts w:ascii="Arial" w:cs="Arial" w:eastAsia="Arial" w:hAnsi="Arial"/>
          <w:sz w:val="18"/>
          <w:szCs w:val="18"/>
          <w:color w:val="auto"/>
        </w:rPr>
        <w:t>will describe the obligations of both Parties with respect to the coordination of collection, investigation, reporting, and exchange of information between the Parties concerning any adverse event experienced by a subject or, in the case of non-clinical studies, an animal in a toxicology study, and the seriousness thereof, whether or not determined to be attributable to any Blueprint Compound or Licensed Product, including any such information received by either Party from a Third Party (subject to receipt of any required consents from such Third Party) and will be sufficient to permit each Party and its Affiliates, licensees, or Sublicensees (as applicable) to comply with its legal obligations with respect thereto, including each Party’s obligations as the owner or holder of Regulatory Approvals and Regulatory Submissions for such Licensed Product in the Territory or outside the Territory, as applicable. Each Safety Agreement will also detail each Party’s responsibilities with respect to recalls and withdrawals of the applicable Licensed Product inside and outside of the Territory. If required by changes in Applicable Law, then the Parties will make appropriate updates to the applicable Safety Agreements. Each Party will comply with its respective obligations under each Safety Agreement and cause its Affiliates, licensees, and Sublicensees to comply with such obligations. Each Party will notify the other Party of any new planned Clinical Trials for any Licensed Product and the Parties will update the Safety Agreement to the extent necessary to comply with any applicable requirements set forth under Applicable Law or of any Regulatory Authorities related to adverse event reporting, drug safety, patient safety, pharmacovigilance, and risk management. Notwithstanding anything to the contrary in this Agreement or the Safety Agreement, each Party and its Affiliates, licensees, and Sublicensees will have the right to disclose information related to the safety of one or more Blueprint Compounds or Licensed Products to the extent that such disclosure is required for such Party to comply with its obligations under Applicable Law or the safety requirements of the applicable Regulatory Authorities. To the extent that there is a conflict between the terms of this Agreement and the terms of any Safety Agreement, the terms of the applicable Safety Agreement will govern with respect to the subject matter set forth therein.</w:t>
      </w:r>
    </w:p>
    <w:p>
      <w:pPr>
        <w:spacing w:after="0" w:line="171" w:lineRule="exact"/>
        <w:rPr>
          <w:sz w:val="20"/>
          <w:szCs w:val="20"/>
          <w:color w:val="auto"/>
        </w:rPr>
      </w:pPr>
    </w:p>
    <w:p>
      <w:pPr>
        <w:jc w:val="both"/>
        <w:ind w:left="920" w:hanging="647"/>
        <w:spacing w:after="0" w:line="270" w:lineRule="auto"/>
        <w:tabs>
          <w:tab w:leader="none" w:pos="900" w:val="left"/>
        </w:tabs>
        <w:rPr>
          <w:sz w:val="20"/>
          <w:szCs w:val="20"/>
          <w:color w:val="auto"/>
        </w:rPr>
      </w:pPr>
      <w:r>
        <w:rPr>
          <w:rFonts w:ascii="Arial" w:cs="Arial" w:eastAsia="Arial" w:hAnsi="Arial"/>
          <w:sz w:val="20"/>
          <w:szCs w:val="20"/>
          <w:color w:val="auto"/>
        </w:rPr>
        <w:t>6.5.2</w:t>
      </w:r>
      <w:r>
        <w:rPr>
          <w:sz w:val="20"/>
          <w:szCs w:val="20"/>
          <w:color w:val="auto"/>
        </w:rPr>
        <w:tab/>
      </w:r>
      <w:r>
        <w:rPr>
          <w:rFonts w:ascii="Arial" w:cs="Arial" w:eastAsia="Arial" w:hAnsi="Arial"/>
          <w:sz w:val="18"/>
          <w:szCs w:val="18"/>
          <w:b w:val="1"/>
          <w:bCs w:val="1"/>
          <w:color w:val="auto"/>
        </w:rPr>
        <w:t>Safety Databases</w:t>
      </w:r>
      <w:r>
        <w:rPr>
          <w:rFonts w:ascii="Arial" w:cs="Arial" w:eastAsia="Arial" w:hAnsi="Arial"/>
          <w:sz w:val="18"/>
          <w:szCs w:val="18"/>
          <w:color w:val="auto"/>
        </w:rPr>
        <w:t>. Zai will maintain a safety database in English for Clinical Trials for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conducted in the Territory under a Territory-Specific Development Plan[****]. During such time that Blueprint is the holder of Regulatory Approvals and Regulatory Submissions for a Licensed Product in the Territory, Zai will be responsible for, on Blueprint’s behalf: (a) reporting to the applicable Regulatory Authorities in the Territory all quality complaints, adverse events, and safety data related to such Licensed Product for all Territory-Specific Clinical Trials or Global Clinical Trials conducted in the Territory; and</w:t>
      </w:r>
    </w:p>
    <w:p>
      <w:pPr>
        <w:spacing w:after="0" w:line="2" w:lineRule="exact"/>
        <w:rPr>
          <w:sz w:val="20"/>
          <w:szCs w:val="20"/>
          <w:color w:val="auto"/>
        </w:rPr>
      </w:pPr>
    </w:p>
    <w:p>
      <w:pPr>
        <w:jc w:val="both"/>
        <w:ind w:left="920" w:firstLine="5"/>
        <w:spacing w:after="0" w:line="255" w:lineRule="auto"/>
        <w:tabs>
          <w:tab w:leader="none" w:pos="1239" w:val="left"/>
        </w:tabs>
        <w:numPr>
          <w:ilvl w:val="0"/>
          <w:numId w:val="166"/>
        </w:numPr>
        <w:rPr>
          <w:rFonts w:ascii="Arial" w:cs="Arial" w:eastAsia="Arial" w:hAnsi="Arial"/>
          <w:sz w:val="19"/>
          <w:szCs w:val="19"/>
          <w:color w:val="auto"/>
        </w:rPr>
      </w:pPr>
      <w:r>
        <w:rPr>
          <w:rFonts w:ascii="Arial" w:cs="Arial" w:eastAsia="Arial" w:hAnsi="Arial"/>
          <w:sz w:val="19"/>
          <w:szCs w:val="19"/>
          <w:color w:val="auto"/>
        </w:rPr>
        <w:t>responding to safety issues and to all requests of Regulatory Authorities related to such Licensed Product in the Territory. Zai will provide Blueprint (i) secure, real-time access to Zai’s safety database for the Licensed Products in the Territory, and (ii) upon Blueprint’s request, query results from Zai’s worldwide safety database for each Zai Product solely for the purpose of Developing Blueprint/Zai Combinations. Blueprint will maintain a global safety database for Global Clinical Trials for the Licensed Products conducted under each Global Development Plan [****].</w:t>
      </w:r>
    </w:p>
    <w:p>
      <w:pPr>
        <w:spacing w:after="0" w:line="178" w:lineRule="exact"/>
        <w:rPr>
          <w:sz w:val="20"/>
          <w:szCs w:val="20"/>
          <w:color w:val="auto"/>
        </w:rPr>
      </w:pPr>
    </w:p>
    <w:p>
      <w:pPr>
        <w:jc w:val="both"/>
        <w:ind w:left="920" w:hanging="647"/>
        <w:spacing w:after="0" w:line="280" w:lineRule="auto"/>
        <w:tabs>
          <w:tab w:leader="none" w:pos="900" w:val="left"/>
        </w:tabs>
        <w:rPr>
          <w:sz w:val="20"/>
          <w:szCs w:val="20"/>
          <w:color w:val="auto"/>
        </w:rPr>
      </w:pPr>
      <w:r>
        <w:rPr>
          <w:rFonts w:ascii="Arial" w:cs="Arial" w:eastAsia="Arial" w:hAnsi="Arial"/>
          <w:sz w:val="20"/>
          <w:szCs w:val="20"/>
          <w:color w:val="auto"/>
        </w:rPr>
        <w:t>6.5.3</w:t>
      </w:r>
      <w:r>
        <w:rPr>
          <w:sz w:val="20"/>
          <w:szCs w:val="20"/>
          <w:color w:val="auto"/>
        </w:rPr>
        <w:tab/>
      </w:r>
      <w:r>
        <w:rPr>
          <w:rFonts w:ascii="Arial" w:cs="Arial" w:eastAsia="Arial" w:hAnsi="Arial"/>
          <w:sz w:val="18"/>
          <w:szCs w:val="18"/>
          <w:b w:val="1"/>
          <w:bCs w:val="1"/>
          <w:color w:val="auto"/>
        </w:rPr>
        <w:t>Notification Obligations</w:t>
      </w:r>
      <w:r>
        <w:rPr>
          <w:rFonts w:ascii="Arial" w:cs="Arial" w:eastAsia="Arial" w:hAnsi="Arial"/>
          <w:sz w:val="18"/>
          <w:szCs w:val="18"/>
          <w:color w:val="auto"/>
        </w:rPr>
        <w:t>. Without limiting the provisions of Section 6.5.1 (Safety Agreements), Zai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responsible for complying with all Applicable Law governing adverse events (including the reporting thereof) in the Territory and will comply fully with all applicable adverse event reporting recommendations and requirements in all regions in the Territory where Zai intends to Commercialize the applicable Licensed Product. Zai will notify Blueprint on a timely basis of any adverse events related to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283" w:name="page284"/>
    <w:bookmarkEnd w:id="283"/>
    <w:p>
      <w:pPr>
        <w:jc w:val="both"/>
        <w:ind w:left="1380"/>
        <w:spacing w:after="0" w:line="255" w:lineRule="auto"/>
        <w:rPr>
          <w:sz w:val="20"/>
          <w:szCs w:val="20"/>
          <w:color w:val="auto"/>
        </w:rPr>
      </w:pPr>
      <w:r>
        <w:rPr>
          <w:rFonts w:ascii="Arial" w:cs="Arial" w:eastAsia="Arial" w:hAnsi="Arial"/>
          <w:sz w:val="19"/>
          <w:szCs w:val="19"/>
          <w:color w:val="auto"/>
        </w:rPr>
        <w:t>Licensed Products occurring in the Territory. Zai will submit copies of reports of adverse events related to the Licensed Products to Blueprint simultaneously with submission thereof to the applicable Regulatory Authorities in the Territory, including any single case reports, together with an appropriate medical evaluation, as well as aggregate data, such as Periodic Safety Update Reports (PSURs) required by authorities. Each Party will notify the other in a timely manner and in any event [****] (or such shorter period as may be required for a Party to comply with its obligations under Applicable Law) of receiving any (a) serious adverse event reports from Clinical Trials for a Licensed Product that the applicable Party is monitoring, (b) notice from a Regulatory Authority, independent review committee, data safety monitoring board, or another similar clinical trial or post-marketing monitoring body alleging significant concern regarding a patient safety issue related to a Licensed Product, or (c) other material information relevant to the safety or efficacy of any Licensed Product.</w:t>
      </w:r>
    </w:p>
    <w:p>
      <w:pPr>
        <w:spacing w:after="0" w:line="18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9"/>
          <w:szCs w:val="19"/>
          <w:b w:val="1"/>
          <w:bCs w:val="1"/>
          <w:color w:val="auto"/>
        </w:rPr>
        <w:t>Regulatory Audits</w:t>
      </w:r>
      <w:r>
        <w:rPr>
          <w:rFonts w:ascii="Arial" w:cs="Arial" w:eastAsia="Arial" w:hAnsi="Arial"/>
          <w:sz w:val="19"/>
          <w:szCs w:val="19"/>
          <w:color w:val="auto"/>
        </w:rPr>
        <w:t>. In addition to its rights to conduct audits pursuant to Section 5.14 (Clinical Trial Audit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upon reasonable notification, Blueprint or its representatives will be entitled to conduct audits of safety and regulatory systems, procedures, or practices of Zai or its Affiliates, Sublicensees, or Subcontractors (including Clinical Trial sites) relating to any Licensed Product. With respect to any inspection of Zai or its Affiliates, Sublicensees or Subcontractors (including Clinical Trial sites) by any Governmental Authority relating to any Licensed Product, Zai will notify Blueprint of such inspection (a) no later than [****] after Zai receives notice of such inspection [****] or (b) within [****] after the completion of any such inspection of which Zai did not receive prior notice. Zai will promptly provide Blueprint with all information related to any such inspection. To the extent permitted by Applicable Law, Zai will also permit Governmental Authorities outside of the Territory to conduct inspections of Zai or its Affiliates, Sublicensees, or Subcontractors (including Clinical Trial sites) relating to any Licensed Product, and will ensure that all such Affiliates, Sublicensees, and Subcontractors permit such inspections. Blueprint will have the right, but not the obligation (unless required by Applicable Law or any Governmental Authority), to be present at any such inspection. Following any such regulatory inspection related to one or more Licensed Products, Zai will provide Blueprint with (i) an unredacted copy of any findings, notice, or report provided by any Governmental Authority related to such inspection (to the extent related to a Licensed Product) within [****] of Zai receiving the same, and (ii) an English translation of any findings, notice, or report of a Governmental Authority related to such inspection (to the extent related to a Licensed Product) within [****] after receiving the same [****].</w:t>
      </w:r>
    </w:p>
    <w:p>
      <w:pPr>
        <w:spacing w:after="0" w:line="18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9"/>
          <w:szCs w:val="19"/>
          <w:b w:val="1"/>
          <w:bCs w:val="1"/>
          <w:color w:val="auto"/>
        </w:rPr>
        <w:t>No Harmful Actions</w:t>
      </w:r>
      <w:r>
        <w:rPr>
          <w:rFonts w:ascii="Arial" w:cs="Arial" w:eastAsia="Arial" w:hAnsi="Arial"/>
          <w:sz w:val="19"/>
          <w:szCs w:val="19"/>
          <w:color w:val="auto"/>
        </w:rPr>
        <w:t>. If either Party believes that the other Party is taking or intends to take any action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a Licensed Product in such other Party’s territory that could [****] of any Licensed Product in such Party’s territory, then such Party will have the right to bring the matter to the attention of the JSC and the JSC will [****]. Without limiting the foregoing, unless the Parties otherwise agree (or unless otherwise set forth in this Agreement or in the applicable Global Development Plan), neither Party will communicate with any Regulatory Authority having jurisdiction outside of its respective territory with respect to any Licensed Product, unless for the purpose of seeking Regulatory Approval or so ordered by such Regulatory Authority, in which case, such Party will immediately notify the other Party of such order.</w:t>
      </w:r>
    </w:p>
    <w:p>
      <w:pPr>
        <w:spacing w:after="0" w:line="173"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20"/>
          <w:szCs w:val="20"/>
          <w:b w:val="1"/>
          <w:bCs w:val="1"/>
          <w:color w:val="auto"/>
        </w:rPr>
        <w:t>Notice of Regulatory Action</w:t>
      </w:r>
      <w:r>
        <w:rPr>
          <w:rFonts w:ascii="Arial" w:cs="Arial" w:eastAsia="Arial" w:hAnsi="Arial"/>
          <w:sz w:val="20"/>
          <w:szCs w:val="20"/>
          <w:color w:val="auto"/>
        </w:rPr>
        <w:t>. If any Regulatory Authority takes or gives notice of its intent to take any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action with respect to any activity of Zai relating to any Licensed Product, then Zai will notify Blueprint of such contact, inspection, notice, or action within [****] after receipt of such notice (or, if action is taken without notice, within [****] of Zai becoming aware of such action). If any Regulatory Authority takes or gives notice of its intent to take any regulatory action with respect to any activity of Blueprint relating to any Licensed Product that is reasonably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4" w:name="page285"/>
    <w:bookmarkEnd w:id="284"/>
    <w:p>
      <w:pPr>
        <w:jc w:val="both"/>
        <w:ind w:left="660"/>
        <w:spacing w:after="0" w:line="255" w:lineRule="auto"/>
        <w:rPr>
          <w:sz w:val="20"/>
          <w:szCs w:val="20"/>
          <w:color w:val="auto"/>
        </w:rPr>
      </w:pPr>
      <w:r>
        <w:rPr>
          <w:rFonts w:ascii="Arial" w:cs="Arial" w:eastAsia="Arial" w:hAnsi="Arial"/>
          <w:sz w:val="19"/>
          <w:szCs w:val="19"/>
          <w:color w:val="auto"/>
        </w:rPr>
        <w:t xml:space="preserve">to have a material adverse impact on Zai’s activities with respect to the Licensed Product in the Territory, then Blueprint will notify Zai of such contact, inspection, notice, or action within [****] after receipt of such notice (or, if action is taken without notice, within [****] of Blueprint becoming aware of such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to the extent disclosure is required pursuant to Applicable Law, Blueprint will not be required to disclose any information that is subject to a confidentiality restriction and will not be required to delay any response or action as a result of such notification requirement. Blueprint will have the final decision-making authority with respect to [****], but and will consider Zai’s reasonable comments to such responses. Zai will have the final decision-making authority with respect to [****], but will incorporate Blueprint’s reasonable comments to any such responses. [****] Upon Zai’s request, Blueprint will provide an update on material regulatory actions taken with respect to the Licensed Products outside the Territory at regularly scheduled meetings of the JSC.</w:t>
      </w:r>
    </w:p>
    <w:p>
      <w:pPr>
        <w:spacing w:after="0" w:line="18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20"/>
          <w:szCs w:val="20"/>
          <w:b w:val="1"/>
          <w:bCs w:val="1"/>
          <w:color w:val="auto"/>
        </w:rPr>
        <w:t>Notice of Other Actions</w:t>
      </w:r>
      <w:r>
        <w:rPr>
          <w:rFonts w:ascii="Arial" w:cs="Arial" w:eastAsia="Arial" w:hAnsi="Arial"/>
          <w:sz w:val="20"/>
          <w:szCs w:val="20"/>
          <w:color w:val="auto"/>
        </w:rPr>
        <w:t>. In addition, each Party will promptly notify the other of any information that it receives</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any threatened or pending action, inspection, or communication by or from a Third Party that would reasonably be expected to materially affect the Development of the Licensed Products.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MANUFACTURING</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b w:val="1"/>
          <w:bCs w:val="1"/>
          <w:color w:val="auto"/>
        </w:rPr>
        <w:t>Supply by Blueprint</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45" w:lineRule="auto"/>
        <w:tabs>
          <w:tab w:leader="none" w:pos="136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20"/>
          <w:szCs w:val="20"/>
          <w:b w:val="1"/>
          <w:bCs w:val="1"/>
          <w:color w:val="auto"/>
        </w:rPr>
        <w:t>Development Supply</w:t>
      </w:r>
      <w:r>
        <w:rPr>
          <w:rFonts w:ascii="Arial" w:cs="Arial" w:eastAsia="Arial" w:hAnsi="Arial"/>
          <w:sz w:val="20"/>
          <w:szCs w:val="20"/>
          <w:color w:val="auto"/>
        </w:rPr>
        <w:t>. [****] the Parties will enter into a clinical supply agreement for the supply to Zai</w:t>
      </w:r>
      <w:r>
        <w:rPr>
          <w:rFonts w:ascii="Arial" w:cs="Arial" w:eastAsia="Arial" w:hAnsi="Arial"/>
          <w:sz w:val="20"/>
          <w:szCs w:val="20"/>
          <w:b w:val="1"/>
          <w:bCs w:val="1"/>
          <w:color w:val="auto"/>
        </w:rPr>
        <w:t xml:space="preserve"> </w:t>
      </w:r>
      <w:r>
        <w:rPr>
          <w:rFonts w:ascii="Arial" w:cs="Arial" w:eastAsia="Arial" w:hAnsi="Arial"/>
          <w:sz w:val="20"/>
          <w:szCs w:val="20"/>
          <w:color w:val="auto"/>
        </w:rPr>
        <w:t>of Licensed Products containing each Blueprint Compound (together with the corresponding quality agreement, each a “</w:t>
      </w:r>
      <w:r>
        <w:rPr>
          <w:rFonts w:ascii="Arial" w:cs="Arial" w:eastAsia="Arial" w:hAnsi="Arial"/>
          <w:sz w:val="20"/>
          <w:szCs w:val="20"/>
          <w:b w:val="1"/>
          <w:bCs w:val="1"/>
          <w:color w:val="auto"/>
        </w:rPr>
        <w:t>Clinical Supply Agreement</w:t>
      </w:r>
      <w:r>
        <w:rPr>
          <w:rFonts w:ascii="Arial" w:cs="Arial" w:eastAsia="Arial" w:hAnsi="Arial"/>
          <w:sz w:val="20"/>
          <w:szCs w:val="20"/>
          <w:color w:val="auto"/>
        </w:rPr>
        <w:t>”) pursuant to which Zai will purchase from Blueprint its requirements of each such Licensed Product [****] as necessary for Zai to fulfill its obligations under this Agreement related to the Development of Licensed Products. [****] Pursuant to each Clinical Supply Agreement:</w:t>
      </w:r>
    </w:p>
    <w:p>
      <w:pPr>
        <w:spacing w:after="0" w:line="184" w:lineRule="exact"/>
        <w:rPr>
          <w:sz w:val="20"/>
          <w:szCs w:val="20"/>
          <w:color w:val="auto"/>
        </w:rPr>
      </w:pPr>
    </w:p>
    <w:p>
      <w:pPr>
        <w:jc w:val="both"/>
        <w:ind w:left="1880" w:hanging="495"/>
        <w:spacing w:after="0" w:line="245" w:lineRule="auto"/>
        <w:tabs>
          <w:tab w:leader="none" w:pos="188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Sole Supply</w:t>
      </w:r>
      <w:r>
        <w:rPr>
          <w:rFonts w:ascii="Arial" w:cs="Arial" w:eastAsia="Arial" w:hAnsi="Arial"/>
          <w:sz w:val="20"/>
          <w:szCs w:val="20"/>
          <w:color w:val="auto"/>
        </w:rPr>
        <w:t>. Blueprint will, subject to Section 7.2 (Supply by Zai) and any right for Zai to procure</w:t>
      </w:r>
      <w:r>
        <w:rPr>
          <w:rFonts w:ascii="Arial" w:cs="Arial" w:eastAsia="Arial" w:hAnsi="Arial"/>
          <w:sz w:val="20"/>
          <w:szCs w:val="20"/>
          <w:b w:val="1"/>
          <w:bCs w:val="1"/>
          <w:color w:val="auto"/>
        </w:rPr>
        <w:t xml:space="preserve"> </w:t>
      </w:r>
      <w:r>
        <w:rPr>
          <w:rFonts w:ascii="Arial" w:cs="Arial" w:eastAsia="Arial" w:hAnsi="Arial"/>
          <w:sz w:val="20"/>
          <w:szCs w:val="20"/>
          <w:color w:val="auto"/>
        </w:rPr>
        <w:t>its own supply as set forth in such Clinical Supply Agreement, have the sole right to, either by itself or through a CMO, Manufacture and supply to Zai all Blueprint Compounds and Licensed Products containing such Blueprint Compounds, required by Zai for Development use in the Territory as set forth in a Territory-Specific Development Plan and to perform Zai’s Development responsibilities under a Global Development Plan [****].</w:t>
      </w:r>
    </w:p>
    <w:p>
      <w:pPr>
        <w:spacing w:after="0" w:line="184" w:lineRule="exact"/>
        <w:rPr>
          <w:rFonts w:ascii="Arial" w:cs="Arial" w:eastAsia="Arial" w:hAnsi="Arial"/>
          <w:sz w:val="20"/>
          <w:szCs w:val="20"/>
          <w:color w:val="auto"/>
        </w:rPr>
      </w:pPr>
    </w:p>
    <w:p>
      <w:pPr>
        <w:jc w:val="both"/>
        <w:ind w:left="1880" w:hanging="495"/>
        <w:spacing w:after="0" w:line="248" w:lineRule="auto"/>
        <w:tabs>
          <w:tab w:leader="none" w:pos="188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Supply Price</w:t>
      </w:r>
      <w:r>
        <w:rPr>
          <w:rFonts w:ascii="Arial" w:cs="Arial" w:eastAsia="Arial" w:hAnsi="Arial"/>
          <w:sz w:val="20"/>
          <w:szCs w:val="20"/>
          <w:color w:val="auto"/>
        </w:rPr>
        <w:t>. Blueprint will supply the Blueprint Compounds and Licensed Products to Zai</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Section 7.1.1 (Development Supply) at a transfer price equal to [****], and Zai will pay such invoice, based on a payment schedule to be set forth in the Clinical Supply Agreement and in accordance with Section 7.1.3 (Shipment and Delivery).</w:t>
      </w:r>
    </w:p>
    <w:p>
      <w:pPr>
        <w:spacing w:after="0" w:line="183" w:lineRule="exact"/>
        <w:rPr>
          <w:sz w:val="20"/>
          <w:szCs w:val="20"/>
          <w:color w:val="auto"/>
        </w:rPr>
      </w:pPr>
    </w:p>
    <w:p>
      <w:pPr>
        <w:jc w:val="both"/>
        <w:ind w:left="1380" w:hanging="647"/>
        <w:spacing w:after="0" w:line="280" w:lineRule="auto"/>
        <w:tabs>
          <w:tab w:leader="none" w:pos="136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b w:val="1"/>
          <w:bCs w:val="1"/>
          <w:color w:val="auto"/>
        </w:rPr>
        <w:t>Commercial Supply</w:t>
      </w:r>
      <w:r>
        <w:rPr>
          <w:rFonts w:ascii="Arial" w:cs="Arial" w:eastAsia="Arial" w:hAnsi="Arial"/>
          <w:sz w:val="18"/>
          <w:szCs w:val="18"/>
          <w:color w:val="auto"/>
        </w:rPr>
        <w:t>. [****] the Parties will enter into a commercial supply agreement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quality agreement, the “</w:t>
      </w:r>
      <w:r>
        <w:rPr>
          <w:rFonts w:ascii="Arial" w:cs="Arial" w:eastAsia="Arial" w:hAnsi="Arial"/>
          <w:sz w:val="18"/>
          <w:szCs w:val="18"/>
          <w:b w:val="1"/>
          <w:bCs w:val="1"/>
          <w:color w:val="auto"/>
        </w:rPr>
        <w:t>Commercial Supply Agreement</w:t>
      </w:r>
      <w:r>
        <w:rPr>
          <w:rFonts w:ascii="Arial" w:cs="Arial" w:eastAsia="Arial" w:hAnsi="Arial"/>
          <w:sz w:val="18"/>
          <w:szCs w:val="18"/>
          <w:color w:val="auto"/>
        </w:rPr>
        <w:t>”), for the supply to Zai of (a) the [****] of each Licensed Product or such other form of such Licensed Product as the JSC may agree, in either case, until [****], and (b) until [****] Licensed Product, pursuant to which Zai will purchase from Blueprint its requirements of the same as necessary for Zai to fulfill its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5" w:name="page286"/>
    <w:bookmarkEnd w:id="285"/>
    <w:p>
      <w:pPr>
        <w:jc w:val="both"/>
        <w:ind w:left="1380"/>
        <w:spacing w:after="0" w:line="259" w:lineRule="auto"/>
        <w:rPr>
          <w:sz w:val="20"/>
          <w:szCs w:val="20"/>
          <w:color w:val="auto"/>
        </w:rPr>
      </w:pPr>
      <w:r>
        <w:rPr>
          <w:rFonts w:ascii="Arial" w:cs="Arial" w:eastAsia="Arial" w:hAnsi="Arial"/>
          <w:sz w:val="19"/>
          <w:szCs w:val="19"/>
          <w:color w:val="auto"/>
        </w:rPr>
        <w:t>Agreement related to the Manufacture and Commercialization of each Licensed Product in the Territory. Notwithstanding the entrance into any Commercial Supply Agreement, [****]. The Parties may also elect to amend the terms of a Commercial Supply Agreement into which the Parties have entered to contemplate the commercial supply to Zai of one or more additional Licensed Products in lieu of entering into a separate Commercial Supply Agreement for such Licensed Product. [****] Pursuant to all Commercial Supply Agreements for Licensed Products in the Territory:</w:t>
      </w:r>
    </w:p>
    <w:p>
      <w:pPr>
        <w:spacing w:after="0" w:line="172" w:lineRule="exact"/>
        <w:rPr>
          <w:sz w:val="20"/>
          <w:szCs w:val="20"/>
          <w:color w:val="auto"/>
        </w:rPr>
      </w:pPr>
    </w:p>
    <w:p>
      <w:pPr>
        <w:jc w:val="both"/>
        <w:ind w:left="1880" w:hanging="495"/>
        <w:spacing w:after="0" w:line="246" w:lineRule="auto"/>
        <w:tabs>
          <w:tab w:leader="none" w:pos="188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Sole Supply</w:t>
      </w:r>
      <w:r>
        <w:rPr>
          <w:rFonts w:ascii="Arial" w:cs="Arial" w:eastAsia="Arial" w:hAnsi="Arial"/>
          <w:sz w:val="20"/>
          <w:szCs w:val="20"/>
          <w:color w:val="auto"/>
        </w:rPr>
        <w:t>. Subject to Section 7.2 (Supply by Zai) and any right for Zai to procure its own supply</w:t>
      </w:r>
      <w:r>
        <w:rPr>
          <w:rFonts w:ascii="Arial" w:cs="Arial" w:eastAsia="Arial" w:hAnsi="Arial"/>
          <w:sz w:val="20"/>
          <w:szCs w:val="20"/>
          <w:b w:val="1"/>
          <w:bCs w:val="1"/>
          <w:color w:val="auto"/>
        </w:rPr>
        <w:t xml:space="preserve"> </w:t>
      </w:r>
      <w:r>
        <w:rPr>
          <w:rFonts w:ascii="Arial" w:cs="Arial" w:eastAsia="Arial" w:hAnsi="Arial"/>
          <w:sz w:val="20"/>
          <w:szCs w:val="20"/>
          <w:color w:val="auto"/>
        </w:rPr>
        <w:t>as set forth in such Commercial Supply Agreement, Blueprint will have the sole right to, either by itself or through an Affiliate, CMO, or licensee, Manufacture and supply to Zai all such Licensed Products as required by Zai for Commercialization in the Territory in accordance with this Agreement. The Commercial Supply Agreement will [****].</w:t>
      </w:r>
    </w:p>
    <w:p>
      <w:pPr>
        <w:spacing w:after="0" w:line="184" w:lineRule="exact"/>
        <w:rPr>
          <w:rFonts w:ascii="Arial" w:cs="Arial" w:eastAsia="Arial" w:hAnsi="Arial"/>
          <w:sz w:val="20"/>
          <w:szCs w:val="20"/>
          <w:color w:val="auto"/>
        </w:rPr>
      </w:pPr>
    </w:p>
    <w:p>
      <w:pPr>
        <w:ind w:left="1880" w:hanging="495"/>
        <w:spacing w:after="0" w:line="246" w:lineRule="auto"/>
        <w:tabs>
          <w:tab w:leader="none" w:pos="188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Supply Price</w:t>
      </w:r>
      <w:r>
        <w:rPr>
          <w:rFonts w:ascii="Arial" w:cs="Arial" w:eastAsia="Arial" w:hAnsi="Arial"/>
          <w:sz w:val="20"/>
          <w:szCs w:val="20"/>
          <w:color w:val="auto"/>
        </w:rPr>
        <w:t>. Blueprint will supply to Zai pursuant to this Section 7.1.2 (Commercial Supply) each</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(or Active Ingredient thereof, as applicable) at a transfer price equal to [****]. Blueprint will invoice Zai for such Licensed Products, and Zai will pay such invoice, based on a payment schedule to be set forth in the Commercial Supply Agreement and in accordance with Section 7.1.3 (Shipment and Delivery).</w:t>
      </w:r>
    </w:p>
    <w:p>
      <w:pPr>
        <w:spacing w:after="0" w:line="185" w:lineRule="exact"/>
        <w:rPr>
          <w:sz w:val="20"/>
          <w:szCs w:val="20"/>
          <w:color w:val="auto"/>
        </w:rPr>
      </w:pPr>
    </w:p>
    <w:p>
      <w:pPr>
        <w:jc w:val="both"/>
        <w:ind w:left="1380" w:right="20" w:hanging="647"/>
        <w:spacing w:after="0" w:line="323" w:lineRule="auto"/>
        <w:tabs>
          <w:tab w:leader="none" w:pos="136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8"/>
          <w:szCs w:val="18"/>
          <w:b w:val="1"/>
          <w:bCs w:val="1"/>
          <w:color w:val="auto"/>
        </w:rPr>
        <w:t>Shipment and Delivery</w:t>
      </w:r>
      <w:r>
        <w:rPr>
          <w:rFonts w:ascii="Arial" w:cs="Arial" w:eastAsia="Arial" w:hAnsi="Arial"/>
          <w:sz w:val="18"/>
          <w:szCs w:val="18"/>
          <w:color w:val="auto"/>
        </w:rPr>
        <w:t>. Delivery of all Blueprint Compounds and Licensed Products supplied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Blueprint under any Clinical Supply Agreement or Commercial Supply Agreement will take place [****].</w:t>
      </w:r>
    </w:p>
    <w:p>
      <w:pPr>
        <w:spacing w:after="0" w:line="1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Supply by Zai</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44" w:lineRule="auto"/>
        <w:tabs>
          <w:tab w:leader="none" w:pos="136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20"/>
          <w:szCs w:val="20"/>
          <w:b w:val="1"/>
          <w:bCs w:val="1"/>
          <w:color w:val="auto"/>
        </w:rPr>
        <w:t>Restriction on Manufacturing by Zai</w:t>
      </w:r>
      <w:r>
        <w:rPr>
          <w:rFonts w:ascii="Arial" w:cs="Arial" w:eastAsia="Arial" w:hAnsi="Arial"/>
          <w:sz w:val="20"/>
          <w:szCs w:val="20"/>
          <w:color w:val="auto"/>
        </w:rPr>
        <w:t>. Zai will not Manufacture or have Manufactured any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or any Licensed Product that contains such Blueprint Compound until the completion of a Manufacturing Technology Transfer for the applicable Blueprint Compound in accordance with Section 4.2 (Manufacturing Technology Transfer). Notwithstanding any provision to the contrary in this Agreement, unless otherwise subsequently agreed by Blueprint in a Clinical Supply Agreement or Commercial Supply Agreement, or otherwise in writing, in no event will Zai perform any step in the Manufacturing process for any Licensed Product [****].</w:t>
      </w:r>
    </w:p>
    <w:p>
      <w:pPr>
        <w:spacing w:after="0" w:line="186" w:lineRule="exact"/>
        <w:rPr>
          <w:sz w:val="20"/>
          <w:szCs w:val="20"/>
          <w:color w:val="auto"/>
        </w:rPr>
      </w:pPr>
    </w:p>
    <w:p>
      <w:pPr>
        <w:jc w:val="both"/>
        <w:ind w:left="1380" w:hanging="647"/>
        <w:spacing w:after="0" w:line="259" w:lineRule="auto"/>
        <w:tabs>
          <w:tab w:leader="none" w:pos="13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9"/>
          <w:szCs w:val="19"/>
          <w:b w:val="1"/>
          <w:bCs w:val="1"/>
          <w:color w:val="auto"/>
        </w:rPr>
        <w:t>Clinical and Commercial Supply</w:t>
      </w:r>
      <w:r>
        <w:rPr>
          <w:rFonts w:ascii="Arial" w:cs="Arial" w:eastAsia="Arial" w:hAnsi="Arial"/>
          <w:sz w:val="19"/>
          <w:szCs w:val="19"/>
          <w:color w:val="auto"/>
        </w:rPr>
        <w:t>. Following [****], Zai will Manufacture locally-Manufactured</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Products in the Territory for Development purposes or commercial use, as applicable, and will be responsible for all Manufacturing steps transferred to Zai under a Manufacturing Technology Transfer Plan, in each case, in the Territory [****]. Zai agrees that Zai’s Manufacturing process with respect to each locally-Manufactured Licensed Product will at all times be in accordance with the Zai Specifications for such Licensed Product approved by Blueprint pursuant to Section 7.2.3 (Specifications) and cGMP and ICH Guidelines, and in compliance with Applicable Law.</w:t>
      </w:r>
    </w:p>
    <w:p>
      <w:pPr>
        <w:spacing w:after="0" w:line="172" w:lineRule="exact"/>
        <w:rPr>
          <w:sz w:val="20"/>
          <w:szCs w:val="20"/>
          <w:color w:val="auto"/>
        </w:rPr>
      </w:pPr>
    </w:p>
    <w:p>
      <w:pPr>
        <w:jc w:val="both"/>
        <w:ind w:left="1380" w:hanging="647"/>
        <w:spacing w:after="0" w:line="246" w:lineRule="auto"/>
        <w:tabs>
          <w:tab w:leader="none" w:pos="1360" w:val="left"/>
        </w:tabs>
        <w:rPr>
          <w:sz w:val="20"/>
          <w:szCs w:val="20"/>
          <w:color w:val="auto"/>
        </w:rPr>
      </w:pPr>
      <w:r>
        <w:rPr>
          <w:rFonts w:ascii="Arial" w:cs="Arial" w:eastAsia="Arial" w:hAnsi="Arial"/>
          <w:sz w:val="20"/>
          <w:szCs w:val="20"/>
          <w:color w:val="auto"/>
        </w:rPr>
        <w:t>7.2.3</w:t>
      </w:r>
      <w:r>
        <w:rPr>
          <w:sz w:val="20"/>
          <w:szCs w:val="20"/>
          <w:color w:val="auto"/>
        </w:rPr>
        <w:tab/>
      </w:r>
      <w:r>
        <w:rPr>
          <w:rFonts w:ascii="Arial" w:cs="Arial" w:eastAsia="Arial" w:hAnsi="Arial"/>
          <w:sz w:val="20"/>
          <w:szCs w:val="20"/>
          <w:b w:val="1"/>
          <w:bCs w:val="1"/>
          <w:color w:val="auto"/>
        </w:rPr>
        <w:t>Specifications</w:t>
      </w:r>
      <w:r>
        <w:rPr>
          <w:rFonts w:ascii="Arial" w:cs="Arial" w:eastAsia="Arial" w:hAnsi="Arial"/>
          <w:sz w:val="20"/>
          <w:szCs w:val="20"/>
          <w:color w:val="auto"/>
        </w:rPr>
        <w:t>. Unless the JSC determines that Zai will be granted rights only to package and label, but</w:t>
      </w:r>
      <w:r>
        <w:rPr>
          <w:rFonts w:ascii="Arial" w:cs="Arial" w:eastAsia="Arial" w:hAnsi="Arial"/>
          <w:sz w:val="20"/>
          <w:szCs w:val="20"/>
          <w:b w:val="1"/>
          <w:bCs w:val="1"/>
          <w:color w:val="auto"/>
        </w:rPr>
        <w:t xml:space="preserve"> </w:t>
      </w:r>
      <w:r>
        <w:rPr>
          <w:rFonts w:ascii="Arial" w:cs="Arial" w:eastAsia="Arial" w:hAnsi="Arial"/>
          <w:sz w:val="20"/>
          <w:szCs w:val="20"/>
          <w:color w:val="auto"/>
        </w:rPr>
        <w:t>not otherwise Manufacture, a particular Licensed Product for Development or Commercialization purposes in the Territory, as part of the Manufacturing Technology Transfer for each Blueprint Compound and the Licensed Products containing such Blueprint Compound, Blueprint will provide Zai with Blueprint’s written process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6" w:name="page287"/>
    <w:bookmarkEnd w:id="286"/>
    <w:p>
      <w:pPr>
        <w:jc w:val="both"/>
        <w:ind w:left="1380"/>
        <w:spacing w:after="0" w:line="268" w:lineRule="auto"/>
        <w:rPr>
          <w:sz w:val="20"/>
          <w:szCs w:val="20"/>
          <w:color w:val="auto"/>
        </w:rPr>
      </w:pPr>
      <w:r>
        <w:rPr>
          <w:rFonts w:ascii="Arial" w:cs="Arial" w:eastAsia="Arial" w:hAnsi="Arial"/>
          <w:sz w:val="18"/>
          <w:szCs w:val="18"/>
          <w:color w:val="auto"/>
        </w:rPr>
        <w:t>quality specifications for the Manufacturing drug product of such Licensed Product (the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Specifications</w:t>
      </w:r>
      <w:r>
        <w:rPr>
          <w:rFonts w:ascii="Arial" w:cs="Arial" w:eastAsia="Arial" w:hAnsi="Arial"/>
          <w:sz w:val="18"/>
          <w:szCs w:val="18"/>
          <w:color w:val="auto"/>
        </w:rPr>
        <w:t>”). Zai will prepare written process and quality specifications for the Manufacture of drug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of such Licensed Products applicable to Zai’s Manufacturing facilities, systems, processes, and capabilities, including how the foregoing relate to drug substance, drug product, in-process intermediates, raw materials, and reference material (the “</w:t>
      </w:r>
      <w:r>
        <w:rPr>
          <w:rFonts w:ascii="Arial" w:cs="Arial" w:eastAsia="Arial" w:hAnsi="Arial"/>
          <w:sz w:val="18"/>
          <w:szCs w:val="18"/>
          <w:b w:val="1"/>
          <w:bCs w:val="1"/>
          <w:color w:val="auto"/>
        </w:rPr>
        <w:t>Zai Specifications</w:t>
      </w:r>
      <w:r>
        <w:rPr>
          <w:rFonts w:ascii="Arial" w:cs="Arial" w:eastAsia="Arial" w:hAnsi="Arial"/>
          <w:sz w:val="18"/>
          <w:szCs w:val="18"/>
          <w:color w:val="auto"/>
        </w:rPr>
        <w:t>”), which Zai Specifications will be consistent in all respects with the Blueprint Specifications for such Licensed Product, unless the requirements of any Regulatory Authority or Applicable Law in the Territory necessitate any deviations from such Blueprint Specifications. Zai will provide to Blueprint all such Zai Specifications (and any subsequent changes thereto) for Blueprint’s review, comment and approval. In addition, Zai will promptly provide to Blueprint for its review and approval any changes to the Zai Specifications for any Licensed Product at any time following Blueprint’s approval of the Zai Specifications for such Licensed Product, and will provide such proposed amendment to Blueprint for Blueprint’s review, comment and approval in accordance with the procedure described below. [****] Blueprint will either (a) approve the Zai Specifications for such Licensed Product (or any changes thereto), or (b) provide Zai with a written response to the Zai Specifications for such Licensed Product (or such changes thereto) that includes a description of any deficiencies or limitations that Blueprint has identified with respect thereto, and the Parties will cooperate to develop a plan for remediation with respect to any such deficiencies or limitations within a reasonable period of time thereafter. Following Zai’s remediation of all deficiencies, Zai will provide Blueprint with a revised draft of the Zai Specifications for the applicable Licensed Product (or any subsequent changes to any Zai Specifications) for Blueprint’s review and approval. Thereafter, and on a continuing basis for so long as Zai Manufactures a particular Licensed Product, Zai will (i) Manufacture and require its Affiliates and CMOs to Manufacture such Licensed Product is at all times in accordance with the Blueprint-approved Zai Specifications for such Licensed Product and cGMP and ICH Guidelines, and (ii) complete any additional studies or testing required to maintain any qualifications and Regulatory Approvals (including manufacturing licenses) from any Regulatory Authorities or other Governmental Authorities necessary to continue to Manufacture such Licensed Product in the Territory and provide to Blueprint copies of reports from any such additional studies or testing in English[****].</w:t>
      </w:r>
    </w:p>
    <w:p>
      <w:pPr>
        <w:spacing w:after="0" w:line="172" w:lineRule="exact"/>
        <w:rPr>
          <w:sz w:val="20"/>
          <w:szCs w:val="20"/>
          <w:color w:val="auto"/>
        </w:rPr>
      </w:pPr>
    </w:p>
    <w:p>
      <w:pPr>
        <w:jc w:val="both"/>
        <w:ind w:left="1380" w:hanging="647"/>
        <w:spacing w:after="0" w:line="277" w:lineRule="auto"/>
        <w:tabs>
          <w:tab w:leader="none" w:pos="1360" w:val="left"/>
        </w:tabs>
        <w:rPr>
          <w:sz w:val="20"/>
          <w:szCs w:val="20"/>
          <w:color w:val="auto"/>
        </w:rPr>
      </w:pPr>
      <w:r>
        <w:rPr>
          <w:rFonts w:ascii="Arial" w:cs="Arial" w:eastAsia="Arial" w:hAnsi="Arial"/>
          <w:sz w:val="20"/>
          <w:szCs w:val="20"/>
          <w:color w:val="auto"/>
        </w:rPr>
        <w:t>7.2.4</w:t>
      </w:r>
      <w:r>
        <w:rPr>
          <w:sz w:val="20"/>
          <w:szCs w:val="20"/>
          <w:color w:val="auto"/>
        </w:rPr>
        <w:tab/>
      </w:r>
      <w:r>
        <w:rPr>
          <w:rFonts w:ascii="Arial" w:cs="Arial" w:eastAsia="Arial" w:hAnsi="Arial"/>
          <w:sz w:val="18"/>
          <w:szCs w:val="18"/>
          <w:b w:val="1"/>
          <w:bCs w:val="1"/>
          <w:color w:val="auto"/>
        </w:rPr>
        <w:t>Second Source of Supply</w:t>
      </w:r>
      <w:r>
        <w:rPr>
          <w:rFonts w:ascii="Arial" w:cs="Arial" w:eastAsia="Arial" w:hAnsi="Arial"/>
          <w:sz w:val="18"/>
          <w:szCs w:val="18"/>
          <w:color w:val="auto"/>
        </w:rPr>
        <w:t>. Blueprint will have the right at any time during the Term to request that Zai</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back-up supplier of one or more Licensed Products for use by Blueprint inside or outside of the Territory. Upon Blueprint’s request, and Zai’s agreement, following completion of the Manufacturing Technology Transfer with respect to a Blueprint Compound and the Licensed Products containing such Blueprint Compound, Zai will supply such Licensed Products to Blueprint for Blueprint’s Exploitation of such Licensed Products outside of the Territory, as a second source of supply, at a price equal to [****].</w:t>
      </w:r>
    </w:p>
    <w:p>
      <w:pPr>
        <w:spacing w:after="0" w:line="16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20"/>
          <w:szCs w:val="20"/>
          <w:b w:val="1"/>
          <w:bCs w:val="1"/>
          <w:color w:val="auto"/>
        </w:rPr>
        <w:t>Product Tracking in the Territory</w:t>
      </w:r>
      <w:r>
        <w:rPr>
          <w:rFonts w:ascii="Arial" w:cs="Arial" w:eastAsia="Arial" w:hAnsi="Arial"/>
          <w:sz w:val="20"/>
          <w:szCs w:val="20"/>
          <w:color w:val="auto"/>
        </w:rPr>
        <w:t>. Zai will, and will ensure that its Affiliates and Sublicensees, maintain adequate</w:t>
      </w:r>
      <w:r>
        <w:rPr>
          <w:rFonts w:ascii="Arial" w:cs="Arial" w:eastAsia="Arial" w:hAnsi="Arial"/>
          <w:sz w:val="20"/>
          <w:szCs w:val="20"/>
          <w:b w:val="1"/>
          <w:bCs w:val="1"/>
          <w:color w:val="auto"/>
        </w:rPr>
        <w:t xml:space="preserve"> </w:t>
      </w:r>
      <w:r>
        <w:rPr>
          <w:rFonts w:ascii="Arial" w:cs="Arial" w:eastAsia="Arial" w:hAnsi="Arial"/>
          <w:sz w:val="20"/>
          <w:szCs w:val="20"/>
          <w:color w:val="auto"/>
        </w:rPr>
        <w:t>records to permit the Parties to trace the distribution, sale, and use of all Licensed Products to hospitals and pharmacies in the Territory.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MEDICAL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7" w:name="page288"/>
    <w:bookmarkEnd w:id="287"/>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Medical Affairs Plans</w:t>
      </w:r>
      <w:r>
        <w:rPr>
          <w:rFonts w:ascii="Arial" w:cs="Arial" w:eastAsia="Arial" w:hAnsi="Arial"/>
          <w:sz w:val="18"/>
          <w:szCs w:val="18"/>
          <w:color w:val="auto"/>
        </w:rPr>
        <w:t>. [****] Zai will develop and provide an initial draft of the Medical Affairs Plan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to the JPT for its review and discussion. The Medical Affairs Plan for a Licensed Product will contain a [****] of the major Medical Affairs activities to be undertaken for such Licensed Product in the Territory and the estimated timelines for performing such activities, including all key opinion leaders that Zai plans to engage. The JPT will have the right to comment on each such Medical Affairs Plan and each update thereto, and Zai will consider such comments [****] and incorporate such comments [****] prior to finalizing each such Medical Affairs Plan (or any update thereto). Thereafter, from time to time, [****] Zai will propose updates to the Medical Affairs Plan for each Licensed Product in consultation with the JPT to reflect changes in such plans, including to account for relevant factors that may influence such plan and the Medical Affairs activities set forth therein. Zai submit each initial Medical Affairs Plan and each such proposed updated Medical Affairs Plan to the JSC. The JSC will review, discuss, and determine whether to approve each initial Medical Affairs Plan for each Licensed Product and each update thereto. Once approved by the JSC, each update to a Medical Affairs Plan for a Licensed Product will become effective and supersede the then-current Medical Affairs Plan for such Licensed Product.</w:t>
      </w:r>
    </w:p>
    <w:p>
      <w:pPr>
        <w:spacing w:after="0" w:line="172"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20"/>
          <w:szCs w:val="20"/>
          <w:b w:val="1"/>
          <w:bCs w:val="1"/>
          <w:color w:val="auto"/>
        </w:rPr>
        <w:t>Conduct of Medical Affairs Activities</w:t>
      </w:r>
      <w:r>
        <w:rPr>
          <w:rFonts w:ascii="Arial" w:cs="Arial" w:eastAsia="Arial" w:hAnsi="Arial"/>
          <w:sz w:val="20"/>
          <w:szCs w:val="20"/>
          <w:color w:val="auto"/>
        </w:rPr>
        <w:t>. Zai will conduct all Medical Affairs activities for Licensed Products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in accordance with the applicable Medical Affairs Plan. Zai will not conduct any Medical Affairs activities with respect to Licensed Products except for those activities set forth in an applicable Medical Affairs Plan. Zai will, subject to Applicable Laws, conduct such activities in compliance with its internal policies on engaging and sponsoring healthcare providers.</w:t>
      </w:r>
    </w:p>
    <w:p>
      <w:pPr>
        <w:spacing w:after="0" w:line="185"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Medical Affairs Reports</w:t>
      </w:r>
      <w:r>
        <w:rPr>
          <w:rFonts w:ascii="Arial" w:cs="Arial" w:eastAsia="Arial" w:hAnsi="Arial"/>
          <w:sz w:val="18"/>
          <w:szCs w:val="18"/>
          <w:color w:val="auto"/>
        </w:rPr>
        <w:t>. For each Calendar Year following the first Regulatory Approval for a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Territory, [****] Zai will provide to Blueprint a report (by means of a slide presentation or otherwise) summarizing the Medical Affairs activities performed by or on behalf of Zai and its Affiliates and Sublicensees in the Territory for each Licensed Product in each region in the Territory since the prior report provided by Zai. Such reports will be Confidential Information of Zai and subject to the terms of Article 11 (Confidentiality; Publication). Zai will provide [****] updates [****] to any such report at each meeting of the JSC, JPT, and any Working Group established by the JSC to oversee Medical Affairs activities under this Agreement.</w:t>
      </w:r>
    </w:p>
    <w:p>
      <w:pPr>
        <w:spacing w:after="0" w:line="162"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8"/>
          <w:szCs w:val="18"/>
          <w:b w:val="1"/>
          <w:bCs w:val="1"/>
          <w:color w:val="auto"/>
        </w:rPr>
        <w:t>Coordination of Medical Affairs Activities</w:t>
      </w:r>
      <w:r>
        <w:rPr>
          <w:rFonts w:ascii="Arial" w:cs="Arial" w:eastAsia="Arial" w:hAnsi="Arial"/>
          <w:sz w:val="18"/>
          <w:szCs w:val="18"/>
          <w:color w:val="auto"/>
        </w:rPr>
        <w:t>. The Parties recognize that each Party may benefit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coordination of certain Medical Affairs activities for the Licensed Products inside and outside of the Territory. Accordingly, the Parties will coordinate such activities through the JPT where appropriate, including to ensure that medical information provided by each Party in their respective territories is consistent inside and outside of the Territory. Upon Zai’s request, Blueprint will provide an update on Blueprint’s material planned key Medical Affairs activities with respect to the Licensed Products outside the Territory at regularly scheduled meetings of the JSC.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COMMERCIALIZATION</w:t>
      </w:r>
    </w:p>
    <w:p>
      <w:pPr>
        <w:spacing w:after="0" w:line="19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Commercialization Diligence Obligations</w:t>
      </w:r>
      <w:r>
        <w:rPr>
          <w:rFonts w:ascii="Arial" w:cs="Arial" w:eastAsia="Arial" w:hAnsi="Arial"/>
          <w:sz w:val="19"/>
          <w:szCs w:val="19"/>
          <w:color w:val="auto"/>
        </w:rPr>
        <w:t>. Zai will be solely responsible for and will use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Efforts to Commercialize each Licensed Product in each region in the Territory after receiving Regulatory Approval and, if applicable, Reimbursement Approval for such Licensed Product in such region. Zai will conduct all Commercialization of each Licensed Product in the Territory in accordance with the Commercialization Plan for such Licensed Product, at its sole cost and expense.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288" w:name="page289"/>
    <w:bookmarkEnd w:id="288"/>
    <w:p>
      <w:pPr>
        <w:jc w:val="both"/>
        <w:ind w:left="640" w:hanging="647"/>
        <w:spacing w:after="0" w:line="268" w:lineRule="auto"/>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b w:val="1"/>
          <w:bCs w:val="1"/>
          <w:color w:val="auto"/>
        </w:rPr>
        <w:t>Commercialization Plans</w:t>
      </w:r>
      <w:r>
        <w:rPr>
          <w:rFonts w:ascii="Arial" w:cs="Arial" w:eastAsia="Arial" w:hAnsi="Arial"/>
          <w:sz w:val="18"/>
          <w:szCs w:val="18"/>
          <w:color w:val="auto"/>
        </w:rPr>
        <w:t>. [****] Zai will develop and provide an initial draft of the Commercialization Plan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Licensed Product to the JPT for its review and discussion. The Commercialization Plan for a Licensed Product will contain [****] Commercialization activities to be undertaken (including [****]) for such Licensed Product in the Territory and the estimated timelines for achieving such activities. The JPT will have the right to comment on each such Commercialization Plan and Zai will consider such comments [****] and incorporate such comments [****] prior to finalizing each such Commercialization Plan. Thereafter, from time to time, [****] Zai will propose updates to the Commercialization Plan for each Licensed Product in consultation with the JPT to reflect changes in such plans, including those in response to changes in the marketplace, relative commercial success of the applicable Licensed Product, and other relevant factors that may influence such plan and the Commercialization activities set forth therein. Zai will submit each proposed updated Commercialization Plan for a Licensed Product to the JPT for review and discussion and will consider [****] and incorporate [****] any comments thereon provided by the JPT before finalizing any such update. Zai submit each initial Commercialization Plan and each such proposed updated Commercialization Plan to the JSC. The JSC will review, discuss, and determine whether to approve each initial Commercialization Plan for each Licensed Product and each update thereto. Once approved by the JSC, each update to a Commercialization Plan for a Licensed Product will become effective and supersede the then-current Commercialization Plan for such Licensed Product. Each Commercialization Plan for a Licensed Product (including each update thereto) must be consistent with Blueprint’s global brand strategy and global key messaging, and Global Brand Elements for such Licensed Product (each, a “</w:t>
      </w:r>
      <w:r>
        <w:rPr>
          <w:rFonts w:ascii="Arial" w:cs="Arial" w:eastAsia="Arial" w:hAnsi="Arial"/>
          <w:sz w:val="18"/>
          <w:szCs w:val="18"/>
          <w:b w:val="1"/>
          <w:bCs w:val="1"/>
          <w:color w:val="auto"/>
        </w:rPr>
        <w:t>Global Brand Strategy</w:t>
      </w:r>
      <w:r>
        <w:rPr>
          <w:rFonts w:ascii="Arial" w:cs="Arial" w:eastAsia="Arial" w:hAnsi="Arial"/>
          <w:sz w:val="18"/>
          <w:szCs w:val="18"/>
          <w:color w:val="auto"/>
        </w:rPr>
        <w:t xml:space="preserve">”), if and as provided to Zai by Blueprint from time to time during the Term;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JSC agrees upon brand strategy for a Licensed Product that is specific to the Territory (or any region therein) and that is inconsistent with the Global Brand Strategy for such Licensed Product (including any product positioning or messaging for the Territory or any region therein), then Zai will have the right to implement such Territory-specific brand strategy within the Territory and to incorporate such inconsistent strategies in the Commercialization Plan for such Licensed Product.</w:t>
      </w:r>
    </w:p>
    <w:p>
      <w:pPr>
        <w:spacing w:after="0" w:line="178"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20"/>
          <w:szCs w:val="20"/>
          <w:b w:val="1"/>
          <w:bCs w:val="1"/>
          <w:color w:val="auto"/>
        </w:rPr>
        <w:t>Conduct of Commercialization Activities</w:t>
      </w:r>
      <w:r>
        <w:rPr>
          <w:rFonts w:ascii="Arial" w:cs="Arial" w:eastAsia="Arial" w:hAnsi="Arial"/>
          <w:sz w:val="20"/>
          <w:szCs w:val="20"/>
          <w:color w:val="auto"/>
        </w:rPr>
        <w:t>. Zai will conduct all Commercialization of Licensed Products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in accordance with the applicable Commercialization Plan. Zai will not conduct any Commercialization activities with respect to Licensed Products except for those activities set forth in an applicable Commercialization Plan.</w:t>
      </w:r>
    </w:p>
    <w:p>
      <w:pPr>
        <w:spacing w:after="0" w:line="183"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Commercialization Reports</w:t>
      </w:r>
      <w:r>
        <w:rPr>
          <w:rFonts w:ascii="Arial" w:cs="Arial" w:eastAsia="Arial" w:hAnsi="Arial"/>
          <w:sz w:val="19"/>
          <w:szCs w:val="19"/>
          <w:color w:val="auto"/>
        </w:rPr>
        <w:t>. For each Calendar Year following the first Regulatory Approval for a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 the Territory, [****] Zai will provide to Blueprint a report [****] summarizing the Commercialization activities performed by or on behalf of Zai and its Affiliates and Sublicensees in the Territory for each Licensed Product in each region in the Territory since the prior report provided by Zai. Each such report will contain sufficient detail to enable Blueprint to assess Zai’s compliance with its Commercialization diligence obligations set forth in Section 9.1 (Commercialization Diligence Obligations). Such reports will be Confidential Information of Zai and subject to the terms of Article 11 (Confidentiality; Publication). Zai will provide updates to any such report at each meeting of the JSC, JPT, and any Working Group established by the JSC to oversee Commercialization activities under this Agreement.</w:t>
      </w:r>
    </w:p>
    <w:p>
      <w:pPr>
        <w:spacing w:after="0" w:line="176"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8"/>
          <w:szCs w:val="18"/>
          <w:b w:val="1"/>
          <w:bCs w:val="1"/>
          <w:color w:val="auto"/>
        </w:rPr>
        <w:t>Coordination of Commercialization Activities</w:t>
      </w:r>
      <w:r>
        <w:rPr>
          <w:rFonts w:ascii="Arial" w:cs="Arial" w:eastAsia="Arial" w:hAnsi="Arial"/>
          <w:sz w:val="18"/>
          <w:szCs w:val="18"/>
          <w:color w:val="auto"/>
        </w:rPr>
        <w:t>. The Parties recognize that each Party may benefit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coordination of certain Commercialization activities for the Licensed Products inside and outside of the Territory (other than pricing for the Licensed Products inside and outside of the Territory, the responsibilities for which are set forth in Section 9.6 (Pricing; Reimbursement Approvals)). Accordingly, the Parties will coordinate such activities through the JPT where appropriate, which coordination may include communications regarding product positioning.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289" w:name="page290"/>
    <w:bookmarkEnd w:id="289"/>
    <w:p>
      <w:pPr>
        <w:jc w:val="both"/>
        <w:ind w:left="660" w:hanging="647"/>
        <w:spacing w:after="0" w:line="277" w:lineRule="auto"/>
        <w:tabs>
          <w:tab w:leader="none" w:pos="64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8"/>
          <w:szCs w:val="18"/>
          <w:b w:val="1"/>
          <w:bCs w:val="1"/>
          <w:color w:val="auto"/>
        </w:rPr>
        <w:t>Pricing; Reimbursement Approvals</w:t>
      </w:r>
      <w:r>
        <w:rPr>
          <w:rFonts w:ascii="Arial" w:cs="Arial" w:eastAsia="Arial" w:hAnsi="Arial"/>
          <w:sz w:val="18"/>
          <w:szCs w:val="18"/>
          <w:color w:val="auto"/>
        </w:rPr>
        <w:t>. Notwithstanding any provision to the contrary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will have the right to determine the price of the Licensed Products sold in its territory and neither Party will have the right to direct, control, or approve the pricing of the Licensed Products in the other Party’s territory. Zai will keep Blueprint timely informed on (a) any [****] changes to the [****] pricing strategies with respect to any Licensed Product in the Territory, and (b) the status of any application for Reimbursement Approval for a Licensed Product in the Territory, including any discussion with any Regulatory Authority with respect thereto.</w:t>
      </w:r>
    </w:p>
    <w:p>
      <w:pPr>
        <w:spacing w:after="0" w:line="1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8"/>
          <w:szCs w:val="18"/>
          <w:b w:val="1"/>
          <w:bCs w:val="1"/>
          <w:color w:val="auto"/>
        </w:rPr>
        <w:t>Diversion</w:t>
      </w:r>
      <w:r>
        <w:rPr>
          <w:rFonts w:ascii="Arial" w:cs="Arial" w:eastAsia="Arial" w:hAnsi="Arial"/>
          <w:sz w:val="18"/>
          <w:szCs w:val="18"/>
          <w:color w:val="auto"/>
        </w:rPr>
        <w:t>. Each Party agrees that it will not, and will ensure that its Affiliates and licensees and subcontractors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and Subcontractors, as applicable) will not, either directly or indirectly, promote, market, distribute, import, sell, or have sold any Licensed Products to any Third Party or to any address or Internet Protocol address or the like outside of such Party’s respective territory, including via the Internet or mail order. Neither Party will engage, and each Party will not permit its Affiliates or Sublicensees to engage, in any advertising or promotional activities relating to any Licensed Products for use directed primarily to customers or other buyers or users of the Licensed Products located in any country or jurisdiction outside of such Party’s respective territory, or solicit orders from any prospective purchaser located in any country or jurisdiction outside of such Party’s respective territory. If either Party or its respective Affiliates or licensees (or Sublicensees, as applicable) receives any order for any Licensed Products from a prospective purchaser located in a country or jurisdiction outside of such Party’s respective territory, then such Party will immediately refer that order to the other Party and will not accept any such orders. Neither Party will, and neither Party will permit its Affiliates, licensees (or Sublicensees, as applicable), or subcontractors (or Subcontractors, as applicable) to, deliver or tender (or cause to be delivered or tendered) any Licensed Products to Third Parties for use outside of such Party’s respective territory, except in accordance with a Global Development Plan or Territory-Specific Development Plan, or except in connection with a Manufacturing Technology Transfer pursuant to Section 4.2 (Manufacturing Technology Transfer) and Article 7 (Manufacturing). For purposes of this Section 9.7 (Diversion), (a) Zai’s territory will be the Territory and (b) Blueprint’s territory will be worldwide except for the Territory.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PAYMENTS</w:t>
      </w:r>
    </w:p>
    <w:p>
      <w:pPr>
        <w:spacing w:after="0" w:line="19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b w:val="1"/>
          <w:bCs w:val="1"/>
          <w:color w:val="auto"/>
        </w:rPr>
        <w:t>10.1</w:t>
        <w:tab/>
        <w:t>Upfront Payment</w:t>
      </w:r>
      <w:r>
        <w:rPr>
          <w:rFonts w:ascii="Arial" w:cs="Arial" w:eastAsia="Arial" w:hAnsi="Arial"/>
          <w:sz w:val="20"/>
          <w:szCs w:val="20"/>
          <w:color w:val="auto"/>
        </w:rPr>
        <w:t>. Within [****] after the Effective Date, Zai will pay to Blueprint by wire transfer of immediately</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funds a non-refundable, non-creditable upfront payment of $25,000,000 in U.S. Dollars (the “</w:t>
      </w:r>
      <w:r>
        <w:rPr>
          <w:rFonts w:ascii="Arial" w:cs="Arial" w:eastAsia="Arial" w:hAnsi="Arial"/>
          <w:sz w:val="20"/>
          <w:szCs w:val="20"/>
          <w:b w:val="1"/>
          <w:bCs w:val="1"/>
          <w:color w:val="auto"/>
        </w:rPr>
        <w:t>Upfront</w:t>
      </w:r>
      <w:r>
        <w:rPr>
          <w:rFonts w:ascii="Arial" w:cs="Arial" w:eastAsia="Arial" w:hAnsi="Arial"/>
          <w:sz w:val="20"/>
          <w:szCs w:val="20"/>
          <w:color w:val="auto"/>
        </w:rPr>
        <w:t xml:space="preserve"> </w:t>
      </w:r>
      <w:r>
        <w:rPr>
          <w:rFonts w:ascii="Arial" w:cs="Arial" w:eastAsia="Arial" w:hAnsi="Arial"/>
          <w:sz w:val="20"/>
          <w:szCs w:val="20"/>
          <w:b w:val="1"/>
          <w:bCs w:val="1"/>
          <w:color w:val="auto"/>
        </w:rPr>
        <w:t>Payment</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80"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b w:val="1"/>
          <w:bCs w:val="1"/>
          <w:color w:val="auto"/>
        </w:rPr>
        <w:t>Development Milestone Events and Payments</w:t>
      </w:r>
      <w:r>
        <w:rPr>
          <w:rFonts w:ascii="Arial" w:cs="Arial" w:eastAsia="Arial" w:hAnsi="Arial"/>
          <w:sz w:val="18"/>
          <w:szCs w:val="18"/>
          <w:color w:val="auto"/>
        </w:rPr>
        <w:t>. No later than [****] after the earliest achievement of each development milestone event set forth below [****], Zai will pay to Blueprint the corresponding non-refundable, non-creditable development milestone payment set forth below (the development milestone events set forth in Table 10.2.1 the “</w:t>
      </w:r>
      <w:r>
        <w:rPr>
          <w:rFonts w:ascii="Arial" w:cs="Arial" w:eastAsia="Arial" w:hAnsi="Arial"/>
          <w:sz w:val="18"/>
          <w:szCs w:val="18"/>
          <w:b w:val="1"/>
          <w:bCs w:val="1"/>
          <w:color w:val="auto"/>
        </w:rPr>
        <w:t>Development Milestone Events</w:t>
      </w:r>
      <w:r>
        <w:rPr>
          <w:rFonts w:ascii="Arial" w:cs="Arial" w:eastAsia="Arial" w:hAnsi="Arial"/>
          <w:sz w:val="18"/>
          <w:szCs w:val="18"/>
          <w:color w:val="auto"/>
        </w:rPr>
        <w:t>” and the development milestone payments set forth in Table 10.2.1 the “</w:t>
      </w:r>
      <w:r>
        <w:rPr>
          <w:rFonts w:ascii="Arial" w:cs="Arial" w:eastAsia="Arial" w:hAnsi="Arial"/>
          <w:sz w:val="18"/>
          <w:szCs w:val="18"/>
          <w:b w:val="1"/>
          <w:bCs w:val="1"/>
          <w:color w:val="auto"/>
        </w:rPr>
        <w:t>Development Milestone Payments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0" w:name="page291"/>
    <w:bookmarkEnd w:id="29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628015</wp:posOffset>
            </wp:positionH>
            <wp:positionV relativeFrom="page">
              <wp:posOffset>363220</wp:posOffset>
            </wp:positionV>
            <wp:extent cx="6292215" cy="32061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5">
                      <a:extLst>
                        <a:ext uri="{28A0092B-C50C-407E-A947-70E740481C1C}"/>
                      </a:extLst>
                    </a:blip>
                    <a:srcRect/>
                    <a:stretch>
                      <a:fillRect/>
                    </a:stretch>
                  </pic:blipFill>
                  <pic:spPr bwMode="auto">
                    <a:xfrm>
                      <a:off x="0" y="0"/>
                      <a:ext cx="6292215" cy="3206115"/>
                    </a:xfrm>
                    <a:prstGeom prst="rect">
                      <a:avLst/>
                    </a:prstGeom>
                    <a:noFill/>
                  </pic:spPr>
                </pic:pic>
              </a:graphicData>
            </a:graphic>
          </wp:anchor>
        </w:drawing>
        <w:t>Table 10.2.1 – LICENSED PRODUCT DEVELOPMENT MILESTONES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780" w:type="dxa"/>
            <w:vAlign w:val="bottom"/>
            <w:tcBorders>
              <w:top w:val="single" w:sz="8" w:color="auto"/>
              <w:right w:val="single" w:sz="8" w:color="auto"/>
            </w:tcBorders>
            <w:shd w:val="clear" w:color="auto" w:fill="C6D9F1"/>
          </w:tcPr>
          <w:p>
            <w:pPr>
              <w:spacing w:after="0"/>
              <w:rPr>
                <w:sz w:val="24"/>
                <w:szCs w:val="24"/>
                <w:color w:val="auto"/>
              </w:rPr>
            </w:pPr>
          </w:p>
        </w:tc>
        <w:tc>
          <w:tcPr>
            <w:tcW w:w="6200" w:type="dxa"/>
            <w:vAlign w:val="bottom"/>
            <w:tcBorders>
              <w:top w:val="single" w:sz="8" w:color="auto"/>
              <w:right w:val="single" w:sz="8" w:color="auto"/>
            </w:tcBorders>
            <w:shd w:val="clear" w:color="auto" w:fill="C6D9F1"/>
          </w:tcPr>
          <w:p>
            <w:pPr>
              <w:jc w:val="right"/>
              <w:ind w:right="801"/>
              <w:spacing w:after="0"/>
              <w:rPr>
                <w:sz w:val="20"/>
                <w:szCs w:val="20"/>
                <w:color w:val="auto"/>
              </w:rPr>
            </w:pPr>
            <w:r>
              <w:rPr>
                <w:rFonts w:ascii="Arial" w:cs="Arial" w:eastAsia="Arial" w:hAnsi="Arial"/>
                <w:sz w:val="20"/>
                <w:szCs w:val="20"/>
                <w:b w:val="1"/>
                <w:bCs w:val="1"/>
                <w:i w:val="1"/>
                <w:iCs w:val="1"/>
                <w:color w:val="auto"/>
              </w:rPr>
              <w:t>Development Milestone Events For Licensed Products</w:t>
            </w:r>
          </w:p>
        </w:tc>
        <w:tc>
          <w:tcPr>
            <w:tcW w:w="292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5"/>
              </w:rPr>
              <w:t>Development Milestone</w:t>
            </w:r>
          </w:p>
        </w:tc>
        <w:tc>
          <w:tcPr>
            <w:tcW w:w="20" w:type="dxa"/>
            <w:vAlign w:val="bottom"/>
            <w:tcBorders>
              <w:top w:val="single" w:sz="8" w:color="auto"/>
            </w:tcBorders>
          </w:tcPr>
          <w:p>
            <w:pPr>
              <w:spacing w:after="0"/>
              <w:rPr>
                <w:sz w:val="24"/>
                <w:szCs w:val="24"/>
                <w:color w:val="auto"/>
              </w:rPr>
            </w:pPr>
          </w:p>
        </w:tc>
      </w:tr>
      <w:tr>
        <w:trPr>
          <w:trHeight w:val="229"/>
        </w:trPr>
        <w:tc>
          <w:tcPr>
            <w:tcW w:w="780" w:type="dxa"/>
            <w:vAlign w:val="bottom"/>
            <w:tcBorders>
              <w:right w:val="single" w:sz="8" w:color="auto"/>
            </w:tcBorders>
            <w:shd w:val="clear" w:color="auto" w:fill="C6D9F1"/>
          </w:tcPr>
          <w:p>
            <w:pPr>
              <w:spacing w:after="0"/>
              <w:rPr>
                <w:sz w:val="19"/>
                <w:szCs w:val="19"/>
                <w:color w:val="auto"/>
              </w:rPr>
            </w:pPr>
          </w:p>
        </w:tc>
        <w:tc>
          <w:tcPr>
            <w:tcW w:w="6200" w:type="dxa"/>
            <w:vAlign w:val="bottom"/>
            <w:tcBorders>
              <w:right w:val="single" w:sz="8" w:color="auto"/>
            </w:tcBorders>
            <w:shd w:val="clear" w:color="auto" w:fill="C6D9F1"/>
          </w:tcPr>
          <w:p>
            <w:pPr>
              <w:spacing w:after="0"/>
              <w:rPr>
                <w:sz w:val="19"/>
                <w:szCs w:val="19"/>
                <w:color w:val="auto"/>
              </w:rPr>
            </w:pPr>
          </w:p>
        </w:tc>
        <w:tc>
          <w:tcPr>
            <w:tcW w:w="292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8"/>
              </w:rPr>
              <w:t>Event Payment (in U.S.</w:t>
            </w:r>
          </w:p>
        </w:tc>
        <w:tc>
          <w:tcPr>
            <w:tcW w:w="20" w:type="dxa"/>
            <w:vAlign w:val="bottom"/>
          </w:tcPr>
          <w:p>
            <w:pPr>
              <w:spacing w:after="0"/>
              <w:rPr>
                <w:sz w:val="19"/>
                <w:szCs w:val="19"/>
                <w:color w:val="auto"/>
              </w:rPr>
            </w:pPr>
          </w:p>
        </w:tc>
      </w:tr>
      <w:tr>
        <w:trPr>
          <w:trHeight w:val="250"/>
        </w:trPr>
        <w:tc>
          <w:tcPr>
            <w:tcW w:w="780" w:type="dxa"/>
            <w:vAlign w:val="bottom"/>
            <w:tcBorders>
              <w:right w:val="single" w:sz="8" w:color="auto"/>
            </w:tcBorders>
            <w:shd w:val="clear" w:color="auto" w:fill="C6D9F1"/>
          </w:tcPr>
          <w:p>
            <w:pPr>
              <w:spacing w:after="0"/>
              <w:rPr>
                <w:sz w:val="21"/>
                <w:szCs w:val="21"/>
                <w:color w:val="auto"/>
              </w:rPr>
            </w:pPr>
          </w:p>
        </w:tc>
        <w:tc>
          <w:tcPr>
            <w:tcW w:w="6200" w:type="dxa"/>
            <w:vAlign w:val="bottom"/>
            <w:tcBorders>
              <w:right w:val="single" w:sz="8" w:color="auto"/>
            </w:tcBorders>
            <w:shd w:val="clear" w:color="auto" w:fill="C6D9F1"/>
          </w:tcPr>
          <w:p>
            <w:pPr>
              <w:spacing w:after="0"/>
              <w:rPr>
                <w:sz w:val="21"/>
                <w:szCs w:val="21"/>
                <w:color w:val="auto"/>
              </w:rPr>
            </w:pPr>
          </w:p>
        </w:tc>
        <w:tc>
          <w:tcPr>
            <w:tcW w:w="292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91"/>
              </w:rPr>
              <w:t>Dollars)</w:t>
            </w:r>
          </w:p>
        </w:tc>
        <w:tc>
          <w:tcPr>
            <w:tcW w:w="20" w:type="dxa"/>
            <w:vAlign w:val="bottom"/>
          </w:tcPr>
          <w:p>
            <w:pPr>
              <w:spacing w:after="0"/>
              <w:rPr>
                <w:sz w:val="21"/>
                <w:szCs w:val="21"/>
                <w:color w:val="auto"/>
              </w:rPr>
            </w:pPr>
          </w:p>
        </w:tc>
      </w:tr>
      <w:tr>
        <w:trPr>
          <w:trHeight w:val="158"/>
        </w:trPr>
        <w:tc>
          <w:tcPr>
            <w:tcW w:w="780" w:type="dxa"/>
            <w:vAlign w:val="bottom"/>
            <w:tcBorders>
              <w:bottom w:val="single" w:sz="8" w:color="auto"/>
              <w:right w:val="single" w:sz="8" w:color="auto"/>
            </w:tcBorders>
            <w:shd w:val="clear" w:color="auto" w:fill="C6D9F1"/>
          </w:tcPr>
          <w:p>
            <w:pPr>
              <w:spacing w:after="0"/>
              <w:rPr>
                <w:sz w:val="13"/>
                <w:szCs w:val="13"/>
                <w:color w:val="auto"/>
              </w:rPr>
            </w:pPr>
          </w:p>
        </w:tc>
        <w:tc>
          <w:tcPr>
            <w:tcW w:w="6200" w:type="dxa"/>
            <w:vAlign w:val="bottom"/>
            <w:tcBorders>
              <w:bottom w:val="single" w:sz="8" w:color="auto"/>
              <w:right w:val="single" w:sz="8" w:color="auto"/>
            </w:tcBorders>
            <w:shd w:val="clear" w:color="auto" w:fill="C6D9F1"/>
          </w:tcPr>
          <w:p>
            <w:pPr>
              <w:spacing w:after="0"/>
              <w:rPr>
                <w:sz w:val="13"/>
                <w:szCs w:val="13"/>
                <w:color w:val="auto"/>
              </w:rPr>
            </w:pPr>
          </w:p>
        </w:tc>
        <w:tc>
          <w:tcPr>
            <w:tcW w:w="292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06"/>
        </w:trPr>
        <w:tc>
          <w:tcPr>
            <w:tcW w:w="7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jc w:val="right"/>
              <w:ind w:right="5501"/>
              <w:spacing w:after="0" w:line="207" w:lineRule="exact"/>
              <w:rPr>
                <w:sz w:val="20"/>
                <w:szCs w:val="20"/>
                <w:color w:val="auto"/>
              </w:rPr>
            </w:pPr>
            <w:r>
              <w:rPr>
                <w:rFonts w:ascii="Arial" w:cs="Arial" w:eastAsia="Arial" w:hAnsi="Arial"/>
                <w:sz w:val="20"/>
                <w:szCs w:val="20"/>
                <w:color w:val="auto"/>
              </w:rPr>
              <w:t>[****]</w:t>
            </w:r>
          </w:p>
        </w:tc>
        <w:tc>
          <w:tcPr>
            <w:tcW w:w="292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r>
      <w:tr>
        <w:trPr>
          <w:trHeight w:val="250"/>
        </w:trPr>
        <w:tc>
          <w:tcPr>
            <w:tcW w:w="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78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7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jc w:val="right"/>
              <w:ind w:right="5501"/>
              <w:spacing w:after="0" w:line="207" w:lineRule="exact"/>
              <w:rPr>
                <w:sz w:val="20"/>
                <w:szCs w:val="20"/>
                <w:color w:val="auto"/>
              </w:rPr>
            </w:pPr>
            <w:r>
              <w:rPr>
                <w:rFonts w:ascii="Arial" w:cs="Arial" w:eastAsia="Arial" w:hAnsi="Arial"/>
                <w:sz w:val="20"/>
                <w:szCs w:val="20"/>
                <w:color w:val="auto"/>
              </w:rPr>
              <w:t>[****]</w:t>
            </w:r>
          </w:p>
        </w:tc>
        <w:tc>
          <w:tcPr>
            <w:tcW w:w="292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r>
      <w:tr>
        <w:trPr>
          <w:trHeight w:val="250"/>
        </w:trPr>
        <w:tc>
          <w:tcPr>
            <w:tcW w:w="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78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7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jc w:val="right"/>
              <w:ind w:right="5501"/>
              <w:spacing w:after="0" w:line="207" w:lineRule="exact"/>
              <w:rPr>
                <w:sz w:val="20"/>
                <w:szCs w:val="20"/>
                <w:color w:val="auto"/>
              </w:rPr>
            </w:pPr>
            <w:r>
              <w:rPr>
                <w:rFonts w:ascii="Arial" w:cs="Arial" w:eastAsia="Arial" w:hAnsi="Arial"/>
                <w:sz w:val="20"/>
                <w:szCs w:val="20"/>
                <w:color w:val="auto"/>
              </w:rPr>
              <w:t>[****]</w:t>
            </w:r>
          </w:p>
        </w:tc>
        <w:tc>
          <w:tcPr>
            <w:tcW w:w="292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r>
      <w:tr>
        <w:trPr>
          <w:trHeight w:val="250"/>
        </w:trPr>
        <w:tc>
          <w:tcPr>
            <w:tcW w:w="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78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7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jc w:val="right"/>
              <w:ind w:right="5501"/>
              <w:spacing w:after="0" w:line="207" w:lineRule="exact"/>
              <w:rPr>
                <w:sz w:val="20"/>
                <w:szCs w:val="20"/>
                <w:color w:val="auto"/>
              </w:rPr>
            </w:pPr>
            <w:r>
              <w:rPr>
                <w:rFonts w:ascii="Arial" w:cs="Arial" w:eastAsia="Arial" w:hAnsi="Arial"/>
                <w:sz w:val="20"/>
                <w:szCs w:val="20"/>
                <w:color w:val="auto"/>
              </w:rPr>
              <w:t>[****]</w:t>
            </w:r>
          </w:p>
        </w:tc>
        <w:tc>
          <w:tcPr>
            <w:tcW w:w="292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r>
      <w:tr>
        <w:trPr>
          <w:trHeight w:val="250"/>
        </w:trPr>
        <w:tc>
          <w:tcPr>
            <w:tcW w:w="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78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7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jc w:val="right"/>
              <w:ind w:right="5501"/>
              <w:spacing w:after="0" w:line="207" w:lineRule="exact"/>
              <w:rPr>
                <w:sz w:val="20"/>
                <w:szCs w:val="20"/>
                <w:color w:val="auto"/>
              </w:rPr>
            </w:pPr>
            <w:r>
              <w:rPr>
                <w:rFonts w:ascii="Arial" w:cs="Arial" w:eastAsia="Arial" w:hAnsi="Arial"/>
                <w:sz w:val="20"/>
                <w:szCs w:val="20"/>
                <w:color w:val="auto"/>
              </w:rPr>
              <w:t>[****]</w:t>
            </w:r>
          </w:p>
        </w:tc>
        <w:tc>
          <w:tcPr>
            <w:tcW w:w="292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r>
      <w:tr>
        <w:trPr>
          <w:trHeight w:val="250"/>
        </w:trPr>
        <w:tc>
          <w:tcPr>
            <w:tcW w:w="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200" w:type="dxa"/>
            <w:vAlign w:val="bottom"/>
            <w:tcBorders>
              <w:right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78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1380" w:hanging="647"/>
        <w:spacing w:after="0" w:line="256" w:lineRule="auto"/>
        <w:rPr>
          <w:sz w:val="20"/>
          <w:szCs w:val="20"/>
          <w:color w:val="auto"/>
        </w:rPr>
      </w:pPr>
      <w:r>
        <w:rPr>
          <w:rFonts w:ascii="Arial" w:cs="Arial" w:eastAsia="Arial" w:hAnsi="Arial"/>
          <w:sz w:val="19"/>
          <w:szCs w:val="19"/>
          <w:color w:val="auto"/>
        </w:rPr>
        <w:t xml:space="preserve">10.2.2 </w:t>
      </w:r>
      <w:r>
        <w:rPr>
          <w:rFonts w:ascii="Arial" w:cs="Arial" w:eastAsia="Arial" w:hAnsi="Arial"/>
          <w:sz w:val="19"/>
          <w:szCs w:val="19"/>
          <w:b w:val="1"/>
          <w:bCs w:val="1"/>
          <w:color w:val="auto"/>
        </w:rPr>
        <w:t>Sales Milestone Events and Payments</w:t>
      </w:r>
      <w:r>
        <w:rPr>
          <w:rFonts w:ascii="Arial" w:cs="Arial" w:eastAsia="Arial" w:hAnsi="Arial"/>
          <w:sz w:val="19"/>
          <w:szCs w:val="19"/>
          <w:color w:val="auto"/>
        </w:rPr>
        <w:t>. On a Licensed Product-by-Licensed Product basis, no later than [****] after the end of the first Calendar Quarter in which each sales milestone event set forth below for such Licensed Product is achieved, Zai will pay to Blueprint with respect to each Licensed Product the corresponding non-refundable, non-creditable sales milestone payment set forth below in Table 10.2.2 (the sales milestone events set forth in Table 10.2.2, the “</w:t>
      </w:r>
      <w:r>
        <w:rPr>
          <w:rFonts w:ascii="Arial" w:cs="Arial" w:eastAsia="Arial" w:hAnsi="Arial"/>
          <w:sz w:val="19"/>
          <w:szCs w:val="19"/>
          <w:b w:val="1"/>
          <w:bCs w:val="1"/>
          <w:color w:val="auto"/>
        </w:rPr>
        <w:t>Sales Milestone Events</w:t>
      </w:r>
      <w:r>
        <w:rPr>
          <w:rFonts w:ascii="Arial" w:cs="Arial" w:eastAsia="Arial" w:hAnsi="Arial"/>
          <w:sz w:val="19"/>
          <w:szCs w:val="19"/>
          <w:color w:val="auto"/>
        </w:rPr>
        <w:t>” and the sales milestone payments set forth in Table 10.2.2, the “</w:t>
      </w:r>
      <w:r>
        <w:rPr>
          <w:rFonts w:ascii="Arial" w:cs="Arial" w:eastAsia="Arial" w:hAnsi="Arial"/>
          <w:sz w:val="19"/>
          <w:szCs w:val="19"/>
          <w:b w:val="1"/>
          <w:bCs w:val="1"/>
          <w:color w:val="auto"/>
        </w:rPr>
        <w:t>Sales Milestone Payments</w:t>
      </w:r>
      <w:r>
        <w:rPr>
          <w:rFonts w:ascii="Arial" w:cs="Arial" w:eastAsia="Arial" w:hAnsi="Arial"/>
          <w:sz w:val="19"/>
          <w:szCs w:val="19"/>
          <w:color w:val="auto"/>
        </w:rPr>
        <w:t>”). If in a given Calendar Year more than one of the Sales Milestone Events set forth in Table 10.2.2 below is achieved with respect to a particular Licensed Product, then Zai will pay to Blueprint a separate Sales Milestone Payment with respect to each such Sales Milestone Payment that is achieved for the first time in such Calendar Year. For purposes of this Section 10.2.2 (Sales Milestone Events and Payments), (a) Licensed Products containing [****] and (b) Combination Products containing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272415</wp:posOffset>
            </wp:positionV>
            <wp:extent cx="6292215" cy="131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6">
                      <a:extLst>
                        <a:ext uri="{28A0092B-C50C-407E-A947-70E740481C1C}"/>
                      </a:extLst>
                    </a:blip>
                    <a:srcRect/>
                    <a:stretch>
                      <a:fillRect/>
                    </a:stretch>
                  </pic:blipFill>
                  <pic:spPr bwMode="auto">
                    <a:xfrm>
                      <a:off x="0" y="0"/>
                      <a:ext cx="6292215" cy="13112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10.2.2 –SALES MILESTONES FOR LICENSED PRODUCTS</w:t>
      </w:r>
    </w:p>
    <w:p>
      <w:pPr>
        <w:spacing w:after="0" w:line="343" w:lineRule="exact"/>
        <w:rPr>
          <w:sz w:val="20"/>
          <w:szCs w:val="20"/>
          <w:color w:val="auto"/>
        </w:rPr>
      </w:pPr>
    </w:p>
    <w:p>
      <w:pPr>
        <w:ind w:left="8100"/>
        <w:spacing w:after="0"/>
        <w:rPr>
          <w:sz w:val="20"/>
          <w:szCs w:val="20"/>
          <w:color w:val="auto"/>
        </w:rPr>
      </w:pPr>
      <w:r>
        <w:rPr>
          <w:rFonts w:ascii="Arial" w:cs="Arial" w:eastAsia="Arial" w:hAnsi="Arial"/>
          <w:sz w:val="20"/>
          <w:szCs w:val="20"/>
          <w:b w:val="1"/>
          <w:bCs w:val="1"/>
          <w:i w:val="1"/>
          <w:iCs w:val="1"/>
          <w:color w:val="auto"/>
        </w:rPr>
        <w:t>Sales Milestone</w:t>
      </w:r>
    </w:p>
    <w:p>
      <w:pPr>
        <w:spacing w:after="0" w:line="15" w:lineRule="exact"/>
        <w:rPr>
          <w:sz w:val="20"/>
          <w:szCs w:val="20"/>
          <w:color w:val="auto"/>
        </w:rPr>
      </w:pPr>
    </w:p>
    <w:p>
      <w:pPr>
        <w:ind w:left="3320"/>
        <w:spacing w:after="0"/>
        <w:tabs>
          <w:tab w:leader="none" w:pos="8020" w:val="left"/>
        </w:tabs>
        <w:rPr>
          <w:sz w:val="20"/>
          <w:szCs w:val="20"/>
          <w:color w:val="auto"/>
        </w:rPr>
      </w:pPr>
      <w:r>
        <w:rPr>
          <w:rFonts w:ascii="Arial" w:cs="Arial" w:eastAsia="Arial" w:hAnsi="Arial"/>
          <w:sz w:val="20"/>
          <w:szCs w:val="20"/>
          <w:b w:val="1"/>
          <w:bCs w:val="1"/>
          <w:i w:val="1"/>
          <w:iCs w:val="1"/>
          <w:color w:val="auto"/>
        </w:rPr>
        <w:t>Sales Milestone Event</w:t>
      </w:r>
      <w:r>
        <w:rPr>
          <w:sz w:val="20"/>
          <w:szCs w:val="20"/>
          <w:color w:val="auto"/>
        </w:rPr>
        <w:tab/>
      </w:r>
      <w:r>
        <w:rPr>
          <w:rFonts w:ascii="Arial" w:cs="Arial" w:eastAsia="Arial" w:hAnsi="Arial"/>
          <w:sz w:val="16"/>
          <w:szCs w:val="16"/>
          <w:b w:val="1"/>
          <w:bCs w:val="1"/>
          <w:i w:val="1"/>
          <w:iCs w:val="1"/>
          <w:color w:val="auto"/>
        </w:rPr>
        <w:t>Payment (in U.S.</w:t>
      </w:r>
    </w:p>
    <w:p>
      <w:pPr>
        <w:ind w:left="8400"/>
        <w:spacing w:after="0"/>
        <w:rPr>
          <w:sz w:val="20"/>
          <w:szCs w:val="20"/>
          <w:color w:val="auto"/>
        </w:rPr>
      </w:pPr>
      <w:r>
        <w:rPr>
          <w:rFonts w:ascii="Arial" w:cs="Arial" w:eastAsia="Arial" w:hAnsi="Arial"/>
          <w:sz w:val="20"/>
          <w:szCs w:val="20"/>
          <w:b w:val="1"/>
          <w:bCs w:val="1"/>
          <w:i w:val="1"/>
          <w:iCs w:val="1"/>
          <w:color w:val="auto"/>
        </w:rPr>
        <w:t>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3381"/>
              <w:spacing w:after="0"/>
              <w:rPr>
                <w:sz w:val="20"/>
                <w:szCs w:val="20"/>
                <w:color w:val="auto"/>
              </w:rPr>
            </w:pPr>
            <w:r>
              <w:rPr>
                <w:rFonts w:ascii="Arial" w:cs="Arial" w:eastAsia="Arial" w:hAnsi="Arial"/>
                <w:sz w:val="20"/>
                <w:szCs w:val="20"/>
                <w:color w:val="auto"/>
              </w:rPr>
              <w:t>[****]</w:t>
            </w:r>
          </w:p>
        </w:tc>
        <w:tc>
          <w:tcPr>
            <w:tcW w:w="4940" w:type="dxa"/>
            <w:vAlign w:val="bottom"/>
            <w:tcBorders>
              <w:top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24" w:right="999" w:bottom="1440" w:gutter="0" w:footer="0" w:header="0"/>
        </w:sectPr>
      </w:pPr>
    </w:p>
    <w:bookmarkStart w:id="291" w:name="page292"/>
    <w:bookmarkEnd w:id="291"/>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auto"/>
              <w:left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6700" w:type="dxa"/>
            <w:vAlign w:val="bottom"/>
            <w:tcBorders>
              <w:top w:val="single" w:sz="8" w:color="auto"/>
              <w:right w:val="single" w:sz="8" w:color="auto"/>
            </w:tcBorders>
          </w:tcPr>
          <w:p>
            <w:pPr>
              <w:jc w:val="right"/>
              <w:ind w:right="5981"/>
              <w:spacing w:after="0"/>
              <w:rPr>
                <w:sz w:val="20"/>
                <w:szCs w:val="20"/>
                <w:color w:val="auto"/>
              </w:rPr>
            </w:pPr>
            <w:r>
              <w:rPr>
                <w:rFonts w:ascii="Arial" w:cs="Arial" w:eastAsia="Arial" w:hAnsi="Arial"/>
                <w:sz w:val="20"/>
                <w:szCs w:val="20"/>
                <w:color w:val="auto"/>
              </w:rPr>
              <w:t>[****]</w:t>
            </w:r>
          </w:p>
        </w:tc>
        <w:tc>
          <w:tcPr>
            <w:tcW w:w="2340" w:type="dxa"/>
            <w:vAlign w:val="bottom"/>
            <w:tcBorders>
              <w:top w:val="single" w:sz="8" w:color="auto"/>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70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r>
      <w:tr>
        <w:trPr>
          <w:trHeight w:val="244"/>
        </w:trPr>
        <w:tc>
          <w:tcPr>
            <w:tcW w:w="880" w:type="dxa"/>
            <w:vAlign w:val="bottom"/>
            <w:tcBorders>
              <w:left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6700" w:type="dxa"/>
            <w:vAlign w:val="bottom"/>
            <w:tcBorders>
              <w:right w:val="single" w:sz="8" w:color="auto"/>
            </w:tcBorders>
          </w:tcPr>
          <w:p>
            <w:pPr>
              <w:jc w:val="right"/>
              <w:ind w:right="5981"/>
              <w:spacing w:after="0"/>
              <w:rPr>
                <w:sz w:val="20"/>
                <w:szCs w:val="20"/>
                <w:color w:val="auto"/>
              </w:rPr>
            </w:pPr>
            <w:r>
              <w:rPr>
                <w:rFonts w:ascii="Arial" w:cs="Arial" w:eastAsia="Arial" w:hAnsi="Arial"/>
                <w:sz w:val="20"/>
                <w:szCs w:val="20"/>
                <w:color w:val="auto"/>
              </w:rPr>
              <w:t>[****]</w:t>
            </w:r>
          </w:p>
        </w:tc>
        <w:tc>
          <w:tcPr>
            <w:tcW w:w="234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70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r>
      <w:tr>
        <w:trPr>
          <w:trHeight w:val="244"/>
        </w:trPr>
        <w:tc>
          <w:tcPr>
            <w:tcW w:w="880" w:type="dxa"/>
            <w:vAlign w:val="bottom"/>
            <w:tcBorders>
              <w:left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6700" w:type="dxa"/>
            <w:vAlign w:val="bottom"/>
            <w:tcBorders>
              <w:right w:val="single" w:sz="8" w:color="auto"/>
            </w:tcBorders>
          </w:tcPr>
          <w:p>
            <w:pPr>
              <w:jc w:val="right"/>
              <w:ind w:right="5981"/>
              <w:spacing w:after="0"/>
              <w:rPr>
                <w:sz w:val="20"/>
                <w:szCs w:val="20"/>
                <w:color w:val="auto"/>
              </w:rPr>
            </w:pPr>
            <w:r>
              <w:rPr>
                <w:rFonts w:ascii="Arial" w:cs="Arial" w:eastAsia="Arial" w:hAnsi="Arial"/>
                <w:sz w:val="20"/>
                <w:szCs w:val="20"/>
                <w:color w:val="auto"/>
              </w:rPr>
              <w:t>[****]</w:t>
            </w:r>
          </w:p>
        </w:tc>
        <w:tc>
          <w:tcPr>
            <w:tcW w:w="234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70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r>
      <w:tr>
        <w:trPr>
          <w:trHeight w:val="244"/>
        </w:trPr>
        <w:tc>
          <w:tcPr>
            <w:tcW w:w="880" w:type="dxa"/>
            <w:vAlign w:val="bottom"/>
            <w:tcBorders>
              <w:left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6700" w:type="dxa"/>
            <w:vAlign w:val="bottom"/>
            <w:tcBorders>
              <w:right w:val="single" w:sz="8" w:color="auto"/>
            </w:tcBorders>
          </w:tcPr>
          <w:p>
            <w:pPr>
              <w:jc w:val="right"/>
              <w:ind w:right="5981"/>
              <w:spacing w:after="0"/>
              <w:rPr>
                <w:sz w:val="20"/>
                <w:szCs w:val="20"/>
                <w:color w:val="auto"/>
              </w:rPr>
            </w:pPr>
            <w:r>
              <w:rPr>
                <w:rFonts w:ascii="Arial" w:cs="Arial" w:eastAsia="Arial" w:hAnsi="Arial"/>
                <w:sz w:val="20"/>
                <w:szCs w:val="20"/>
                <w:color w:val="auto"/>
              </w:rPr>
              <w:t>[****]</w:t>
            </w:r>
          </w:p>
        </w:tc>
        <w:tc>
          <w:tcPr>
            <w:tcW w:w="234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70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10.2.3  </w:t>
      </w:r>
      <w:r>
        <w:rPr>
          <w:rFonts w:ascii="Arial" w:cs="Arial" w:eastAsia="Arial" w:hAnsi="Arial"/>
          <w:sz w:val="20"/>
          <w:szCs w:val="20"/>
          <w:b w:val="1"/>
          <w:bCs w:val="1"/>
          <w:color w:val="auto"/>
        </w:rPr>
        <w:t>Milestone Conditions</w:t>
      </w:r>
      <w:r>
        <w:rPr>
          <w:rFonts w:ascii="Arial" w:cs="Arial" w:eastAsia="Arial" w:hAnsi="Arial"/>
          <w:sz w:val="20"/>
          <w:szCs w:val="20"/>
          <w:color w:val="auto"/>
        </w:rPr>
        <w:t>.</w:t>
      </w:r>
    </w:p>
    <w:p>
      <w:pPr>
        <w:spacing w:after="0" w:line="216" w:lineRule="exact"/>
        <w:rPr>
          <w:sz w:val="20"/>
          <w:szCs w:val="20"/>
          <w:color w:val="auto"/>
        </w:rPr>
      </w:pPr>
    </w:p>
    <w:p>
      <w:pPr>
        <w:jc w:val="both"/>
        <w:ind w:left="1880" w:hanging="657"/>
        <w:spacing w:after="0" w:line="259" w:lineRule="auto"/>
        <w:tabs>
          <w:tab w:leader="none" w:pos="1880"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Notification of Milestone Events</w:t>
      </w:r>
      <w:r>
        <w:rPr>
          <w:rFonts w:ascii="Arial" w:cs="Arial" w:eastAsia="Arial" w:hAnsi="Arial"/>
          <w:sz w:val="19"/>
          <w:szCs w:val="19"/>
          <w:color w:val="auto"/>
        </w:rPr>
        <w:t>. Zai will promptly notify Blueprint in writing, but in no event</w:t>
      </w:r>
      <w:r>
        <w:rPr>
          <w:rFonts w:ascii="Arial" w:cs="Arial" w:eastAsia="Arial" w:hAnsi="Arial"/>
          <w:sz w:val="19"/>
          <w:szCs w:val="19"/>
          <w:b w:val="1"/>
          <w:bCs w:val="1"/>
          <w:color w:val="auto"/>
        </w:rPr>
        <w:t xml:space="preserve"> </w:t>
      </w:r>
      <w:r>
        <w:rPr>
          <w:rFonts w:ascii="Arial" w:cs="Arial" w:eastAsia="Arial" w:hAnsi="Arial"/>
          <w:sz w:val="19"/>
          <w:szCs w:val="19"/>
          <w:color w:val="auto"/>
        </w:rPr>
        <w:t>later than (i) [****] after the achievement of each Development Milestone Event and (ii) [****]after the end of the Calendar Quarter in which each Sales Milestone Event is achieved (together with the Development Milestone Events, the “</w:t>
      </w:r>
      <w:r>
        <w:rPr>
          <w:rFonts w:ascii="Arial" w:cs="Arial" w:eastAsia="Arial" w:hAnsi="Arial"/>
          <w:sz w:val="19"/>
          <w:szCs w:val="19"/>
          <w:b w:val="1"/>
          <w:bCs w:val="1"/>
          <w:color w:val="auto"/>
        </w:rPr>
        <w:t>Milestone Events</w:t>
      </w:r>
      <w:r>
        <w:rPr>
          <w:rFonts w:ascii="Arial" w:cs="Arial" w:eastAsia="Arial" w:hAnsi="Arial"/>
          <w:sz w:val="19"/>
          <w:szCs w:val="19"/>
          <w:color w:val="auto"/>
        </w:rPr>
        <w:t>”). However, in no event will a failure by Zai to deliver such notice of achievement of a Milestone Event relieve Zai of its obligation to pay Blueprint the corresponding Development Milestone Payment or Sales Milestone Payment (collectively, the “</w:t>
      </w:r>
      <w:r>
        <w:rPr>
          <w:rFonts w:ascii="Arial" w:cs="Arial" w:eastAsia="Arial" w:hAnsi="Arial"/>
          <w:sz w:val="19"/>
          <w:szCs w:val="19"/>
          <w:b w:val="1"/>
          <w:bCs w:val="1"/>
          <w:color w:val="auto"/>
        </w:rPr>
        <w:t>Milestone Payments</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1880" w:hanging="657"/>
        <w:spacing w:after="0" w:line="244" w:lineRule="auto"/>
        <w:tabs>
          <w:tab w:leader="none" w:pos="1880"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Skipped Milestone Events</w:t>
      </w:r>
      <w:r>
        <w:rPr>
          <w:rFonts w:ascii="Arial" w:cs="Arial" w:eastAsia="Arial" w:hAnsi="Arial"/>
          <w:sz w:val="20"/>
          <w:szCs w:val="20"/>
          <w:color w:val="auto"/>
        </w:rPr>
        <w:t>. If Zai achieves any of the Development Milestone Events for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particular Licensed Product [****] but without the prior achievement of any corresponding earlier listed Development Milestone Events for such Licensed Product [****], then Zai will pay to Blueprint the applicable Milestone Payment to be made with respect to such earlier Development Milestone Events for such Licensed Product [****] at the same time as Zai pays the applicable Development Milestone Payment due upon achievement of such Development Milestone Event. For example, [****].</w:t>
      </w:r>
    </w:p>
    <w:p>
      <w:pPr>
        <w:spacing w:after="0" w:line="185" w:lineRule="exact"/>
        <w:rPr>
          <w:rFonts w:ascii="Arial" w:cs="Arial" w:eastAsia="Arial" w:hAnsi="Arial"/>
          <w:sz w:val="20"/>
          <w:szCs w:val="20"/>
          <w:color w:val="auto"/>
        </w:rPr>
      </w:pPr>
    </w:p>
    <w:p>
      <w:pPr>
        <w:ind w:left="1880" w:hanging="657"/>
        <w:spacing w:after="0"/>
        <w:tabs>
          <w:tab w:leader="none" w:pos="1880"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 xml:space="preserve">Maximum Milestone Payment Example. </w:t>
      </w:r>
      <w:r>
        <w:rPr>
          <w:rFonts w:ascii="Arial" w:cs="Arial" w:eastAsia="Arial" w:hAnsi="Arial"/>
          <w:sz w:val="20"/>
          <w:szCs w:val="20"/>
          <w:color w:val="auto"/>
        </w:rPr>
        <w:t>For example: [****].</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color w:val="auto"/>
        </w:rPr>
        <w:t>Royalty Payments to Blueprint</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0"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color w:val="auto"/>
        </w:rPr>
        <w:t>Royalty Rates</w:t>
      </w:r>
      <w:r>
        <w:rPr>
          <w:rFonts w:ascii="Arial" w:cs="Arial" w:eastAsia="Arial" w:hAnsi="Arial"/>
          <w:sz w:val="18"/>
          <w:szCs w:val="18"/>
          <w:color w:val="auto"/>
        </w:rPr>
        <w:t>. Subject to the remainder of this Section 10.3 (Royalty Payments to Blueprint), Zai will make non-refundable royalty payments to Blueprint, on a Licensed Product-by-Licensed Product basis for Licensed Products sold in the Territory during the applicable Royalty Term, calculated by multiplying the applicable royalty rate set forth below in Table 10.3.1 by [****]. The royalty payments due with respect to Net Sales of each Licensed Product pursuant to this Section 10.3 (Royalty Payments to Blueprint), collectively the “</w:t>
      </w:r>
      <w:r>
        <w:rPr>
          <w:rFonts w:ascii="Arial" w:cs="Arial" w:eastAsia="Arial" w:hAnsi="Arial"/>
          <w:sz w:val="18"/>
          <w:szCs w:val="18"/>
          <w:b w:val="1"/>
          <w:bCs w:val="1"/>
          <w:color w:val="auto"/>
        </w:rPr>
        <w:t>Royalty Payments</w:t>
      </w:r>
      <w:r>
        <w:rPr>
          <w:rFonts w:ascii="Arial" w:cs="Arial" w:eastAsia="Arial" w:hAnsi="Arial"/>
          <w:sz w:val="18"/>
          <w:szCs w:val="18"/>
          <w:color w:val="auto"/>
        </w:rPr>
        <w:t>.” For purposes of this Section 10.3 (Royalty Payments to Blueprint),</w:t>
      </w:r>
    </w:p>
    <w:p>
      <w:pPr>
        <w:spacing w:after="0" w:line="2" w:lineRule="exact"/>
        <w:rPr>
          <w:sz w:val="20"/>
          <w:szCs w:val="20"/>
          <w:color w:val="auto"/>
        </w:rPr>
      </w:pPr>
    </w:p>
    <w:p>
      <w:pPr>
        <w:ind w:left="1660" w:hanging="275"/>
        <w:spacing w:after="0"/>
        <w:tabs>
          <w:tab w:leader="none" w:pos="1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Licensed Products [****] and (b) Combination Products [****].</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9" w:lineRule="exact"/>
        <w:rPr>
          <w:rFonts w:ascii="Arial" w:cs="Arial" w:eastAsia="Arial" w:hAnsi="Arial"/>
          <w:sz w:val="20"/>
          <w:szCs w:val="20"/>
          <w:color w:val="auto"/>
        </w:rPr>
      </w:pPr>
    </w:p>
    <w:p>
      <w:pPr>
        <w:ind w:left="4820"/>
        <w:spacing w:after="0"/>
        <w:rPr>
          <w:rFonts w:ascii="Arial" w:cs="Arial" w:eastAsia="Arial" w:hAnsi="Arial"/>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6" w:right="999" w:bottom="1440" w:gutter="0" w:footer="0" w:header="0"/>
        </w:sectPr>
      </w:pPr>
    </w:p>
    <w:bookmarkStart w:id="292" w:name="page293"/>
    <w:bookmarkEnd w:id="29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628015</wp:posOffset>
            </wp:positionH>
            <wp:positionV relativeFrom="page">
              <wp:posOffset>226060</wp:posOffset>
            </wp:positionV>
            <wp:extent cx="6292215" cy="16287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9">
                      <a:extLst>
                        <a:ext uri="{28A0092B-C50C-407E-A947-70E740481C1C}"/>
                      </a:extLst>
                    </a:blip>
                    <a:srcRect/>
                    <a:stretch>
                      <a:fillRect/>
                    </a:stretch>
                  </pic:blipFill>
                  <pic:spPr bwMode="auto">
                    <a:xfrm>
                      <a:off x="0" y="0"/>
                      <a:ext cx="6292215" cy="1628775"/>
                    </a:xfrm>
                    <a:prstGeom prst="rect">
                      <a:avLst/>
                    </a:prstGeom>
                    <a:noFill/>
                  </pic:spPr>
                </pic:pic>
              </a:graphicData>
            </a:graphic>
          </wp:anchor>
        </w:drawing>
        <w:t>Table 10.3.1 – LICENSED PRODUCT ROYALTY PAYMENTS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8960" w:type="dxa"/>
            <w:vAlign w:val="bottom"/>
            <w:tcBorders>
              <w:top w:val="single" w:sz="8" w:color="auto"/>
              <w:right w:val="single" w:sz="8" w:color="auto"/>
            </w:tcBorders>
            <w:shd w:val="clear" w:color="auto" w:fill="C6D9F1"/>
          </w:tcPr>
          <w:p>
            <w:pPr>
              <w:jc w:val="right"/>
              <w:ind w:right="641"/>
              <w:spacing w:after="0"/>
              <w:rPr>
                <w:sz w:val="20"/>
                <w:szCs w:val="20"/>
                <w:color w:val="auto"/>
              </w:rPr>
            </w:pPr>
            <w:r>
              <w:rPr>
                <w:rFonts w:ascii="Arial" w:cs="Arial" w:eastAsia="Arial" w:hAnsi="Arial"/>
                <w:sz w:val="20"/>
                <w:szCs w:val="20"/>
                <w:b w:val="1"/>
                <w:bCs w:val="1"/>
                <w:i w:val="1"/>
                <w:iCs w:val="1"/>
                <w:color w:val="auto"/>
                <w:w w:val="94"/>
              </w:rPr>
              <w:t>Portion of Aggregate Calendar Year Net Sales of the same Licensed Product in the Territory</w:t>
            </w:r>
          </w:p>
        </w:tc>
        <w:tc>
          <w:tcPr>
            <w:tcW w:w="94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5"/>
              </w:rPr>
              <w:t>Royalty</w:t>
            </w:r>
          </w:p>
        </w:tc>
        <w:tc>
          <w:tcPr>
            <w:tcW w:w="20" w:type="dxa"/>
            <w:vAlign w:val="bottom"/>
            <w:tcBorders>
              <w:top w:val="single" w:sz="8" w:color="auto"/>
            </w:tcBorders>
          </w:tcPr>
          <w:p>
            <w:pPr>
              <w:spacing w:after="0"/>
              <w:rPr>
                <w:sz w:val="24"/>
                <w:szCs w:val="24"/>
                <w:color w:val="auto"/>
              </w:rPr>
            </w:pPr>
          </w:p>
        </w:tc>
      </w:tr>
      <w:tr>
        <w:trPr>
          <w:trHeight w:val="250"/>
        </w:trPr>
        <w:tc>
          <w:tcPr>
            <w:tcW w:w="8960" w:type="dxa"/>
            <w:vAlign w:val="bottom"/>
            <w:tcBorders>
              <w:right w:val="single" w:sz="8" w:color="auto"/>
            </w:tcBorders>
            <w:shd w:val="clear" w:color="auto" w:fill="C6D9F1"/>
          </w:tcPr>
          <w:p>
            <w:pPr>
              <w:jc w:val="right"/>
              <w:ind w:right="3701"/>
              <w:spacing w:after="0"/>
              <w:rPr>
                <w:sz w:val="20"/>
                <w:szCs w:val="20"/>
                <w:color w:val="auto"/>
              </w:rPr>
            </w:pPr>
            <w:r>
              <w:rPr>
                <w:rFonts w:ascii="Arial" w:cs="Arial" w:eastAsia="Arial" w:hAnsi="Arial"/>
                <w:sz w:val="20"/>
                <w:szCs w:val="20"/>
                <w:b w:val="1"/>
                <w:bCs w:val="1"/>
                <w:i w:val="1"/>
                <w:iCs w:val="1"/>
                <w:color w:val="auto"/>
              </w:rPr>
              <w:t>(in U.S. Dollars)</w:t>
            </w:r>
          </w:p>
        </w:tc>
        <w:tc>
          <w:tcPr>
            <w:tcW w:w="94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7"/>
              </w:rPr>
              <w:t>Rate</w:t>
            </w:r>
          </w:p>
        </w:tc>
        <w:tc>
          <w:tcPr>
            <w:tcW w:w="20" w:type="dxa"/>
            <w:vAlign w:val="bottom"/>
          </w:tcPr>
          <w:p>
            <w:pPr>
              <w:spacing w:after="0"/>
              <w:rPr>
                <w:sz w:val="21"/>
                <w:szCs w:val="21"/>
                <w:color w:val="auto"/>
              </w:rPr>
            </w:pPr>
          </w:p>
        </w:tc>
      </w:tr>
      <w:tr>
        <w:trPr>
          <w:trHeight w:val="158"/>
        </w:trPr>
        <w:tc>
          <w:tcPr>
            <w:tcW w:w="8960" w:type="dxa"/>
            <w:vAlign w:val="bottom"/>
            <w:tcBorders>
              <w:bottom w:val="single" w:sz="8" w:color="auto"/>
              <w:right w:val="single" w:sz="8" w:color="auto"/>
            </w:tcBorders>
            <w:shd w:val="clear" w:color="auto" w:fill="C6D9F1"/>
          </w:tcPr>
          <w:p>
            <w:pPr>
              <w:spacing w:after="0"/>
              <w:rPr>
                <w:sz w:val="13"/>
                <w:szCs w:val="13"/>
                <w:color w:val="auto"/>
              </w:rPr>
            </w:pPr>
          </w:p>
        </w:tc>
        <w:tc>
          <w:tcPr>
            <w:tcW w:w="94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8960" w:type="dxa"/>
            <w:vAlign w:val="bottom"/>
            <w:tcBorders>
              <w:right w:val="single" w:sz="8" w:color="auto"/>
            </w:tcBorders>
          </w:tcPr>
          <w:p>
            <w:pPr>
              <w:jc w:val="right"/>
              <w:ind w:right="8221"/>
              <w:spacing w:after="0"/>
              <w:rPr>
                <w:sz w:val="20"/>
                <w:szCs w:val="20"/>
                <w:color w:val="auto"/>
              </w:rPr>
            </w:pPr>
            <w:r>
              <w:rPr>
                <w:rFonts w:ascii="Arial" w:cs="Arial" w:eastAsia="Arial" w:hAnsi="Arial"/>
                <w:sz w:val="20"/>
                <w:szCs w:val="20"/>
                <w:color w:val="auto"/>
              </w:rPr>
              <w:t>[****]</w:t>
            </w:r>
          </w:p>
        </w:tc>
        <w:tc>
          <w:tcPr>
            <w:tcW w:w="94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8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8960" w:type="dxa"/>
            <w:vAlign w:val="bottom"/>
            <w:tcBorders>
              <w:right w:val="single" w:sz="8" w:color="auto"/>
            </w:tcBorders>
          </w:tcPr>
          <w:p>
            <w:pPr>
              <w:jc w:val="right"/>
              <w:ind w:right="8221"/>
              <w:spacing w:after="0"/>
              <w:rPr>
                <w:sz w:val="20"/>
                <w:szCs w:val="20"/>
                <w:color w:val="auto"/>
              </w:rPr>
            </w:pPr>
            <w:r>
              <w:rPr>
                <w:rFonts w:ascii="Arial" w:cs="Arial" w:eastAsia="Arial" w:hAnsi="Arial"/>
                <w:sz w:val="20"/>
                <w:szCs w:val="20"/>
                <w:color w:val="auto"/>
              </w:rPr>
              <w:t>[****]</w:t>
            </w:r>
          </w:p>
        </w:tc>
        <w:tc>
          <w:tcPr>
            <w:tcW w:w="94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8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8960" w:type="dxa"/>
            <w:vAlign w:val="bottom"/>
            <w:tcBorders>
              <w:right w:val="single" w:sz="8" w:color="auto"/>
            </w:tcBorders>
          </w:tcPr>
          <w:p>
            <w:pPr>
              <w:jc w:val="right"/>
              <w:ind w:right="8221"/>
              <w:spacing w:after="0"/>
              <w:rPr>
                <w:sz w:val="20"/>
                <w:szCs w:val="20"/>
                <w:color w:val="auto"/>
              </w:rPr>
            </w:pPr>
            <w:r>
              <w:rPr>
                <w:rFonts w:ascii="Arial" w:cs="Arial" w:eastAsia="Arial" w:hAnsi="Arial"/>
                <w:sz w:val="20"/>
                <w:szCs w:val="20"/>
                <w:color w:val="auto"/>
              </w:rPr>
              <w:t>[****]</w:t>
            </w:r>
          </w:p>
        </w:tc>
        <w:tc>
          <w:tcPr>
            <w:tcW w:w="94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8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8960" w:type="dxa"/>
            <w:vAlign w:val="bottom"/>
            <w:tcBorders>
              <w:right w:val="single" w:sz="8" w:color="auto"/>
            </w:tcBorders>
          </w:tcPr>
          <w:p>
            <w:pPr>
              <w:jc w:val="right"/>
              <w:ind w:right="8221"/>
              <w:spacing w:after="0"/>
              <w:rPr>
                <w:sz w:val="20"/>
                <w:szCs w:val="20"/>
                <w:color w:val="auto"/>
              </w:rPr>
            </w:pPr>
            <w:r>
              <w:rPr>
                <w:rFonts w:ascii="Arial" w:cs="Arial" w:eastAsia="Arial" w:hAnsi="Arial"/>
                <w:sz w:val="20"/>
                <w:szCs w:val="20"/>
                <w:color w:val="auto"/>
              </w:rPr>
              <w:t>[****]</w:t>
            </w:r>
          </w:p>
        </w:tc>
        <w:tc>
          <w:tcPr>
            <w:tcW w:w="94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8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02" w:lineRule="exact"/>
        <w:rPr>
          <w:sz w:val="20"/>
          <w:szCs w:val="20"/>
          <w:color w:val="auto"/>
        </w:rPr>
      </w:pPr>
    </w:p>
    <w:p>
      <w:pPr>
        <w:jc w:val="both"/>
        <w:ind w:left="1380" w:hanging="647"/>
        <w:spacing w:after="0" w:line="246" w:lineRule="auto"/>
        <w:rPr>
          <w:sz w:val="20"/>
          <w:szCs w:val="20"/>
          <w:color w:val="auto"/>
        </w:rPr>
      </w:pPr>
      <w:r>
        <w:rPr>
          <w:rFonts w:ascii="Arial" w:cs="Arial" w:eastAsia="Arial" w:hAnsi="Arial"/>
          <w:sz w:val="20"/>
          <w:szCs w:val="20"/>
          <w:color w:val="auto"/>
        </w:rPr>
        <w:t xml:space="preserve">10.3.2 </w:t>
      </w:r>
      <w:r>
        <w:rPr>
          <w:rFonts w:ascii="Arial" w:cs="Arial" w:eastAsia="Arial" w:hAnsi="Arial"/>
          <w:sz w:val="20"/>
          <w:szCs w:val="20"/>
          <w:b w:val="1"/>
          <w:bCs w:val="1"/>
          <w:color w:val="auto"/>
        </w:rPr>
        <w:t>Royalty Term</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Zai will pay to Blueprint the Royalty Payments on a Licensed Product-by-Licensed Product and region-by-region basis beginning on the date of the First Commercial Sale of such Licensed Product in such country or region and lasting until the later of: (a) [****] (b) [****] and (c) [****] (“</w:t>
      </w:r>
      <w:r>
        <w:rPr>
          <w:rFonts w:ascii="Arial" w:cs="Arial" w:eastAsia="Arial" w:hAnsi="Arial"/>
          <w:sz w:val="20"/>
          <w:szCs w:val="20"/>
          <w:b w:val="1"/>
          <w:bCs w:val="1"/>
          <w:color w:val="auto"/>
        </w:rPr>
        <w:t>Royalty Term</w:t>
      </w:r>
      <w:r>
        <w:rPr>
          <w:rFonts w:ascii="Arial" w:cs="Arial" w:eastAsia="Arial" w:hAnsi="Arial"/>
          <w:sz w:val="20"/>
          <w:szCs w:val="20"/>
          <w:color w:val="auto"/>
        </w:rPr>
        <w:t>”).</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10.3.3  </w:t>
      </w:r>
      <w:r>
        <w:rPr>
          <w:rFonts w:ascii="Arial" w:cs="Arial" w:eastAsia="Arial" w:hAnsi="Arial"/>
          <w:sz w:val="20"/>
          <w:szCs w:val="20"/>
          <w:b w:val="1"/>
          <w:bCs w:val="1"/>
          <w:color w:val="auto"/>
        </w:rPr>
        <w:t>Royalty Reductions</w:t>
      </w:r>
      <w:r>
        <w:rPr>
          <w:rFonts w:ascii="Arial" w:cs="Arial" w:eastAsia="Arial" w:hAnsi="Arial"/>
          <w:sz w:val="20"/>
          <w:szCs w:val="20"/>
          <w:color w:val="auto"/>
        </w:rPr>
        <w:t>.</w:t>
      </w:r>
    </w:p>
    <w:p>
      <w:pPr>
        <w:spacing w:after="0" w:line="216" w:lineRule="exact"/>
        <w:rPr>
          <w:sz w:val="20"/>
          <w:szCs w:val="20"/>
          <w:color w:val="auto"/>
        </w:rPr>
      </w:pPr>
    </w:p>
    <w:p>
      <w:pPr>
        <w:jc w:val="both"/>
        <w:ind w:left="1960" w:hanging="656"/>
        <w:spacing w:after="0" w:line="272" w:lineRule="auto"/>
        <w:tabs>
          <w:tab w:leader="none" w:pos="19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Expiration of Valid Claims. </w:t>
      </w:r>
      <w:r>
        <w:rPr>
          <w:rFonts w:ascii="Arial" w:cs="Arial" w:eastAsia="Arial" w:hAnsi="Arial"/>
          <w:sz w:val="18"/>
          <w:szCs w:val="18"/>
          <w:color w:val="auto"/>
        </w:rPr>
        <w:t>Subject to Section 10.3.3(c) (Cumulative Reductions Floor), on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Product-by-Licensed Product and region-by-region basis, if there is no Valid Claim of a Royalty Patent Right that Covers the Licensed Product [****] in such region, then, commencing [****] after the date on which this Section 10.3.3(a) (Expiration of Valid Claims) applies and for all</w:t>
      </w:r>
    </w:p>
    <w:p>
      <w:pPr>
        <w:spacing w:after="0" w:line="1" w:lineRule="exact"/>
        <w:rPr>
          <w:rFonts w:ascii="Arial" w:cs="Arial" w:eastAsia="Arial" w:hAnsi="Arial"/>
          <w:sz w:val="18"/>
          <w:szCs w:val="18"/>
          <w:color w:val="auto"/>
        </w:rPr>
      </w:pPr>
    </w:p>
    <w:p>
      <w:pPr>
        <w:jc w:val="both"/>
        <w:ind w:left="1960"/>
        <w:spacing w:after="0" w:line="254" w:lineRule="auto"/>
        <w:rPr>
          <w:rFonts w:ascii="Arial" w:cs="Arial" w:eastAsia="Arial" w:hAnsi="Arial"/>
          <w:sz w:val="18"/>
          <w:szCs w:val="18"/>
          <w:color w:val="auto"/>
        </w:rPr>
      </w:pPr>
      <w:r>
        <w:rPr>
          <w:rFonts w:ascii="Arial" w:cs="Arial" w:eastAsia="Arial" w:hAnsi="Arial"/>
          <w:sz w:val="19"/>
          <w:szCs w:val="19"/>
          <w:color w:val="auto"/>
        </w:rPr>
        <w:t xml:space="preserve">[****] thereafter during which this Section 10.3.3(a) (Expiration of Valid Claims) applies, the applicable royalty rate that would otherwise be owed on such Net Sales of such Licensed Product in such region under Section 10.3.1 (Royalty Payments to Blueprint) will be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Licensed Product [****] subsequently becomes Covered by a Valid Claim within the Royalty Patent Rights in such region prior to [****], then the applicable royalty rate that would otherwise be owed on such Net Sales of such Licensed Product in such region will no longer be subject to the aforementioned reduction beginning at [****].</w:t>
      </w:r>
    </w:p>
    <w:p>
      <w:pPr>
        <w:spacing w:after="0" w:line="181" w:lineRule="exact"/>
        <w:rPr>
          <w:rFonts w:ascii="Arial" w:cs="Arial" w:eastAsia="Arial" w:hAnsi="Arial"/>
          <w:sz w:val="18"/>
          <w:szCs w:val="18"/>
          <w:color w:val="auto"/>
        </w:rPr>
      </w:pPr>
    </w:p>
    <w:p>
      <w:pPr>
        <w:jc w:val="both"/>
        <w:ind w:left="1880" w:hanging="495"/>
        <w:spacing w:after="0" w:line="244" w:lineRule="auto"/>
        <w:tabs>
          <w:tab w:leader="none" w:pos="1880" w:val="left"/>
        </w:tabs>
        <w:numPr>
          <w:ilvl w:val="1"/>
          <w:numId w:val="171"/>
        </w:numPr>
        <w:rPr>
          <w:rFonts w:ascii="Arial" w:cs="Arial" w:eastAsia="Arial" w:hAnsi="Arial"/>
          <w:sz w:val="20"/>
          <w:szCs w:val="20"/>
          <w:color w:val="auto"/>
        </w:rPr>
      </w:pPr>
      <w:r>
        <w:rPr>
          <w:rFonts w:ascii="Arial" w:cs="Arial" w:eastAsia="Arial" w:hAnsi="Arial"/>
          <w:sz w:val="20"/>
          <w:szCs w:val="20"/>
          <w:b w:val="1"/>
          <w:bCs w:val="1"/>
          <w:color w:val="auto"/>
        </w:rPr>
        <w:t>Offset For Third Party Licensing Payments</w:t>
      </w:r>
      <w:r>
        <w:rPr>
          <w:rFonts w:ascii="Arial" w:cs="Arial" w:eastAsia="Arial" w:hAnsi="Arial"/>
          <w:sz w:val="20"/>
          <w:szCs w:val="20"/>
          <w:color w:val="auto"/>
        </w:rPr>
        <w:t>. Subject to Section 2.6 (Third Party In-Licenses) and</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10.3.3(c) (Cumulative Reductions Floor), Zai will be entitled to, on a country-by-country basis, credit against the royalties due to Blueprint upon Net Sales of a Licensed Product in such country an amount equal to [****]of the total royalties paid by Zai to Third Parties with respect to license rights to Patent Rights, or Patent Rights together with Know-How, controlled by Third Parties that are necessary to avoid infringement of such Third Party rights in the Territory (i) [****] or (ii) [****].</w:t>
      </w:r>
    </w:p>
    <w:p>
      <w:pPr>
        <w:spacing w:after="0" w:line="185" w:lineRule="exact"/>
        <w:rPr>
          <w:rFonts w:ascii="Arial" w:cs="Arial" w:eastAsia="Arial" w:hAnsi="Arial"/>
          <w:sz w:val="20"/>
          <w:szCs w:val="20"/>
          <w:color w:val="auto"/>
        </w:rPr>
      </w:pPr>
    </w:p>
    <w:p>
      <w:pPr>
        <w:jc w:val="both"/>
        <w:ind w:left="1880" w:hanging="495"/>
        <w:spacing w:after="0" w:line="246" w:lineRule="auto"/>
        <w:tabs>
          <w:tab w:leader="none" w:pos="1880" w:val="left"/>
        </w:tabs>
        <w:numPr>
          <w:ilvl w:val="1"/>
          <w:numId w:val="171"/>
        </w:numPr>
        <w:rPr>
          <w:rFonts w:ascii="Arial" w:cs="Arial" w:eastAsia="Arial" w:hAnsi="Arial"/>
          <w:sz w:val="20"/>
          <w:szCs w:val="20"/>
          <w:color w:val="auto"/>
        </w:rPr>
      </w:pPr>
      <w:r>
        <w:rPr>
          <w:rFonts w:ascii="Arial" w:cs="Arial" w:eastAsia="Arial" w:hAnsi="Arial"/>
          <w:sz w:val="20"/>
          <w:szCs w:val="20"/>
          <w:b w:val="1"/>
          <w:bCs w:val="1"/>
          <w:color w:val="auto"/>
        </w:rPr>
        <w:t>Cumulative Reductions Floor</w:t>
      </w:r>
      <w:r>
        <w:rPr>
          <w:rFonts w:ascii="Arial" w:cs="Arial" w:eastAsia="Arial" w:hAnsi="Arial"/>
          <w:sz w:val="20"/>
          <w:szCs w:val="20"/>
          <w:color w:val="auto"/>
        </w:rPr>
        <w:t>. In no event will the aggregate amount of Royalty Payments due to</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for a Licensed Product in a region in the Territory in any given [****] during the Royalty Term for such Licensed Product in such region be reduced to less than [****] of the amount that otherwise would have been due and payable to Blueprint in such [****] for such Licensed Product in such region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8" w:right="999" w:bottom="1440" w:gutter="0" w:footer="0" w:header="0"/>
        </w:sectPr>
      </w:pPr>
    </w:p>
    <w:bookmarkStart w:id="293" w:name="page294"/>
    <w:bookmarkEnd w:id="293"/>
    <w:p>
      <w:pPr>
        <w:ind w:left="1860"/>
        <w:spacing w:after="0" w:line="260" w:lineRule="auto"/>
        <w:rPr>
          <w:sz w:val="20"/>
          <w:szCs w:val="20"/>
          <w:color w:val="auto"/>
        </w:rPr>
      </w:pPr>
      <w:r>
        <w:rPr>
          <w:rFonts w:ascii="Arial" w:cs="Arial" w:eastAsia="Arial" w:hAnsi="Arial"/>
          <w:sz w:val="20"/>
          <w:szCs w:val="20"/>
          <w:color w:val="auto"/>
        </w:rPr>
        <w:t>for the reductions set forth in Section 10.3.3(a) (Expiration of Valid Claims) and Section 10.3.3(b) (Offset For Third Party Licensing Payments).</w:t>
      </w:r>
    </w:p>
    <w:p>
      <w:pPr>
        <w:spacing w:after="0" w:line="171" w:lineRule="exact"/>
        <w:rPr>
          <w:sz w:val="20"/>
          <w:szCs w:val="20"/>
          <w:color w:val="auto"/>
        </w:rPr>
      </w:pPr>
    </w:p>
    <w:p>
      <w:pPr>
        <w:jc w:val="both"/>
        <w:ind w:left="1280" w:hanging="647"/>
        <w:spacing w:after="0" w:line="269" w:lineRule="auto"/>
        <w:rPr>
          <w:sz w:val="20"/>
          <w:szCs w:val="20"/>
          <w:color w:val="auto"/>
        </w:rPr>
      </w:pPr>
      <w:r>
        <w:rPr>
          <w:rFonts w:ascii="Arial" w:cs="Arial" w:eastAsia="Arial" w:hAnsi="Arial"/>
          <w:sz w:val="18"/>
          <w:szCs w:val="18"/>
          <w:color w:val="auto"/>
        </w:rPr>
        <w:t xml:space="preserve">10.3.4 </w:t>
      </w:r>
      <w:r>
        <w:rPr>
          <w:rFonts w:ascii="Arial" w:cs="Arial" w:eastAsia="Arial" w:hAnsi="Arial"/>
          <w:sz w:val="18"/>
          <w:szCs w:val="18"/>
          <w:b w:val="1"/>
          <w:bCs w:val="1"/>
          <w:color w:val="auto"/>
        </w:rPr>
        <w:t>Royalty Reports and Payments</w:t>
      </w:r>
      <w:r>
        <w:rPr>
          <w:rFonts w:ascii="Arial" w:cs="Arial" w:eastAsia="Arial" w:hAnsi="Arial"/>
          <w:sz w:val="18"/>
          <w:szCs w:val="18"/>
          <w:color w:val="auto"/>
        </w:rPr>
        <w:t>. Commencing with the [****] during which the First Commercial Sale of a Licensed Product is made anywhere in the Territory, [****] Zai will provide Blueprint with [****] the amount of royalties payable by Zai for the applicable [****], on a Licensed Product-by-Licensed Product and region-by-region basis (each, a “</w:t>
      </w:r>
      <w:r>
        <w:rPr>
          <w:rFonts w:ascii="Arial" w:cs="Arial" w:eastAsia="Arial" w:hAnsi="Arial"/>
          <w:sz w:val="18"/>
          <w:szCs w:val="18"/>
          <w:b w:val="1"/>
          <w:bCs w:val="1"/>
          <w:color w:val="auto"/>
        </w:rPr>
        <w:t>Royalty Estimate</w:t>
      </w:r>
      <w:r>
        <w:rPr>
          <w:rFonts w:ascii="Arial" w:cs="Arial" w:eastAsia="Arial" w:hAnsi="Arial"/>
          <w:sz w:val="18"/>
          <w:szCs w:val="18"/>
          <w:color w:val="auto"/>
        </w:rPr>
        <w:t>”). [****] Zai will provide Blueprint with a detailed report for the applicable [****], on a Licensed Product-by-Licensed Product and region-by-region basis (each, a “</w:t>
      </w:r>
      <w:r>
        <w:rPr>
          <w:rFonts w:ascii="Arial" w:cs="Arial" w:eastAsia="Arial" w:hAnsi="Arial"/>
          <w:sz w:val="18"/>
          <w:szCs w:val="18"/>
          <w:b w:val="1"/>
          <w:bCs w:val="1"/>
          <w:color w:val="auto"/>
        </w:rPr>
        <w:t>Royalty Report</w:t>
      </w:r>
      <w:r>
        <w:rPr>
          <w:rFonts w:ascii="Arial" w:cs="Arial" w:eastAsia="Arial" w:hAnsi="Arial"/>
          <w:sz w:val="18"/>
          <w:szCs w:val="18"/>
          <w:color w:val="auto"/>
        </w:rPr>
        <w:t>”) containing: (a) the amount of gross sales and Net Sales of each Licensed Product sold by Zai and its Affiliates and Sublicensees in each region and all deductions used to determine such Net Sales of each such Licensed Products for such [****], (b) a calculation of the Royalty Payment due on such Net Sales of each Licensed Product in each region, including any royalty reduction made in accordance with Section 10.3.3(a) (Expiration of Valid Claims) and Section 10.3.3(b) (Offset For Third Party Licensing Payments), (c) the exchange rate used for converting any Net Sales recorded in a currency other than Dollars, (d) any withholding taxes required to be made from such Royalty Payments, and (e) the quantity and description of each Licensed Product sold by Zai or its Affiliate or Sublicensee in each region in the Territory during such [****] comprising such Net Sales, including detailed sales reports for each Licensed Product for [****] in each region in the Territory. Concurrent with the delivery of the applicable Royalty Report, [****], Zai will pay the amount of the Royalty Payments set forth in the applicable Royalty Report to Blueprint in Dollars. If requested by Blueprint, the Parties will seek to resolve any questions or issues related to a Royalty Report within [****] following receipt by Blueprint of each Royalty Report.</w:t>
      </w:r>
    </w:p>
    <w:p>
      <w:pPr>
        <w:spacing w:after="0" w:line="171" w:lineRule="exact"/>
        <w:rPr>
          <w:sz w:val="20"/>
          <w:szCs w:val="20"/>
          <w:color w:val="auto"/>
        </w:rPr>
      </w:pPr>
    </w:p>
    <w:p>
      <w:pPr>
        <w:jc w:val="both"/>
        <w:ind w:left="640" w:right="2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9"/>
          <w:szCs w:val="19"/>
          <w:b w:val="1"/>
          <w:bCs w:val="1"/>
          <w:color w:val="auto"/>
        </w:rPr>
        <w:t>Payments to Third Parties Under Existing Agreements</w:t>
      </w:r>
      <w:r>
        <w:rPr>
          <w:rFonts w:ascii="Arial" w:cs="Arial" w:eastAsia="Arial" w:hAnsi="Arial"/>
          <w:sz w:val="19"/>
          <w:szCs w:val="19"/>
          <w:color w:val="auto"/>
        </w:rPr>
        <w:t>. Each Party will be solely responsible for any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due to Third Parties under any agreement entered into by such Party prior to the Effective Date.</w:t>
      </w:r>
    </w:p>
    <w:p>
      <w:pPr>
        <w:spacing w:after="0" w:line="14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9"/>
          <w:szCs w:val="19"/>
          <w:b w:val="1"/>
          <w:bCs w:val="1"/>
          <w:color w:val="auto"/>
        </w:rPr>
        <w:t>Other Amounts Payable</w:t>
      </w:r>
      <w:r>
        <w:rPr>
          <w:rFonts w:ascii="Arial" w:cs="Arial" w:eastAsia="Arial" w:hAnsi="Arial"/>
          <w:sz w:val="19"/>
          <w:szCs w:val="19"/>
          <w:color w:val="auto"/>
        </w:rPr>
        <w:t>. With respect to any amounts owed under this Agreement by one Party to the other for</w:t>
      </w:r>
      <w:r>
        <w:rPr>
          <w:rFonts w:ascii="Arial" w:cs="Arial" w:eastAsia="Arial" w:hAnsi="Arial"/>
          <w:sz w:val="19"/>
          <w:szCs w:val="19"/>
          <w:b w:val="1"/>
          <w:bCs w:val="1"/>
          <w:color w:val="auto"/>
        </w:rPr>
        <w:t xml:space="preserve"> </w:t>
      </w:r>
      <w:r>
        <w:rPr>
          <w:rFonts w:ascii="Arial" w:cs="Arial" w:eastAsia="Arial" w:hAnsi="Arial"/>
          <w:sz w:val="19"/>
          <w:szCs w:val="19"/>
          <w:color w:val="auto"/>
        </w:rPr>
        <w:t>which no other invoicing and payment procedure is specified hereunder, within [****] after the end of each [****], each Party will provide an invoice, together with reasonable supporting documentation, to the other Party for such amounts owed in respect of such [****]. The owing Party will pay any undisputed amounts within [****] of receipt after the invoice, and any disputed amounts owed by a Party will be paid within [****] after resolution of the dispute. As used throughout this Agreement, a disputed amount owed by one Party to the other Party will be considered “undisputed” hereunder following a final, unappealable determination in accordance with Article 16 (Dispute Resolution) that such amount is owed.</w:t>
      </w:r>
    </w:p>
    <w:p>
      <w:pPr>
        <w:spacing w:after="0" w:line="173" w:lineRule="exact"/>
        <w:rPr>
          <w:sz w:val="20"/>
          <w:szCs w:val="20"/>
          <w:color w:val="auto"/>
        </w:rPr>
      </w:pPr>
    </w:p>
    <w:p>
      <w:pPr>
        <w:jc w:val="both"/>
        <w:ind w:left="64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9"/>
          <w:szCs w:val="19"/>
          <w:b w:val="1"/>
          <w:bCs w:val="1"/>
          <w:color w:val="auto"/>
        </w:rPr>
        <w:t>No Refunds</w:t>
      </w:r>
      <w:r>
        <w:rPr>
          <w:rFonts w:ascii="Arial" w:cs="Arial" w:eastAsia="Arial" w:hAnsi="Arial"/>
          <w:sz w:val="19"/>
          <w:szCs w:val="19"/>
          <w:color w:val="auto"/>
        </w:rPr>
        <w:t>. Except as expressly provided herein or in the case of an overpayment of Royalty Payments [****], all</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under this Agreement will be irrevocable, non-refundable, and non-creditable.</w:t>
      </w:r>
    </w:p>
    <w:p>
      <w:pPr>
        <w:spacing w:after="0" w:line="142"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10.7</w:t>
        <w:tab/>
        <w:t>Accounting Standards</w:t>
      </w:r>
      <w:r>
        <w:rPr>
          <w:rFonts w:ascii="Arial" w:cs="Arial" w:eastAsia="Arial" w:hAnsi="Arial"/>
          <w:sz w:val="20"/>
          <w:szCs w:val="20"/>
          <w:color w:val="auto"/>
        </w:rPr>
        <w:t>. If a Party changes its general accounting principles from the then-current standard (</w:t>
      </w:r>
      <w:r>
        <w:rPr>
          <w:rFonts w:ascii="Arial" w:cs="Arial" w:eastAsia="Arial" w:hAnsi="Arial"/>
          <w:sz w:val="20"/>
          <w:szCs w:val="20"/>
          <w:i w:val="1"/>
          <w:iCs w:val="1"/>
          <w:color w:val="auto"/>
        </w:rPr>
        <w:t>e.g.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from GAAP to IFRS) at any time during the Term, then at least [****] prior to adopting such change in principles, such Party will provide written notice to the other Party of such change.</w:t>
      </w:r>
    </w:p>
    <w:p>
      <w:pPr>
        <w:spacing w:after="0" w:line="177"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10.8</w:t>
        <w:tab/>
        <w:t>Currency; Exchange Rate</w:t>
      </w:r>
      <w:r>
        <w:rPr>
          <w:rFonts w:ascii="Arial" w:cs="Arial" w:eastAsia="Arial" w:hAnsi="Arial"/>
          <w:sz w:val="20"/>
          <w:szCs w:val="20"/>
          <w:color w:val="auto"/>
        </w:rPr>
        <w:t>. All payments to be made by Zai to Blueprint or Blueprint to Zai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made in Dollars by electronic funds transfer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94" w:name="page295"/>
    <w:bookmarkEnd w:id="294"/>
    <w:p>
      <w:pPr>
        <w:jc w:val="both"/>
        <w:ind w:left="660"/>
        <w:spacing w:after="0" w:line="250" w:lineRule="auto"/>
        <w:rPr>
          <w:sz w:val="20"/>
          <w:szCs w:val="20"/>
          <w:color w:val="auto"/>
        </w:rPr>
      </w:pPr>
      <w:r>
        <w:rPr>
          <w:rFonts w:ascii="Arial" w:cs="Arial" w:eastAsia="Arial" w:hAnsi="Arial"/>
          <w:sz w:val="20"/>
          <w:szCs w:val="20"/>
          <w:color w:val="auto"/>
        </w:rPr>
        <w:t xml:space="preserve">to a bank account designated in writing by Blueprint or Zai, as applicable. Conversion of Net Sales recorded in local currencies will be converted to Dollars at the exchange rate set forth in </w:t>
      </w:r>
      <w:r>
        <w:rPr>
          <w:rFonts w:ascii="Arial" w:cs="Arial" w:eastAsia="Arial" w:hAnsi="Arial"/>
          <w:sz w:val="20"/>
          <w:szCs w:val="20"/>
          <w:i w:val="1"/>
          <w:iCs w:val="1"/>
          <w:color w:val="auto"/>
        </w:rPr>
        <w:t>Wall Street Journal</w:t>
      </w:r>
      <w:r>
        <w:rPr>
          <w:rFonts w:ascii="Arial" w:cs="Arial" w:eastAsia="Arial" w:hAnsi="Arial"/>
          <w:sz w:val="20"/>
          <w:szCs w:val="20"/>
          <w:color w:val="auto"/>
        </w:rPr>
        <w:t xml:space="preserve"> or any successor thereto for [****].</w:t>
      </w:r>
    </w:p>
    <w:p>
      <w:pPr>
        <w:spacing w:after="0" w:line="18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b w:val="1"/>
          <w:bCs w:val="1"/>
          <w:color w:val="auto"/>
        </w:rPr>
        <w:t>10.9</w:t>
        <w:tab/>
        <w:t>Blocked Payments</w:t>
      </w:r>
      <w:r>
        <w:rPr>
          <w:rFonts w:ascii="Arial" w:cs="Arial" w:eastAsia="Arial" w:hAnsi="Arial"/>
          <w:sz w:val="20"/>
          <w:szCs w:val="20"/>
          <w:color w:val="auto"/>
        </w:rPr>
        <w:t>. If by reason of Applicable Law in any country or region, it becomes impossible or illegal for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transfer, or have transferred on its behalf, payments owed the other Party hereunder, then such Party will promptly notify the other Party of the conditions preventing such transfer and such payments will be deposited in local currency in the relevant country or region to the credit of the other Party in a recognized banking institution designated by the other Party or, if none is designated by the other Party within a period of [****], in a recognized banking institution selected by the transferring Party, as the case may be, and identified in a written notice given to the other Party.</w:t>
      </w:r>
    </w:p>
    <w:p>
      <w:pPr>
        <w:spacing w:after="0" w:line="18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10.10</w:t>
        <w:tab/>
        <w:t>Late Payments</w:t>
      </w:r>
      <w:r>
        <w:rPr>
          <w:rFonts w:ascii="Arial" w:cs="Arial" w:eastAsia="Arial" w:hAnsi="Arial"/>
          <w:sz w:val="20"/>
          <w:szCs w:val="20"/>
          <w:color w:val="auto"/>
        </w:rPr>
        <w:t>. Any payments or portions thereof due hereunder that are not paid on the date such payments are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due under this Agreement will bear interest at a rate equal to the lesser of: (a) [****] as published by </w:t>
      </w:r>
      <w:r>
        <w:rPr>
          <w:rFonts w:ascii="Arial" w:cs="Arial" w:eastAsia="Arial" w:hAnsi="Arial"/>
          <w:sz w:val="20"/>
          <w:szCs w:val="20"/>
          <w:i w:val="1"/>
          <w:iCs w:val="1"/>
          <w:color w:val="auto"/>
        </w:rPr>
        <w:t>The Wall Street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Journal </w:t>
      </w:r>
      <w:r>
        <w:rPr>
          <w:rFonts w:ascii="Arial" w:cs="Arial" w:eastAsia="Arial" w:hAnsi="Arial"/>
          <w:sz w:val="20"/>
          <w:szCs w:val="20"/>
          <w:color w:val="auto"/>
        </w:rPr>
        <w:t>or any successor thereto on the [****] in which such payments are overdue; or (b) the maximum rate</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by Applicable Law; in each case, calculated on the number of days such payment is delinquent, compounded monthly.</w:t>
      </w:r>
    </w:p>
    <w:p>
      <w:pPr>
        <w:spacing w:after="0" w:line="18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b w:val="1"/>
          <w:bCs w:val="1"/>
          <w:color w:val="auto"/>
        </w:rPr>
        <w:t>10.11</w:t>
      </w:r>
      <w:r>
        <w:rPr>
          <w:sz w:val="20"/>
          <w:szCs w:val="20"/>
          <w:color w:val="auto"/>
        </w:rPr>
        <w:tab/>
      </w:r>
      <w:r>
        <w:rPr>
          <w:rFonts w:ascii="Arial" w:cs="Arial" w:eastAsia="Arial" w:hAnsi="Arial"/>
          <w:sz w:val="18"/>
          <w:szCs w:val="18"/>
          <w:b w:val="1"/>
          <w:bCs w:val="1"/>
          <w:color w:val="auto"/>
        </w:rPr>
        <w:t>Financial Records and Audits</w:t>
      </w:r>
      <w:r>
        <w:rPr>
          <w:rFonts w:ascii="Arial" w:cs="Arial" w:eastAsia="Arial" w:hAnsi="Arial"/>
          <w:sz w:val="18"/>
          <w:szCs w:val="18"/>
          <w:color w:val="auto"/>
        </w:rPr>
        <w:t>. Each Party will maintain complete and accurate records in sufficient detail to</w:t>
      </w:r>
      <w:r>
        <w:rPr>
          <w:rFonts w:ascii="Arial" w:cs="Arial" w:eastAsia="Arial" w:hAnsi="Arial"/>
          <w:sz w:val="18"/>
          <w:szCs w:val="18"/>
          <w:b w:val="1"/>
          <w:bCs w:val="1"/>
          <w:color w:val="auto"/>
        </w:rPr>
        <w:t xml:space="preserve"> </w:t>
      </w:r>
      <w:r>
        <w:rPr>
          <w:rFonts w:ascii="Arial" w:cs="Arial" w:eastAsia="Arial" w:hAnsi="Arial"/>
          <w:sz w:val="18"/>
          <w:szCs w:val="18"/>
          <w:color w:val="auto"/>
        </w:rPr>
        <w:t>permit the other Party to confirm the accuracy of the amount of royalty payments and other amounts payable under this Agreement. Upon reasonable prior notice, such records will be open during regular business hours for a period of [****] from the creation of individual records for examination by an independent certified public accountant selected by the examining Party and reasonably acceptable to the other Party for the sole purpose of verifying for the examining Party the accuracy of the financial reports furnished by the other Party (the “</w:t>
      </w:r>
      <w:r>
        <w:rPr>
          <w:rFonts w:ascii="Arial" w:cs="Arial" w:eastAsia="Arial" w:hAnsi="Arial"/>
          <w:sz w:val="18"/>
          <w:szCs w:val="18"/>
          <w:b w:val="1"/>
          <w:bCs w:val="1"/>
          <w:color w:val="auto"/>
        </w:rPr>
        <w:t>Examined Party</w:t>
      </w:r>
      <w:r>
        <w:rPr>
          <w:rFonts w:ascii="Arial" w:cs="Arial" w:eastAsia="Arial" w:hAnsi="Arial"/>
          <w:sz w:val="18"/>
          <w:szCs w:val="18"/>
          <w:color w:val="auto"/>
        </w:rPr>
        <w:t xml:space="preserve">”) pursuant to this Agreement or of any payments made, or required to be made, by such Examined Party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independent accounting firm is subject to written obligations of confidentiality and non-use applicable to each Party’s Confidential Information that are at least as stringent as those set forth in Article 11 (Confidentiality; Publication). Such audit will not be (a) performed more frequently than [****] during the Term or [****] after the expiration or termination of this Agreement, (b) conducted for any Calendar Year [****] after the end of such year, or (c) repeated for any Calendar Year or with respect to the same set of records (unless a material discrepancy with respect to such records is discovered during a prior audit). Such auditor will not disclose the Examined Party’s Confidential Information to the examining Party or to any Third Party, except to the extent such disclosure is necessary to verify the accuracy of the financial reports furnished by the Examined Party or the amount of payments by the Examined Party under this Agreement. The Examined Party will pay any amounts shown to be owed to the examining Party but unpaid within [****] after the accountant’s report,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(as set forth in Section 10.10 (Late Payments)) from the original due date. The examining Party will bear the full cost of such audit unless such audit reveals an underpayment by the Examined Party of [****], in which case the Examined Party will reimburse the examining Party for the reasonable audit fees for such examination.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53" w:lineRule="auto"/>
        <w:rPr>
          <w:sz w:val="20"/>
          <w:szCs w:val="20"/>
          <w:color w:val="auto"/>
        </w:rPr>
      </w:pPr>
      <w:r>
        <w:rPr>
          <w:rFonts w:ascii="Arial" w:cs="Arial" w:eastAsia="Arial" w:hAnsi="Arial"/>
          <w:sz w:val="20"/>
          <w:szCs w:val="20"/>
          <w:color w:val="auto"/>
        </w:rPr>
        <w:t xml:space="preserve">10.12.1 </w:t>
      </w:r>
      <w:r>
        <w:rPr>
          <w:rFonts w:ascii="Arial" w:cs="Arial" w:eastAsia="Arial" w:hAnsi="Arial"/>
          <w:sz w:val="20"/>
          <w:szCs w:val="20"/>
          <w:b w:val="1"/>
          <w:bCs w:val="1"/>
          <w:color w:val="auto"/>
        </w:rPr>
        <w:t>Taxes on Income</w:t>
      </w:r>
      <w:r>
        <w:rPr>
          <w:rFonts w:ascii="Arial" w:cs="Arial" w:eastAsia="Arial" w:hAnsi="Arial"/>
          <w:sz w:val="20"/>
          <w:szCs w:val="20"/>
          <w:color w:val="auto"/>
        </w:rPr>
        <w:t>. Except as set forth in this Section 10.12 (Taxes) or Section 10.13 (VAT Credits), each Party will be solely responsible for the payment of any and all Taxes levied on account of all payments it receives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5" w:name="page296"/>
    <w:bookmarkEnd w:id="295"/>
    <w:p>
      <w:pPr>
        <w:jc w:val="both"/>
        <w:ind w:left="1360" w:hanging="647"/>
        <w:spacing w:after="0" w:line="268" w:lineRule="auto"/>
        <w:rPr>
          <w:sz w:val="20"/>
          <w:szCs w:val="20"/>
          <w:color w:val="auto"/>
        </w:rPr>
      </w:pPr>
      <w:r>
        <w:rPr>
          <w:rFonts w:ascii="Arial" w:cs="Arial" w:eastAsia="Arial" w:hAnsi="Arial"/>
          <w:sz w:val="18"/>
          <w:szCs w:val="18"/>
          <w:color w:val="auto"/>
        </w:rPr>
        <w:t xml:space="preserve">10.12.2 </w:t>
      </w:r>
      <w:r>
        <w:rPr>
          <w:rFonts w:ascii="Arial" w:cs="Arial" w:eastAsia="Arial" w:hAnsi="Arial"/>
          <w:sz w:val="18"/>
          <w:szCs w:val="18"/>
          <w:b w:val="1"/>
          <w:bCs w:val="1"/>
          <w:color w:val="auto"/>
        </w:rPr>
        <w:t>Tax Cooperation</w:t>
      </w:r>
      <w:r>
        <w:rPr>
          <w:rFonts w:ascii="Arial" w:cs="Arial" w:eastAsia="Arial" w:hAnsi="Arial"/>
          <w:sz w:val="18"/>
          <w:szCs w:val="18"/>
          <w:color w:val="auto"/>
        </w:rPr>
        <w:t>. The Parties agree to cooperate with one another in accordance with Applicable Law and use reasonable efforts to minimize Tax withholding or similar obligations in respect of royalties, milestone payments, and other payments made by each Party to the other Party under this Agreement. To the extent either Party (the “</w:t>
      </w:r>
      <w:r>
        <w:rPr>
          <w:rFonts w:ascii="Arial" w:cs="Arial" w:eastAsia="Arial" w:hAnsi="Arial"/>
          <w:sz w:val="18"/>
          <w:szCs w:val="18"/>
          <w:b w:val="1"/>
          <w:bCs w:val="1"/>
          <w:color w:val="auto"/>
        </w:rPr>
        <w:t>Paying Party</w:t>
      </w:r>
      <w:r>
        <w:rPr>
          <w:rFonts w:ascii="Arial" w:cs="Arial" w:eastAsia="Arial" w:hAnsi="Arial"/>
          <w:sz w:val="18"/>
          <w:szCs w:val="18"/>
          <w:color w:val="auto"/>
        </w:rPr>
        <w:t>”) is required to deduct and withhold Taxes on any payment to the other Party (the “</w:t>
      </w:r>
      <w:r>
        <w:rPr>
          <w:rFonts w:ascii="Arial" w:cs="Arial" w:eastAsia="Arial" w:hAnsi="Arial"/>
          <w:sz w:val="18"/>
          <w:szCs w:val="18"/>
          <w:b w:val="1"/>
          <w:bCs w:val="1"/>
          <w:color w:val="auto"/>
        </w:rPr>
        <w:t>Recipient</w:t>
      </w:r>
      <w:r>
        <w:rPr>
          <w:rFonts w:ascii="Arial" w:cs="Arial" w:eastAsia="Arial" w:hAnsi="Arial"/>
          <w:sz w:val="18"/>
          <w:szCs w:val="18"/>
          <w:color w:val="auto"/>
        </w:rPr>
        <w:t>”), the Paying Party will (a) pay the amount of such Taxes to the proper Governmental Authority in a timely manner, and (b) promptly transmit to the Recipient an official tax certificate or other evidence of such payment sufficient to enable the Recipient to claim such payment of Taxes on the Recipient’s applicable tax returns. The Paying Party will provide the Recipient with advance notice prior to withholding any Taxes from payments payable to the Recipient and will, to the extent practicable, provide the Recipient with a commercially reasonable period of time to claim an exemption or reduction in otherwise applicable Taxes. The Recipient will provide the Paying Party any tax forms that may be reasonably necessary in order for the Paying Party to not withhold Tax or to withhold Tax at a reduced rate under an applicable bilateral income tax treaty, to the extent the Paying Party is legally able to do so. The Recipient will use reasonable efforts to provide any such tax forms to the Paying Party in advance of the due date. Each Party will provide the other with reasonable assistance to enable the recovery, as permitted by Applicable Law, of withholding Taxes or similar obligations resulting from payments made under this Agreement, such recovery to be for the benefit of the Paying Party if the Paying Party is the Party bearing such withholding Tax under this Section 10.12 (Taxes). In addition, the Parties will cooperate in accordance with Applicable Law to minimize indirect Taxes (such as VAT, sales tax, consumption tax, and other similar Taxes) in connection with this Agreement. In the event of any inconsistency between this Section 10.12 (Taxes) and Section 10.13 (VAT Credits), Section 10.13 (VAT Credits) will take precedence.</w:t>
      </w:r>
    </w:p>
    <w:p>
      <w:pPr>
        <w:spacing w:after="0" w:line="200" w:lineRule="exact"/>
        <w:rPr>
          <w:sz w:val="20"/>
          <w:szCs w:val="20"/>
          <w:color w:val="auto"/>
        </w:rPr>
      </w:pPr>
    </w:p>
    <w:p>
      <w:pPr>
        <w:spacing w:after="0" w:line="211" w:lineRule="exact"/>
        <w:rPr>
          <w:sz w:val="20"/>
          <w:szCs w:val="20"/>
          <w:color w:val="auto"/>
        </w:rPr>
      </w:pPr>
    </w:p>
    <w:p>
      <w:pPr>
        <w:jc w:val="both"/>
        <w:ind w:left="1360" w:hanging="647"/>
        <w:spacing w:after="0" w:line="275" w:lineRule="auto"/>
        <w:rPr>
          <w:sz w:val="20"/>
          <w:szCs w:val="20"/>
          <w:color w:val="auto"/>
        </w:rPr>
      </w:pPr>
      <w:r>
        <w:rPr>
          <w:rFonts w:ascii="Arial" w:cs="Arial" w:eastAsia="Arial" w:hAnsi="Arial"/>
          <w:sz w:val="18"/>
          <w:szCs w:val="18"/>
          <w:color w:val="auto"/>
        </w:rPr>
        <w:t xml:space="preserve">10.12.3 </w:t>
      </w:r>
      <w:r>
        <w:rPr>
          <w:rFonts w:ascii="Arial" w:cs="Arial" w:eastAsia="Arial" w:hAnsi="Arial"/>
          <w:sz w:val="18"/>
          <w:szCs w:val="18"/>
          <w:b w:val="1"/>
          <w:bCs w:val="1"/>
          <w:color w:val="auto"/>
        </w:rPr>
        <w:t>Changes in Domicile</w:t>
      </w:r>
      <w:r>
        <w:rPr>
          <w:rFonts w:ascii="Arial" w:cs="Arial" w:eastAsia="Arial" w:hAnsi="Arial"/>
          <w:sz w:val="18"/>
          <w:szCs w:val="18"/>
          <w:color w:val="auto"/>
        </w:rPr>
        <w:t>. Notwithstanding anything to the contrary in this Agreement, if the Paying Party assigns, transfers or otherwise disposes of some or all of its rights and obligations to any Person and if, as a result of such action, the withholding or deduction of Tax required by Applicable Law with respect to payments under this Agreement is increased, then any amount payable to the Recipient under this Agreement will be increased to take into account such withheld Taxes as may be necessary so that, after making all required withholdings (including withholdings on the withheld amounts), the Recipient receives an amount equal to the sum it would have received had no such withholding been made.</w:t>
      </w:r>
    </w:p>
    <w:p>
      <w:pPr>
        <w:spacing w:after="0" w:line="162" w:lineRule="exact"/>
        <w:rPr>
          <w:sz w:val="20"/>
          <w:szCs w:val="20"/>
          <w:color w:val="auto"/>
        </w:rPr>
      </w:pPr>
    </w:p>
    <w:p>
      <w:pPr>
        <w:jc w:val="both"/>
        <w:ind w:left="1360" w:hanging="647"/>
        <w:spacing w:after="0" w:line="259" w:lineRule="auto"/>
        <w:rPr>
          <w:sz w:val="20"/>
          <w:szCs w:val="20"/>
          <w:color w:val="auto"/>
        </w:rPr>
      </w:pPr>
      <w:r>
        <w:rPr>
          <w:rFonts w:ascii="Arial" w:cs="Arial" w:eastAsia="Arial" w:hAnsi="Arial"/>
          <w:sz w:val="20"/>
          <w:szCs w:val="20"/>
          <w:color w:val="auto"/>
        </w:rPr>
        <w:t xml:space="preserve">10.12.4 </w:t>
      </w:r>
      <w:r>
        <w:rPr>
          <w:rFonts w:ascii="Arial" w:cs="Arial" w:eastAsia="Arial" w:hAnsi="Arial"/>
          <w:sz w:val="20"/>
          <w:szCs w:val="20"/>
          <w:b w:val="1"/>
          <w:bCs w:val="1"/>
          <w:color w:val="auto"/>
        </w:rPr>
        <w:t>Returns</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All transfer, documentary, sales, use, stamp, registration, and other such Taxes, and any conveyance fees, recording charges, and other fees and charges (including any penalties and interest) incurred in connection with consummation of the transactions contemplated hereby, if any, will be borne and paid by the Paying Party. The Paying Party will prepare and timely file all tax returns required to be filed in respect of any such Taxes. The Parties will reasonably cooperate in accordance with Applicable Law to minimize transfer Taxes in connection with this Agreement.</w:t>
      </w:r>
    </w:p>
    <w:p>
      <w:pPr>
        <w:spacing w:after="0" w:line="178"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10.13</w:t>
        <w:tab/>
        <w:t>VAT Credits</w:t>
      </w:r>
      <w:r>
        <w:rPr>
          <w:rFonts w:ascii="Arial" w:cs="Arial" w:eastAsia="Arial" w:hAnsi="Arial"/>
          <w:sz w:val="20"/>
          <w:szCs w:val="20"/>
          <w:color w:val="auto"/>
        </w:rPr>
        <w:t>. All payments due to Blueprint from Zai pursuant to this Agreement will be paid without any</w:t>
      </w:r>
      <w:r>
        <w:rPr>
          <w:rFonts w:ascii="Arial" w:cs="Arial" w:eastAsia="Arial" w:hAnsi="Arial"/>
          <w:sz w:val="20"/>
          <w:szCs w:val="20"/>
          <w:b w:val="1"/>
          <w:bCs w:val="1"/>
          <w:color w:val="auto"/>
        </w:rPr>
        <w:t xml:space="preserve"> </w:t>
      </w:r>
      <w:r>
        <w:rPr>
          <w:rFonts w:ascii="Arial" w:cs="Arial" w:eastAsia="Arial" w:hAnsi="Arial"/>
          <w:sz w:val="20"/>
          <w:szCs w:val="20"/>
          <w:color w:val="auto"/>
        </w:rPr>
        <w:t>deduction for any VAT that Zai may be required to pay to any tax authorities in the Territory. Blueprint will use Commercially Reasonable Efforts to assist Zai to minimize and obtain all available exemptions from such VAT or other taxes, but if applicable, Zai will pay any such VAT to the proper taxing authorities upon receipt of a valid VAT invoice (where such invoice is required under local VAT laws). If Zai is required to pay or Blueprint is required to report,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296" w:name="page297"/>
    <w:bookmarkEnd w:id="296"/>
    <w:p>
      <w:pPr>
        <w:ind w:left="660"/>
        <w:spacing w:after="0" w:line="260" w:lineRule="auto"/>
        <w:rPr>
          <w:sz w:val="20"/>
          <w:szCs w:val="20"/>
          <w:color w:val="auto"/>
        </w:rPr>
      </w:pPr>
      <w:r>
        <w:rPr>
          <w:rFonts w:ascii="Arial" w:cs="Arial" w:eastAsia="Arial" w:hAnsi="Arial"/>
          <w:sz w:val="20"/>
          <w:szCs w:val="20"/>
          <w:color w:val="auto"/>
        </w:rPr>
        <w:t>such VAT, then [****]. Zai will promptly provide to Blueprint applicable receipts evidencing payment of such VAT and other documentation reasonably requested by Blueprint.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PUBLICATION</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b w:val="1"/>
          <w:bCs w:val="1"/>
          <w:color w:val="auto"/>
        </w:rPr>
        <w:t>Duty of Confidence</w:t>
      </w:r>
      <w:r>
        <w:rPr>
          <w:rFonts w:ascii="Arial" w:cs="Arial" w:eastAsia="Arial" w:hAnsi="Arial"/>
          <w:sz w:val="18"/>
          <w:szCs w:val="18"/>
          <w:color w:val="auto"/>
        </w:rPr>
        <w:t>. Subject to the other provisions of this Article 11 (Confidentiality; Publication):</w:t>
      </w:r>
    </w:p>
    <w:p>
      <w:pPr>
        <w:spacing w:after="0" w:line="222" w:lineRule="exact"/>
        <w:rPr>
          <w:sz w:val="20"/>
          <w:szCs w:val="20"/>
          <w:color w:val="auto"/>
        </w:rPr>
      </w:pPr>
    </w:p>
    <w:p>
      <w:pPr>
        <w:jc w:val="both"/>
        <w:ind w:left="1380" w:hanging="647"/>
        <w:spacing w:after="0" w:line="246" w:lineRule="auto"/>
        <w:tabs>
          <w:tab w:leader="none" w:pos="1360" w:val="left"/>
        </w:tabs>
        <w:rPr>
          <w:sz w:val="20"/>
          <w:szCs w:val="20"/>
          <w:color w:val="auto"/>
        </w:rPr>
      </w:pPr>
      <w:r>
        <w:rPr>
          <w:rFonts w:ascii="Arial" w:cs="Arial" w:eastAsia="Arial" w:hAnsi="Arial"/>
          <w:sz w:val="20"/>
          <w:szCs w:val="20"/>
          <w:color w:val="auto"/>
        </w:rPr>
        <w:t>11.1.1</w:t>
        <w:tab/>
        <w:t>except to the extent expressly authorized by this Agreement, all Confidential Information of a Party (the “</w:t>
      </w:r>
      <w:r>
        <w:rPr>
          <w:rFonts w:ascii="Arial" w:cs="Arial" w:eastAsia="Arial" w:hAnsi="Arial"/>
          <w:sz w:val="20"/>
          <w:szCs w:val="20"/>
          <w:b w:val="1"/>
          <w:bCs w:val="1"/>
          <w:color w:val="auto"/>
        </w:rPr>
        <w:t>Disclosing Party</w:t>
      </w:r>
      <w:r>
        <w:rPr>
          <w:rFonts w:ascii="Arial" w:cs="Arial" w:eastAsia="Arial" w:hAnsi="Arial"/>
          <w:sz w:val="20"/>
          <w:szCs w:val="20"/>
          <w:color w:val="auto"/>
        </w:rPr>
        <w:t>”) will be maintained in confidence and otherwise safeguarded, and not published or otherwise disclosed, by the other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and its Affiliates for the Term and for [****] thereafter;</w:t>
      </w:r>
    </w:p>
    <w:p>
      <w:pPr>
        <w:spacing w:after="0" w:line="191" w:lineRule="exact"/>
        <w:rPr>
          <w:sz w:val="20"/>
          <w:szCs w:val="20"/>
          <w:color w:val="auto"/>
        </w:rPr>
      </w:pPr>
    </w:p>
    <w:p>
      <w:pPr>
        <w:jc w:val="both"/>
        <w:ind w:left="1380" w:hanging="647"/>
        <w:spacing w:after="0" w:line="250" w:lineRule="auto"/>
        <w:tabs>
          <w:tab w:leader="none" w:pos="1360" w:val="left"/>
        </w:tabs>
        <w:rPr>
          <w:sz w:val="20"/>
          <w:szCs w:val="20"/>
          <w:color w:val="auto"/>
        </w:rPr>
      </w:pPr>
      <w:r>
        <w:rPr>
          <w:rFonts w:ascii="Arial" w:cs="Arial" w:eastAsia="Arial" w:hAnsi="Arial"/>
          <w:sz w:val="20"/>
          <w:szCs w:val="20"/>
          <w:color w:val="auto"/>
        </w:rPr>
        <w:t>11.1.2</w:t>
        <w:tab/>
        <w:t>the Receiving Party will treat all Confidential Information provided by the Disclosing Party with the same degree of care as the Receiving Party uses for its own similar information, but in no event less than a reasonable degree of care;</w:t>
      </w:r>
    </w:p>
    <w:p>
      <w:pPr>
        <w:spacing w:after="0" w:line="186" w:lineRule="exact"/>
        <w:rPr>
          <w:sz w:val="20"/>
          <w:szCs w:val="20"/>
          <w:color w:val="auto"/>
        </w:rPr>
      </w:pPr>
    </w:p>
    <w:p>
      <w:pPr>
        <w:jc w:val="both"/>
        <w:ind w:left="1380" w:right="20" w:hanging="647"/>
        <w:spacing w:after="0" w:line="260" w:lineRule="auto"/>
        <w:tabs>
          <w:tab w:leader="none" w:pos="1360" w:val="left"/>
        </w:tabs>
        <w:rPr>
          <w:sz w:val="20"/>
          <w:szCs w:val="20"/>
          <w:color w:val="auto"/>
        </w:rPr>
      </w:pPr>
      <w:r>
        <w:rPr>
          <w:rFonts w:ascii="Arial" w:cs="Arial" w:eastAsia="Arial" w:hAnsi="Arial"/>
          <w:sz w:val="20"/>
          <w:szCs w:val="20"/>
          <w:color w:val="auto"/>
        </w:rPr>
        <w:t>11.1.3</w:t>
        <w:tab/>
        <w:t>the Receiving Party may only use any Confidential Information of the Disclosing Party for the purposes of performing its obligations or exercising its rights under this Agreement;</w:t>
      </w:r>
    </w:p>
    <w:p>
      <w:pPr>
        <w:spacing w:after="0" w:line="177" w:lineRule="exact"/>
        <w:rPr>
          <w:sz w:val="20"/>
          <w:szCs w:val="20"/>
          <w:color w:val="auto"/>
        </w:rPr>
      </w:pPr>
    </w:p>
    <w:p>
      <w:pPr>
        <w:jc w:val="both"/>
        <w:ind w:left="1380" w:hanging="647"/>
        <w:spacing w:after="0" w:line="269" w:lineRule="auto"/>
        <w:tabs>
          <w:tab w:leader="none" w:pos="13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color w:val="auto"/>
        </w:rPr>
        <w:t xml:space="preserve">a Receiving Party may disclose Confidential Information of the Disclosing Party to: (a) such Receiving Party’s Affiliates, licensees and Sublicensees; and (b) employees, directors, officers, agents, contractors, consultants, attorneys, accountants, banks, investors, and advisors of the Receiving Party and its Affiliates, licensees, and Sublicensees, in each case ((a) and (b)), to the extent reasonably necessary for the purposes of, and for those matters undertaken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Persons are bound by legally enforceable obligations of confidentiality and non-use with respect to the Disclosing Party’s Confidential Information no less stringent than the confidentiality and non-use obligations set forth in this Agreement. Each Party will remain responsible for any failure by its Affiliates, licensees, and Sublicensees, and its and its Affiliates’, licensees’, and Sublicensees’ respective employees, directors, officers, agents, consultants, attorneys, accountants, banks, investors, advisors, and contractors, in each case, to treat such Confidential Information as required under this Section 11.1 (Duty of Confidence) (as if such Affiliates, licensees, Sublicensees, employees, directors, officers agents, consultants, advisors, attorneys, accountants, banks, investors, and contractors were Parties directly bound to the requirements of this Section 11.1 (Duty of Confidence)); and</w:t>
      </w:r>
    </w:p>
    <w:p>
      <w:pPr>
        <w:spacing w:after="0" w:line="181" w:lineRule="exact"/>
        <w:rPr>
          <w:sz w:val="20"/>
          <w:szCs w:val="20"/>
          <w:color w:val="auto"/>
        </w:rPr>
      </w:pPr>
    </w:p>
    <w:p>
      <w:pPr>
        <w:jc w:val="both"/>
        <w:ind w:left="1380" w:right="20" w:hanging="647"/>
        <w:spacing w:after="0" w:line="260" w:lineRule="auto"/>
        <w:tabs>
          <w:tab w:leader="none" w:pos="1360" w:val="left"/>
        </w:tabs>
        <w:rPr>
          <w:sz w:val="20"/>
          <w:szCs w:val="20"/>
          <w:color w:val="auto"/>
        </w:rPr>
      </w:pPr>
      <w:r>
        <w:rPr>
          <w:rFonts w:ascii="Arial" w:cs="Arial" w:eastAsia="Arial" w:hAnsi="Arial"/>
          <w:sz w:val="20"/>
          <w:szCs w:val="20"/>
          <w:color w:val="auto"/>
        </w:rPr>
        <w:t>11.1.5</w:t>
        <w:tab/>
        <w:t>each Party will promptly notify the other Party of any misuse or unauthorized disclosure of the other Party’s Confidential Information.</w:t>
      </w:r>
    </w:p>
    <w:p>
      <w:pPr>
        <w:spacing w:after="0" w:line="171"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Blueprint Know-How and Blueprint Manufacturing Know-How will be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of Blueprint notwithstanding the fact that certain of such information may be developed or invented and disclosed to Blueprint by Zai. The Joint Collaboration Know-How and the terms of this Agreement will be the Confidential Information of each Party. The Zai Know-How will be the Confidential Information of Zai. Except as provided in Section 11.3 (Authorized Disclosures) and Section 11.7 (Publicity; Use of Names), neither Party nor its Affiliates may disclose the existence or the terms of this Agreement.</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color w:val="auto"/>
        </w:rPr>
        <w:t>Authorized Disclosures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7" w:name="page298"/>
    <w:bookmarkEnd w:id="297"/>
    <w:p>
      <w:pPr>
        <w:jc w:val="both"/>
        <w:ind w:left="920" w:hanging="647"/>
        <w:spacing w:after="0" w:line="248" w:lineRule="auto"/>
        <w:tabs>
          <w:tab w:leader="none" w:pos="90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20"/>
          <w:szCs w:val="20"/>
          <w:b w:val="1"/>
          <w:bCs w:val="1"/>
          <w:color w:val="auto"/>
        </w:rPr>
        <w:t>Permitted Circumstances</w:t>
      </w:r>
      <w:r>
        <w:rPr>
          <w:rFonts w:ascii="Arial" w:cs="Arial" w:eastAsia="Arial" w:hAnsi="Arial"/>
          <w:sz w:val="20"/>
          <w:szCs w:val="20"/>
          <w:color w:val="auto"/>
        </w:rPr>
        <w:t>. Notwithstanding the obligations set forth in Section 11.1 (Duty of Confidence)</w:t>
      </w:r>
      <w:r>
        <w:rPr>
          <w:rFonts w:ascii="Arial" w:cs="Arial" w:eastAsia="Arial" w:hAnsi="Arial"/>
          <w:sz w:val="20"/>
          <w:szCs w:val="20"/>
          <w:b w:val="1"/>
          <w:bCs w:val="1"/>
          <w:color w:val="auto"/>
        </w:rPr>
        <w:t xml:space="preserve"> </w:t>
      </w:r>
      <w:r>
        <w:rPr>
          <w:rFonts w:ascii="Arial" w:cs="Arial" w:eastAsia="Arial" w:hAnsi="Arial"/>
          <w:sz w:val="20"/>
          <w:szCs w:val="20"/>
          <w:color w:val="auto"/>
        </w:rPr>
        <w:t>and Section 11.6 (Publication and Listing of Clinical Trials), a Party may disclose the other Party’s Confidential Information (including this Agreement and the terms herein) to the extent such disclosure is reasonably necessary in the following situations:</w:t>
      </w:r>
    </w:p>
    <w:p>
      <w:pPr>
        <w:spacing w:after="0" w:line="189" w:lineRule="exact"/>
        <w:rPr>
          <w:sz w:val="20"/>
          <w:szCs w:val="20"/>
          <w:color w:val="auto"/>
        </w:rPr>
      </w:pPr>
    </w:p>
    <w:p>
      <w:pPr>
        <w:jc w:val="both"/>
        <w:ind w:left="1420" w:right="20" w:hanging="495"/>
        <w:spacing w:after="0" w:line="282" w:lineRule="auto"/>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the Patent Prosecution, enforcement, and defense of Blueprint Patent Rights, Joint Collaboration Patent Rights, or Zai Collaboration Patent Rights, in each case, as contemplated by this Agreement; or (ii) regulatory filings and other filings with Governmental Authorities (including Regulatory Authorities), as necessary or reasonably useful for the Exploitation of a Licensed Product;</w:t>
      </w:r>
    </w:p>
    <w:p>
      <w:pPr>
        <w:spacing w:after="0" w:line="161" w:lineRule="exact"/>
        <w:rPr>
          <w:rFonts w:ascii="Arial" w:cs="Arial" w:eastAsia="Arial" w:hAnsi="Arial"/>
          <w:sz w:val="18"/>
          <w:szCs w:val="18"/>
          <w:color w:val="auto"/>
        </w:rPr>
      </w:pPr>
    </w:p>
    <w:p>
      <w:pPr>
        <w:jc w:val="both"/>
        <w:ind w:left="1420" w:hanging="495"/>
        <w:spacing w:after="0" w:line="242" w:lineRule="auto"/>
        <w:tabs>
          <w:tab w:leader="none" w:pos="14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disclosure of this Agreement, its terms, and the status and results of Exploitation of one or more Licensed Products to actual or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 solely for the purpose of evaluating or carrying out an actual or potential investment, acquisition, (sub)license, debt transaction, or collaboration;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 each such case, on the condition that such Persons are bound by obligations of</w:t>
      </w:r>
      <w:r>
        <w:rPr>
          <w:rFonts w:ascii="Arial" w:cs="Arial" w:eastAsia="Arial" w:hAnsi="Arial"/>
          <w:sz w:val="20"/>
          <w:szCs w:val="20"/>
          <w:i w:val="1"/>
          <w:iCs w:val="1"/>
          <w:color w:val="auto"/>
        </w:rPr>
        <w:t xml:space="preserve"> </w:t>
      </w:r>
      <w:r>
        <w:rPr>
          <w:rFonts w:ascii="Arial" w:cs="Arial" w:eastAsia="Arial" w:hAnsi="Arial"/>
          <w:sz w:val="20"/>
          <w:szCs w:val="20"/>
          <w:color w:val="auto"/>
        </w:rPr>
        <w:t>confidentiality and non-use at least as stringent as those set forth Article 11 (Confidentiality; Publication) or otherwise customary for such type and scope of disclosure and that any such disclosure is limited to the maximum extent practicable for the particular context in which it is being disclosed;</w:t>
      </w:r>
    </w:p>
    <w:p>
      <w:pPr>
        <w:spacing w:after="0" w:line="196" w:lineRule="exact"/>
        <w:rPr>
          <w:rFonts w:ascii="Arial" w:cs="Arial" w:eastAsia="Arial" w:hAnsi="Arial"/>
          <w:sz w:val="20"/>
          <w:szCs w:val="20"/>
          <w:color w:val="auto"/>
        </w:rPr>
      </w:pPr>
    </w:p>
    <w:p>
      <w:pPr>
        <w:jc w:val="both"/>
        <w:ind w:left="1420" w:hanging="495"/>
        <w:spacing w:after="0" w:line="268" w:lineRule="auto"/>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such disclosure is required to comply with Applicable Law (whether generally or in pursuit of an application for listing of securities) including the United States Securities and Exchange Commission, the Stock Exchange of Hong Kong Limited, or equivalent foreign agency or regulatory body, or otherwise required by judicial or administrative process,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consider [****] comments provided by the non-disclosing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 Confidential Information that is disclosed in order to comply with Applicable Law or by judicial or administrative process pursuant to this Section 11.3.1(c), in each case, will remain otherwise subject to the confidentiality and non-use provisions of this Article 11 (Confidentiality; Publication) with respect to the Party disclosing such Confidential Information, and such Party will take all steps reasonably necessary, including seeking of confidential treatment or a protective order for a period of at least [****] (to the extent permitted by Applicable Law or Governmental Authority), to ensure the continued confidential treatment of such Confidential Information, and each Party will be responsible for its own legal and other external costs in connection with any such filing or disclosure pursuant to this Section 11.3.1(c) (Permitted Circumstances);</w:t>
      </w:r>
    </w:p>
    <w:p>
      <w:pPr>
        <w:spacing w:after="0" w:line="184" w:lineRule="exact"/>
        <w:rPr>
          <w:rFonts w:ascii="Arial" w:cs="Arial" w:eastAsia="Arial" w:hAnsi="Arial"/>
          <w:sz w:val="18"/>
          <w:szCs w:val="18"/>
          <w:color w:val="auto"/>
        </w:rPr>
      </w:pPr>
    </w:p>
    <w:p>
      <w:pPr>
        <w:ind w:left="1420" w:hanging="495"/>
        <w:spacing w:after="0"/>
        <w:tabs>
          <w:tab w:leader="none" w:pos="14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to prosecute or defend litigation [****];</w:t>
      </w:r>
    </w:p>
    <w:p>
      <w:pPr>
        <w:spacing w:after="0" w:line="215" w:lineRule="exact"/>
        <w:rPr>
          <w:rFonts w:ascii="Arial" w:cs="Arial" w:eastAsia="Arial" w:hAnsi="Arial"/>
          <w:sz w:val="20"/>
          <w:szCs w:val="20"/>
          <w:color w:val="auto"/>
        </w:rPr>
      </w:pPr>
    </w:p>
    <w:p>
      <w:pPr>
        <w:ind w:left="1420" w:hanging="495"/>
        <w:spacing w:after="0" w:line="316" w:lineRule="auto"/>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present, disclose, and discuss general information about the existence of the Agreement and the general progress of the Licensed Products at investor press conferences or similar events; 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298" w:name="page299"/>
    <w:bookmarkEnd w:id="298"/>
    <w:p>
      <w:pPr>
        <w:ind w:left="1880" w:hanging="495"/>
        <w:spacing w:after="0" w:line="260" w:lineRule="auto"/>
        <w:tabs>
          <w:tab w:leader="none" w:pos="18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disclosure pursuant to Section 11.6 (Publication and Listing of Clinical Trials) and Section 11.7 (Publicity; Use of Name).</w:t>
      </w:r>
    </w:p>
    <w:p>
      <w:pPr>
        <w:spacing w:after="0" w:line="171" w:lineRule="exact"/>
        <w:rPr>
          <w:sz w:val="20"/>
          <w:szCs w:val="20"/>
          <w:color w:val="auto"/>
        </w:rPr>
      </w:pPr>
    </w:p>
    <w:p>
      <w:pPr>
        <w:jc w:val="both"/>
        <w:ind w:left="1380" w:hanging="647"/>
        <w:spacing w:after="0" w:line="274" w:lineRule="auto"/>
        <w:tabs>
          <w:tab w:leader="none" w:pos="136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8"/>
          <w:szCs w:val="18"/>
          <w:b w:val="1"/>
          <w:bCs w:val="1"/>
          <w:color w:val="auto"/>
        </w:rPr>
        <w:t>Confidential Treatment</w:t>
      </w:r>
      <w:r>
        <w:rPr>
          <w:rFonts w:ascii="Arial" w:cs="Arial" w:eastAsia="Arial" w:hAnsi="Arial"/>
          <w:sz w:val="18"/>
          <w:szCs w:val="18"/>
          <w:color w:val="auto"/>
        </w:rPr>
        <w:t>. Notwithstanding anything to the contrary set forth in this Agreement, if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or permitted to make a disclosure of the other Party’s Confidential Information pursuant to Section 11.3.1 (Permitted Circumstances), then it will, to the extent not prohibited by Applicable Law or judicial or administrative process, except where impracticable, give reasonable advance notice to the other Party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all reasonable action to avoid disclosure of Confidential Information of the other Party hereunder.</w:t>
      </w:r>
    </w:p>
    <w:p>
      <w:pPr>
        <w:spacing w:after="0" w:line="162"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11.4</w:t>
        <w:tab/>
        <w:t>Tax Treatment</w:t>
      </w:r>
      <w:r>
        <w:rPr>
          <w:rFonts w:ascii="Arial" w:cs="Arial" w:eastAsia="Arial" w:hAnsi="Arial"/>
          <w:sz w:val="20"/>
          <w:szCs w:val="20"/>
          <w:color w:val="auto"/>
        </w:rPr>
        <w:t>. Nothing in Section 11.1 (Duty of Confidence) or 11.3 (Authorized Disclosures) will limit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in any way from disclosing to any Third Party such Party’s U.S. or foreign income Tax treatment and the U.S. or foreign income Tax structure of the transactions relating to such Party that are based on or derived from this Agreement, or materials of any kind (including opinions or other Tax analyses) relating to such Tax treatment or Tax structure, except to the extent that nondisclosure of such matters is reasonably necessary in order to comply with applicable securities laws.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b w:val="1"/>
          <w:bCs w:val="1"/>
          <w:color w:val="auto"/>
        </w:rPr>
        <w:t>Publications</w:t>
      </w:r>
      <w:r>
        <w:rPr>
          <w:rFonts w:ascii="Arial" w:cs="Arial" w:eastAsia="Arial" w:hAnsi="Arial"/>
          <w:sz w:val="16"/>
          <w:szCs w:val="16"/>
          <w:color w:val="auto"/>
        </w:rPr>
        <w:t>.</w:t>
      </w:r>
    </w:p>
    <w:p>
      <w:pPr>
        <w:spacing w:after="0" w:line="222" w:lineRule="exact"/>
        <w:rPr>
          <w:sz w:val="20"/>
          <w:szCs w:val="20"/>
          <w:color w:val="auto"/>
        </w:rPr>
      </w:pPr>
    </w:p>
    <w:p>
      <w:pPr>
        <w:jc w:val="both"/>
        <w:ind w:left="1380" w:hanging="647"/>
        <w:spacing w:after="0" w:line="271" w:lineRule="auto"/>
        <w:tabs>
          <w:tab w:leader="none" w:pos="1360" w:val="left"/>
        </w:tabs>
        <w:rPr>
          <w:sz w:val="20"/>
          <w:szCs w:val="20"/>
          <w:color w:val="auto"/>
        </w:rPr>
      </w:pPr>
      <w:r>
        <w:rPr>
          <w:rFonts w:ascii="Arial" w:cs="Arial" w:eastAsia="Arial" w:hAnsi="Arial"/>
          <w:sz w:val="20"/>
          <w:szCs w:val="20"/>
          <w:color w:val="auto"/>
        </w:rPr>
        <w:t>11.5.1</w:t>
      </w:r>
      <w:r>
        <w:rPr>
          <w:sz w:val="20"/>
          <w:szCs w:val="20"/>
          <w:color w:val="auto"/>
        </w:rPr>
        <w:tab/>
      </w:r>
      <w:r>
        <w:rPr>
          <w:rFonts w:ascii="Arial" w:cs="Arial" w:eastAsia="Arial" w:hAnsi="Arial"/>
          <w:sz w:val="18"/>
          <w:szCs w:val="18"/>
          <w:color w:val="auto"/>
        </w:rPr>
        <w:t>Zai will not publicly present or publish any Clinical Trial data, non-clinical or preclinical data, clinical case study or review article, or any associated results or conclusions generated by or on behalf of Zai with respect to Licensed Products pursuant to this Agreement (each such proposed abstract, presentation or publication, a “</w:t>
      </w:r>
      <w:r>
        <w:rPr>
          <w:rFonts w:ascii="Arial" w:cs="Arial" w:eastAsia="Arial" w:hAnsi="Arial"/>
          <w:sz w:val="18"/>
          <w:szCs w:val="18"/>
          <w:b w:val="1"/>
          <w:bCs w:val="1"/>
          <w:color w:val="auto"/>
        </w:rPr>
        <w:t>Zai Publication</w:t>
      </w:r>
      <w:r>
        <w:rPr>
          <w:rFonts w:ascii="Arial" w:cs="Arial" w:eastAsia="Arial" w:hAnsi="Arial"/>
          <w:sz w:val="18"/>
          <w:szCs w:val="18"/>
          <w:color w:val="auto"/>
        </w:rPr>
        <w:t>”), except [****] with respect to the applicable Licensed Product as provided to Zai [****] during the Term upon Zai’s request therefor, and subject to the additional limitations set forth in this Section 11.5 (Publications) and Section 11.6 (Publication and Listing of Clinical Trials). Blueprint will comply with this Section 11.5 (Publications) with respect to any presentation or publication of solely containing Clinical Trial data, non-clinical or preclinical data, clinical case study or review article, or any associated results or conclusions that were generated by or on behalf of Zai with respect to Licensed Products pursuant to this Agreement (each such proposed abstract, presentation or publication, a “</w:t>
      </w:r>
      <w:r>
        <w:rPr>
          <w:rFonts w:ascii="Arial" w:cs="Arial" w:eastAsia="Arial" w:hAnsi="Arial"/>
          <w:sz w:val="18"/>
          <w:szCs w:val="18"/>
          <w:b w:val="1"/>
          <w:bCs w:val="1"/>
          <w:color w:val="auto"/>
        </w:rPr>
        <w:t>Blueprint Publication</w:t>
      </w:r>
      <w:r>
        <w:rPr>
          <w:rFonts w:ascii="Arial" w:cs="Arial" w:eastAsia="Arial" w:hAnsi="Arial"/>
          <w:sz w:val="18"/>
          <w:szCs w:val="18"/>
          <w:color w:val="auto"/>
        </w:rPr>
        <w:t>” and together with a Zai Publication, a “</w:t>
      </w:r>
      <w:r>
        <w:rPr>
          <w:rFonts w:ascii="Arial" w:cs="Arial" w:eastAsia="Arial" w:hAnsi="Arial"/>
          <w:sz w:val="18"/>
          <w:szCs w:val="18"/>
          <w:b w:val="1"/>
          <w:bCs w:val="1"/>
          <w:color w:val="auto"/>
        </w:rPr>
        <w:t>Publication</w:t>
      </w:r>
      <w:r>
        <w:rPr>
          <w:rFonts w:ascii="Arial" w:cs="Arial" w:eastAsia="Arial" w:hAnsi="Arial"/>
          <w:sz w:val="18"/>
          <w:szCs w:val="18"/>
          <w:color w:val="auto"/>
        </w:rPr>
        <w:t>”).</w:t>
      </w:r>
    </w:p>
    <w:p>
      <w:pPr>
        <w:spacing w:after="0" w:line="170" w:lineRule="exact"/>
        <w:rPr>
          <w:sz w:val="20"/>
          <w:szCs w:val="20"/>
          <w:color w:val="auto"/>
        </w:rPr>
      </w:pPr>
    </w:p>
    <w:p>
      <w:pPr>
        <w:jc w:val="both"/>
        <w:ind w:left="1380" w:hanging="647"/>
        <w:spacing w:after="0" w:line="241" w:lineRule="auto"/>
        <w:tabs>
          <w:tab w:leader="none" w:pos="1360" w:val="left"/>
        </w:tabs>
        <w:rPr>
          <w:sz w:val="20"/>
          <w:szCs w:val="20"/>
          <w:color w:val="auto"/>
        </w:rPr>
      </w:pPr>
      <w:r>
        <w:rPr>
          <w:rFonts w:ascii="Arial" w:cs="Arial" w:eastAsia="Arial" w:hAnsi="Arial"/>
          <w:sz w:val="20"/>
          <w:szCs w:val="20"/>
          <w:color w:val="auto"/>
        </w:rPr>
        <w:t>11.5.2</w:t>
        <w:tab/>
        <w:t>If Zai desires to publicly present or publish a Zai Publication or Blueprint desires to publicly present or publish a Blueprint Publication, then the publishing Party will provide the other Party (including the Alliance Manager and all of the other Party’s members of the JSC) with a copy of such proposed Publication at least [****] prior to the earlier of its presentation or intended submission for publication (such applicable period, the “</w:t>
      </w:r>
      <w:r>
        <w:rPr>
          <w:rFonts w:ascii="Arial" w:cs="Arial" w:eastAsia="Arial" w:hAnsi="Arial"/>
          <w:sz w:val="20"/>
          <w:szCs w:val="20"/>
          <w:b w:val="1"/>
          <w:bCs w:val="1"/>
          <w:color w:val="auto"/>
        </w:rPr>
        <w:t>Review Period</w:t>
      </w:r>
      <w:r>
        <w:rPr>
          <w:rFonts w:ascii="Arial" w:cs="Arial" w:eastAsia="Arial" w:hAnsi="Arial"/>
          <w:sz w:val="20"/>
          <w:szCs w:val="20"/>
          <w:color w:val="auto"/>
        </w:rPr>
        <w:t>”). The publishing Party agrees that it will not submit or present any Publication until (a) [****]or (b) [****] in which case the publishing Party may proceed and the Publication will be considered approved in its entirety. If the publishing Party receives written comments from the other Party on any Publication during the applicable Review Period, then it will consider the other Party’s comments [****] and incorporate such comments [****], but will retain the sole authority to publish the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9" w:name="page300"/>
    <w:bookmarkEnd w:id="299"/>
    <w:p>
      <w:pPr>
        <w:jc w:val="both"/>
        <w:ind w:left="1380" w:hanging="647"/>
        <w:spacing w:after="0" w:line="268" w:lineRule="auto"/>
        <w:tabs>
          <w:tab w:leader="none" w:pos="1360" w:val="left"/>
        </w:tabs>
        <w:rPr>
          <w:sz w:val="20"/>
          <w:szCs w:val="20"/>
          <w:color w:val="auto"/>
        </w:rPr>
      </w:pPr>
      <w:r>
        <w:rPr>
          <w:rFonts w:ascii="Arial" w:cs="Arial" w:eastAsia="Arial" w:hAnsi="Arial"/>
          <w:sz w:val="20"/>
          <w:szCs w:val="20"/>
          <w:color w:val="auto"/>
        </w:rPr>
        <w:t>11.5.3</w:t>
      </w:r>
      <w:r>
        <w:rPr>
          <w:sz w:val="20"/>
          <w:szCs w:val="20"/>
          <w:color w:val="auto"/>
        </w:rPr>
        <w:tab/>
      </w:r>
      <w:r>
        <w:rPr>
          <w:rFonts w:ascii="Arial" w:cs="Arial" w:eastAsia="Arial" w:hAnsi="Arial"/>
          <w:sz w:val="18"/>
          <w:szCs w:val="18"/>
          <w:color w:val="auto"/>
        </w:rPr>
        <w:t>Notwithstanding any provision to contrary set forth in this Agreement, each Party will (i) delete any Confidential Information of the other Party that the other Party identifies for deletion in the other Party’s written comments, (ii) at the request of Blueprint, delete any Clinical Trial data, results, conclusions, or other related information for a Licensed Product the publication of which Blueprint determines, [****] would conflict with Blueprint’s global publication strategy with respect to the applicable Licensed Product, except where required by Applicable Law to publicly disclose such information, (iii) at the request of the other Party, delete the structure or generic or internal name of the Licensed Product if such structure or name has not yet been publicly disclosed, and (iv) delay such Publication for a period of up to an additional [****] after the end of the applicable Review Period to enable the other Party, if applicable, to draft and file one or more patent applications with respect to any subject matter to be made public in such Publication. The publishing Party will provide the other Party a copy of the Publication at the time of the submission or presentation thereof. The publishing Party agrees to acknowledge the contributions of the other Party and the employees of the other Party, in each case, in all Publications as scientifically appropriate. Without limiting the foregoing, Blueprint agrees to acknowledge the contributions of Zai and the employees of Zai, in each case, in all presentations and publications as scientifically appropriate to the extent related to any Global Clinical Trials in which Zai assists in the enrollment of patients from the PRC. Each Party will require its Affiliates and licensees and Sublicensees, as applicable, to comply with the obligations of this Section 11.5 (Publications) as if they were such Party, and such Party will be liable for any non-compliance of such Persons.</w:t>
      </w:r>
    </w:p>
    <w:p>
      <w:pPr>
        <w:spacing w:after="0" w:line="17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Publication and Listing of Clinical Trials</w:t>
      </w:r>
      <w:r>
        <w:rPr>
          <w:rFonts w:ascii="Arial" w:cs="Arial" w:eastAsia="Arial" w:hAnsi="Arial"/>
          <w:sz w:val="19"/>
          <w:szCs w:val="19"/>
          <w:color w:val="auto"/>
        </w:rPr>
        <w:t>. With respect to the listing of Clinical Trials or the publication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Trial results for the Licensed Products and to the extent applicable to a Party’s activities conducted under this Agreement, each Party will comply with (a) the Pharmaceutical Research and Manufacturers of America (PhRMA) Guidelines on the listing of Clinical Trials and the Publication of Clinical Trial results, and (b) any Applicable Law or applicable court order, stipulations, consent agreements, and settlements entered into by such Party. The Parties agree that any such listings or publications made pursuant to this Section 11.6 (Publication and Listing of Clinical Trials) will be considered a Publication for purposes of this Agreement and will be subject to Section 11.5 (Publications).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6"/>
          <w:szCs w:val="16"/>
          <w:b w:val="1"/>
          <w:bCs w:val="1"/>
          <w:color w:val="auto"/>
        </w:rPr>
        <w:t>Publicity; Use of Names</w:t>
      </w:r>
      <w:r>
        <w:rPr>
          <w:rFonts w:ascii="Arial" w:cs="Arial" w:eastAsia="Arial" w:hAnsi="Arial"/>
          <w:sz w:val="16"/>
          <w:szCs w:val="16"/>
          <w:color w:val="auto"/>
        </w:rPr>
        <w:t>.</w:t>
      </w:r>
    </w:p>
    <w:p>
      <w:pPr>
        <w:spacing w:after="0" w:line="216"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20"/>
          <w:szCs w:val="20"/>
          <w:color w:val="auto"/>
        </w:rPr>
        <w:t>11.7.1</w:t>
      </w:r>
      <w:r>
        <w:rPr>
          <w:sz w:val="20"/>
          <w:szCs w:val="20"/>
          <w:color w:val="auto"/>
        </w:rPr>
        <w:tab/>
      </w:r>
      <w:r>
        <w:rPr>
          <w:rFonts w:ascii="Arial" w:cs="Arial" w:eastAsia="Arial" w:hAnsi="Arial"/>
          <w:sz w:val="18"/>
          <w:szCs w:val="18"/>
          <w:b w:val="1"/>
          <w:bCs w:val="1"/>
          <w:color w:val="auto"/>
        </w:rPr>
        <w:t>Press Release</w:t>
      </w:r>
      <w:r>
        <w:rPr>
          <w:rFonts w:ascii="Arial" w:cs="Arial" w:eastAsia="Arial" w:hAnsi="Arial"/>
          <w:sz w:val="18"/>
          <w:szCs w:val="18"/>
          <w:color w:val="auto"/>
        </w:rPr>
        <w:t>. The Parties have agreed on a joint press release announcing this Agreement, set forth on</w:t>
      </w:r>
      <w:r>
        <w:rPr>
          <w:rFonts w:ascii="Arial" w:cs="Arial" w:eastAsia="Arial" w:hAnsi="Arial"/>
          <w:sz w:val="18"/>
          <w:szCs w:val="18"/>
          <w:b w:val="1"/>
          <w:bCs w:val="1"/>
          <w:color w:val="auto"/>
        </w:rPr>
        <w:t xml:space="preserve"> Schedule 11.7.1 </w:t>
      </w:r>
      <w:r>
        <w:rPr>
          <w:rFonts w:ascii="Arial" w:cs="Arial" w:eastAsia="Arial" w:hAnsi="Arial"/>
          <w:sz w:val="18"/>
          <w:szCs w:val="18"/>
          <w:color w:val="auto"/>
        </w:rPr>
        <w:t>(Press Release), to be issued by the Parties on such date and time as may be agreed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Other than the press release set forth on </w:t>
      </w:r>
      <w:r>
        <w:rPr>
          <w:rFonts w:ascii="Arial" w:cs="Arial" w:eastAsia="Arial" w:hAnsi="Arial"/>
          <w:sz w:val="18"/>
          <w:szCs w:val="18"/>
          <w:b w:val="1"/>
          <w:bCs w:val="1"/>
          <w:color w:val="auto"/>
        </w:rPr>
        <w:t>Schedule 11.7.1</w:t>
      </w:r>
      <w:r>
        <w:rPr>
          <w:rFonts w:ascii="Arial" w:cs="Arial" w:eastAsia="Arial" w:hAnsi="Arial"/>
          <w:sz w:val="18"/>
          <w:szCs w:val="18"/>
          <w:color w:val="auto"/>
        </w:rPr>
        <w:t xml:space="preserve"> (Press Release) and the public disclosures permitted by this Section 11.7 (Publicity; Use of Names), and Section 11.3 (Authorized Disclosures), the Parties agree that [****]. However, the Parties agree that after (a) a disclosure pursuant to Section 11.7 (Publicity; Use of Names) or Section 11.3 (Authorized Disclosures) or (b) the issuance of a press release (including the initial press release) or other public announcement pursuant to this Section 11.7.1 (Press Release) that has been reviewed and approved by the other Party, the disclosing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 Similarly, after a Publication has been made available to the public, each Party may post such Publication or a link to it on its corporate web site (or any website managed by such Party in connection with a Clinical Trial for a Licensed Product, as appropriate) without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0" w:name="page301"/>
    <w:bookmarkEnd w:id="300"/>
    <w:p>
      <w:pPr>
        <w:ind w:left="1280" w:right="20"/>
        <w:spacing w:after="0" w:line="260" w:lineRule="auto"/>
        <w:rPr>
          <w:sz w:val="20"/>
          <w:szCs w:val="20"/>
          <w:color w:val="auto"/>
        </w:rPr>
      </w:pPr>
      <w:r>
        <w:rPr>
          <w:rFonts w:ascii="Arial" w:cs="Arial" w:eastAsia="Arial" w:hAnsi="Arial"/>
          <w:sz w:val="20"/>
          <w:szCs w:val="20"/>
          <w:color w:val="auto"/>
        </w:rPr>
        <w:t>written consent of the other Party, so long as the information in such Publication remains true, correct, and the most current information with respect to the subject matters set forth therein.</w:t>
      </w:r>
    </w:p>
    <w:p>
      <w:pPr>
        <w:spacing w:after="0" w:line="171" w:lineRule="exact"/>
        <w:rPr>
          <w:sz w:val="20"/>
          <w:szCs w:val="20"/>
          <w:color w:val="auto"/>
        </w:rPr>
      </w:pPr>
    </w:p>
    <w:p>
      <w:pPr>
        <w:jc w:val="both"/>
        <w:ind w:left="1280" w:hanging="647"/>
        <w:spacing w:after="0" w:line="272" w:lineRule="auto"/>
        <w:tabs>
          <w:tab w:leader="none" w:pos="1260" w:val="left"/>
        </w:tabs>
        <w:rPr>
          <w:sz w:val="20"/>
          <w:szCs w:val="20"/>
          <w:color w:val="auto"/>
        </w:rPr>
      </w:pPr>
      <w:r>
        <w:rPr>
          <w:rFonts w:ascii="Arial" w:cs="Arial" w:eastAsia="Arial" w:hAnsi="Arial"/>
          <w:sz w:val="20"/>
          <w:szCs w:val="20"/>
          <w:color w:val="auto"/>
        </w:rPr>
        <w:t>11.7.2</w:t>
      </w:r>
      <w:r>
        <w:rPr>
          <w:sz w:val="20"/>
          <w:szCs w:val="20"/>
          <w:color w:val="auto"/>
        </w:rPr>
        <w:tab/>
      </w:r>
      <w:r>
        <w:rPr>
          <w:rFonts w:ascii="Arial" w:cs="Arial" w:eastAsia="Arial" w:hAnsi="Arial"/>
          <w:sz w:val="18"/>
          <w:szCs w:val="18"/>
          <w:b w:val="1"/>
          <w:bCs w:val="1"/>
          <w:color w:val="auto"/>
        </w:rPr>
        <w:t>Authorized Disclosures</w:t>
      </w:r>
      <w:r>
        <w:rPr>
          <w:rFonts w:ascii="Arial" w:cs="Arial" w:eastAsia="Arial" w:hAnsi="Arial"/>
          <w:sz w:val="18"/>
          <w:szCs w:val="18"/>
          <w:color w:val="auto"/>
        </w:rPr>
        <w:t>. Notwithstanding any provision to the contrary set forth in this Agreement,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has the right to publicly disclose (in written, oral, or other form): (a) the achievement of Milestone Events under this Agreement (including the amount, payment, and timing of any such Milestone Event); (b) the commencement, completion, material data, or key results of any Territory-Specific Clinical Trials for the Licensed Products; (c) any information relating to any Global Clinical Trial, including the commencement, completion, material data, or key results of any such Global Clinical Trial; and (d) the achievement of Regulatory Approval for any Licensed Product in the Territory;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of (a) – (d), any such public disclosure will (i) to the extent feasible, be provided to the other Party for review and comment [****] and (ii) in any event, be provided to the other Party for review and comment no later than [****] prior to public disclosure (unless a shorter timeframe is required under Applicable Law).</w:t>
      </w:r>
    </w:p>
    <w:p>
      <w:pPr>
        <w:spacing w:after="0" w:line="165" w:lineRule="exact"/>
        <w:rPr>
          <w:sz w:val="20"/>
          <w:szCs w:val="20"/>
          <w:color w:val="auto"/>
        </w:rPr>
      </w:pPr>
    </w:p>
    <w:p>
      <w:pPr>
        <w:jc w:val="both"/>
        <w:ind w:left="1280" w:hanging="647"/>
        <w:spacing w:after="0" w:line="269" w:lineRule="auto"/>
        <w:tabs>
          <w:tab w:leader="none" w:pos="1260" w:val="left"/>
        </w:tabs>
        <w:rPr>
          <w:sz w:val="20"/>
          <w:szCs w:val="20"/>
          <w:color w:val="auto"/>
        </w:rPr>
      </w:pPr>
      <w:r>
        <w:rPr>
          <w:rFonts w:ascii="Arial" w:cs="Arial" w:eastAsia="Arial" w:hAnsi="Arial"/>
          <w:sz w:val="20"/>
          <w:szCs w:val="20"/>
          <w:color w:val="auto"/>
        </w:rPr>
        <w:t>11.7.3</w:t>
      </w:r>
      <w:r>
        <w:rPr>
          <w:sz w:val="20"/>
          <w:szCs w:val="20"/>
          <w:color w:val="auto"/>
        </w:rPr>
        <w:tab/>
      </w:r>
      <w:r>
        <w:rPr>
          <w:rFonts w:ascii="Arial" w:cs="Arial" w:eastAsia="Arial" w:hAnsi="Arial"/>
          <w:sz w:val="18"/>
          <w:szCs w:val="18"/>
          <w:b w:val="1"/>
          <w:bCs w:val="1"/>
          <w:color w:val="auto"/>
        </w:rPr>
        <w:t>Use of Names</w:t>
      </w:r>
      <w:r>
        <w:rPr>
          <w:rFonts w:ascii="Arial" w:cs="Arial" w:eastAsia="Arial" w:hAnsi="Arial"/>
          <w:sz w:val="18"/>
          <w:szCs w:val="18"/>
          <w:color w:val="auto"/>
        </w:rPr>
        <w:t>. Each Party will have the right to use the other Party’s name and logo in presentations,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website, collateral materials, and corporate overviews to describe the collaboration relationship, as well as in taglines of press releases issued pursuant to this Section 11.7 (Publicity; Use of Names);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Party will use the other Party’s corporate name in such manner that the distinctiveness, reputation, and validity of any trademarks and corporate or trade names of such other Party will not be impaired, and consistent with best practices used by such other Party for its other collaborators. Except as permitted under this Section 11.7 (Publicity; Use of Names) or with the prior express written permission of the other Party, neither Party will use the name, trademark, trade name, or logo of the other Party or its Affiliates or their respective employees in any publicity, promotion, news release, or disclosure relating to this Agreement or its subject matter except as may be required by Applicable Law. Each Party will use the other Party’s corporate name in all publicity relating to this Agreement, including the initial press release and all subsequent press releases issued pursuant to the terms of this Agreement. Zai will, to the extent consistent with Applicable Law, include explanatory text such as (a) “</w:t>
      </w:r>
      <w:r>
        <w:rPr>
          <w:rFonts w:ascii="Arial" w:cs="Arial" w:eastAsia="Arial" w:hAnsi="Arial"/>
          <w:sz w:val="18"/>
          <w:szCs w:val="18"/>
          <w:i w:val="1"/>
          <w:iCs w:val="1"/>
          <w:color w:val="auto"/>
        </w:rPr>
        <w:t>Discovered by Blueprint Medicines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w:t>
      </w:r>
      <w:r>
        <w:rPr>
          <w:rFonts w:ascii="Arial" w:cs="Arial" w:eastAsia="Arial" w:hAnsi="Arial"/>
          <w:sz w:val="18"/>
          <w:szCs w:val="18"/>
          <w:color w:val="auto"/>
        </w:rPr>
        <w:t>” in all publicity, promotion, news releases, or similar disclosures relating to the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that are not Blueprint/Zai Combinations, and (b) “</w:t>
      </w:r>
      <w:r>
        <w:rPr>
          <w:rFonts w:ascii="Arial" w:cs="Arial" w:eastAsia="Arial" w:hAnsi="Arial"/>
          <w:sz w:val="18"/>
          <w:szCs w:val="18"/>
          <w:i w:val="1"/>
          <w:iCs w:val="1"/>
          <w:color w:val="auto"/>
        </w:rPr>
        <w:t>Discovered in Collaboration by Blueprint</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Medicines Corporation and Zai Pharmaceuticals</w:t>
      </w:r>
      <w:r>
        <w:rPr>
          <w:rFonts w:ascii="Arial" w:cs="Arial" w:eastAsia="Arial" w:hAnsi="Arial"/>
          <w:sz w:val="18"/>
          <w:szCs w:val="18"/>
          <w:color w:val="auto"/>
        </w:rPr>
        <w:t>” in all publicity, promotion, news releases,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relating to any Blueprint/Zai Combinations, in each case ((a) and (b)), or such other similar text provided by Blueprint and reasonably acceptable to Zai.</w:t>
      </w:r>
    </w:p>
    <w:p>
      <w:pPr>
        <w:spacing w:after="0" w:line="171"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9"/>
          <w:szCs w:val="19"/>
          <w:b w:val="1"/>
          <w:bCs w:val="1"/>
          <w:color w:val="auto"/>
        </w:rPr>
        <w:t>Attorney-Client Privilege</w:t>
      </w:r>
      <w:r>
        <w:rPr>
          <w:rFonts w:ascii="Arial" w:cs="Arial" w:eastAsia="Arial" w:hAnsi="Arial"/>
          <w:sz w:val="19"/>
          <w:szCs w:val="19"/>
          <w:color w:val="auto"/>
        </w:rPr>
        <w:t>. Neither Party is waiving, nor will be deemed to have waived or diminished,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 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to the Receiving Party, regardless of whether the Disclosing Party has asserted such privileges and protections. The Parties: (a) share a common legal and commercial interest in such disclosure that is subject to such privileges and protections; (b) are or may become joint defendants in proceedings to which the information covered by such protections and privileges relates; (c) intend that such privileges and protections remain intact should either Party become subject to any actual or threatened proceeding to which the Disclosing Party’s Confidential Information covered by such protections and privileges relates; and (d) intend that after the Effective Date both the Receiving Party and the Disclosing Party will have the right to assert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01" w:name="page302"/>
    <w:bookmarkEnd w:id="301"/>
    <w:p>
      <w:pPr>
        <w:ind w:left="660"/>
        <w:spacing w:after="0" w:line="260" w:lineRule="auto"/>
        <w:rPr>
          <w:sz w:val="20"/>
          <w:szCs w:val="20"/>
          <w:color w:val="auto"/>
        </w:rPr>
      </w:pPr>
      <w:r>
        <w:rPr>
          <w:rFonts w:ascii="Arial" w:cs="Arial" w:eastAsia="Arial" w:hAnsi="Arial"/>
          <w:sz w:val="20"/>
          <w:szCs w:val="20"/>
          <w:color w:val="auto"/>
        </w:rPr>
        <w:t>protections and privileges. Notwithstanding the foregoing, nothing in this Section 11.8 (Attorney-Client Privilege) will apply with respect to a Dispute between the Parties (including their respective Affiliates).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WARRANTIES, AND COVENANTS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b w:val="1"/>
          <w:bCs w:val="1"/>
          <w:color w:val="auto"/>
        </w:rPr>
        <w:t>Representations and Warranties of Each Party</w:t>
      </w:r>
      <w:r>
        <w:rPr>
          <w:rFonts w:ascii="Arial" w:cs="Arial" w:eastAsia="Arial" w:hAnsi="Arial"/>
          <w:sz w:val="18"/>
          <w:szCs w:val="18"/>
          <w:color w:val="auto"/>
        </w:rPr>
        <w:t>. Each Party represents and warrants to the other Party as of the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Effective Date as follows:</w:t>
      </w:r>
    </w:p>
    <w:p>
      <w:pPr>
        <w:spacing w:after="0" w:line="200" w:lineRule="exact"/>
        <w:rPr>
          <w:sz w:val="20"/>
          <w:szCs w:val="20"/>
          <w:color w:val="auto"/>
        </w:rPr>
      </w:pPr>
    </w:p>
    <w:p>
      <w:pPr>
        <w:jc w:val="both"/>
        <w:ind w:left="1380" w:right="20" w:hanging="647"/>
        <w:spacing w:after="0" w:line="250" w:lineRule="auto"/>
        <w:rPr>
          <w:sz w:val="20"/>
          <w:szCs w:val="20"/>
          <w:color w:val="auto"/>
        </w:rPr>
      </w:pPr>
      <w:r>
        <w:rPr>
          <w:rFonts w:ascii="Arial" w:cs="Arial" w:eastAsia="Arial" w:hAnsi="Arial"/>
          <w:sz w:val="20"/>
          <w:szCs w:val="20"/>
          <w:color w:val="auto"/>
        </w:rPr>
        <w:t>12.1.1 It is a corporation or limited company duly organized, validly existing, and in good standing under the laws of the jurisdiction of its organization, and it has the full right, power and authority to enter into this Agreement and to perform its obligations hereunder.</w:t>
      </w:r>
    </w:p>
    <w:p>
      <w:pPr>
        <w:spacing w:after="0" w:line="186" w:lineRule="exact"/>
        <w:rPr>
          <w:sz w:val="20"/>
          <w:szCs w:val="20"/>
          <w:color w:val="auto"/>
        </w:rPr>
      </w:pPr>
    </w:p>
    <w:p>
      <w:pPr>
        <w:jc w:val="both"/>
        <w:ind w:left="1380" w:hanging="647"/>
        <w:spacing w:after="0" w:line="246" w:lineRule="auto"/>
        <w:rPr>
          <w:sz w:val="20"/>
          <w:szCs w:val="20"/>
          <w:color w:val="auto"/>
        </w:rPr>
      </w:pPr>
      <w:r>
        <w:rPr>
          <w:rFonts w:ascii="Arial" w:cs="Arial" w:eastAsia="Arial" w:hAnsi="Arial"/>
          <w:sz w:val="20"/>
          <w:szCs w:val="20"/>
          <w:color w:val="auto"/>
        </w:rPr>
        <w:t>12.1.2 It has not been Debarred/Excluded and no proceeding that could result it in being Debarred/Excluded is pending, and neither it nor any of its Affiliates has used, in any capacity in the performance of obligations relating to the Licensed Products, any employee, Subcontractor, consultant, agent, representative, or other Person who has been Debarred/Excluded.</w:t>
      </w:r>
    </w:p>
    <w:p>
      <w:pPr>
        <w:spacing w:after="0" w:line="191" w:lineRule="exact"/>
        <w:rPr>
          <w:sz w:val="20"/>
          <w:szCs w:val="20"/>
          <w:color w:val="auto"/>
        </w:rPr>
      </w:pPr>
    </w:p>
    <w:p>
      <w:pPr>
        <w:jc w:val="both"/>
        <w:ind w:left="1380" w:hanging="647"/>
        <w:spacing w:after="0" w:line="287" w:lineRule="auto"/>
        <w:rPr>
          <w:sz w:val="20"/>
          <w:szCs w:val="20"/>
          <w:color w:val="auto"/>
        </w:rPr>
      </w:pPr>
      <w:r>
        <w:rPr>
          <w:rFonts w:ascii="Arial" w:cs="Arial" w:eastAsia="Arial" w:hAnsi="Arial"/>
          <w:sz w:val="19"/>
          <w:szCs w:val="19"/>
          <w:color w:val="auto"/>
        </w:rPr>
        <w:t>12.1.3 All consents, approvals and authorizations from all Governmental Authorities or other Third Parties required to be obtained by such Party in connection with this Agreement have been obtained.</w:t>
      </w:r>
    </w:p>
    <w:p>
      <w:pPr>
        <w:spacing w:after="0" w:line="152" w:lineRule="exact"/>
        <w:rPr>
          <w:sz w:val="20"/>
          <w:szCs w:val="20"/>
          <w:color w:val="auto"/>
        </w:rPr>
      </w:pPr>
    </w:p>
    <w:p>
      <w:pPr>
        <w:jc w:val="both"/>
        <w:ind w:left="1380" w:hanging="647"/>
        <w:spacing w:after="0" w:line="282" w:lineRule="auto"/>
        <w:rPr>
          <w:sz w:val="20"/>
          <w:szCs w:val="20"/>
          <w:color w:val="auto"/>
        </w:rPr>
      </w:pPr>
      <w:r>
        <w:rPr>
          <w:rFonts w:ascii="Arial" w:cs="Arial" w:eastAsia="Arial" w:hAnsi="Arial"/>
          <w:sz w:val="18"/>
          <w:szCs w:val="18"/>
          <w:color w:val="auto"/>
        </w:rPr>
        <w:t>12.1.4 This Agreement has been duly executed by it and is legally binding upon it, enforceable in accordance with its terms, and does not conflict with any agreement, instrument or understanding, oral or written, to which it is a party or by which it may be bound, nor violate any material Applicable Law or regulation of any court, governmental body, or administrative or other agency having jurisdiction over it.</w:t>
      </w:r>
    </w:p>
    <w:p>
      <w:pPr>
        <w:spacing w:after="0" w:line="161" w:lineRule="exact"/>
        <w:rPr>
          <w:sz w:val="20"/>
          <w:szCs w:val="20"/>
          <w:color w:val="auto"/>
        </w:rPr>
      </w:pPr>
    </w:p>
    <w:p>
      <w:pPr>
        <w:jc w:val="both"/>
        <w:ind w:left="1380" w:hanging="647"/>
        <w:spacing w:after="0" w:line="250" w:lineRule="auto"/>
        <w:rPr>
          <w:sz w:val="20"/>
          <w:szCs w:val="20"/>
          <w:color w:val="auto"/>
        </w:rPr>
      </w:pPr>
      <w:r>
        <w:rPr>
          <w:rFonts w:ascii="Arial" w:cs="Arial" w:eastAsia="Arial" w:hAnsi="Arial"/>
          <w:sz w:val="20"/>
          <w:szCs w:val="20"/>
          <w:color w:val="auto"/>
        </w:rPr>
        <w:t>12.1.5 To its Knowledge, neither it nor any of its Affiliates, or its or their directors, officers, employees, distributors, agents, representatives, sales intermediaries, or other Third Parties acting on its behalf or any of its Affiliates:</w:t>
      </w:r>
    </w:p>
    <w:p>
      <w:pPr>
        <w:spacing w:after="0" w:line="186" w:lineRule="exact"/>
        <w:rPr>
          <w:sz w:val="20"/>
          <w:szCs w:val="20"/>
          <w:color w:val="auto"/>
        </w:rPr>
      </w:pPr>
    </w:p>
    <w:p>
      <w:pPr>
        <w:ind w:left="1880" w:hanging="495"/>
        <w:spacing w:after="0" w:line="316" w:lineRule="auto"/>
        <w:tabs>
          <w:tab w:leader="none" w:pos="18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has taken any action in violation of any local and other anti-corruption laws (including the provisions of the United States Foreign Corrupt Practices Act, collectively “</w:t>
      </w:r>
      <w:r>
        <w:rPr>
          <w:rFonts w:ascii="Arial" w:cs="Arial" w:eastAsia="Arial" w:hAnsi="Arial"/>
          <w:sz w:val="18"/>
          <w:szCs w:val="18"/>
          <w:b w:val="1"/>
          <w:bCs w:val="1"/>
          <w:color w:val="auto"/>
        </w:rPr>
        <w:t>Anti-Corruption Laws</w:t>
      </w:r>
      <w:r>
        <w:rPr>
          <w:rFonts w:ascii="Arial" w:cs="Arial" w:eastAsia="Arial" w:hAnsi="Arial"/>
          <w:sz w:val="18"/>
          <w:szCs w:val="18"/>
          <w:color w:val="auto"/>
        </w:rPr>
        <w:t>”); or</w:t>
      </w:r>
    </w:p>
    <w:p>
      <w:pPr>
        <w:spacing w:after="0" w:line="129" w:lineRule="exact"/>
        <w:rPr>
          <w:rFonts w:ascii="Arial" w:cs="Arial" w:eastAsia="Arial" w:hAnsi="Arial"/>
          <w:sz w:val="18"/>
          <w:szCs w:val="18"/>
          <w:color w:val="auto"/>
        </w:rPr>
      </w:pPr>
    </w:p>
    <w:p>
      <w:pPr>
        <w:ind w:left="1880" w:right="20" w:hanging="495"/>
        <w:spacing w:after="0" w:line="260" w:lineRule="auto"/>
        <w:tabs>
          <w:tab w:leader="none" w:pos="188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has corruptly offered, paid, given, promised to pay or give, or authorized the payment or gift of anything of value, directly or indirectly, to any Public Official, for the purposes of:</w:t>
      </w:r>
    </w:p>
    <w:p>
      <w:pPr>
        <w:spacing w:after="0" w:line="174" w:lineRule="exact"/>
        <w:rPr>
          <w:rFonts w:ascii="Arial" w:cs="Arial" w:eastAsia="Arial" w:hAnsi="Arial"/>
          <w:sz w:val="20"/>
          <w:szCs w:val="20"/>
          <w:color w:val="auto"/>
        </w:rPr>
      </w:pPr>
    </w:p>
    <w:p>
      <w:pPr>
        <w:ind w:left="660" w:hanging="652"/>
        <w:spacing w:after="0"/>
        <w:tabs>
          <w:tab w:leader="none" w:pos="660" w:val="left"/>
        </w:tabs>
        <w:numPr>
          <w:ilvl w:val="0"/>
          <w:numId w:val="175"/>
        </w:numPr>
        <w:rPr>
          <w:rFonts w:ascii="Arial" w:cs="Arial" w:eastAsia="Arial" w:hAnsi="Arial"/>
          <w:sz w:val="22"/>
          <w:szCs w:val="22"/>
          <w:color w:val="auto"/>
        </w:rPr>
      </w:pPr>
      <w:r>
        <w:rPr>
          <w:rFonts w:ascii="Arial" w:cs="Arial" w:eastAsia="Arial" w:hAnsi="Arial"/>
          <w:sz w:val="20"/>
          <w:szCs w:val="20"/>
          <w:color w:val="auto"/>
        </w:rPr>
        <w:t>influencing any act or decision of any Public Official in his or her official capacity;</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75"/>
        </w:numPr>
        <w:rPr>
          <w:rFonts w:ascii="Arial" w:cs="Arial" w:eastAsia="Arial" w:hAnsi="Arial"/>
          <w:sz w:val="22"/>
          <w:szCs w:val="22"/>
          <w:color w:val="auto"/>
        </w:rPr>
      </w:pPr>
      <w:r>
        <w:rPr>
          <w:rFonts w:ascii="Arial" w:cs="Arial" w:eastAsia="Arial" w:hAnsi="Arial"/>
          <w:sz w:val="20"/>
          <w:szCs w:val="20"/>
          <w:color w:val="auto"/>
        </w:rPr>
        <w:t>inducing such Public Official to do or omit to do any act in violation of his or her lawful duty;</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75"/>
        </w:numPr>
        <w:rPr>
          <w:rFonts w:ascii="Arial" w:cs="Arial" w:eastAsia="Arial" w:hAnsi="Arial"/>
          <w:sz w:val="22"/>
          <w:szCs w:val="22"/>
          <w:color w:val="auto"/>
        </w:rPr>
      </w:pPr>
      <w:r>
        <w:rPr>
          <w:rFonts w:ascii="Arial" w:cs="Arial" w:eastAsia="Arial" w:hAnsi="Arial"/>
          <w:sz w:val="20"/>
          <w:szCs w:val="20"/>
          <w:color w:val="auto"/>
        </w:rPr>
        <w:t>securing any improper advantage; or</w:t>
      </w:r>
    </w:p>
    <w:p>
      <w:pPr>
        <w:spacing w:after="0" w:line="208" w:lineRule="exact"/>
        <w:rPr>
          <w:rFonts w:ascii="Arial" w:cs="Arial" w:eastAsia="Arial" w:hAnsi="Arial"/>
          <w:sz w:val="22"/>
          <w:szCs w:val="22"/>
          <w:color w:val="auto"/>
        </w:rPr>
      </w:pPr>
    </w:p>
    <w:p>
      <w:pPr>
        <w:jc w:val="both"/>
        <w:ind w:left="660" w:right="20" w:hanging="652"/>
        <w:spacing w:after="0" w:line="238" w:lineRule="auto"/>
        <w:tabs>
          <w:tab w:leader="none" w:pos="660" w:val="left"/>
        </w:tabs>
        <w:numPr>
          <w:ilvl w:val="0"/>
          <w:numId w:val="175"/>
        </w:numPr>
        <w:rPr>
          <w:rFonts w:ascii="Arial" w:cs="Arial" w:eastAsia="Arial" w:hAnsi="Arial"/>
          <w:sz w:val="22"/>
          <w:szCs w:val="22"/>
          <w:color w:val="auto"/>
        </w:rPr>
      </w:pPr>
      <w:r>
        <w:rPr>
          <w:rFonts w:ascii="Arial" w:cs="Arial" w:eastAsia="Arial" w:hAnsi="Arial"/>
          <w:sz w:val="20"/>
          <w:szCs w:val="20"/>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2" w:name="page303"/>
    <w:bookmarkEnd w:id="302"/>
    <w:p>
      <w:pPr>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12.2</w:t>
        <w:tab/>
        <w:t>Representations and Warranties of Blueprint</w:t>
      </w:r>
      <w:r>
        <w:rPr>
          <w:rFonts w:ascii="Arial" w:cs="Arial" w:eastAsia="Arial" w:hAnsi="Arial"/>
          <w:sz w:val="20"/>
          <w:szCs w:val="20"/>
          <w:color w:val="auto"/>
        </w:rPr>
        <w:t>. Blueprint represents and warrants to Zai as of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itself and its Affiliates as follows:</w:t>
      </w:r>
    </w:p>
    <w:p>
      <w:pPr>
        <w:spacing w:after="0" w:line="169" w:lineRule="exact"/>
        <w:rPr>
          <w:sz w:val="20"/>
          <w:szCs w:val="20"/>
          <w:color w:val="auto"/>
        </w:rPr>
      </w:pPr>
    </w:p>
    <w:p>
      <w:pPr>
        <w:jc w:val="both"/>
        <w:ind w:left="1380" w:hanging="647"/>
        <w:spacing w:after="0" w:line="250" w:lineRule="auto"/>
        <w:rPr>
          <w:sz w:val="20"/>
          <w:szCs w:val="20"/>
          <w:color w:val="auto"/>
        </w:rPr>
      </w:pPr>
      <w:r>
        <w:rPr>
          <w:rFonts w:ascii="Arial" w:cs="Arial" w:eastAsia="Arial" w:hAnsi="Arial"/>
          <w:sz w:val="20"/>
          <w:szCs w:val="20"/>
          <w:color w:val="auto"/>
        </w:rPr>
        <w:t>12.2.1 It has the right under the Blueprint Technology to grant to Zai the licenses set forth in this Agreement, and it has not granted any license or other right under the Blueprint Technology that is inconsistent with the licenses purported to be granted to Zai hereunder.</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12.2.2  [****]</w:t>
      </w:r>
    </w:p>
    <w:p>
      <w:pPr>
        <w:spacing w:after="0" w:line="216" w:lineRule="exact"/>
        <w:rPr>
          <w:sz w:val="20"/>
          <w:szCs w:val="20"/>
          <w:color w:val="auto"/>
        </w:rPr>
      </w:pPr>
    </w:p>
    <w:p>
      <w:pPr>
        <w:jc w:val="both"/>
        <w:ind w:left="1380" w:hanging="647"/>
        <w:spacing w:after="0" w:line="246" w:lineRule="auto"/>
        <w:rPr>
          <w:sz w:val="20"/>
          <w:szCs w:val="20"/>
          <w:color w:val="auto"/>
        </w:rPr>
      </w:pPr>
      <w:r>
        <w:rPr>
          <w:rFonts w:ascii="Arial" w:cs="Arial" w:eastAsia="Arial" w:hAnsi="Arial"/>
          <w:sz w:val="20"/>
          <w:szCs w:val="20"/>
          <w:color w:val="auto"/>
        </w:rPr>
        <w:t>12.2.3 There is no pending or, to Blueprint’s Knowledge, threatened (in writing) litigation, nor has Blueprint received any written notice from any Third Party, asserting or alleging that the Exploitation of the Blueprint Compounds or the Licensed Products prior to the Effective Date infringed or misappropriated the intellectual property rights of such Third Party.</w:t>
      </w:r>
    </w:p>
    <w:p>
      <w:pPr>
        <w:spacing w:after="0" w:line="191" w:lineRule="exact"/>
        <w:rPr>
          <w:sz w:val="20"/>
          <w:szCs w:val="20"/>
          <w:color w:val="auto"/>
        </w:rPr>
      </w:pPr>
    </w:p>
    <w:p>
      <w:pPr>
        <w:jc w:val="both"/>
        <w:ind w:left="1380" w:hanging="647"/>
        <w:spacing w:after="0" w:line="250" w:lineRule="auto"/>
        <w:rPr>
          <w:sz w:val="20"/>
          <w:szCs w:val="20"/>
          <w:color w:val="auto"/>
        </w:rPr>
      </w:pPr>
      <w:r>
        <w:rPr>
          <w:rFonts w:ascii="Arial" w:cs="Arial" w:eastAsia="Arial" w:hAnsi="Arial"/>
          <w:sz w:val="20"/>
          <w:szCs w:val="20"/>
          <w:color w:val="auto"/>
        </w:rPr>
        <w:t>12.2.4 There are no legal claims, judgments, or settlements against or owed by Blueprint or any of its Affiliates, or pending or, to Blueprint’s Knowledge, threatened, legal claims or litigation, in each case, relating to antitrust, anti-competition, or Anti-Corruption Law violations.</w:t>
      </w:r>
    </w:p>
    <w:p>
      <w:pPr>
        <w:spacing w:after="0" w:line="186"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20"/>
          <w:szCs w:val="20"/>
          <w:color w:val="auto"/>
        </w:rPr>
        <w:t>12.2.5 To Blueprint’s Knowledge, the Exploitation of the Blueprint Compounds as contemplated under this Agreement does not infringe any issued Patent Right of any Third Party.</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12.2.6  [****]</w:t>
      </w:r>
    </w:p>
    <w:p>
      <w:pPr>
        <w:spacing w:after="0" w:line="216" w:lineRule="exact"/>
        <w:rPr>
          <w:sz w:val="20"/>
          <w:szCs w:val="20"/>
          <w:color w:val="auto"/>
        </w:rPr>
      </w:pPr>
    </w:p>
    <w:p>
      <w:pPr>
        <w:jc w:val="both"/>
        <w:ind w:left="1380" w:right="20" w:hanging="647"/>
        <w:spacing w:after="0" w:line="250" w:lineRule="auto"/>
        <w:rPr>
          <w:sz w:val="20"/>
          <w:szCs w:val="20"/>
          <w:color w:val="auto"/>
        </w:rPr>
      </w:pPr>
      <w:r>
        <w:rPr>
          <w:rFonts w:ascii="Arial" w:cs="Arial" w:eastAsia="Arial" w:hAnsi="Arial"/>
          <w:sz w:val="20"/>
          <w:szCs w:val="20"/>
          <w:color w:val="auto"/>
        </w:rPr>
        <w:t>12.2.7 Each employee of Blueprint and its Affiliates involved in the programs related to the Blueprint Compounds is bound by an agreement or policy requiring such employee to assign Inventions invented by such employee to Blueprint or such Affiliate.</w:t>
      </w:r>
    </w:p>
    <w:p>
      <w:pPr>
        <w:spacing w:after="0" w:line="186"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20"/>
          <w:szCs w:val="20"/>
          <w:color w:val="auto"/>
        </w:rPr>
        <w:t>12.2.8 Blueprint does not have agreements with any Third Parties under which Blueprint Controls any Blueprint Patent Rights or Blueprint Know-How as of the Effective Date.</w:t>
      </w:r>
    </w:p>
    <w:p>
      <w:pPr>
        <w:spacing w:after="0" w:line="177"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20"/>
          <w:szCs w:val="20"/>
          <w:color w:val="auto"/>
        </w:rPr>
        <w:t>12.2.9 All information provided by Blueprint to Zai for due diligence purposes in relation to this Agreement, to Blueprint’s Knowledge, is complete and accurate in all material respects.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b w:val="1"/>
          <w:bCs w:val="1"/>
          <w:color w:val="auto"/>
        </w:rPr>
        <w:t>Representations and Warranties of Zai</w:t>
      </w:r>
      <w:r>
        <w:rPr>
          <w:rFonts w:ascii="Arial" w:cs="Arial" w:eastAsia="Arial" w:hAnsi="Arial"/>
          <w:sz w:val="18"/>
          <w:szCs w:val="18"/>
          <w:color w:val="auto"/>
        </w:rPr>
        <w:t>.  Zai represents and warrants to Blueprint as follows (a) [****], and (b)</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left="1380" w:right="20" w:hanging="647"/>
        <w:spacing w:after="0" w:line="250" w:lineRule="auto"/>
        <w:rPr>
          <w:sz w:val="20"/>
          <w:szCs w:val="20"/>
          <w:color w:val="auto"/>
        </w:rPr>
      </w:pPr>
      <w:r>
        <w:rPr>
          <w:rFonts w:ascii="Arial" w:cs="Arial" w:eastAsia="Arial" w:hAnsi="Arial"/>
          <w:sz w:val="20"/>
          <w:szCs w:val="20"/>
          <w:color w:val="auto"/>
        </w:rPr>
        <w:t>12.3.1 It has the right under the Zai Technology to grant to Blueprint the licenses set forth in this Agreement, and it has not granted any license or other right under the Zai Technology that is inconsistent with the licenses purported to be granted to Blueprint hereunder.</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12.3.2  There is no Zai Technology in existence as of the Effective Date.</w:t>
      </w:r>
    </w:p>
    <w:p>
      <w:pPr>
        <w:spacing w:after="0" w:line="216" w:lineRule="exact"/>
        <w:rPr>
          <w:sz w:val="20"/>
          <w:szCs w:val="20"/>
          <w:color w:val="auto"/>
        </w:rPr>
      </w:pPr>
    </w:p>
    <w:p>
      <w:pPr>
        <w:jc w:val="both"/>
        <w:ind w:left="1380" w:hanging="647"/>
        <w:spacing w:after="0" w:line="246" w:lineRule="auto"/>
        <w:rPr>
          <w:sz w:val="20"/>
          <w:szCs w:val="20"/>
          <w:color w:val="auto"/>
        </w:rPr>
      </w:pPr>
      <w:r>
        <w:rPr>
          <w:rFonts w:ascii="Arial" w:cs="Arial" w:eastAsia="Arial" w:hAnsi="Arial"/>
          <w:sz w:val="20"/>
          <w:szCs w:val="20"/>
          <w:color w:val="auto"/>
        </w:rPr>
        <w:t>12.3.3 There is no pending or, to Zai’s Knowledge, threatened (in writing) litigation, nor has Zai received any written notice from any Third Party, asserting or alleging that the Exploitation of any Zai Product as part of any Blueprint/Zai Combination in the Territory as contemplated under this Agreement will infringe or misappropriate the intellectual property rights of such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303" w:name="page304"/>
    <w:bookmarkEnd w:id="303"/>
    <w:p>
      <w:pPr>
        <w:jc w:val="both"/>
        <w:ind w:left="1380" w:hanging="647"/>
        <w:spacing w:after="0" w:line="250" w:lineRule="auto"/>
        <w:rPr>
          <w:sz w:val="20"/>
          <w:szCs w:val="20"/>
          <w:color w:val="auto"/>
        </w:rPr>
      </w:pPr>
      <w:r>
        <w:rPr>
          <w:rFonts w:ascii="Arial" w:cs="Arial" w:eastAsia="Arial" w:hAnsi="Arial"/>
          <w:sz w:val="20"/>
          <w:szCs w:val="20"/>
          <w:color w:val="auto"/>
        </w:rPr>
        <w:t>12.3.4 There are no legal claims, judgments, or settlements against or owed by Zai or any of its Affiliates, or pending or, to Zai’s Knowledge, threatened, legal claims or litigation, in each case, relating to antitrust, anti-competition, or Anti-Corruption Law violations.</w:t>
      </w:r>
    </w:p>
    <w:p>
      <w:pPr>
        <w:spacing w:after="0" w:line="186"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20"/>
          <w:szCs w:val="20"/>
          <w:color w:val="auto"/>
        </w:rPr>
        <w:t>12.3.5 Zai has sufficient financial wherewithal to perform all of its obligations set forth under this Agreement as they come due.</w:t>
      </w:r>
    </w:p>
    <w:p>
      <w:pPr>
        <w:spacing w:after="0" w:line="177" w:lineRule="exact"/>
        <w:rPr>
          <w:sz w:val="20"/>
          <w:szCs w:val="20"/>
          <w:color w:val="auto"/>
        </w:rPr>
      </w:pPr>
    </w:p>
    <w:p>
      <w:pPr>
        <w:jc w:val="both"/>
        <w:ind w:left="1380" w:right="20" w:hanging="647"/>
        <w:spacing w:after="0" w:line="260" w:lineRule="auto"/>
        <w:rPr>
          <w:sz w:val="20"/>
          <w:szCs w:val="20"/>
          <w:color w:val="auto"/>
        </w:rPr>
      </w:pPr>
      <w:r>
        <w:rPr>
          <w:rFonts w:ascii="Arial" w:cs="Arial" w:eastAsia="Arial" w:hAnsi="Arial"/>
          <w:sz w:val="20"/>
          <w:szCs w:val="20"/>
          <w:color w:val="auto"/>
        </w:rPr>
        <w:t>12.3.6 Each employee of Zai and its Affiliates is bound by an agreement or policy requiring such employee to assign Inventions invented by such employee to Zai or such Affiliate.</w:t>
      </w:r>
    </w:p>
    <w:p>
      <w:pPr>
        <w:spacing w:after="0" w:line="177" w:lineRule="exact"/>
        <w:rPr>
          <w:sz w:val="20"/>
          <w:szCs w:val="20"/>
          <w:color w:val="auto"/>
        </w:rPr>
      </w:pPr>
    </w:p>
    <w:p>
      <w:pPr>
        <w:jc w:val="both"/>
        <w:ind w:left="1380" w:hanging="647"/>
        <w:spacing w:after="0" w:line="263" w:lineRule="auto"/>
        <w:rPr>
          <w:sz w:val="20"/>
          <w:szCs w:val="20"/>
          <w:color w:val="auto"/>
        </w:rPr>
      </w:pPr>
      <w:r>
        <w:rPr>
          <w:rFonts w:ascii="Arial" w:cs="Arial" w:eastAsia="Arial" w:hAnsi="Arial"/>
          <w:sz w:val="19"/>
          <w:szCs w:val="19"/>
          <w:color w:val="auto"/>
        </w:rPr>
        <w:t>12.3.7 Zai has, or can readily obtain, sufficient technical, clinical, and regulatory expertise to perform all of its obligations pursuant to this Agreement, including its obligations relating to Development, Manufacturing, Medical Affairs, Commercialization, and obtaining Regulatory Approvals, in each case, of the Blueprint Compounds and Licensed Products as contemplated under this Agreement.</w:t>
      </w:r>
    </w:p>
    <w:p>
      <w:pPr>
        <w:spacing w:after="0" w:line="17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12.3.8 None of the officers, directors, or employees of Zai or of any of its Affiliates or agents acting on behalf of Zai or any of its Affiliates, in each case, that are employed or reside outside the United States, is a Public Official.</w:t>
      </w:r>
    </w:p>
    <w:p>
      <w:pPr>
        <w:spacing w:after="0" w:line="186" w:lineRule="exact"/>
        <w:rPr>
          <w:sz w:val="20"/>
          <w:szCs w:val="20"/>
          <w:color w:val="auto"/>
        </w:rPr>
      </w:pPr>
    </w:p>
    <w:p>
      <w:pPr>
        <w:jc w:val="both"/>
        <w:ind w:left="1380" w:hanging="647"/>
        <w:spacing w:after="0" w:line="269" w:lineRule="auto"/>
        <w:rPr>
          <w:sz w:val="20"/>
          <w:szCs w:val="20"/>
          <w:color w:val="auto"/>
        </w:rPr>
      </w:pPr>
      <w:r>
        <w:rPr>
          <w:rFonts w:ascii="Arial" w:cs="Arial" w:eastAsia="Arial" w:hAnsi="Arial"/>
          <w:sz w:val="19"/>
          <w:szCs w:val="19"/>
          <w:color w:val="auto"/>
        </w:rPr>
        <w:t>12.3.9 Zai or its Affiliate that will serve as Blueprint’s regulatory agent (as applicable) in the PRC as contemplated by this Agreement has met all qualification requirements required under Applicable Law to be Blueprint’s regulatory agent in the PRC as contemplated by this Agreement.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8"/>
          <w:szCs w:val="18"/>
          <w:b w:val="1"/>
          <w:bCs w:val="1"/>
          <w:color w:val="auto"/>
        </w:rPr>
        <w:t>Covenants of Zai</w:t>
      </w:r>
      <w:r>
        <w:rPr>
          <w:rFonts w:ascii="Arial" w:cs="Arial" w:eastAsia="Arial" w:hAnsi="Arial"/>
          <w:sz w:val="18"/>
          <w:szCs w:val="18"/>
          <w:color w:val="auto"/>
        </w:rPr>
        <w:t>. Zai covenants to Blueprint that:</w:t>
      </w:r>
    </w:p>
    <w:p>
      <w:pPr>
        <w:spacing w:after="0" w:line="222" w:lineRule="exact"/>
        <w:rPr>
          <w:sz w:val="20"/>
          <w:szCs w:val="20"/>
          <w:color w:val="auto"/>
        </w:rPr>
      </w:pPr>
    </w:p>
    <w:p>
      <w:pPr>
        <w:jc w:val="both"/>
        <w:ind w:left="1380" w:hanging="647"/>
        <w:spacing w:after="0" w:line="256" w:lineRule="auto"/>
        <w:rPr>
          <w:sz w:val="20"/>
          <w:szCs w:val="20"/>
          <w:color w:val="auto"/>
        </w:rPr>
      </w:pPr>
      <w:r>
        <w:rPr>
          <w:rFonts w:ascii="Arial" w:cs="Arial" w:eastAsia="Arial" w:hAnsi="Arial"/>
          <w:sz w:val="19"/>
          <w:szCs w:val="19"/>
          <w:color w:val="auto"/>
        </w:rPr>
        <w:t>12.4.1 In the course of performing its obligations or exercising its rights under this Agreement, it will comply with all Applicable Law, including, as applicable, cGMP, GCP, and GLP standards, and all ethics policies agreed upon by the Parties in good faith, and will not employ or engage, and if so employed and engaged, will thereafter terminate any Person who has been Debarred/Excluded, or is the subject of any proceedings that could result in such Person being Debarred/Excluded. Zai will make all related disclosures with respect to and record all transfers of value to health care providers in the Territory to the extent required by Applicable Laws. Zai will require any Affiliate, Sublicensee, Subcontractor, or other Person that provides services to or on behalf of Zai in connection with this Agreement to comply with Zai’s obligations under this Section 12.4.1.</w:t>
      </w:r>
    </w:p>
    <w:p>
      <w:pPr>
        <w:spacing w:after="0" w:line="184"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19"/>
          <w:szCs w:val="19"/>
          <w:color w:val="auto"/>
        </w:rPr>
        <w:t>12.4.2 Zai will perform, and will cause its Affiliates and Sublicensees and their respective Subcontractors to, perform all necessary or required record filings with, and obtain all necessary or required licenses, approvals and permits from, all applicable Governmental Authorities in the Territory [****] for the conduct of activities, including Development activities and data sharing, under this Agreement, and provide Blueprint with copies of such record filings, licenses, approvals, and permits.</w:t>
      </w:r>
    </w:p>
    <w:p>
      <w:pPr>
        <w:spacing w:after="0" w:line="180" w:lineRule="exact"/>
        <w:rPr>
          <w:sz w:val="20"/>
          <w:szCs w:val="20"/>
          <w:color w:val="auto"/>
        </w:rPr>
      </w:pPr>
    </w:p>
    <w:p>
      <w:pPr>
        <w:jc w:val="both"/>
        <w:ind w:left="1380" w:hanging="647"/>
        <w:spacing w:after="0" w:line="278" w:lineRule="auto"/>
        <w:rPr>
          <w:sz w:val="20"/>
          <w:szCs w:val="20"/>
          <w:color w:val="auto"/>
        </w:rPr>
      </w:pPr>
      <w:r>
        <w:rPr>
          <w:rFonts w:ascii="Arial" w:cs="Arial" w:eastAsia="Arial" w:hAnsi="Arial"/>
          <w:sz w:val="18"/>
          <w:szCs w:val="18"/>
          <w:color w:val="auto"/>
        </w:rPr>
        <w:t>12.4.3 Throughout the Term, Zai or its Affiliate who will serve as Blueprint’s regulatory agent in the PRC will at all times meet all qualification requirements required under Applicable Law to be Blueprint’s regulatory agent in the PRC as contemplated by this Agreement. Zai will promptly notify Blueprint of any significant change to these qualification requirements and upon receiving any notice from any Third Party indicating, or otherwise becoming aware, that Zai or its Affiliate may not meet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4" w:name="page305"/>
    <w:bookmarkEnd w:id="304"/>
    <w:p>
      <w:pPr>
        <w:spacing w:after="0"/>
        <w:tabs>
          <w:tab w:leader="none" w:pos="64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b w:val="1"/>
          <w:bCs w:val="1"/>
          <w:color w:val="auto"/>
        </w:rPr>
        <w:t>Mutual Covenants</w:t>
      </w:r>
      <w:r>
        <w:rPr>
          <w:rFonts w:ascii="Arial" w:cs="Arial" w:eastAsia="Arial" w:hAnsi="Arial"/>
          <w:sz w:val="18"/>
          <w:szCs w:val="18"/>
          <w:color w:val="auto"/>
        </w:rPr>
        <w:t>. Each Party covenants to the other Party that: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12.5.1  Notwithstanding any provision to the contrary in this Agreement, each Party agrees as follows:</w:t>
      </w:r>
    </w:p>
    <w:p>
      <w:pPr>
        <w:spacing w:after="0" w:line="216" w:lineRule="exact"/>
        <w:rPr>
          <w:sz w:val="20"/>
          <w:szCs w:val="20"/>
          <w:color w:val="auto"/>
        </w:rPr>
      </w:pPr>
    </w:p>
    <w:p>
      <w:pPr>
        <w:ind w:left="1880" w:hanging="495"/>
        <w:spacing w:after="0" w:line="260" w:lineRule="auto"/>
        <w:tabs>
          <w:tab w:leader="none" w:pos="18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will not, in the performance of this Agreement, perform any actions that are prohibited by Anti-Corruption Laws that may be applicable to one or both Parties.</w:t>
      </w:r>
    </w:p>
    <w:p>
      <w:pPr>
        <w:spacing w:after="0" w:line="176" w:lineRule="exact"/>
        <w:rPr>
          <w:rFonts w:ascii="Arial" w:cs="Arial" w:eastAsia="Arial" w:hAnsi="Arial"/>
          <w:sz w:val="20"/>
          <w:szCs w:val="20"/>
          <w:color w:val="auto"/>
        </w:rPr>
      </w:pPr>
    </w:p>
    <w:p>
      <w:pPr>
        <w:jc w:val="both"/>
        <w:ind w:left="1880" w:hanging="495"/>
        <w:spacing w:after="0" w:line="260" w:lineRule="auto"/>
        <w:tabs>
          <w:tab w:leader="none" w:pos="188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It will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spacing w:after="0" w:line="180" w:lineRule="exact"/>
        <w:rPr>
          <w:rFonts w:ascii="Arial" w:cs="Arial" w:eastAsia="Arial" w:hAnsi="Arial"/>
          <w:sz w:val="19"/>
          <w:szCs w:val="19"/>
          <w:color w:val="auto"/>
        </w:rPr>
      </w:pPr>
    </w:p>
    <w:p>
      <w:pPr>
        <w:jc w:val="both"/>
        <w:ind w:left="1880" w:hanging="495"/>
        <w:spacing w:after="0" w:line="244" w:lineRule="auto"/>
        <w:tabs>
          <w:tab w:leader="none" w:pos="18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At the request of the other Party, not more than [****], it will verify in writing to the requesting Party that to its Knowledge, there have been no violations of Anti-Corruption Laws by it or its Affiliates or Sublicensees, or persons employed by or Subcontractors used by it or its Affiliates or Sublicensees in the performance of this Agreement, or will provide details of any exception to the foregoing.</w:t>
      </w:r>
    </w:p>
    <w:p>
      <w:pPr>
        <w:spacing w:after="0" w:line="194" w:lineRule="exact"/>
        <w:rPr>
          <w:rFonts w:ascii="Arial" w:cs="Arial" w:eastAsia="Arial" w:hAnsi="Arial"/>
          <w:sz w:val="20"/>
          <w:szCs w:val="20"/>
          <w:color w:val="auto"/>
        </w:rPr>
      </w:pPr>
    </w:p>
    <w:p>
      <w:pPr>
        <w:jc w:val="both"/>
        <w:ind w:left="1880" w:hanging="495"/>
        <w:spacing w:after="0" w:line="243" w:lineRule="auto"/>
        <w:tabs>
          <w:tab w:leader="none" w:pos="18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will maintain records (financial and otherwise) and supporting documentation related to the subject matter of this Section 12.5 (Mutual Covenants) in order to document or verify compliance with the provisions of this Section 12.5 (Mutual Covenants), and upon request of the other Party upon reasonable advance notice, will provide to such requesting Party or its representative with access to such records for purposes of verifying compliance with the provisions of this Section 12.5 (Mutual Covenants).</w:t>
      </w:r>
    </w:p>
    <w:p>
      <w:pPr>
        <w:spacing w:after="0" w:line="196" w:lineRule="exact"/>
        <w:rPr>
          <w:sz w:val="20"/>
          <w:szCs w:val="20"/>
          <w:color w:val="auto"/>
        </w:rPr>
      </w:pPr>
    </w:p>
    <w:p>
      <w:pPr>
        <w:jc w:val="both"/>
        <w:ind w:left="1380" w:hanging="647"/>
        <w:spacing w:after="0" w:line="268" w:lineRule="auto"/>
        <w:rPr>
          <w:sz w:val="20"/>
          <w:szCs w:val="20"/>
          <w:color w:val="auto"/>
        </w:rPr>
      </w:pPr>
      <w:r>
        <w:rPr>
          <w:rFonts w:ascii="Arial" w:cs="Arial" w:eastAsia="Arial" w:hAnsi="Arial"/>
          <w:sz w:val="18"/>
          <w:szCs w:val="18"/>
          <w:color w:val="auto"/>
        </w:rPr>
        <w:t>12.5.2 It and its Affiliates will, and will cause its and their licensees subcontractors (or Sublicensees and Subcontractors, as applicable) to, comply with all Applicable Laws pertaining to Personal Information (the “</w:t>
      </w:r>
      <w:r>
        <w:rPr>
          <w:rFonts w:ascii="Arial" w:cs="Arial" w:eastAsia="Arial" w:hAnsi="Arial"/>
          <w:sz w:val="18"/>
          <w:szCs w:val="18"/>
          <w:b w:val="1"/>
          <w:bCs w:val="1"/>
          <w:color w:val="auto"/>
        </w:rPr>
        <w:t>Privacy Laws</w:t>
      </w:r>
      <w:r>
        <w:rPr>
          <w:rFonts w:ascii="Arial" w:cs="Arial" w:eastAsia="Arial" w:hAnsi="Arial"/>
          <w:sz w:val="18"/>
          <w:szCs w:val="18"/>
          <w:color w:val="auto"/>
        </w:rPr>
        <w:t>”) to which it is subject in connection with such Party’s and its Affiliate’s, licensees (or Sublicensee’s, as applicable) or subcontractors (or Subcontractor’s, as applicable) activities related to this Agreement. To the extent that such Party or its Affiliates, licensees (or Sublicensees, as applicable), or subcontractors (or Subcontractors, as applicable) access or come into possession of Personal Information in connection with activities related to this Agreement, such Party and its Affiliates agree, and will cause its and their licensees (or Sublicensees, as applicable) and subcontractors (or Subcontractors, as applicable), to comply with applicable Privacy Laws to which it may be subject as a result thereof. Any processing (including the collection, storage, use, transfer, provision, publication, and deletion) by such Party or its Affiliates, licensees (or Sublicensees, as applicable), or subcontractors (or Subcontractors, as applicable) of Personal Information obtained in connection with activities under this Agreement will be done solely for the purpose of performing such Party’s obligations or exercising such Party’s rights in connection with the Development of Licensed Products consistent with the terms of this Agreement, will be in accordance with notices provided to and consents obtained from the data subjects whose Personal Information is being processed, and will be in accordance with all applicable Privacy Laws. From and after the Effective Date, each Party and its Affiliates will take, and ensure that its licensees (or Sublicensees, as applicable) and subcontractors (or Subcontractors, as applicable) take, commercially reasonable and appropriate technical and organizational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305" w:name="page306"/>
    <w:bookmarkEnd w:id="305"/>
    <w:p>
      <w:pPr>
        <w:jc w:val="both"/>
        <w:ind w:left="1380"/>
        <w:spacing w:after="0" w:line="267" w:lineRule="auto"/>
        <w:rPr>
          <w:sz w:val="20"/>
          <w:szCs w:val="20"/>
          <w:color w:val="auto"/>
        </w:rPr>
      </w:pPr>
      <w:r>
        <w:rPr>
          <w:rFonts w:ascii="Arial" w:cs="Arial" w:eastAsia="Arial" w:hAnsi="Arial"/>
          <w:sz w:val="18"/>
          <w:szCs w:val="18"/>
          <w:color w:val="auto"/>
        </w:rPr>
        <w:t>measures to protect Personal Information (including the results and any clinical data obtained in connection with any Clinical Trials conducted by or on behalf of such Party) in its possession against unauthorized access, accidental loss or damage, and unauthorized destruction. Such Party and its Affiliates will further maintain, and ensure that its licensees (or Sublicensees, as applicable) and subcontractors (or Subcontractors, as applicable) maintain, a commercially reasonable program for protecting against unauthorized access to or loss, misuse, alteration, destruction, damage or disclosure of Personal Information (including the results and any clinical data obtained in connection with Clinical Trials conducted by or on behalf of such Party) in its possession pursuant to its activities under this Agreement (“</w:t>
      </w:r>
      <w:r>
        <w:rPr>
          <w:rFonts w:ascii="Arial" w:cs="Arial" w:eastAsia="Arial" w:hAnsi="Arial"/>
          <w:sz w:val="18"/>
          <w:szCs w:val="18"/>
          <w:b w:val="1"/>
          <w:bCs w:val="1"/>
          <w:color w:val="auto"/>
        </w:rPr>
        <w:t>Data Breach</w:t>
      </w:r>
      <w:r>
        <w:rPr>
          <w:rFonts w:ascii="Arial" w:cs="Arial" w:eastAsia="Arial" w:hAnsi="Arial"/>
          <w:sz w:val="18"/>
          <w:szCs w:val="18"/>
          <w:color w:val="auto"/>
        </w:rPr>
        <w:t>”). In the event of a Data Breach, such Party will (i) promptly, and in any event so as to allow the other Party to comply with its obligations under Applicable Law, notify the other Party by phone and email after becoming aware of such Data Breach, and (ii) comply with the relevant requirements and procedures of the applicable Privacy Laws in resolving such Data Breach. With respect to all activities performed by such Party and its Affiliates under the Agreement, such Party and its Affiliates will use reasonable efforts to, and to ensure that its subcontractors (or Subcontractors, as applicable), implement multi-factor authentication and encryption promptly following the Effective Date. Prior to transferring any data, files, or results containing any Personal Information to the other Party its Affiliate, subcontractor (or Subcontractor, as applicable) or licensee (or Sublicensee, as applicable) hereunder, the Parties will agree upon the manner and format of such transfer and the transferring Party will provide any required notices to and obtain any necessary consents from Governmental Authorities and data subjects prior to a transfer. With respect to such transferred data, each Party will promptly notify the other Party by phone and email after receiving a data subject request from an individual whose Personal Information was transferred to the other Party or its Affiliate, subcontractor (or Subcontractor, as applicable) or licensee (or Sublicensee, as applicable), and will comply with, and inform its Affiliates, subcontractors (or Subcontractors, as applicable) or licensees (or Sublicensees, as applicable) of the need to comply with, the relevant requirements and procedures of the applicable Privacy Laws in responding to such data subject request. Each Party will have the right, upon reasonable advance notice and at a time agreed by the Parties, to audit the other Party’s and its Affiliates’ compliance with the requirements of this Section 12.5.2. To the extent permitted under Zai’s agreements with its Sublicensees or Subcontractors, Blueprint will have the right to audit the data privacy and information security measures implemented by Zai’s Sublicensees and Subcontractors performing activities under this Agreement. If such audit is not permitted under Zai’s one or more agreements with its Sublicensees or Subcontractors, Zai will use reasonable efforts to obtain the right to conduct such an audit of the data privacy and information security measures of any such Sublicensees and Subcontractors.</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b w:val="1"/>
          <w:bCs w:val="1"/>
          <w:color w:val="auto"/>
        </w:rPr>
        <w:t>Covenants of Blueprint</w:t>
      </w:r>
      <w:r>
        <w:rPr>
          <w:rFonts w:ascii="Arial" w:cs="Arial" w:eastAsia="Arial" w:hAnsi="Arial"/>
          <w:sz w:val="18"/>
          <w:szCs w:val="18"/>
          <w:color w:val="auto"/>
        </w:rPr>
        <w:t>. Blueprint covenants to Zai that:</w:t>
      </w:r>
    </w:p>
    <w:p>
      <w:pPr>
        <w:spacing w:after="0" w:line="222" w:lineRule="exact"/>
        <w:rPr>
          <w:sz w:val="20"/>
          <w:szCs w:val="20"/>
          <w:color w:val="auto"/>
        </w:rPr>
      </w:pPr>
    </w:p>
    <w:p>
      <w:pPr>
        <w:jc w:val="both"/>
        <w:ind w:left="1380" w:hanging="647"/>
        <w:spacing w:after="0" w:line="260" w:lineRule="auto"/>
        <w:rPr>
          <w:sz w:val="20"/>
          <w:szCs w:val="20"/>
          <w:color w:val="auto"/>
        </w:rPr>
      </w:pPr>
      <w:r>
        <w:rPr>
          <w:rFonts w:ascii="Arial" w:cs="Arial" w:eastAsia="Arial" w:hAnsi="Arial"/>
          <w:sz w:val="20"/>
          <w:szCs w:val="20"/>
          <w:color w:val="auto"/>
        </w:rPr>
        <w:t>12.6.1 Neither Blueprint nor any of its Affiliates will grant any license, sublicense, or other rights in or to the Blueprint Technology that is inconsistent with the terms and conditions of this Agreement.</w:t>
      </w:r>
    </w:p>
    <w:p>
      <w:pPr>
        <w:spacing w:after="0" w:line="177" w:lineRule="exact"/>
        <w:rPr>
          <w:sz w:val="20"/>
          <w:szCs w:val="20"/>
          <w:color w:val="auto"/>
        </w:rPr>
      </w:pPr>
    </w:p>
    <w:p>
      <w:pPr>
        <w:jc w:val="both"/>
        <w:ind w:left="1380" w:hanging="647"/>
        <w:spacing w:after="0" w:line="244" w:lineRule="auto"/>
        <w:rPr>
          <w:sz w:val="20"/>
          <w:szCs w:val="20"/>
          <w:color w:val="auto"/>
        </w:rPr>
      </w:pPr>
      <w:r>
        <w:rPr>
          <w:rFonts w:ascii="Arial" w:cs="Arial" w:eastAsia="Arial" w:hAnsi="Arial"/>
          <w:sz w:val="20"/>
          <w:szCs w:val="20"/>
          <w:color w:val="auto"/>
        </w:rPr>
        <w:t>12.6.2 During the Term Blueprint will comply with all Applicable Law applicable to its Development and Manufacture of the Blueprint Compounds and the Licensed Products pursuant to this Agreement, including, as applicable, cGMP, GCP, and GLP standards, and all ethics policies agreed upon by the Parties in good faith, and will not employ or engage, and if so employed and engaged, will thereafter terminate any Person who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6" w:name="page307"/>
    <w:bookmarkEnd w:id="306"/>
    <w:p>
      <w:pPr>
        <w:ind w:left="1360"/>
        <w:spacing w:after="0" w:line="260" w:lineRule="auto"/>
        <w:rPr>
          <w:sz w:val="20"/>
          <w:szCs w:val="20"/>
          <w:color w:val="auto"/>
        </w:rPr>
      </w:pPr>
      <w:r>
        <w:rPr>
          <w:rFonts w:ascii="Arial" w:cs="Arial" w:eastAsia="Arial" w:hAnsi="Arial"/>
          <w:sz w:val="20"/>
          <w:szCs w:val="20"/>
          <w:color w:val="auto"/>
        </w:rPr>
        <w:t>been Debarred/Excluded, or is the subject of any proceedings that could result in such Person being Debarred/Excluded.</w:t>
      </w:r>
    </w:p>
    <w:p>
      <w:pPr>
        <w:spacing w:after="0" w:line="171"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b w:val="1"/>
          <w:bCs w:val="1"/>
          <w:color w:val="auto"/>
        </w:rPr>
        <w:t>NO OTHER WARRANTIES</w:t>
      </w:r>
      <w:r>
        <w:rPr>
          <w:rFonts w:ascii="Arial" w:cs="Arial" w:eastAsia="Arial" w:hAnsi="Arial"/>
          <w:sz w:val="19"/>
          <w:szCs w:val="19"/>
          <w:color w:val="auto"/>
        </w:rPr>
        <w:t>. EXCEPT AS EXPRESSLY STATED IN THIS Article 12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AND COVENANTS), (A) NO REPRESENTATION, CONDITION, OR WARRANTY WHATSOEVER IS MADE OR GIVEN BY OR ON BEHALF OF BLUEPRINT OR ZAI; AND (B) ALL OTHER CONDITIONS AND WARRANTIES WHETHER ARISING BY OPERATION OF LAW OR OTHERWISE ARE EXPRESSLY EXCLUDED, INCLUDING ANY CONDITIONS AND WARRANTIES OF MERCHANTABILITY, FITNESS FOR A PARTICULAR PURPOSE, TITLE, OR NON-INFRINGEMENT. ANY INFORMATION PROVIDED BY BLUEPRINT OR ITS AFFILIATES IS MADE AVAILABLE ON AN “AS IS” BASIS WITHOUT WARRANTY WITH RESPECT TO COMPLETENESS, COMPLIANCE WITH REGULATORY STANDARDS OR REGULATIONS, OR FITNESS FOR A PARTICULAR PURPOSE OR ANY OTHER KIND OF WARRANTY WHETHER EXPRESS OR IMPLIED.</w:t>
      </w:r>
    </w:p>
    <w:p>
      <w:pPr>
        <w:spacing w:after="0" w:line="180"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9"/>
          <w:szCs w:val="19"/>
          <w:b w:val="1"/>
          <w:bCs w:val="1"/>
          <w:color w:val="auto"/>
        </w:rPr>
        <w:t>Time for Claims</w:t>
      </w:r>
      <w:r>
        <w:rPr>
          <w:rFonts w:ascii="Arial" w:cs="Arial" w:eastAsia="Arial" w:hAnsi="Arial"/>
          <w:sz w:val="19"/>
          <w:szCs w:val="19"/>
          <w:color w:val="auto"/>
        </w:rPr>
        <w:t>. Except in the case of any fraud or intentional misrepresentation by a Party: (a) the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warranties of the Parties contained in Section 12.1 (Representations and Warranties of Each Party), Section 12.2 (Representations and Warranties of Blueprint), and Section 12.3 (Representations and Warranties of Zai) will survive, with respect to direct claims made by one Party against the other Party, until the date that is [****] and (b) no claim may be made or suit instituted seeking indemnification pursuant to Article 13 (Indemnification) for any breach of, or inaccuracy in, any representation or warranty contained in Section 12.1 (Representations and Warranties of Each Party), Section 12.2 (Representations and Warranties of Blueprint), or Section 12.3 (Representations and Warranties of Zai) unless a written notice is provided to the Indemnifying Party at any time prior to the date that is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1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By Zai</w:t>
      </w:r>
      <w:r>
        <w:rPr>
          <w:rFonts w:ascii="Arial" w:cs="Arial" w:eastAsia="Arial" w:hAnsi="Arial"/>
          <w:sz w:val="19"/>
          <w:szCs w:val="19"/>
          <w:color w:val="auto"/>
        </w:rPr>
        <w:t>. Zai will indemnify, defend, and hold harmless Blueprint and its Affiliates, and their respective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employees, successors, heirs and assigns, and agents (individually and collectively, the “</w:t>
      </w:r>
      <w:r>
        <w:rPr>
          <w:rFonts w:ascii="Arial" w:cs="Arial" w:eastAsia="Arial" w:hAnsi="Arial"/>
          <w:sz w:val="19"/>
          <w:szCs w:val="19"/>
          <w:b w:val="1"/>
          <w:bCs w:val="1"/>
          <w:color w:val="auto"/>
        </w:rPr>
        <w:t>Blueprint</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from and against all Losses incurred in connection with any Third Party Claims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from or relating to (a) the Exploitation of the Blueprint Compounds or the Licensed Products by or on behalf of Zai or any of its Affiliates, Sublicensees, or Subcontractors, including product liability claims arising from such Exploitation, (b) Zai’s actions (or omissions) in the performance of its obligations with respect to Regulatory Submissions or interactions with Regulatory Authorities, in each case, as the authorized regulatory agent of record for Blueprint in the PRC, (c) the negligence or willful misconduct of Zai or any of its Affiliates, Sublicensees, or Subcontractors, (d) Zai’s or its Affiliate’s, Sublicensee’s, or Subcontractor’s breach of any of its representations, warranties, covenants, or obligations set forth in this Agreement, (e) the failure of Zai or any of its Affiliates, Sublicensees, or Subcontractors to abide by any Applicable Law, or (f) any claim or demand from any employee or contractor of Zai or its Affiliate who is an inventor of any Assigned Collaboration Technology or Joint Collaboration Technology with respect to the ownership thereof, in each case of clauses (a) through (f) above, except to the extent such Third Party Claims arise out of a Blueprint Indemnitee’s negligence or willful misconduct, breach of its representations, warranties, covenants, or obligations set forth in this Agreement, or failure to abide by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07" w:name="page308"/>
    <w:bookmarkEnd w:id="307"/>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b w:val="1"/>
          <w:bCs w:val="1"/>
          <w:color w:val="auto"/>
        </w:rPr>
        <w:t>By Blueprint</w:t>
      </w:r>
      <w:r>
        <w:rPr>
          <w:rFonts w:ascii="Arial" w:cs="Arial" w:eastAsia="Arial" w:hAnsi="Arial"/>
          <w:sz w:val="18"/>
          <w:szCs w:val="18"/>
          <w:color w:val="auto"/>
        </w:rPr>
        <w:t>. Blueprint will indemnify, defend, and hold harmless Zai, its Affiliates, and their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successors, heirs and assigns, and agents (individually and collectively, the “</w:t>
      </w:r>
      <w:r>
        <w:rPr>
          <w:rFonts w:ascii="Arial" w:cs="Arial" w:eastAsia="Arial" w:hAnsi="Arial"/>
          <w:sz w:val="18"/>
          <w:szCs w:val="18"/>
          <w:b w:val="1"/>
          <w:bCs w:val="1"/>
          <w:color w:val="auto"/>
        </w:rPr>
        <w:t>Zai Indemnitee(s)</w:t>
      </w:r>
      <w:r>
        <w:rPr>
          <w:rFonts w:ascii="Arial" w:cs="Arial" w:eastAsia="Arial" w:hAnsi="Arial"/>
          <w:sz w:val="18"/>
          <w:szCs w:val="18"/>
          <w:color w:val="auto"/>
        </w:rPr>
        <w:t>”) from and against all Losses incurred in connection with any Third Party Claims to the extent from or relating to (a) the Exploitation of the Blueprint Compounds or the Licensed Products, by or on behalf of Blueprint or any of its Affiliates, licensees (not including Zai or its Affiliates, Sublicensees, or its Subcontractors), Sublicensees, or Subcontractors, including product liability claims arising from such Exploitation, and including such Exploitation prior to the Effective Date or after the effective date of termination of this Agreement (including when acting as an exclusive distributor pursuant to Section 15.3.2 (Appointment as Exclusive Distributor), if applicable), (b) the negligence or willful misconduct of Blueprint or any of its Affiliates, licensees (not including Zai or its Affiliates, Sublicensees, or its Subcontractors), Sublicensees, or Subcontractors, (c) Blueprint’s or its Affiliate’s, licensee’s (not including Zai or its Affiliates, Sublicensees, or its Subcontractors), Sublicensee’s, or Subcontractor’s breach of any of its representations, warranties, covenants, or obligations set forth in this Agreement, (d) the failure of Blueprint or any of its Affiliates, licensees (not including Zai or its Affiliates, Sublicensees, or Subcontractors), Sublicensees, or Subcontractors to abide by any Applicable Law, or (e) any claim or demand from any employee or contractor of Blueprint or its Affiliate who is an inventor of any Joint Collaboration Technology with respect to the ownership thereof, in each case of clauses (a) through (e) above, except to the extent such Third Party Claims arise out of any of a Zai Indemnitee’s negligence or willful misconduct, breach of its representations, warranties, covenants, or obligations set forth in this Agreement or failure to abide by any Applicable Law.</w:t>
      </w:r>
    </w:p>
    <w:p>
      <w:pPr>
        <w:spacing w:after="0" w:line="171"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8"/>
          <w:szCs w:val="18"/>
          <w:b w:val="1"/>
          <w:bCs w:val="1"/>
          <w:color w:val="auto"/>
        </w:rPr>
        <w:t>Indemnification Procedure</w:t>
      </w:r>
      <w:r>
        <w:rPr>
          <w:rFonts w:ascii="Arial" w:cs="Arial" w:eastAsia="Arial" w:hAnsi="Arial"/>
          <w:sz w:val="18"/>
          <w:szCs w:val="18"/>
          <w:color w:val="auto"/>
        </w:rPr>
        <w:t>. If either Party is seeking indemnification under Section 13.1 (By Zai) or Section 13.2</w:t>
      </w:r>
      <w:r>
        <w:rPr>
          <w:rFonts w:ascii="Arial" w:cs="Arial" w:eastAsia="Arial" w:hAnsi="Arial"/>
          <w:sz w:val="18"/>
          <w:szCs w:val="18"/>
          <w:b w:val="1"/>
          <w:bCs w:val="1"/>
          <w:color w:val="auto"/>
        </w:rPr>
        <w:t xml:space="preserve"> </w:t>
      </w:r>
      <w:r>
        <w:rPr>
          <w:rFonts w:ascii="Arial" w:cs="Arial" w:eastAsia="Arial" w:hAnsi="Arial"/>
          <w:sz w:val="18"/>
          <w:szCs w:val="18"/>
          <w:color w:val="auto"/>
        </w:rPr>
        <w:t>(By Blueprint) (the “</w:t>
      </w:r>
      <w:r>
        <w:rPr>
          <w:rFonts w:ascii="Arial" w:cs="Arial" w:eastAsia="Arial" w:hAnsi="Arial"/>
          <w:sz w:val="18"/>
          <w:szCs w:val="18"/>
          <w:b w:val="1"/>
          <w:bCs w:val="1"/>
          <w:color w:val="auto"/>
        </w:rPr>
        <w:t>Indemnified Party</w:t>
      </w:r>
      <w:r>
        <w:rPr>
          <w:rFonts w:ascii="Arial" w:cs="Arial" w:eastAsia="Arial" w:hAnsi="Arial"/>
          <w:sz w:val="18"/>
          <w:szCs w:val="18"/>
          <w:color w:val="auto"/>
        </w:rPr>
        <w:t>”), then it will inform the other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of the Third Party Claim giving rise to such indemnification obligations within [****] after receiving written notice of the Third Party Claim (it being understood and agreed, however, that the failure or delay by an Indemnified Party to give such notice of a Third Party Claim will not affect the Indemnifying Party’s indemnification obligations hereunder except to the extent the Indemnifying Party will have been actually and materially prejudiced as a result of such failure or delay to give notice). The Indemnifying Party will have the right to assume the defense of any such Third Party Claim for which it is obligated to indemnify the Indemnified Party. The Indemnified Party will cooperate with the Indemnifying Party and the Indemnifying Party’s insurer as the Indemnifying Party may reasonably request, and at the Indemnifying Party’s cost and expense. The Indemnified Party will have the right to participate, at its own expense and with counsel of its choice, in the defense of any Third Party that has been assumed by the Indemnifying Party. Neither Party will have the obligation to indemnify the other Party in connection with any settlement made without the Indemnifying Party’s written consent, which consent will not be unreasonably withheld, conditioned, or delayed. The Indemnifying Party will not admit liability of the Indemnified Party without the Indemnified Party’s prior written consent, which consent will not be unreasonably withheld, conditioned, or delayed. If the Parties cannot agree as to the application of Section 13.1 (By Zai) or Section 13.2 (By Blueprint) as to any Third Party Claim, pending resolution of the Dispute pursuant to Article 16 (Dispute Resolution), the Parties may conduct separate defenses of such Third Party Claims, with each Party retaining the right to claim indemnification from the other Party in accordance with Section 13.1 (By Zai) or Section 13.2 (By Blueprint), as applicable, upon resolution of the underlying Third Party Claim.</w:t>
      </w:r>
    </w:p>
    <w:p>
      <w:pPr>
        <w:spacing w:after="0" w:line="166"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13.4</w:t>
        <w:tab/>
        <w:t>Insurance</w:t>
      </w:r>
      <w:r>
        <w:rPr>
          <w:rFonts w:ascii="Arial" w:cs="Arial" w:eastAsia="Arial" w:hAnsi="Arial"/>
          <w:sz w:val="20"/>
          <w:szCs w:val="20"/>
          <w:color w:val="auto"/>
        </w:rPr>
        <w:t>. Each Party will procure and maintain during the Term of this Agreement [****], commercial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insurance from a minimum of “A-” AM Bests rated insurance company or insurer reasonably acceptable to Blueprint, including contractual liability and product liability or clinical trials, with coverage in an amount consistent with sound business practice and industry standards, and reasonable in light of the risks involved in its activities hereunder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308" w:name="page309"/>
    <w:bookmarkEnd w:id="308"/>
    <w:p>
      <w:pPr>
        <w:jc w:val="both"/>
        <w:ind w:left="660"/>
        <w:spacing w:after="0" w:line="241" w:lineRule="auto"/>
        <w:rPr>
          <w:sz w:val="20"/>
          <w:szCs w:val="20"/>
          <w:color w:val="auto"/>
        </w:rPr>
      </w:pPr>
      <w:r>
        <w:rPr>
          <w:rFonts w:ascii="Arial" w:cs="Arial" w:eastAsia="Arial" w:hAnsi="Arial"/>
          <w:sz w:val="20"/>
          <w:szCs w:val="20"/>
          <w:color w:val="auto"/>
        </w:rPr>
        <w:t>obligations under this Agreement. Such policies will name the other Party and its Affiliates as additional insureds and provide a waiver of subrogation in favor of the other Party and its Affiliates. Such insurance policies will be primary and non-contributing with respect to any other similar insurance policies available to the other Party or its Affiliates. Any deductibles for such insurance will be assumed by insured Party. Each Party will provide the other Party with evidence of such insurance upon the other Party’s request and prior to expiration of any one coverage. Each Party will provide the other Party with written notice at least [****] prior to the cancellation or non-renewal of, or material adverse changes in, such insurance except for cancellation due to non-payment of premiums, in which case notice will be provided at least [****] prior to such cancellation. Such insurance will not be construed to create a limit of the insured Party’s liability with respect to its indemnification obligations under this Article 13 (Indemnification).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6"/>
          <w:szCs w:val="16"/>
          <w:b w:val="1"/>
          <w:bCs w:val="1"/>
          <w:color w:val="auto"/>
        </w:rPr>
        <w:t>Inventions</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48"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b w:val="1"/>
          <w:bCs w:val="1"/>
          <w:color w:val="auto"/>
        </w:rPr>
        <w:t>Ownership</w:t>
      </w:r>
      <w:r>
        <w:rPr>
          <w:rFonts w:ascii="Arial" w:cs="Arial" w:eastAsia="Arial" w:hAnsi="Arial"/>
          <w:sz w:val="20"/>
          <w:szCs w:val="20"/>
          <w:color w:val="auto"/>
        </w:rPr>
        <w:t>. As between the Parties, (a) Blueprint will solely own all Blueprint Technology, including Assigned Collaboration Technology, and Blueprint Manufacturing Technology, (b) Zai will solely own all Zai Technology, and (c) the Parties will jointly own all Blueprint/Zai Combination Technology and other Joint Collaboration Technology.</w:t>
      </w:r>
    </w:p>
    <w:p>
      <w:pPr>
        <w:spacing w:after="0" w:line="183" w:lineRule="exact"/>
        <w:rPr>
          <w:sz w:val="20"/>
          <w:szCs w:val="20"/>
          <w:color w:val="auto"/>
        </w:rPr>
      </w:pPr>
    </w:p>
    <w:p>
      <w:pPr>
        <w:jc w:val="both"/>
        <w:ind w:left="1380" w:hanging="647"/>
        <w:spacing w:after="0" w:line="245"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b w:val="1"/>
          <w:bCs w:val="1"/>
          <w:color w:val="auto"/>
        </w:rPr>
        <w:t>Disclosure</w:t>
      </w:r>
      <w:r>
        <w:rPr>
          <w:rFonts w:ascii="Arial" w:cs="Arial" w:eastAsia="Arial" w:hAnsi="Arial"/>
          <w:sz w:val="20"/>
          <w:szCs w:val="20"/>
          <w:color w:val="auto"/>
        </w:rPr>
        <w:t>. Each Party will promptly disclose to the other Party all Inventions within the Collaboration Know-How that it develops or invents, whether solely or jointly with others (in any event, prior to the filing of any patent application with respect to such Inventions), including all invention disclosures or other similar documents submitted to such Party by its or its Affiliates’ employees, agents, or independent contractors relating thereto. Each Party will also promptly respond to reasonable requests from the other Party for additional information relating thereto.</w:t>
      </w:r>
    </w:p>
    <w:p>
      <w:pPr>
        <w:spacing w:after="0" w:line="184" w:lineRule="exact"/>
        <w:rPr>
          <w:sz w:val="20"/>
          <w:szCs w:val="20"/>
          <w:color w:val="auto"/>
        </w:rPr>
      </w:pPr>
    </w:p>
    <w:p>
      <w:pPr>
        <w:jc w:val="both"/>
        <w:ind w:left="1380" w:hanging="647"/>
        <w:spacing w:after="0" w:line="267" w:lineRule="auto"/>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b w:val="1"/>
          <w:bCs w:val="1"/>
          <w:color w:val="auto"/>
        </w:rPr>
        <w:t>Inventorship</w:t>
      </w:r>
      <w:r>
        <w:rPr>
          <w:rFonts w:ascii="Arial" w:cs="Arial" w:eastAsia="Arial" w:hAnsi="Arial"/>
          <w:sz w:val="20"/>
          <w:szCs w:val="20"/>
          <w:color w:val="auto"/>
        </w:rPr>
        <w:t>. For purposes of this Agreement, all determinations of inventorship will be in accordance with U.S. patent law.</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b w:val="1"/>
          <w:bCs w:val="1"/>
          <w:color w:val="auto"/>
        </w:rPr>
        <w:t>Assignment; Ownership of Joint Collaboration Technology</w:t>
      </w:r>
      <w:r>
        <w:rPr>
          <w:rFonts w:ascii="Arial" w:cs="Arial" w:eastAsia="Arial" w:hAnsi="Arial"/>
          <w:sz w:val="20"/>
          <w:szCs w:val="20"/>
          <w:color w:val="auto"/>
        </w:rPr>
        <w:t>.</w:t>
      </w:r>
    </w:p>
    <w:p>
      <w:pPr>
        <w:spacing w:after="0" w:line="216" w:lineRule="exact"/>
        <w:rPr>
          <w:sz w:val="20"/>
          <w:szCs w:val="20"/>
          <w:color w:val="auto"/>
        </w:rPr>
      </w:pPr>
    </w:p>
    <w:p>
      <w:pPr>
        <w:jc w:val="both"/>
        <w:ind w:left="1880" w:hanging="495"/>
        <w:spacing w:after="0" w:line="270" w:lineRule="auto"/>
        <w:tabs>
          <w:tab w:leader="none" w:pos="188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Assigned Collaboration Technology</w:t>
      </w:r>
      <w:r>
        <w:rPr>
          <w:rFonts w:ascii="Arial" w:cs="Arial" w:eastAsia="Arial" w:hAnsi="Arial"/>
          <w:sz w:val="18"/>
          <w:szCs w:val="18"/>
          <w:color w:val="auto"/>
        </w:rPr>
        <w:t>. Zai will and hereby does assign to Blueprint all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interests in and to all Assigned Collaboration Technology, and Blueprint hereby accepts such assignment. Zai will take (and cause its Affiliates, Sublicensees, Subcontractors, and their respective employees, agents, and contractors to take) such further actions reasonably requested by Blueprint to evidence such assignment and to assist Blueprint in obtaining patent and other intellectual property rights protection for Inventions within the Assigned Collaboration Know-How including executing further assignments, consents, releases, and other commercially reasonable documentation and providing good faith testimony by affidavit, declaration, in-person, or other proper means in support of any effort by Blueprint to establish, perfect, defend, or enforce its rights in any Assigned Collaboration Technology through prosecution of governmental filings, regulatory proceedings, litigation, and other means, including through the filing, prosecution, maintenance, and enforcement of the Assigned Collaboration Technology. Zai will obligate its Affiliates, Sublicensees, and Subcontractors to assign all Assigned Collaboration Technology to Zai (or directly to Blueprint)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9" w:name="page310"/>
    <w:bookmarkEnd w:id="309"/>
    <w:p>
      <w:pPr>
        <w:jc w:val="both"/>
        <w:ind w:left="1420"/>
        <w:spacing w:after="0" w:line="272" w:lineRule="auto"/>
        <w:rPr>
          <w:sz w:val="20"/>
          <w:szCs w:val="20"/>
          <w:color w:val="auto"/>
        </w:rPr>
      </w:pPr>
      <w:r>
        <w:rPr>
          <w:rFonts w:ascii="Arial" w:cs="Arial" w:eastAsia="Arial" w:hAnsi="Arial"/>
          <w:sz w:val="18"/>
          <w:szCs w:val="18"/>
          <w:color w:val="auto"/>
        </w:rPr>
        <w:t>that Zai can comply with its obligations under this Section 14.1 (Inventions), and Zai will promptly obtain such assignment. Without limitation, Zai will cooperate with Blueprint if Blueprint applies for U.S. or foreign patent protection for such Assigned Collaboration Technology and will obtain the cooperation of the individual inventors of any such Assigned Collaboration Technology. If Zai is unable to assign any Assigned Collaboration Technology, then Zai hereby grants and agrees to grant to Blueprint a royalty-free, fully paid-up, exclusive (even as to Zai, subject to the terms of this Agreement, including the licenses granted to Zai pursuant to Section 2.1 (License Grants to Zai)), perpetual, irrevocable license (with the right to grant sublicenses through multiple tiers) under such Assigned Collaboration Technology for any and all purposes.</w:t>
      </w:r>
    </w:p>
    <w:p>
      <w:pPr>
        <w:spacing w:after="0" w:line="164" w:lineRule="exact"/>
        <w:rPr>
          <w:sz w:val="20"/>
          <w:szCs w:val="20"/>
          <w:color w:val="auto"/>
        </w:rPr>
      </w:pPr>
    </w:p>
    <w:p>
      <w:pPr>
        <w:ind w:left="1420" w:hanging="495"/>
        <w:spacing w:after="0" w:line="268" w:lineRule="auto"/>
        <w:tabs>
          <w:tab w:leader="none" w:pos="142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Ownership of Joint Collaboration Technology</w:t>
      </w:r>
      <w:r>
        <w:rPr>
          <w:rFonts w:ascii="Arial" w:cs="Arial" w:eastAsia="Arial" w:hAnsi="Arial"/>
          <w:sz w:val="18"/>
          <w:szCs w:val="18"/>
          <w:color w:val="auto"/>
        </w:rPr>
        <w:t>. The Parties will jointly own all Blueprint/Zai</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Technology and all other Joint Collaboration Technology, [****] (subject to the terms of this Agreement, including the licenses granted under Article 2 (Licenses) and the rights retained under such licenses pursuant to Section 2.4 (Retained Rights)). For Blueprint/Zai Combination Technology solely invented by one Party, the inventing Party will and hereby does assign to the other Party a joint interest in and to all Blueprint/Zai Combination Technology, and the other Party hereby accepts such assignment. Each Party will take (and cause its Affiliates and Sublicensees, and their respective employees, agents, and contractors to take) such further actions reasonably requested by the other Party to evidence such assignment and to assist the Parties in obtaining jointly-owned Patent Rights and other intellectual property rights protection for Inventions within the Blueprint/Zai Combination Know-How including executing further assignments, consents, releases, and other commercially reasonable documentation and providing good faith testimony by affidavit, declaration, in-person, or other proper means in support of any effort by the Parties to establish, perfect, defend, or enforce their rights in any Blueprint/Zai Combination Technology through prosecution of governmental filings, regulatory proceedings, litigation, and other means, including through the filing, prosecution, maintenance, and enforcement of the Blueprint/Zai Combination Technology. Each Party will obligate its Affiliates, Sublicensees, and Third Party contractors (including all Subcontractors) to assign all Blueprint/Zai Combination Technology to such Party so that each Party can comply with its obligations under this Section 14.1 (Inventions), and each Party will promptly obtain such assignment. Without limitation, each Party will cooperate with the other Party if the Parties determine to apply for U.S. or foreign patent protection for such Blueprint/Zai Combination Technology in accordance with this Agreement and will obtain the cooperation of the individual inventors of any such Blueprint/Zai Combination Technology. If a solely inventing Party is unable to assign a joint interest in any Blueprint/Zai Combination Technology, then such Party hereby grants and agrees to grant to the other Party a royalty-free, fully paid-up, non-exclusive (subject to the terms of this Agreement, including the licenses granted to Zai pursuant to Section 2.1 (License Grants to Zai)), perpetual, irrevocable license (with the right to grant sublicenses through multiple tiers) under such Blueprint/Zai Combination Technology for any and all purposes.</w:t>
      </w:r>
    </w:p>
    <w:p>
      <w:pPr>
        <w:spacing w:after="0" w:line="170" w:lineRule="exact"/>
        <w:rPr>
          <w:rFonts w:ascii="Arial" w:cs="Arial" w:eastAsia="Arial" w:hAnsi="Arial"/>
          <w:sz w:val="18"/>
          <w:szCs w:val="18"/>
          <w:color w:val="auto"/>
        </w:rPr>
      </w:pPr>
    </w:p>
    <w:p>
      <w:pPr>
        <w:jc w:val="both"/>
        <w:ind w:left="1420" w:hanging="495"/>
        <w:spacing w:after="0" w:line="248" w:lineRule="auto"/>
        <w:tabs>
          <w:tab w:leader="none" w:pos="1420"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Practice Under and other Use of Blueprint/Zai Combination Technology and other Joint Collaboration Technology</w:t>
      </w:r>
      <w:r>
        <w:rPr>
          <w:rFonts w:ascii="Arial" w:cs="Arial" w:eastAsia="Arial" w:hAnsi="Arial"/>
          <w:sz w:val="20"/>
          <w:szCs w:val="20"/>
          <w:color w:val="auto"/>
        </w:rPr>
        <w:t>. Subject to the rights granted under and the restrictions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Section 2.8.1 (Exclusivity Covenant)), neither Party will have any obligation to account to the other Party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310" w:name="page311"/>
    <w:bookmarkEnd w:id="310"/>
    <w:p>
      <w:pPr>
        <w:jc w:val="both"/>
        <w:ind w:left="1420"/>
        <w:spacing w:after="0" w:line="276" w:lineRule="auto"/>
        <w:rPr>
          <w:sz w:val="20"/>
          <w:szCs w:val="20"/>
          <w:color w:val="auto"/>
        </w:rPr>
      </w:pPr>
      <w:r>
        <w:rPr>
          <w:rFonts w:ascii="Arial" w:cs="Arial" w:eastAsia="Arial" w:hAnsi="Arial"/>
          <w:sz w:val="18"/>
          <w:szCs w:val="18"/>
          <w:color w:val="auto"/>
        </w:rPr>
        <w:t>profits, or to obtain any approval of the other Party to license, assign, or otherwise exploit any Blueprint/Zai Combination Technology or other Joint Collaboration Technology by reason of joint ownership thereof, and each Party hereby waives any right it may have under the Applicable Law of any jurisdiction to require any such approval or accounting. To the extent any further consent is required to enable a Party to so license or exploit its interest in the Blueprint/Zai Combination Technology or other Joint Collaboration Technology, the other Party hereby grants such consent.</w:t>
      </w:r>
    </w:p>
    <w:p>
      <w:pPr>
        <w:spacing w:after="0" w:line="159" w:lineRule="exact"/>
        <w:rPr>
          <w:sz w:val="20"/>
          <w:szCs w:val="20"/>
          <w:color w:val="auto"/>
        </w:rPr>
      </w:pPr>
    </w:p>
    <w:p>
      <w:pPr>
        <w:jc w:val="both"/>
        <w:ind w:left="1420" w:hanging="495"/>
        <w:spacing w:after="0" w:line="268"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Employee Assignment</w:t>
      </w:r>
      <w:r>
        <w:rPr>
          <w:rFonts w:ascii="Arial" w:cs="Arial" w:eastAsia="Arial" w:hAnsi="Arial"/>
          <w:sz w:val="18"/>
          <w:szCs w:val="18"/>
          <w:color w:val="auto"/>
        </w:rPr>
        <w:t>. Each Party and its respective Affiliates performing activities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enter into with each of their respective employees legally binding and sufficient agreements or employment policies providing for the payment by such Party or its Affiliate of any reward or remuneration required under Applicable Law in the applicable country or region in consideration for the development of Inventions by such employees. Without limiting the generality of the foregoing, each Party and its respective Affiliates will, and will cause its applicable licensees and Sublicensees, as applicable, to, enter into an agreement or employment policy with each of its employees performing activities under this Agreement that (a) compels prompt disclosure to such Party (or its licensee or Sublicensee, as applicable) of all Collaboration Technology developed, invented, or filed by such employee during any performance under this Agreement; (b) automatically assigns to such Party (or its licensee or Sublicensee, as applicable) all rights, title, and interests in and to all Collaboration Technology, and requires each employee to execute all documents and take such other actions as may be necessary to effectuate such assignment; (c) includes an invention and patent reward and remuneration policy providing for the payment by such Party of any reward or remuneration required under Applicable Law in such region in consideration for the development of Inventions by such employees that is legally sufficient under Applicable Law; and (d) solely to the extent applicable, includes a waiver of pre-emption rights under any Applicable Law in such region, including in the case of an employee in the PRC, Article 326 of the Contract Law of the PRC to the effect that the employee will confirm that he/she will not have any right or claim with respect to any Collaboration Technology derived from his/her work, except for the reward and remuneration he/she is entitled to under the invention and patent reward and remuneration policy. [****]</w:t>
      </w:r>
    </w:p>
    <w:p>
      <w:pPr>
        <w:spacing w:after="0" w:line="181" w:lineRule="exact"/>
        <w:rPr>
          <w:rFonts w:ascii="Arial" w:cs="Arial" w:eastAsia="Arial" w:hAnsi="Arial"/>
          <w:sz w:val="18"/>
          <w:szCs w:val="18"/>
          <w:color w:val="auto"/>
        </w:rPr>
      </w:pPr>
    </w:p>
    <w:p>
      <w:pPr>
        <w:ind w:left="1420" w:hanging="495"/>
        <w:spacing w:after="0"/>
        <w:tabs>
          <w:tab w:leader="none" w:pos="1420" w:val="left"/>
        </w:tabs>
        <w:numPr>
          <w:ilvl w:val="0"/>
          <w:numId w:val="179"/>
        </w:numPr>
        <w:rPr>
          <w:rFonts w:ascii="Arial" w:cs="Arial" w:eastAsia="Arial" w:hAnsi="Arial"/>
          <w:sz w:val="20"/>
          <w:szCs w:val="20"/>
          <w:color w:val="auto"/>
        </w:rPr>
      </w:pPr>
      <w:r>
        <w:rPr>
          <w:rFonts w:ascii="Arial" w:cs="Arial" w:eastAsia="Arial" w:hAnsi="Arial"/>
          <w:sz w:val="20"/>
          <w:szCs w:val="20"/>
          <w:b w:val="1"/>
          <w:bCs w:val="1"/>
          <w:color w:val="auto"/>
        </w:rPr>
        <w:t>Payments in Consideration of Assignments of Intellectual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140" w:hanging="648"/>
        <w:spacing w:after="0" w:line="253" w:lineRule="auto"/>
        <w:tabs>
          <w:tab w:leader="none" w:pos="2140" w:val="left"/>
        </w:tabs>
        <w:numPr>
          <w:ilvl w:val="1"/>
          <w:numId w:val="179"/>
        </w:numPr>
        <w:rPr>
          <w:rFonts w:ascii="Arial" w:cs="Arial" w:eastAsia="Arial" w:hAnsi="Arial"/>
          <w:sz w:val="21"/>
          <w:szCs w:val="21"/>
          <w:color w:val="auto"/>
        </w:rPr>
      </w:pPr>
      <w:r>
        <w:rPr>
          <w:rFonts w:ascii="Arial" w:cs="Arial" w:eastAsia="Arial" w:hAnsi="Arial"/>
          <w:sz w:val="19"/>
          <w:szCs w:val="19"/>
          <w:b w:val="1"/>
          <w:bCs w:val="1"/>
          <w:color w:val="auto"/>
        </w:rPr>
        <w:t>Payment by Blueprint</w:t>
      </w:r>
      <w:r>
        <w:rPr>
          <w:rFonts w:ascii="Arial" w:cs="Arial" w:eastAsia="Arial" w:hAnsi="Arial"/>
          <w:sz w:val="19"/>
          <w:szCs w:val="19"/>
          <w:color w:val="auto"/>
        </w:rPr>
        <w:t>. In consideration of the assignment by Zai to Blueprint of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Assigned Collaboration Technology and a joint ownership interest in all Blueprint/Zai Combination Technology, Blueprint will pay to Zai a one-time payment of </w:t>
      </w:r>
      <w:r>
        <w:rPr>
          <w:rFonts w:ascii="Arial" w:cs="Arial" w:eastAsia="Arial" w:hAnsi="Arial"/>
          <w:sz w:val="20"/>
          <w:szCs w:val="20"/>
          <w:color w:val="auto"/>
        </w:rPr>
        <w:t>[****]</w:t>
      </w:r>
      <w:r>
        <w:rPr>
          <w:rFonts w:ascii="Arial" w:cs="Arial" w:eastAsia="Arial" w:hAnsi="Arial"/>
          <w:sz w:val="19"/>
          <w:szCs w:val="19"/>
          <w:color w:val="auto"/>
        </w:rPr>
        <w:t>, which payment will be payment in-full for the assignment of all Assigned Collaboration Technology and Blueprint/Zai Combination Technology hereunder regardless of how many patent applications are filed or patents are issued Covering the Assigned Collaboration Know-How or Blueprint/Zai Combination Know-How. Blueprint will notify Zai of Blueprint’s filing of the first patent application claiming any Assigned Collaboration Know-How or Blueprint/Zai Combination Know-How with respect to which an employee of Zai is an inventor. Promptly thereafter, Zai will invoice Blueprint for the foregoing amount, and Blueprint will pay the undisputed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311" w:name="page312"/>
    <w:bookmarkEnd w:id="311"/>
    <w:p>
      <w:pPr>
        <w:ind w:left="2600" w:right="20"/>
        <w:spacing w:after="0" w:line="274" w:lineRule="auto"/>
        <w:rPr>
          <w:sz w:val="20"/>
          <w:szCs w:val="20"/>
          <w:color w:val="auto"/>
        </w:rPr>
      </w:pPr>
      <w:r>
        <w:rPr>
          <w:rFonts w:ascii="Arial" w:cs="Arial" w:eastAsia="Arial" w:hAnsi="Arial"/>
          <w:sz w:val="20"/>
          <w:szCs w:val="20"/>
          <w:color w:val="auto"/>
        </w:rPr>
        <w:t xml:space="preserve">invoiced amounts within </w:t>
      </w:r>
      <w:r>
        <w:rPr>
          <w:rFonts w:ascii="Arial" w:cs="Arial" w:eastAsia="Arial" w:hAnsi="Arial"/>
          <w:sz w:val="21"/>
          <w:szCs w:val="21"/>
          <w:color w:val="auto"/>
        </w:rPr>
        <w:t>[****]</w:t>
      </w:r>
      <w:r>
        <w:rPr>
          <w:rFonts w:ascii="Arial" w:cs="Arial" w:eastAsia="Arial" w:hAnsi="Arial"/>
          <w:sz w:val="20"/>
          <w:szCs w:val="20"/>
          <w:color w:val="auto"/>
        </w:rPr>
        <w:t xml:space="preserve"> after the date of such invoice. The Parties expressly acknowledge that the foregoing amount is </w:t>
      </w:r>
      <w:r>
        <w:rPr>
          <w:rFonts w:ascii="Arial" w:cs="Arial" w:eastAsia="Arial" w:hAnsi="Arial"/>
          <w:sz w:val="21"/>
          <w:szCs w:val="21"/>
          <w:color w:val="auto"/>
        </w:rPr>
        <w:t>[****]</w:t>
      </w:r>
      <w:r>
        <w:rPr>
          <w:rFonts w:ascii="Arial" w:cs="Arial" w:eastAsia="Arial" w:hAnsi="Arial"/>
          <w:sz w:val="20"/>
          <w:szCs w:val="20"/>
          <w:color w:val="auto"/>
        </w:rPr>
        <w:t xml:space="preserve"> and is </w:t>
      </w:r>
      <w:r>
        <w:rPr>
          <w:rFonts w:ascii="Arial" w:cs="Arial" w:eastAsia="Arial" w:hAnsi="Arial"/>
          <w:sz w:val="21"/>
          <w:szCs w:val="21"/>
          <w:color w:val="auto"/>
        </w:rPr>
        <w:t>[****]</w:t>
      </w:r>
      <w:r>
        <w:rPr>
          <w:rFonts w:ascii="Arial" w:cs="Arial" w:eastAsia="Arial" w:hAnsi="Arial"/>
          <w:sz w:val="20"/>
          <w:szCs w:val="20"/>
          <w:color w:val="auto"/>
        </w:rPr>
        <w:t>.</w:t>
      </w:r>
    </w:p>
    <w:p>
      <w:pPr>
        <w:spacing w:after="0" w:line="149" w:lineRule="exact"/>
        <w:rPr>
          <w:sz w:val="20"/>
          <w:szCs w:val="20"/>
          <w:color w:val="auto"/>
        </w:rPr>
      </w:pPr>
    </w:p>
    <w:p>
      <w:pPr>
        <w:jc w:val="both"/>
        <w:ind w:left="2600" w:hanging="648"/>
        <w:spacing w:after="0" w:line="254" w:lineRule="auto"/>
        <w:tabs>
          <w:tab w:leader="none" w:pos="2600" w:val="left"/>
        </w:tabs>
        <w:numPr>
          <w:ilvl w:val="0"/>
          <w:numId w:val="180"/>
        </w:numPr>
        <w:rPr>
          <w:rFonts w:ascii="Arial" w:cs="Arial" w:eastAsia="Arial" w:hAnsi="Arial"/>
          <w:sz w:val="21"/>
          <w:szCs w:val="21"/>
          <w:color w:val="auto"/>
        </w:rPr>
      </w:pPr>
      <w:r>
        <w:rPr>
          <w:rFonts w:ascii="Arial" w:cs="Arial" w:eastAsia="Arial" w:hAnsi="Arial"/>
          <w:sz w:val="19"/>
          <w:szCs w:val="19"/>
          <w:b w:val="1"/>
          <w:bCs w:val="1"/>
          <w:color w:val="auto"/>
        </w:rPr>
        <w:t>Reward and Remuneration Payments to Employees</w:t>
      </w:r>
      <w:r>
        <w:rPr>
          <w:rFonts w:ascii="Arial" w:cs="Arial" w:eastAsia="Arial" w:hAnsi="Arial"/>
          <w:sz w:val="19"/>
          <w:szCs w:val="19"/>
          <w:color w:val="auto"/>
        </w:rPr>
        <w:t>. As between the Parties, Zai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solely responsible for the payment of, and Zai will pay, any rewards and remuneration for inventions and technical achievements required by Applicable Law to be paid to its employees for the development or invention of any Collaboration Technology. As between the Parties, Blueprint will be solely responsible for the payment of, and Blueprint will pay, any rewards and remuneration for inventions and technical achievements required by Applicable Law to be paid to its employees for the development or invention of any Collaboration Technology.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6"/>
          <w:szCs w:val="16"/>
          <w:b w:val="1"/>
          <w:bCs w:val="1"/>
          <w:color w:val="auto"/>
        </w:rPr>
        <w:t>Patent Prosecution</w:t>
      </w:r>
      <w:r>
        <w:rPr>
          <w:rFonts w:ascii="Arial" w:cs="Arial" w:eastAsia="Arial" w:hAnsi="Arial"/>
          <w:sz w:val="16"/>
          <w:szCs w:val="16"/>
          <w:color w:val="auto"/>
        </w:rPr>
        <w:t>.</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14.2.1  </w:t>
      </w:r>
      <w:r>
        <w:rPr>
          <w:rFonts w:ascii="Arial" w:cs="Arial" w:eastAsia="Arial" w:hAnsi="Arial"/>
          <w:sz w:val="20"/>
          <w:szCs w:val="20"/>
          <w:b w:val="1"/>
          <w:bCs w:val="1"/>
          <w:color w:val="auto"/>
        </w:rPr>
        <w:t>Blueprint Patent Rights</w:t>
      </w:r>
      <w:r>
        <w:rPr>
          <w:rFonts w:ascii="Arial" w:cs="Arial" w:eastAsia="Arial" w:hAnsi="Arial"/>
          <w:sz w:val="20"/>
          <w:szCs w:val="20"/>
          <w:color w:val="auto"/>
        </w:rPr>
        <w:t>.</w:t>
      </w:r>
    </w:p>
    <w:p>
      <w:pPr>
        <w:spacing w:after="0" w:line="216" w:lineRule="exact"/>
        <w:rPr>
          <w:sz w:val="20"/>
          <w:szCs w:val="20"/>
          <w:color w:val="auto"/>
        </w:rPr>
      </w:pPr>
    </w:p>
    <w:p>
      <w:pPr>
        <w:jc w:val="both"/>
        <w:ind w:left="1880" w:hanging="495"/>
        <w:spacing w:after="0" w:line="255" w:lineRule="auto"/>
        <w:tabs>
          <w:tab w:leader="none" w:pos="1880" w:val="left"/>
        </w:tabs>
        <w:numPr>
          <w:ilvl w:val="0"/>
          <w:numId w:val="181"/>
        </w:numPr>
        <w:rPr>
          <w:rFonts w:ascii="Arial" w:cs="Arial" w:eastAsia="Arial" w:hAnsi="Arial"/>
          <w:sz w:val="19"/>
          <w:szCs w:val="19"/>
          <w:color w:val="auto"/>
        </w:rPr>
      </w:pPr>
      <w:r>
        <w:rPr>
          <w:rFonts w:ascii="Arial" w:cs="Arial" w:eastAsia="Arial" w:hAnsi="Arial"/>
          <w:sz w:val="19"/>
          <w:szCs w:val="19"/>
          <w:b w:val="1"/>
          <w:bCs w:val="1"/>
          <w:color w:val="auto"/>
        </w:rPr>
        <w:t>Right to Prosecute</w:t>
      </w:r>
      <w:r>
        <w:rPr>
          <w:rFonts w:ascii="Arial" w:cs="Arial" w:eastAsia="Arial" w:hAnsi="Arial"/>
          <w:sz w:val="19"/>
          <w:szCs w:val="19"/>
          <w:color w:val="auto"/>
        </w:rPr>
        <w:t>. Subject to Section 14.2.3 (Joint Collaboration Technology), as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Blueprint will have the right to control the Patent Prosecution of all Blueprint Patent Rights (including any Assigned Collaboration Patent Rights) and Blueprint Manufacturing Patent Rights throughout the world. Zai will obtain any necessary assignment documents for Blueprint with respect to the Patent Prosecution of such Patent Rights, to render all signatures that will be necessary for such patent filings, and to assist Blueprint in all other reasonably ways that are necessary for the issuance of such Patent Rights as well as for the Patent Prosecution of such Patent Rights. Zai will be responsible for [****] of the reasonable out-of-pocket costs incurred by or on behalf of Blueprint after the Effective Date with respect to the Patent Prosecution of such Patent Rights in the Territory, and will reimburse Blueprint for such costs [****] [****] after receiving an invoice with reasonable supporting documentation for such costs. Blueprint will be responsible for [****] of the out-of-pocket costs incurred by or on behalf of Blueprint with respect to the Patent Prosecution of such Patent Rights outside of the Territory.</w:t>
      </w:r>
    </w:p>
    <w:p>
      <w:pPr>
        <w:spacing w:after="0" w:line="181" w:lineRule="exact"/>
        <w:rPr>
          <w:rFonts w:ascii="Arial" w:cs="Arial" w:eastAsia="Arial" w:hAnsi="Arial"/>
          <w:sz w:val="19"/>
          <w:szCs w:val="19"/>
          <w:color w:val="auto"/>
        </w:rPr>
      </w:pPr>
    </w:p>
    <w:p>
      <w:pPr>
        <w:jc w:val="both"/>
        <w:ind w:left="1880" w:hanging="495"/>
        <w:spacing w:after="0" w:line="255" w:lineRule="auto"/>
        <w:tabs>
          <w:tab w:leader="none" w:pos="1880" w:val="left"/>
        </w:tabs>
        <w:numPr>
          <w:ilvl w:val="0"/>
          <w:numId w:val="181"/>
        </w:numPr>
        <w:rPr>
          <w:rFonts w:ascii="Arial" w:cs="Arial" w:eastAsia="Arial" w:hAnsi="Arial"/>
          <w:sz w:val="19"/>
          <w:szCs w:val="19"/>
          <w:color w:val="auto"/>
        </w:rPr>
      </w:pPr>
      <w:r>
        <w:rPr>
          <w:rFonts w:ascii="Arial" w:cs="Arial" w:eastAsia="Arial" w:hAnsi="Arial"/>
          <w:sz w:val="19"/>
          <w:szCs w:val="19"/>
          <w:b w:val="1"/>
          <w:bCs w:val="1"/>
          <w:color w:val="auto"/>
        </w:rPr>
        <w:t>Review and Consult</w:t>
      </w:r>
      <w:r>
        <w:rPr>
          <w:rFonts w:ascii="Arial" w:cs="Arial" w:eastAsia="Arial" w:hAnsi="Arial"/>
          <w:sz w:val="19"/>
          <w:szCs w:val="19"/>
          <w:color w:val="auto"/>
        </w:rPr>
        <w:t>. Blueprint will consult with Zai and keep Zai reasonably informed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Patent Prosecution of the Blueprint Patent Rights and Blueprint Manufacturing Patent Rights (following the applicable Manufacturing Technology Transfer) in the Territory and will provide Zai with all substantive correspondence received from any patent authority in the Territory in connection therewith. In addition, Blueprint will provide Zai with drafts of all proposed substantive filings in the Territory and correspondence to any patent authority in the Territory in connection with the Patent Prosecution of the Blueprint Patent Rights and Blueprint Manufacturing Patent Rights (following the applicable Manufacturing Technology Transfer) in the Territory for Zai’s review and comment prior to the submission of such proposed filings and correspondence. Further, Blueprint will notify Zai of any decision to cease Patent Prosecution of any Blueprint Patent Rights or Blueprint Manufacturing Patent Rights (following the applicable Manufacturing Technology Transfer) in the Territory. Blueprint will consider Zai’s comments on Patent Prosecution [****] and will incorporate such comments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312" w:name="page313"/>
    <w:bookmarkEnd w:id="312"/>
    <w:p>
      <w:pPr>
        <w:jc w:val="both"/>
        <w:ind w:left="1420" w:hanging="495"/>
        <w:spacing w:after="0" w:line="255" w:lineRule="auto"/>
        <w:tabs>
          <w:tab w:leader="none" w:pos="1420" w:val="left"/>
        </w:tabs>
        <w:numPr>
          <w:ilvl w:val="0"/>
          <w:numId w:val="182"/>
        </w:numPr>
        <w:rPr>
          <w:rFonts w:ascii="Arial" w:cs="Arial" w:eastAsia="Arial" w:hAnsi="Arial"/>
          <w:sz w:val="19"/>
          <w:szCs w:val="19"/>
          <w:color w:val="auto"/>
        </w:rPr>
      </w:pPr>
      <w:r>
        <w:rPr>
          <w:rFonts w:ascii="Arial" w:cs="Arial" w:eastAsia="Arial" w:hAnsi="Arial"/>
          <w:sz w:val="19"/>
          <w:szCs w:val="19"/>
          <w:b w:val="1"/>
          <w:bCs w:val="1"/>
          <w:color w:val="auto"/>
        </w:rPr>
        <w:t>Abandonment</w:t>
      </w:r>
      <w:r>
        <w:rPr>
          <w:rFonts w:ascii="Arial" w:cs="Arial" w:eastAsia="Arial" w:hAnsi="Arial"/>
          <w:sz w:val="19"/>
          <w:szCs w:val="19"/>
          <w:color w:val="auto"/>
        </w:rPr>
        <w:t>. If Blueprint decides not to continue the Patent Prosecution of a particular Blueprint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Patent Right or Blueprint Manufacturing Patent Right (following the applicable Manufacturing Technology Transfer) in any region in the Territory during the Term, then it will promptly [****] provide written notice to Zai of such decision. Zai may, upon written notice to Blueprint, assume the Patent Prosecution of such Patent Right in Blueprint’s name [****]. In such event, (i) Blueprint will promptly deliver to Zai copies of all necessary files related to such Blueprint Patent Right or Blueprint Manufacturing Patent Right in such region(s) in the Territory and will take all actions and execute all documents reasonably necessary for Zai to assume such responsibility, (ii) Zai will continue to be responsible for [****] of the costs and expenses of the Patent Prosecution of such Patent Right, and (iii) Blueprint will have the rights to review and consult set forth in Section 14.2.1(b) (Review and Consult)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(including that Zai will have final decision-making authority with respect to such Patent Prosecution activities).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14.2.2  </w:t>
      </w:r>
      <w:r>
        <w:rPr>
          <w:rFonts w:ascii="Arial" w:cs="Arial" w:eastAsia="Arial" w:hAnsi="Arial"/>
          <w:sz w:val="20"/>
          <w:szCs w:val="20"/>
          <w:b w:val="1"/>
          <w:bCs w:val="1"/>
          <w:color w:val="auto"/>
        </w:rPr>
        <w:t>Zai Collaboration Patent Rights</w:t>
      </w:r>
      <w:r>
        <w:rPr>
          <w:rFonts w:ascii="Arial" w:cs="Arial" w:eastAsia="Arial" w:hAnsi="Arial"/>
          <w:sz w:val="20"/>
          <w:szCs w:val="20"/>
          <w:color w:val="auto"/>
        </w:rPr>
        <w:t>.</w:t>
      </w:r>
    </w:p>
    <w:p>
      <w:pPr>
        <w:spacing w:after="0" w:line="216" w:lineRule="exact"/>
        <w:rPr>
          <w:sz w:val="20"/>
          <w:szCs w:val="20"/>
          <w:color w:val="auto"/>
        </w:rPr>
      </w:pPr>
    </w:p>
    <w:p>
      <w:pPr>
        <w:jc w:val="both"/>
        <w:ind w:left="1420" w:hanging="495"/>
        <w:spacing w:after="0" w:line="248" w:lineRule="auto"/>
        <w:tabs>
          <w:tab w:leader="none" w:pos="142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Right to Prosecute</w:t>
      </w:r>
      <w:r>
        <w:rPr>
          <w:rFonts w:ascii="Arial" w:cs="Arial" w:eastAsia="Arial" w:hAnsi="Arial"/>
          <w:sz w:val="20"/>
          <w:szCs w:val="20"/>
          <w:color w:val="auto"/>
        </w:rPr>
        <w:t>. As between the Parties, Zai will have the right to control the Patent Prosecution</w:t>
      </w:r>
      <w:r>
        <w:rPr>
          <w:rFonts w:ascii="Arial" w:cs="Arial" w:eastAsia="Arial" w:hAnsi="Arial"/>
          <w:sz w:val="20"/>
          <w:szCs w:val="20"/>
          <w:b w:val="1"/>
          <w:bCs w:val="1"/>
          <w:color w:val="auto"/>
        </w:rPr>
        <w:t xml:space="preserve"> </w:t>
      </w:r>
      <w:r>
        <w:rPr>
          <w:rFonts w:ascii="Arial" w:cs="Arial" w:eastAsia="Arial" w:hAnsi="Arial"/>
          <w:sz w:val="20"/>
          <w:szCs w:val="20"/>
          <w:color w:val="auto"/>
        </w:rPr>
        <w:t>of all Zai Collaboration Patent Rights throughout the world. Zai will be responsible for [****] of the costs and expenses incurred with respect to the Patent Prosecution of such Patent Rights throughout the world.</w:t>
      </w:r>
    </w:p>
    <w:p>
      <w:pPr>
        <w:spacing w:after="0" w:line="183" w:lineRule="exact"/>
        <w:rPr>
          <w:rFonts w:ascii="Arial" w:cs="Arial" w:eastAsia="Arial" w:hAnsi="Arial"/>
          <w:sz w:val="20"/>
          <w:szCs w:val="20"/>
          <w:color w:val="auto"/>
        </w:rPr>
      </w:pPr>
    </w:p>
    <w:p>
      <w:pPr>
        <w:jc w:val="both"/>
        <w:ind w:left="1420" w:hanging="495"/>
        <w:spacing w:after="0" w:line="256" w:lineRule="auto"/>
        <w:tabs>
          <w:tab w:leader="none" w:pos="1420" w:val="left"/>
        </w:tabs>
        <w:numPr>
          <w:ilvl w:val="0"/>
          <w:numId w:val="183"/>
        </w:numPr>
        <w:rPr>
          <w:rFonts w:ascii="Arial" w:cs="Arial" w:eastAsia="Arial" w:hAnsi="Arial"/>
          <w:sz w:val="19"/>
          <w:szCs w:val="19"/>
          <w:color w:val="auto"/>
        </w:rPr>
      </w:pPr>
      <w:r>
        <w:rPr>
          <w:rFonts w:ascii="Arial" w:cs="Arial" w:eastAsia="Arial" w:hAnsi="Arial"/>
          <w:sz w:val="19"/>
          <w:szCs w:val="19"/>
          <w:b w:val="1"/>
          <w:bCs w:val="1"/>
          <w:color w:val="auto"/>
        </w:rPr>
        <w:t>Review and Consult</w:t>
      </w:r>
      <w:r>
        <w:rPr>
          <w:rFonts w:ascii="Arial" w:cs="Arial" w:eastAsia="Arial" w:hAnsi="Arial"/>
          <w:sz w:val="19"/>
          <w:szCs w:val="19"/>
          <w:color w:val="auto"/>
        </w:rPr>
        <w:t>. Zai will consult with Blueprint and keep Blueprint reasonably informed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Patent Prosecution of the Zai Collaboration Patent Rights inside and outside the Territory and will provide Blueprint with all substantive correspondence received from any patent authority in connection therewith. In addition, Zai will provide Blueprint with drafts of all proposed substantive filings and correspondence to any patent authority in connection with the Patent Prosecution of the Zai Collaboration Patent Rights for Blueprint’s review and comment prior to the submission of such proposed filings and correspondence, [****]. Further, Zai will notify Blueprint of any decision to cease Patent Prosecution of any Zai Collaboration Patent Rights inside or outside the Territory. Zai will consider Blueprint’s comments on Patent Prosecution [****] and will incorporate such comments [****].</w:t>
      </w:r>
    </w:p>
    <w:p>
      <w:pPr>
        <w:spacing w:after="0" w:line="180" w:lineRule="exact"/>
        <w:rPr>
          <w:rFonts w:ascii="Arial" w:cs="Arial" w:eastAsia="Arial" w:hAnsi="Arial"/>
          <w:sz w:val="19"/>
          <w:szCs w:val="19"/>
          <w:color w:val="auto"/>
        </w:rPr>
      </w:pPr>
    </w:p>
    <w:p>
      <w:pPr>
        <w:jc w:val="both"/>
        <w:ind w:left="1420" w:hanging="495"/>
        <w:spacing w:after="0" w:line="269" w:lineRule="auto"/>
        <w:tabs>
          <w:tab w:leader="none" w:pos="142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If Zai decides not to continue the Patent Prosecution of a particular Zai</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 Right in any country or region inside or outside the Territory during the Term, then it will promptly [****] provide written notice to Blueprint of such decision. Blueprint may, upon written notice to Zai, assume such Patent Prosecution of such Zai Collaboration Patent Right in Zai’s name [****]. In such event, (i) Zai will promptly deliver to Blueprint copies of all necessary files related to such Zai Collaboration Patent Right in such country(ies) or region(s) and will take all actions and execute all documents reasonably necessary for Blueprint to assume such responsibility,</w:t>
      </w:r>
    </w:p>
    <w:p>
      <w:pPr>
        <w:spacing w:after="0" w:line="4" w:lineRule="exact"/>
        <w:rPr>
          <w:rFonts w:ascii="Arial" w:cs="Arial" w:eastAsia="Arial" w:hAnsi="Arial"/>
          <w:sz w:val="18"/>
          <w:szCs w:val="18"/>
          <w:color w:val="auto"/>
        </w:rPr>
      </w:pPr>
    </w:p>
    <w:p>
      <w:pPr>
        <w:jc w:val="both"/>
        <w:ind w:left="1420" w:hanging="9"/>
        <w:spacing w:after="0" w:line="257" w:lineRule="auto"/>
        <w:tabs>
          <w:tab w:leader="none" w:pos="1824"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Blueprint will then be responsible for [****] of the future costs and expenses of the Patent Prosecution of such Patent Right, and (iii) Zai will have the rights to review and consult set forth in Section 14.2.2(b) (Review and Consult)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(including that Blueprint will have final decision-making authority with respect to such Patent Prosecution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313" w:name="page314"/>
    <w:bookmarkEnd w:id="313"/>
    <w:p>
      <w:pPr>
        <w:ind w:left="260"/>
        <w:spacing w:after="0"/>
        <w:rPr>
          <w:sz w:val="20"/>
          <w:szCs w:val="20"/>
          <w:color w:val="auto"/>
        </w:rPr>
      </w:pPr>
      <w:r>
        <w:rPr>
          <w:rFonts w:ascii="Arial" w:cs="Arial" w:eastAsia="Arial" w:hAnsi="Arial"/>
          <w:sz w:val="20"/>
          <w:szCs w:val="20"/>
          <w:color w:val="auto"/>
        </w:rPr>
        <w:t xml:space="preserve">14.2.3  </w:t>
      </w:r>
      <w:r>
        <w:rPr>
          <w:rFonts w:ascii="Arial" w:cs="Arial" w:eastAsia="Arial" w:hAnsi="Arial"/>
          <w:sz w:val="20"/>
          <w:szCs w:val="20"/>
          <w:b w:val="1"/>
          <w:bCs w:val="1"/>
          <w:color w:val="auto"/>
        </w:rPr>
        <w:t>Joint Collaboration Technology</w:t>
      </w:r>
      <w:r>
        <w:rPr>
          <w:rFonts w:ascii="Arial" w:cs="Arial" w:eastAsia="Arial" w:hAnsi="Arial"/>
          <w:sz w:val="20"/>
          <w:szCs w:val="20"/>
          <w:color w:val="auto"/>
        </w:rPr>
        <w:t>.</w:t>
      </w:r>
    </w:p>
    <w:p>
      <w:pPr>
        <w:spacing w:after="0" w:line="216" w:lineRule="exact"/>
        <w:rPr>
          <w:sz w:val="20"/>
          <w:szCs w:val="20"/>
          <w:color w:val="auto"/>
        </w:rPr>
      </w:pPr>
    </w:p>
    <w:p>
      <w:pPr>
        <w:jc w:val="both"/>
        <w:ind w:left="1420" w:hanging="495"/>
        <w:spacing w:after="0" w:line="268" w:lineRule="auto"/>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Joint Collaboration Technology and Blueprint/Zai Combination Technology</w:t>
      </w:r>
      <w:r>
        <w:rPr>
          <w:rFonts w:ascii="Arial" w:cs="Arial" w:eastAsia="Arial" w:hAnsi="Arial"/>
          <w:sz w:val="18"/>
          <w:szCs w:val="18"/>
          <w:color w:val="auto"/>
        </w:rPr>
        <w:t>.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agreed upon by the Parties in connection with the JSC’s approval of any Blueprint/Zai Combination, the provisions of this Section 14.2.3(a) (Joint Collaboration Technology and Blueprint/Zai Combination Technology) will apply with respect to the Patent Prosecution of the Blueprint/Zai Combination Patent Rights in addition to the other Joint Collaboration Patent Rights. Blueprint will control the Patent Prosecution of any Blueprint/Zai Combination Patent Rights and any other Joint Collaboration Patent Rights outside of the Territory, and Zai will control the Patent Prosecution of any Blueprint/Zai Combination Patent Rights and any other Joint Collaboration Patent Right inside of the Territory,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Blueprint will control [****]. The Parties will use [****] to agree on a mutually acceptable strategy for the Patent Prosecution of the Blueprint/Zai Combination Patent Rights and any other Joint Collaboration Patent Rights and will ensure that the external counsels engaged by each Party for the Patent Prosecution of such Blueprint/Zai Combination Patent Rights and any other Joint Collaboration Patent Rights coordinate with each other with respect to such Patent Prosecution of the Blueprint/Zai Combination Patent Rights and any other Joint Collaboration Patent Rights inside and outside of the Territory (including with respect to the timing of the filing of patent applications inside and outside of the Territory). The Party with the right to control the Patent Prosecution of any Blueprint/Zai Combination Patent Rights and any other Joint Collaboration Patent Right pursuant to this Section 14.2.3(a) (Joint Collaboration Technology and Blueprint/Zai Combination Technology) (the “</w:t>
      </w:r>
      <w:r>
        <w:rPr>
          <w:rFonts w:ascii="Arial" w:cs="Arial" w:eastAsia="Arial" w:hAnsi="Arial"/>
          <w:sz w:val="18"/>
          <w:szCs w:val="18"/>
          <w:b w:val="1"/>
          <w:bCs w:val="1"/>
          <w:color w:val="auto"/>
        </w:rPr>
        <w:t>Prosecuting Party</w:t>
      </w:r>
      <w:r>
        <w:rPr>
          <w:rFonts w:ascii="Arial" w:cs="Arial" w:eastAsia="Arial" w:hAnsi="Arial"/>
          <w:sz w:val="18"/>
          <w:szCs w:val="18"/>
          <w:color w:val="auto"/>
        </w:rPr>
        <w:t>”) will be responsible for the costs and expenses incurred with respect to the Patent Prosecution of such Patent Rights in their respective territory[****].</w:t>
      </w:r>
    </w:p>
    <w:p>
      <w:pPr>
        <w:spacing w:after="0" w:line="181" w:lineRule="exact"/>
        <w:rPr>
          <w:rFonts w:ascii="Arial" w:cs="Arial" w:eastAsia="Arial" w:hAnsi="Arial"/>
          <w:sz w:val="18"/>
          <w:szCs w:val="18"/>
          <w:color w:val="auto"/>
        </w:rPr>
      </w:pPr>
    </w:p>
    <w:p>
      <w:pPr>
        <w:jc w:val="both"/>
        <w:ind w:left="1420" w:hanging="495"/>
        <w:spacing w:after="0" w:line="255" w:lineRule="auto"/>
        <w:tabs>
          <w:tab w:leader="none" w:pos="1420" w:val="left"/>
        </w:tabs>
        <w:numPr>
          <w:ilvl w:val="0"/>
          <w:numId w:val="184"/>
        </w:numPr>
        <w:rPr>
          <w:rFonts w:ascii="Arial" w:cs="Arial" w:eastAsia="Arial" w:hAnsi="Arial"/>
          <w:sz w:val="19"/>
          <w:szCs w:val="19"/>
          <w:color w:val="auto"/>
        </w:rPr>
      </w:pPr>
      <w:r>
        <w:rPr>
          <w:rFonts w:ascii="Arial" w:cs="Arial" w:eastAsia="Arial" w:hAnsi="Arial"/>
          <w:sz w:val="19"/>
          <w:szCs w:val="19"/>
          <w:b w:val="1"/>
          <w:bCs w:val="1"/>
          <w:color w:val="auto"/>
        </w:rPr>
        <w:t>Review and Consult</w:t>
      </w:r>
      <w:r>
        <w:rPr>
          <w:rFonts w:ascii="Arial" w:cs="Arial" w:eastAsia="Arial" w:hAnsi="Arial"/>
          <w:sz w:val="19"/>
          <w:szCs w:val="19"/>
          <w:color w:val="auto"/>
        </w:rPr>
        <w:t>. The Prosecuting Party will consult with the other Party and keep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reasonably informed of the Patent Prosecution of the Joint Collaboration Patent Rights in its respective territory and will provide the other Party with all substantive correspondence received from any patent authority in such territory in connection therewith. In addition, the Prosecuting Party will provide the other Party with drafts of all proposed substantive filings and correspondence to any patent authority in its respective territory in connection with the Patent Prosecution of the Joint Collaboration Patent Rights for the other Party’s review and comment prior to the submission of such proposed filings and correspondence. Further, the Prosecuting Party will notify the other Party of any decision to cease Patent Prosecution of any of the Joint Collaboration Patent Rights in its respective territory. The Prosecuting Party will consider the other Party’s comments on Patent Prosecution but will have final decision-making authority under this Section 14.2.3(b) (Review and Consult).</w:t>
      </w:r>
    </w:p>
    <w:p>
      <w:pPr>
        <w:spacing w:after="0" w:line="184" w:lineRule="exact"/>
        <w:rPr>
          <w:rFonts w:ascii="Arial" w:cs="Arial" w:eastAsia="Arial" w:hAnsi="Arial"/>
          <w:sz w:val="19"/>
          <w:szCs w:val="19"/>
          <w:color w:val="auto"/>
        </w:rPr>
      </w:pPr>
    </w:p>
    <w:p>
      <w:pPr>
        <w:jc w:val="both"/>
        <w:ind w:left="1420" w:hanging="495"/>
        <w:spacing w:after="0" w:line="259" w:lineRule="auto"/>
        <w:tabs>
          <w:tab w:leader="none" w:pos="1420" w:val="left"/>
        </w:tabs>
        <w:numPr>
          <w:ilvl w:val="0"/>
          <w:numId w:val="184"/>
        </w:numPr>
        <w:rPr>
          <w:rFonts w:ascii="Arial" w:cs="Arial" w:eastAsia="Arial" w:hAnsi="Arial"/>
          <w:sz w:val="19"/>
          <w:szCs w:val="19"/>
          <w:color w:val="auto"/>
        </w:rPr>
      </w:pPr>
      <w:r>
        <w:rPr>
          <w:rFonts w:ascii="Arial" w:cs="Arial" w:eastAsia="Arial" w:hAnsi="Arial"/>
          <w:sz w:val="19"/>
          <w:szCs w:val="19"/>
          <w:b w:val="1"/>
          <w:bCs w:val="1"/>
          <w:color w:val="auto"/>
        </w:rPr>
        <w:t>Abandonment</w:t>
      </w:r>
      <w:r>
        <w:rPr>
          <w:rFonts w:ascii="Arial" w:cs="Arial" w:eastAsia="Arial" w:hAnsi="Arial"/>
          <w:sz w:val="19"/>
          <w:szCs w:val="19"/>
          <w:color w:val="auto"/>
        </w:rPr>
        <w:t>. If the Prosecuting Party decides not to continue the Patent Prosecution of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Joint Collaboration Patent Right in its respective territory during the Term, then it will promptly [****] provide written notice to the other Party of such decision. The other Party may, upon written notice to the Prosecuting Party, assume the Patent Prosecution of such Patent Right in the applicable territory. In such event, (i) such Party will [****] deliver to the other Party copies of all necessary files related to such Joint Collaboration Patent Right in such country(ies) or region(s) and will take all actions and execute all documents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314" w:name="page315"/>
    <w:bookmarkEnd w:id="314"/>
    <w:p>
      <w:pPr>
        <w:jc w:val="both"/>
        <w:ind w:left="1880"/>
        <w:spacing w:after="0" w:line="275" w:lineRule="auto"/>
        <w:rPr>
          <w:sz w:val="20"/>
          <w:szCs w:val="20"/>
          <w:color w:val="auto"/>
        </w:rPr>
      </w:pPr>
      <w:r>
        <w:rPr>
          <w:rFonts w:ascii="Arial" w:cs="Arial" w:eastAsia="Arial" w:hAnsi="Arial"/>
          <w:sz w:val="18"/>
          <w:szCs w:val="18"/>
          <w:color w:val="auto"/>
        </w:rPr>
        <w:t>necessary for the other Party to assume such responsibility, (ii) the other Party will become the Prosecuting Party with respect to such Joint Collaboration Patent Rights in the applicable territory,</w:t>
      </w:r>
    </w:p>
    <w:p>
      <w:pPr>
        <w:spacing w:after="0" w:line="1" w:lineRule="exact"/>
        <w:rPr>
          <w:sz w:val="20"/>
          <w:szCs w:val="20"/>
          <w:color w:val="auto"/>
        </w:rPr>
      </w:pPr>
    </w:p>
    <w:p>
      <w:pPr>
        <w:jc w:val="both"/>
        <w:ind w:left="1880" w:hanging="9"/>
        <w:spacing w:after="0" w:line="276" w:lineRule="auto"/>
        <w:tabs>
          <w:tab w:leader="none" w:pos="2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other Party will be responsible for [****] of the out-of-pocket costs incurred by the Prosecuting Party as set forth under Section 14.2.3(a) (Joint Collaboration Technology and Blueprint/Zai Combination Technology), and (iv) the other Party (that is no longer the Prosecuting Party) will retain the rights to review and consult set forth in Section 14.2.3(b) (Review and Consult).</w:t>
      </w:r>
    </w:p>
    <w:p>
      <w:pPr>
        <w:spacing w:after="0" w:line="160" w:lineRule="exact"/>
        <w:rPr>
          <w:sz w:val="20"/>
          <w:szCs w:val="20"/>
          <w:color w:val="auto"/>
        </w:rPr>
      </w:pPr>
    </w:p>
    <w:p>
      <w:pPr>
        <w:jc w:val="both"/>
        <w:ind w:left="1380" w:hanging="647"/>
        <w:spacing w:after="0" w:line="269" w:lineRule="auto"/>
        <w:rPr>
          <w:sz w:val="20"/>
          <w:szCs w:val="20"/>
          <w:color w:val="auto"/>
        </w:rPr>
      </w:pPr>
      <w:r>
        <w:rPr>
          <w:rFonts w:ascii="Arial" w:cs="Arial" w:eastAsia="Arial" w:hAnsi="Arial"/>
          <w:sz w:val="20"/>
          <w:szCs w:val="20"/>
          <w:color w:val="auto"/>
        </w:rPr>
        <w:t xml:space="preserve">14.2.4 </w:t>
      </w:r>
      <w:r>
        <w:rPr>
          <w:rFonts w:ascii="Arial" w:cs="Arial" w:eastAsia="Arial" w:hAnsi="Arial"/>
          <w:sz w:val="20"/>
          <w:szCs w:val="20"/>
          <w:b w:val="1"/>
          <w:bCs w:val="1"/>
          <w:color w:val="auto"/>
        </w:rPr>
        <w:t>Cooperation</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Each Party will provide the other Party all reasonable assistance and cooperation in the Patent Prosecution efforts under this Section 14.2 (Patent Prosecution), including providing any necessary powers of attorney and executing any other required documents or instruments for such prosecution.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6"/>
          <w:szCs w:val="16"/>
          <w:b w:val="1"/>
          <w:bCs w:val="1"/>
          <w:color w:val="auto"/>
        </w:rPr>
        <w:t>Patent Enforcement</w:t>
      </w:r>
      <w:r>
        <w:rPr>
          <w:rFonts w:ascii="Arial" w:cs="Arial" w:eastAsia="Arial" w:hAnsi="Arial"/>
          <w:sz w:val="16"/>
          <w:szCs w:val="16"/>
          <w:color w:val="auto"/>
        </w:rPr>
        <w:t>.</w:t>
      </w:r>
    </w:p>
    <w:p>
      <w:pPr>
        <w:spacing w:after="0" w:line="216" w:lineRule="exact"/>
        <w:rPr>
          <w:sz w:val="20"/>
          <w:szCs w:val="20"/>
          <w:color w:val="auto"/>
        </w:rPr>
      </w:pPr>
    </w:p>
    <w:p>
      <w:pPr>
        <w:jc w:val="both"/>
        <w:ind w:left="1300" w:hanging="647"/>
        <w:spacing w:after="0" w:line="259" w:lineRule="auto"/>
        <w:rPr>
          <w:sz w:val="20"/>
          <w:szCs w:val="20"/>
          <w:color w:val="auto"/>
        </w:rPr>
      </w:pPr>
      <w:r>
        <w:rPr>
          <w:rFonts w:ascii="Arial" w:cs="Arial" w:eastAsia="Arial" w:hAnsi="Arial"/>
          <w:sz w:val="19"/>
          <w:szCs w:val="19"/>
          <w:color w:val="auto"/>
        </w:rPr>
        <w:t xml:space="preserve">14.3.1 </w:t>
      </w:r>
      <w:r>
        <w:rPr>
          <w:rFonts w:ascii="Arial" w:cs="Arial" w:eastAsia="Arial" w:hAnsi="Arial"/>
          <w:sz w:val="19"/>
          <w:szCs w:val="19"/>
          <w:b w:val="1"/>
          <w:bCs w:val="1"/>
          <w:color w:val="auto"/>
        </w:rPr>
        <w:t>Notice</w:t>
      </w:r>
      <w:r>
        <w:rPr>
          <w:rFonts w:ascii="Arial" w:cs="Arial" w:eastAsia="Arial" w:hAnsi="Arial"/>
          <w:sz w:val="19"/>
          <w:szCs w:val="19"/>
          <w:color w:val="auto"/>
        </w:rPr>
        <w:t>. Each Party will notify the other within [****] of becoming aware of any alleged or threatened infringement by a Third Party of any of the (a) Blueprint Patent Rights or Blueprint Manufacturing Patent Rights in the Territory, (b) Zai Collaboration Patent Rights in the Territory, or (c) Blueprint/Zai Combination Patent Rights or other Joint Collaboration Patent Rights in the Territory, and, in each case, any related declaratory judgment or equivalent action alleging the invalidity, unenforceability, or non-infringement of such Patent Rights (collectively “</w:t>
      </w:r>
      <w:r>
        <w:rPr>
          <w:rFonts w:ascii="Arial" w:cs="Arial" w:eastAsia="Arial" w:hAnsi="Arial"/>
          <w:sz w:val="19"/>
          <w:szCs w:val="19"/>
          <w:b w:val="1"/>
          <w:bCs w:val="1"/>
          <w:color w:val="auto"/>
        </w:rPr>
        <w:t>Product Infringement</w:t>
      </w:r>
      <w:r>
        <w:rPr>
          <w:rFonts w:ascii="Arial" w:cs="Arial" w:eastAsia="Arial" w:hAnsi="Arial"/>
          <w:sz w:val="19"/>
          <w:szCs w:val="19"/>
          <w:color w:val="auto"/>
        </w:rPr>
        <w:t>”). For clarity, Product Infringement excludes any adversarial Patent Prosecution proceedings.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14.3.2  </w:t>
      </w:r>
      <w:r>
        <w:rPr>
          <w:rFonts w:ascii="Arial" w:cs="Arial" w:eastAsia="Arial" w:hAnsi="Arial"/>
          <w:sz w:val="20"/>
          <w:szCs w:val="20"/>
          <w:b w:val="1"/>
          <w:bCs w:val="1"/>
          <w:color w:val="auto"/>
        </w:rPr>
        <w:t>Enforcement Rights</w:t>
      </w:r>
      <w:r>
        <w:rPr>
          <w:rFonts w:ascii="Arial" w:cs="Arial" w:eastAsia="Arial" w:hAnsi="Arial"/>
          <w:sz w:val="20"/>
          <w:szCs w:val="20"/>
          <w:color w:val="auto"/>
        </w:rPr>
        <w:t>.</w:t>
      </w:r>
    </w:p>
    <w:p>
      <w:pPr>
        <w:spacing w:after="0" w:line="216" w:lineRule="exact"/>
        <w:rPr>
          <w:sz w:val="20"/>
          <w:szCs w:val="20"/>
          <w:color w:val="auto"/>
        </w:rPr>
      </w:pPr>
    </w:p>
    <w:p>
      <w:pPr>
        <w:ind w:left="1880" w:hanging="495"/>
        <w:spacing w:after="0"/>
        <w:tabs>
          <w:tab w:leader="none" w:pos="1880" w:val="left"/>
        </w:tabs>
        <w:numPr>
          <w:ilvl w:val="0"/>
          <w:numId w:val="186"/>
        </w:numPr>
        <w:rPr>
          <w:rFonts w:ascii="Arial" w:cs="Arial" w:eastAsia="Arial" w:hAnsi="Arial"/>
          <w:sz w:val="20"/>
          <w:szCs w:val="20"/>
          <w:color w:val="auto"/>
        </w:rPr>
      </w:pPr>
      <w:r>
        <w:rPr>
          <w:rFonts w:ascii="Arial" w:cs="Arial" w:eastAsia="Arial" w:hAnsi="Arial"/>
          <w:sz w:val="20"/>
          <w:szCs w:val="20"/>
          <w:b w:val="1"/>
          <w:bCs w:val="1"/>
          <w:color w:val="auto"/>
        </w:rPr>
        <w:t>First Right; Step-In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600" w:hanging="648"/>
        <w:spacing w:after="0" w:line="247" w:lineRule="auto"/>
        <w:tabs>
          <w:tab w:leader="none" w:pos="2600" w:val="left"/>
        </w:tabs>
        <w:numPr>
          <w:ilvl w:val="1"/>
          <w:numId w:val="186"/>
        </w:numPr>
        <w:rPr>
          <w:rFonts w:ascii="Arial" w:cs="Arial" w:eastAsia="Arial" w:hAnsi="Arial"/>
          <w:sz w:val="20"/>
          <w:szCs w:val="20"/>
          <w:color w:val="auto"/>
        </w:rPr>
      </w:pPr>
      <w:r>
        <w:rPr>
          <w:rFonts w:ascii="Arial" w:cs="Arial" w:eastAsia="Arial" w:hAnsi="Arial"/>
          <w:sz w:val="20"/>
          <w:szCs w:val="20"/>
          <w:b w:val="1"/>
          <w:bCs w:val="1"/>
          <w:color w:val="auto"/>
        </w:rPr>
        <w:t>Blueprint First Right</w:t>
      </w:r>
      <w:r>
        <w:rPr>
          <w:rFonts w:ascii="Arial" w:cs="Arial" w:eastAsia="Arial" w:hAnsi="Arial"/>
          <w:sz w:val="20"/>
          <w:szCs w:val="20"/>
          <w:color w:val="auto"/>
        </w:rPr>
        <w:t>. Unless otherwise agreed by the Parties in writing, Blueprint will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have the first right to bring and control any legal action to enforce any Blueprint Patent Rights, Blueprint Manufacturing Patent Rights, or Joint Collaboration Patent Rights other than the Blueprint/Zai Combination Patent Rights against any Product Infringement in the Territory as it reasonably determines appropriate, </w:t>
      </w:r>
      <w:r>
        <w:rPr>
          <w:rFonts w:ascii="Arial" w:cs="Arial" w:eastAsia="Arial" w:hAnsi="Arial"/>
          <w:sz w:val="21"/>
          <w:szCs w:val="21"/>
          <w:color w:val="auto"/>
        </w:rPr>
        <w:t>[****]</w:t>
      </w:r>
      <w:r>
        <w:rPr>
          <w:rFonts w:ascii="Arial" w:cs="Arial" w:eastAsia="Arial" w:hAnsi="Arial"/>
          <w:sz w:val="20"/>
          <w:szCs w:val="20"/>
          <w:color w:val="auto"/>
        </w:rPr>
        <w:t xml:space="preserve"> and Blueprint will consider </w:t>
      </w:r>
      <w:r>
        <w:rPr>
          <w:rFonts w:ascii="Arial" w:cs="Arial" w:eastAsia="Arial" w:hAnsi="Arial"/>
          <w:sz w:val="21"/>
          <w:szCs w:val="21"/>
          <w:color w:val="auto"/>
        </w:rPr>
        <w:t xml:space="preserve">[****] </w:t>
      </w:r>
      <w:r>
        <w:rPr>
          <w:rFonts w:ascii="Arial" w:cs="Arial" w:eastAsia="Arial" w:hAnsi="Arial"/>
          <w:sz w:val="19"/>
          <w:szCs w:val="19"/>
          <w:color w:val="auto"/>
        </w:rPr>
        <w:t>the interests of Zai in such enforcement.</w:t>
      </w:r>
      <w:r>
        <w:rPr>
          <w:rFonts w:ascii="Arial" w:cs="Arial" w:eastAsia="Arial" w:hAnsi="Arial"/>
          <w:sz w:val="21"/>
          <w:szCs w:val="21"/>
          <w:color w:val="auto"/>
        </w:rPr>
        <w:t xml:space="preserve"> [****]</w:t>
      </w:r>
    </w:p>
    <w:p>
      <w:pPr>
        <w:spacing w:after="0" w:line="176" w:lineRule="exact"/>
        <w:rPr>
          <w:rFonts w:ascii="Arial" w:cs="Arial" w:eastAsia="Arial" w:hAnsi="Arial"/>
          <w:sz w:val="20"/>
          <w:szCs w:val="20"/>
          <w:color w:val="auto"/>
        </w:rPr>
      </w:pPr>
    </w:p>
    <w:p>
      <w:pPr>
        <w:jc w:val="both"/>
        <w:ind w:left="2600" w:hanging="648"/>
        <w:spacing w:after="0" w:line="270" w:lineRule="auto"/>
        <w:tabs>
          <w:tab w:leader="none" w:pos="2600" w:val="left"/>
        </w:tabs>
        <w:numPr>
          <w:ilvl w:val="1"/>
          <w:numId w:val="186"/>
        </w:numPr>
        <w:rPr>
          <w:rFonts w:ascii="Arial" w:cs="Arial" w:eastAsia="Arial" w:hAnsi="Arial"/>
          <w:sz w:val="20"/>
          <w:szCs w:val="20"/>
          <w:color w:val="auto"/>
        </w:rPr>
      </w:pPr>
      <w:r>
        <w:rPr>
          <w:rFonts w:ascii="Arial" w:cs="Arial" w:eastAsia="Arial" w:hAnsi="Arial"/>
          <w:sz w:val="18"/>
          <w:szCs w:val="18"/>
          <w:b w:val="1"/>
          <w:bCs w:val="1"/>
          <w:color w:val="auto"/>
        </w:rPr>
        <w:t>Zai First Right</w:t>
      </w:r>
      <w:r>
        <w:rPr>
          <w:rFonts w:ascii="Arial" w:cs="Arial" w:eastAsia="Arial" w:hAnsi="Arial"/>
          <w:sz w:val="18"/>
          <w:szCs w:val="18"/>
          <w:color w:val="auto"/>
        </w:rPr>
        <w:t>. Zai will have the first right to bring and control any legal action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Blueprint/Zai Combination Patent Rights and Zai Collaboration Patent Rights against any Product Infringement in the Territory as it reasonably determines appropriate, </w:t>
      </w:r>
      <w:r>
        <w:rPr>
          <w:rFonts w:ascii="Arial" w:cs="Arial" w:eastAsia="Arial" w:hAnsi="Arial"/>
          <w:sz w:val="19"/>
          <w:szCs w:val="19"/>
          <w:color w:val="auto"/>
        </w:rPr>
        <w:t>[****]</w:t>
      </w:r>
      <w:r>
        <w:rPr>
          <w:rFonts w:ascii="Arial" w:cs="Arial" w:eastAsia="Arial" w:hAnsi="Arial"/>
          <w:sz w:val="18"/>
          <w:szCs w:val="18"/>
          <w:color w:val="auto"/>
        </w:rPr>
        <w:t xml:space="preserve"> and Zai will consider </w:t>
      </w:r>
      <w:r>
        <w:rPr>
          <w:rFonts w:ascii="Arial" w:cs="Arial" w:eastAsia="Arial" w:hAnsi="Arial"/>
          <w:sz w:val="19"/>
          <w:szCs w:val="19"/>
          <w:color w:val="auto"/>
        </w:rPr>
        <w:t>[****]</w:t>
      </w:r>
      <w:r>
        <w:rPr>
          <w:rFonts w:ascii="Arial" w:cs="Arial" w:eastAsia="Arial" w:hAnsi="Arial"/>
          <w:sz w:val="18"/>
          <w:szCs w:val="18"/>
          <w:color w:val="auto"/>
        </w:rPr>
        <w:t xml:space="preserve"> the interests of Blueprint in such enforcement. The Party with the first right to bring and control any legal action to enforce the Blueprint Patent Rights, Blueprint Manufacturing Patent Rights, Zai Collaboration Patent Rights, Blueprint/Zai Combination Patent Rights, or other Joint Collaboration Patent Rights, as applicable, will be referred to herein as the “</w:t>
      </w:r>
      <w:r>
        <w:rPr>
          <w:rFonts w:ascii="Arial" w:cs="Arial" w:eastAsia="Arial" w:hAnsi="Arial"/>
          <w:sz w:val="18"/>
          <w:szCs w:val="18"/>
          <w:b w:val="1"/>
          <w:bCs w:val="1"/>
          <w:color w:val="auto"/>
        </w:rPr>
        <w:t>Controlling Party</w:t>
      </w:r>
      <w:r>
        <w:rPr>
          <w:rFonts w:ascii="Arial" w:cs="Arial" w:eastAsia="Arial" w:hAnsi="Arial"/>
          <w:sz w:val="18"/>
          <w:szCs w:val="18"/>
          <w:color w:val="auto"/>
        </w:rPr>
        <w:t>.”</w:t>
      </w:r>
    </w:p>
    <w:p>
      <w:pPr>
        <w:spacing w:after="0" w:line="164" w:lineRule="exact"/>
        <w:rPr>
          <w:rFonts w:ascii="Arial" w:cs="Arial" w:eastAsia="Arial" w:hAnsi="Arial"/>
          <w:sz w:val="20"/>
          <w:szCs w:val="20"/>
          <w:color w:val="auto"/>
        </w:rPr>
      </w:pPr>
    </w:p>
    <w:p>
      <w:pPr>
        <w:ind w:left="2600" w:hanging="648"/>
        <w:spacing w:after="0" w:line="243" w:lineRule="auto"/>
        <w:tabs>
          <w:tab w:leader="none" w:pos="2600" w:val="left"/>
        </w:tabs>
        <w:numPr>
          <w:ilvl w:val="1"/>
          <w:numId w:val="186"/>
        </w:numPr>
        <w:rPr>
          <w:rFonts w:ascii="Arial" w:cs="Arial" w:eastAsia="Arial" w:hAnsi="Arial"/>
          <w:sz w:val="22"/>
          <w:szCs w:val="22"/>
          <w:color w:val="auto"/>
        </w:rPr>
      </w:pPr>
      <w:r>
        <w:rPr>
          <w:rFonts w:ascii="Arial" w:cs="Arial" w:eastAsia="Arial" w:hAnsi="Arial"/>
          <w:sz w:val="20"/>
          <w:szCs w:val="20"/>
          <w:b w:val="1"/>
          <w:bCs w:val="1"/>
          <w:color w:val="auto"/>
        </w:rPr>
        <w:t>Step-In Rights</w:t>
      </w:r>
      <w:r>
        <w:rPr>
          <w:rFonts w:ascii="Arial" w:cs="Arial" w:eastAsia="Arial" w:hAnsi="Arial"/>
          <w:sz w:val="20"/>
          <w:szCs w:val="20"/>
          <w:color w:val="auto"/>
        </w:rPr>
        <w:t>. If the Controlling Party or its designee fails to abate such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in the Territory or to file an action to abate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5" w:name="page316"/>
    <w:bookmarkEnd w:id="315"/>
    <w:p>
      <w:pPr>
        <w:jc w:val="both"/>
        <w:ind w:left="2600"/>
        <w:spacing w:after="0" w:line="270" w:lineRule="auto"/>
        <w:rPr>
          <w:sz w:val="20"/>
          <w:szCs w:val="20"/>
          <w:color w:val="auto"/>
        </w:rPr>
      </w:pPr>
      <w:r>
        <w:rPr>
          <w:rFonts w:ascii="Arial" w:cs="Arial" w:eastAsia="Arial" w:hAnsi="Arial"/>
          <w:sz w:val="18"/>
          <w:szCs w:val="18"/>
          <w:color w:val="auto"/>
        </w:rPr>
        <w:t xml:space="preserve">Product Infringement in the Territory related to Blueprint Patent Rights, Blueprint Manufacturing Patent Rights, Zai Collaboration Patent Rights, or Joint Collaboration Patent Rights (including Blueprint/Zai Combination Patent Rights) within </w:t>
      </w:r>
      <w:r>
        <w:rPr>
          <w:rFonts w:ascii="Arial" w:cs="Arial" w:eastAsia="Arial" w:hAnsi="Arial"/>
          <w:sz w:val="19"/>
          <w:szCs w:val="19"/>
          <w:color w:val="auto"/>
        </w:rPr>
        <w:t>[****]</w:t>
      </w:r>
      <w:r>
        <w:rPr>
          <w:rFonts w:ascii="Arial" w:cs="Arial" w:eastAsia="Arial" w:hAnsi="Arial"/>
          <w:sz w:val="18"/>
          <w:szCs w:val="18"/>
          <w:color w:val="auto"/>
        </w:rPr>
        <w:t xml:space="preserve"> after a written request from the other Party to do so, or if the Controlling Party discontinues the prosecution of any such action after filing without abating such infringement, then, in either case, the other Party will have the right, at such other Party’s cost and expense, to enforce the applicable Patent Rights against such Product Infringement in the Territory as it reasonably determines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Controlling Party does not provide reasonable rationale for not doing so or continuing to do so (including a substantive concern regarding counter-claims by the infringing Third Party), and (B) the other Party will not enter into any settlement admitting the invalidity of, or otherwise impairing, any such Patent Rights without the prior written consent of the Controlling Party.</w:t>
      </w:r>
    </w:p>
    <w:p>
      <w:pPr>
        <w:spacing w:after="0" w:line="170" w:lineRule="exact"/>
        <w:rPr>
          <w:sz w:val="20"/>
          <w:szCs w:val="20"/>
          <w:color w:val="auto"/>
        </w:rPr>
      </w:pPr>
    </w:p>
    <w:p>
      <w:pPr>
        <w:jc w:val="both"/>
        <w:ind w:left="2600" w:hanging="648"/>
        <w:spacing w:after="0" w:line="274" w:lineRule="auto"/>
        <w:tabs>
          <w:tab w:leader="none" w:pos="2600" w:val="left"/>
        </w:tabs>
        <w:numPr>
          <w:ilvl w:val="0"/>
          <w:numId w:val="187"/>
        </w:numPr>
        <w:rPr>
          <w:rFonts w:ascii="Arial" w:cs="Arial" w:eastAsia="Arial" w:hAnsi="Arial"/>
          <w:sz w:val="19"/>
          <w:szCs w:val="19"/>
          <w:color w:val="auto"/>
        </w:rPr>
      </w:pPr>
      <w:r>
        <w:rPr>
          <w:rFonts w:ascii="Arial" w:cs="Arial" w:eastAsia="Arial" w:hAnsi="Arial"/>
          <w:sz w:val="18"/>
          <w:szCs w:val="18"/>
          <w:b w:val="1"/>
          <w:bCs w:val="1"/>
          <w:color w:val="auto"/>
        </w:rPr>
        <w:t>Zai’s Rights</w:t>
      </w:r>
      <w:r>
        <w:rPr>
          <w:rFonts w:ascii="Arial" w:cs="Arial" w:eastAsia="Arial" w:hAnsi="Arial"/>
          <w:sz w:val="18"/>
          <w:szCs w:val="18"/>
          <w:color w:val="auto"/>
        </w:rPr>
        <w:t>. Zai will have the sole right to bring and control any legal action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Zai Patent Rights (other than Zai Collaboration Patent Rights) against any Product Infringement in the Territory at its own expense as it reasonably determines appropriate. Zai will not have the right to enforce any Blueprint Patent Rights, Blueprint Manufacturing Patent Rights, Zai Collaboration Patent Rights, Blueprint/Zai Combination Patent Rights, or other Joint Collaboration Patent Rights outside of the Territory.</w:t>
      </w:r>
    </w:p>
    <w:p>
      <w:pPr>
        <w:spacing w:after="0" w:line="162" w:lineRule="exact"/>
        <w:rPr>
          <w:sz w:val="20"/>
          <w:szCs w:val="20"/>
          <w:color w:val="auto"/>
        </w:rPr>
      </w:pPr>
    </w:p>
    <w:p>
      <w:pPr>
        <w:jc w:val="both"/>
        <w:ind w:left="1300" w:right="20" w:hanging="647"/>
        <w:spacing w:after="0" w:line="248" w:lineRule="auto"/>
        <w:rPr>
          <w:sz w:val="20"/>
          <w:szCs w:val="20"/>
          <w:color w:val="auto"/>
        </w:rPr>
      </w:pPr>
      <w:r>
        <w:rPr>
          <w:rFonts w:ascii="Arial" w:cs="Arial" w:eastAsia="Arial" w:hAnsi="Arial"/>
          <w:sz w:val="20"/>
          <w:szCs w:val="20"/>
          <w:color w:val="auto"/>
        </w:rPr>
        <w:t xml:space="preserve">14.3.3 </w:t>
      </w:r>
      <w:r>
        <w:rPr>
          <w:rFonts w:ascii="Arial" w:cs="Arial" w:eastAsia="Arial" w:hAnsi="Arial"/>
          <w:sz w:val="20"/>
          <w:szCs w:val="20"/>
          <w:b w:val="1"/>
          <w:bCs w:val="1"/>
          <w:color w:val="auto"/>
        </w:rPr>
        <w:t>Cooperation</w:t>
      </w:r>
      <w:r>
        <w:rPr>
          <w:rFonts w:ascii="Arial" w:cs="Arial" w:eastAsia="Arial" w:hAnsi="Arial"/>
          <w:sz w:val="20"/>
          <w:szCs w:val="20"/>
          <w:color w:val="auto"/>
        </w:rPr>
        <w:t>. At the request of the Party bringing an action related to a Product Infringement, the other Party will provide reasonable assistance in connection therewith, including by executing reasonably appropriate documents, cooperating in discovery, and joining as a party to the action if required by Applicable Law to pursue such action.</w:t>
      </w:r>
    </w:p>
    <w:p>
      <w:pPr>
        <w:spacing w:after="0" w:line="75"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14.3.4 </w:t>
      </w:r>
      <w:r>
        <w:rPr>
          <w:rFonts w:ascii="Arial" w:cs="Arial" w:eastAsia="Arial" w:hAnsi="Arial"/>
          <w:sz w:val="20"/>
          <w:szCs w:val="20"/>
          <w:b w:val="1"/>
          <w:bCs w:val="1"/>
          <w:color w:val="auto"/>
        </w:rPr>
        <w:t>Recoveries</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Any recoveries resulting from an enforcement action relating to a claim of Product Infringement in the Territory will be first applied against payment of each Party’s costs and expenses in connection therewith. Any such recoveries relating to a claim of Product Infringement in the Territory in excess of such costs and expenses will be split as follows: [****].</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8"/>
          <w:szCs w:val="18"/>
          <w:b w:val="1"/>
          <w:bCs w:val="1"/>
          <w:color w:val="auto"/>
        </w:rPr>
        <w:t>Infringement of Third Party Rights</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55" w:lineRule="auto"/>
        <w:rPr>
          <w:sz w:val="20"/>
          <w:szCs w:val="20"/>
          <w:color w:val="auto"/>
        </w:rPr>
      </w:pPr>
      <w:r>
        <w:rPr>
          <w:rFonts w:ascii="Arial" w:cs="Arial" w:eastAsia="Arial" w:hAnsi="Arial"/>
          <w:sz w:val="20"/>
          <w:szCs w:val="20"/>
          <w:color w:val="auto"/>
        </w:rPr>
        <w:t xml:space="preserve">14.4.1 </w:t>
      </w:r>
      <w:r>
        <w:rPr>
          <w:rFonts w:ascii="Arial" w:cs="Arial" w:eastAsia="Arial" w:hAnsi="Arial"/>
          <w:sz w:val="20"/>
          <w:szCs w:val="20"/>
          <w:b w:val="1"/>
          <w:bCs w:val="1"/>
          <w:color w:val="auto"/>
        </w:rPr>
        <w:t>Notice</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If any Licensed Product used, sold, or manufactured (if applicable) by Zai or its Affiliates or Sublicensees becomes the subject of a Third Party’s claim or assertion of infringement of a Patent Right or other rights in the Territory that are owned or controlled by such Third Party, then Zai will promptly notify Blueprint within [****] after receipt of such claim or assertion and will include in such notice a copy of any summons or complaint (or the equivalent thereof) received regarding the foregoing. Thereafter, the Parties will promptly meet to consider the claim or assertion and the appropriate course of action and may, if appropriate, agree on and enter into a “common interest agreement” wherein the Parties agree to their shared, mutual interest in the outcome of such potential dispute. The Parties will assert and not waive the joint defense privilege with respect to any communications between the Parties in connection with the defense of such claim or assertion.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6" w:name="page317"/>
    <w:bookmarkEnd w:id="316"/>
    <w:p>
      <w:pPr>
        <w:jc w:val="both"/>
        <w:ind w:left="1360" w:hanging="647"/>
        <w:spacing w:after="0" w:line="271" w:lineRule="auto"/>
        <w:rPr>
          <w:sz w:val="20"/>
          <w:szCs w:val="20"/>
          <w:color w:val="auto"/>
        </w:rPr>
      </w:pPr>
      <w:r>
        <w:rPr>
          <w:rFonts w:ascii="Arial" w:cs="Arial" w:eastAsia="Arial" w:hAnsi="Arial"/>
          <w:sz w:val="18"/>
          <w:szCs w:val="18"/>
          <w:color w:val="auto"/>
        </w:rPr>
        <w:t xml:space="preserve">14.4.2 </w:t>
      </w:r>
      <w:r>
        <w:rPr>
          <w:rFonts w:ascii="Arial" w:cs="Arial" w:eastAsia="Arial" w:hAnsi="Arial"/>
          <w:sz w:val="18"/>
          <w:szCs w:val="18"/>
          <w:b w:val="1"/>
          <w:bCs w:val="1"/>
          <w:color w:val="auto"/>
        </w:rPr>
        <w:t>Defense</w:t>
      </w:r>
      <w:r>
        <w:rPr>
          <w:rFonts w:ascii="Arial" w:cs="Arial" w:eastAsia="Arial" w:hAnsi="Arial"/>
          <w:sz w:val="18"/>
          <w:szCs w:val="18"/>
          <w:color w:val="auto"/>
        </w:rPr>
        <w:t xml:space="preserve">. Subject to any indemnification obligations under Section 13.2 (By Blueprint), Zai will be solely responsible for the defense of any such infringement claims brought against Zai[****];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Zai will not agree to any settlement, consent to judgment, or other voluntary final disposition in connection with such defense action, in each case, without Blueprint’s prior written consent (which consent will not be unreasonably delayed, withheld, or conditioned) if such settlement, consent to judgment, or other voluntary final disposition would (a) result in the admission of any liability or fault on behalf of Blueprint, (b) result in or impose any payment obligations upon Blueprint, or (c) subject Blueprint to an injunction or otherwise limit Blueprint’s ability to take any actions or refrain from taking any actions under this Agreement or with respect to any Blueprint Compound or Licensed Product. Zai will keep Blueprint informed on the status of such defense action, and Blueprint will have the right, but not the obligation, to participate and be separately represented in such defense action at its sole option and at its own expense.</w:t>
      </w:r>
    </w:p>
    <w:p>
      <w:pPr>
        <w:spacing w:after="0" w:line="170" w:lineRule="exact"/>
        <w:rPr>
          <w:sz w:val="20"/>
          <w:szCs w:val="20"/>
          <w:color w:val="auto"/>
        </w:rPr>
      </w:pPr>
    </w:p>
    <w:p>
      <w:pPr>
        <w:jc w:val="both"/>
        <w:ind w:left="640" w:right="20" w:hanging="647"/>
        <w:spacing w:after="0" w:line="294" w:lineRule="auto"/>
        <w:tabs>
          <w:tab w:leader="none" w:pos="62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8"/>
          <w:szCs w:val="18"/>
          <w:b w:val="1"/>
          <w:bCs w:val="1"/>
          <w:color w:val="auto"/>
        </w:rPr>
        <w:t>Patents Licensed from Third Parties</w:t>
      </w:r>
      <w:r>
        <w:rPr>
          <w:rFonts w:ascii="Arial" w:cs="Arial" w:eastAsia="Arial" w:hAnsi="Arial"/>
          <w:sz w:val="18"/>
          <w:szCs w:val="18"/>
          <w:color w:val="auto"/>
        </w:rPr>
        <w:t>. Each Party’s rights under this Article 14 (Intellectual Property)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Patent Prosecution and enforcement of any Patent Right that is in-licensed by Blueprint or Zai from a Third Party will be subject to the rights of such Third Party to prosecute, enforce, and defend such Patent Right.</w:t>
      </w:r>
    </w:p>
    <w:p>
      <w:pPr>
        <w:spacing w:after="0" w:line="14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8"/>
          <w:szCs w:val="18"/>
          <w:b w:val="1"/>
          <w:bCs w:val="1"/>
          <w:color w:val="auto"/>
        </w:rPr>
        <w:t>Patent Listings</w:t>
      </w:r>
      <w:r>
        <w:rPr>
          <w:rFonts w:ascii="Arial" w:cs="Arial" w:eastAsia="Arial" w:hAnsi="Arial"/>
          <w:sz w:val="18"/>
          <w:szCs w:val="18"/>
          <w:color w:val="auto"/>
        </w:rPr>
        <w:t>. With respect to patent listings in any patent listing system established by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in a region in the Territory or under Applicable Law, including, (a) in the PRC, under Article 76 of the Patent Law of the PRC and its implementing measures and interpretations promulgated by relevant PRC Governmental Authorities, including the National Medical Products Administration (NMPA), the China National Intellectual Property Administration (CNIPA), and the Supreme People’s Court, and (b) other equivalents thereof in the Territory, for Blueprint Patent Rights, Blueprint Manufacturing Patent Rights, or Collaboration Patent Rights Covering any Licensed Product, the Parties will discuss and agree which Patent Rights to list in such patent listing in such region (the “</w:t>
      </w:r>
      <w:r>
        <w:rPr>
          <w:rFonts w:ascii="Arial" w:cs="Arial" w:eastAsia="Arial" w:hAnsi="Arial"/>
          <w:sz w:val="18"/>
          <w:szCs w:val="18"/>
          <w:b w:val="1"/>
          <w:bCs w:val="1"/>
          <w:color w:val="auto"/>
        </w:rPr>
        <w:t>Listing Patents</w:t>
      </w:r>
      <w:r>
        <w:rPr>
          <w:rFonts w:ascii="Arial" w:cs="Arial" w:eastAsia="Arial" w:hAnsi="Arial"/>
          <w:sz w:val="18"/>
          <w:szCs w:val="18"/>
          <w:color w:val="auto"/>
        </w:rPr>
        <w:t xml:space="preserve">”) (i) prior to the submission of the first and any subsequent MAA for such Licensed Product in such region to such applicable Regulatory Authority, (ii) within [****], but in any event reasonably in advance of the deadline for listing under Applicable Laws, after the receipt of the first and any subsequent Regulatory Approval in such region for such Licensed Product from such Regulatory Authority, including any additional Indication for such Licensed Product, (iii) within [****], but in any event reasonably in advance of the deadline for listing under Applicable Laws, after the issuance in such region of a patent included in the Listing Patents, and (iv) within [****] following the submission of a new patent application in such region Covering any Licensed Product included in the Blueprint Patent Rights, Blueprint Manufacturing Patent Rights, or Collaboration Patent Rights that has not been previously considered in any prior discussion and agreement of the Parties regarding Listing Patents;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permitted under Applicable Laws, the Party holding the MAA for such Licensed Product in the Territory will not list, and will not be obligated to list, as of the date of listing, (A) any unissued patent, (B) any Patent Right that does not Cover the Licensed Product, (C) any patent that is of a type or that contains patent claims that are of a type not permitted to be listed under Applicable Law, or (D) any patent that such Party knows or has a reasonable basis to know is reasonably likely to be declared invalid by a competent Governmental Authority in such region. In furtherance of the foregoing clause (D), if either Party has such knowledge or reasonable basis, such Party will promptly notify and inform the Party of all facts and circumstances it is aware of underlying such knowledge or reasonable basis. In the event the Parties are unable to agree on which Patent Rights to list by the time required as provided under clause (i) to (iv) above, subject to the above proviso, Blueprint will have the final decision-making right over whether the Party holding the MAA for the applicable Licensed Product in the Territory will list any Blueprint Patent Rights, Blueprint Manufacturing Patent Rights, or Joint Collaboration Patent Rights, and Zai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317" w:name="page318"/>
    <w:bookmarkEnd w:id="317"/>
    <w:p>
      <w:pPr>
        <w:jc w:val="both"/>
        <w:ind w:left="660"/>
        <w:spacing w:after="0" w:line="268" w:lineRule="auto"/>
        <w:rPr>
          <w:sz w:val="20"/>
          <w:szCs w:val="20"/>
          <w:color w:val="auto"/>
        </w:rPr>
      </w:pPr>
      <w:r>
        <w:rPr>
          <w:rFonts w:ascii="Arial" w:cs="Arial" w:eastAsia="Arial" w:hAnsi="Arial"/>
          <w:sz w:val="18"/>
          <w:szCs w:val="18"/>
          <w:color w:val="auto"/>
        </w:rPr>
        <w:t xml:space="preserve">have the final decision-making right over whether the Party holding the MAA for the applicable Licensed Product in the Territory will list any issued patents included in the Zai Collaboration Patent Rights. The Party holding the MAA for the applicable Licensed Product in the Territory will promptly, and in any event at least [****] prior to the applicable deadline for listing under Applicable Laws, list the Listing Patents in the applicable patent listing system in the applicable regions in the Territory </w:t>
      </w:r>
      <w:r>
        <w:rPr>
          <w:rFonts w:ascii="Arial" w:cs="Arial" w:eastAsia="Arial" w:hAnsi="Arial"/>
          <w:sz w:val="18"/>
          <w:szCs w:val="18"/>
          <w:i w:val="1"/>
          <w:iCs w:val="1"/>
          <w:color w:val="auto"/>
        </w:rPr>
        <w:t>provided</w:t>
      </w:r>
      <w:r>
        <w:rPr>
          <w:rFonts w:ascii="Arial" w:cs="Arial" w:eastAsia="Arial" w:hAnsi="Arial"/>
          <w:sz w:val="18"/>
          <w:szCs w:val="18"/>
          <w:color w:val="auto"/>
        </w:rPr>
        <w:t>, that, without limiting the foregoing, if the Party holding the MAA for the applicable Licensed Product in the Territory has not listed the Listing Patents in the patent listing system of an applicable region before [****] prior to the deadline for listing in the applicable region, then the other Party may list the Listing Patents at anytime when permitted by Applicable Laws by providing prior written notice to the Party holding the MAA for the applicable Licensed Product in the Territory. The Party holding the MAA for the applicable Licensed Product in the Territory will provide copies of all documentation to be filed in connection with any such listing of Blueprint Patent Rights, Blueprint Manufacturing Patent Rights, or Joint Collaboration Patent Rights to the other Party prior to filing thereof and will consider the other Party’s comments with respect to such documentation in good faith. The Party holding the MAA for the applicable Licensed Product in the Territory will cooperate with the other Party to the extent reasonably requested by the other Party to effectuate the intent of this Section 14.6 (Patent Listings), including providing all documentation, certifications, and consents necessary to effectuate the foregoing and setting up an account to list patents on the applicable patent listing system, and granting the other Party access to and a right to use such account as reasonably necessary to effectuate the intent of this Section 14.6 (Patent Listings). Neither Party will list any patent in any patent listing system in a region in the Territory for the Licensed Product, except in accordance with this Section 14.6 (Patent Listings).</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8"/>
          <w:szCs w:val="18"/>
          <w:b w:val="1"/>
          <w:bCs w:val="1"/>
          <w:color w:val="auto"/>
        </w:rPr>
        <w:t>Patent Term Extensions</w:t>
      </w:r>
      <w:r>
        <w:rPr>
          <w:rFonts w:ascii="Arial" w:cs="Arial" w:eastAsia="Arial" w:hAnsi="Arial"/>
          <w:sz w:val="18"/>
          <w:szCs w:val="18"/>
          <w:color w:val="auto"/>
        </w:rPr>
        <w:t>. With respect to any system for extending the term of Patent Rights in the Territory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needed to obtain Regulatory Approval of a pharmaceutical product established by any applicable Regulatory Authority in any region in the Territory (a “</w:t>
      </w:r>
      <w:r>
        <w:rPr>
          <w:rFonts w:ascii="Arial" w:cs="Arial" w:eastAsia="Arial" w:hAnsi="Arial"/>
          <w:sz w:val="18"/>
          <w:szCs w:val="18"/>
          <w:b w:val="1"/>
          <w:bCs w:val="1"/>
          <w:color w:val="auto"/>
        </w:rPr>
        <w:t>Patent Term Extension</w:t>
      </w:r>
      <w:r>
        <w:rPr>
          <w:rFonts w:ascii="Arial" w:cs="Arial" w:eastAsia="Arial" w:hAnsi="Arial"/>
          <w:sz w:val="18"/>
          <w:szCs w:val="18"/>
          <w:color w:val="auto"/>
        </w:rPr>
        <w:t>”), adjusting the term of Patent Rights in the Territory due to the time needed to prosecute and obtain a grant of a Patent Right under Applicable Laws in any region in the Territory (a “</w:t>
      </w:r>
      <w:r>
        <w:rPr>
          <w:rFonts w:ascii="Arial" w:cs="Arial" w:eastAsia="Arial" w:hAnsi="Arial"/>
          <w:sz w:val="18"/>
          <w:szCs w:val="18"/>
          <w:b w:val="1"/>
          <w:bCs w:val="1"/>
          <w:color w:val="auto"/>
        </w:rPr>
        <w:t>Patent Term Adjustment</w:t>
      </w:r>
      <w:r>
        <w:rPr>
          <w:rFonts w:ascii="Arial" w:cs="Arial" w:eastAsia="Arial" w:hAnsi="Arial"/>
          <w:sz w:val="18"/>
          <w:szCs w:val="18"/>
          <w:color w:val="auto"/>
        </w:rPr>
        <w:t>”), or supplementary protection certificates and any other extensions that are now or become available in the future under Applicable Laws in any region in the Territory (“</w:t>
      </w:r>
      <w:r>
        <w:rPr>
          <w:rFonts w:ascii="Arial" w:cs="Arial" w:eastAsia="Arial" w:hAnsi="Arial"/>
          <w:sz w:val="18"/>
          <w:szCs w:val="18"/>
          <w:b w:val="1"/>
          <w:bCs w:val="1"/>
          <w:color w:val="auto"/>
        </w:rPr>
        <w:t>Other Extensions</w:t>
      </w:r>
      <w:r>
        <w:rPr>
          <w:rFonts w:ascii="Arial" w:cs="Arial" w:eastAsia="Arial" w:hAnsi="Arial"/>
          <w:sz w:val="18"/>
          <w:szCs w:val="18"/>
          <w:color w:val="auto"/>
        </w:rPr>
        <w:t xml:space="preserve">”), (a) Blueprint will have the right, but not the obligation, and will be solely responsible for making all decisions regarding Patent Term Extensions, Patent Term Adjustments, or Other Extensions in the Territory that are applicable to Blueprint Patent Rights, Blueprint Manufacturing Patent Rights, or Joint Collaboration Patent Rights and that become available directly as a result of the Regulatory Approval of a Licensed Product in the Territory or following issuance of a patent included in the Blueprint Patent Rights, Blueprint Manufacturing Patent Rights, or Joint Collaboration Patent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Blueprint will consult with Zai with respect to such decisions and consider [****] the reasonable comments and concerns raised by Zai; and (b) Zai will have the right, but not the obligation, and will be solely responsible for making all decisions regarding Patent Term Extensions, Patent Term Adjustments, and Other Extensions in the Territory that are applicable to Zai Collaboration Patent Rights and that become available directly as a result of the Regulatory Approval of a Licensed Product in the Territory or following issuance of a patent included in the Zai Collaboration Patent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Zai will consult with Blueprint with respect to such decisions and consider [****] the reasonable comments and concerns raised by Blueprint. The Party holding the MAA for the applicable Licensed Product in the Territory will make the appropriate filings and applications in the Territory in order to effectuate each Party’s decisions regarding Patent Term Extensions, Patent Term Adjustments, or Other Extensions in the Territory in accordance with the foregoing sentence. The Party holding the MAA for the applicable Licensed Product in the Territory will cooperate with the other Party to the extent reasonably requested by the other Party to effectuate the intent of this Section 14.7 (Patent Term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8" w:name="page319"/>
    <w:bookmarkEnd w:id="318"/>
    <w:p>
      <w:pPr>
        <w:ind w:left="660"/>
        <w:spacing w:after="0" w:line="316" w:lineRule="auto"/>
        <w:rPr>
          <w:sz w:val="20"/>
          <w:szCs w:val="20"/>
          <w:color w:val="auto"/>
        </w:rPr>
      </w:pPr>
      <w:r>
        <w:rPr>
          <w:rFonts w:ascii="Arial" w:cs="Arial" w:eastAsia="Arial" w:hAnsi="Arial"/>
          <w:sz w:val="18"/>
          <w:szCs w:val="18"/>
          <w:color w:val="auto"/>
        </w:rPr>
        <w:t>including providing to the other Party all documentation, certifications, and consents necessary to make and prosecute such application and obtain such Patent Term Extension, Patent Term Adjustment, or Other Extension.</w:t>
      </w:r>
    </w:p>
    <w:p>
      <w:pPr>
        <w:spacing w:after="0" w:line="124" w:lineRule="exact"/>
        <w:rPr>
          <w:sz w:val="20"/>
          <w:szCs w:val="20"/>
          <w:color w:val="auto"/>
        </w:rPr>
      </w:pPr>
    </w:p>
    <w:p>
      <w:pPr>
        <w:ind w:left="660" w:hanging="647"/>
        <w:spacing w:after="0" w:line="293" w:lineRule="auto"/>
        <w:tabs>
          <w:tab w:leader="none" w:pos="6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b w:val="1"/>
          <w:bCs w:val="1"/>
          <w:color w:val="auto"/>
        </w:rPr>
        <w:t>Filing of Agreement with CNIPA</w:t>
      </w:r>
      <w:r>
        <w:rPr>
          <w:rFonts w:ascii="Arial" w:cs="Arial" w:eastAsia="Arial" w:hAnsi="Arial"/>
          <w:sz w:val="19"/>
          <w:szCs w:val="19"/>
          <w:color w:val="auto"/>
        </w:rPr>
        <w:t>. The Parties will file a redacted copy of this Agreement with the CNIPA as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by Applicable Law in the Territory no later than the date required under such Applicable Law.</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b w:val="1"/>
          <w:bCs w:val="1"/>
          <w:color w:val="auto"/>
        </w:rPr>
        <w:t>Product Trademarks</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43" w:lineRule="auto"/>
        <w:rPr>
          <w:sz w:val="20"/>
          <w:szCs w:val="20"/>
          <w:color w:val="auto"/>
        </w:rPr>
      </w:pPr>
      <w:r>
        <w:rPr>
          <w:rFonts w:ascii="Arial" w:cs="Arial" w:eastAsia="Arial" w:hAnsi="Arial"/>
          <w:sz w:val="20"/>
          <w:szCs w:val="20"/>
          <w:color w:val="auto"/>
        </w:rPr>
        <w:t xml:space="preserve">14.9.1 </w:t>
      </w:r>
      <w:r>
        <w:rPr>
          <w:rFonts w:ascii="Arial" w:cs="Arial" w:eastAsia="Arial" w:hAnsi="Arial"/>
          <w:sz w:val="20"/>
          <w:szCs w:val="20"/>
          <w:b w:val="1"/>
          <w:bCs w:val="1"/>
          <w:color w:val="auto"/>
        </w:rPr>
        <w:t>Global Brand Elements</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Zai acknowledges that Blueprint may decide to develop and adopt certain distinctive colors, logos, images, symbols, and trademarks to be used in connection with the Commercialization of each Licensed Product on a global basis (such trademarks, the “</w:t>
      </w:r>
      <w:r>
        <w:rPr>
          <w:rFonts w:ascii="Arial" w:cs="Arial" w:eastAsia="Arial" w:hAnsi="Arial"/>
          <w:sz w:val="20"/>
          <w:szCs w:val="20"/>
          <w:b w:val="1"/>
          <w:bCs w:val="1"/>
          <w:color w:val="auto"/>
        </w:rPr>
        <w:t>Product Marks</w:t>
      </w:r>
      <w:r>
        <w:rPr>
          <w:rFonts w:ascii="Arial" w:cs="Arial" w:eastAsia="Arial" w:hAnsi="Arial"/>
          <w:sz w:val="20"/>
          <w:szCs w:val="20"/>
          <w:color w:val="auto"/>
        </w:rPr>
        <w:t>” and such other branding elements together with the Product Marks, collectively, the “</w:t>
      </w:r>
      <w:r>
        <w:rPr>
          <w:rFonts w:ascii="Arial" w:cs="Arial" w:eastAsia="Arial" w:hAnsi="Arial"/>
          <w:sz w:val="20"/>
          <w:szCs w:val="20"/>
          <w:b w:val="1"/>
          <w:bCs w:val="1"/>
          <w:color w:val="auto"/>
        </w:rPr>
        <w:t>Global Brand</w:t>
      </w:r>
      <w:r>
        <w:rPr>
          <w:rFonts w:ascii="Arial" w:cs="Arial" w:eastAsia="Arial" w:hAnsi="Arial"/>
          <w:sz w:val="20"/>
          <w:szCs w:val="20"/>
          <w:color w:val="auto"/>
        </w:rPr>
        <w:t xml:space="preserve"> </w:t>
      </w:r>
      <w:r>
        <w:rPr>
          <w:rFonts w:ascii="Arial" w:cs="Arial" w:eastAsia="Arial" w:hAnsi="Arial"/>
          <w:sz w:val="20"/>
          <w:szCs w:val="20"/>
          <w:b w:val="1"/>
          <w:bCs w:val="1"/>
          <w:color w:val="auto"/>
        </w:rPr>
        <w:t>Elements</w:t>
      </w:r>
      <w:r>
        <w:rPr>
          <w:rFonts w:ascii="Arial" w:cs="Arial" w:eastAsia="Arial" w:hAnsi="Arial"/>
          <w:sz w:val="20"/>
          <w:szCs w:val="20"/>
          <w:color w:val="auto"/>
        </w:rPr>
        <w:t>”). Blueprint will and hereby does grant Zai the exclusive right to use such Global Brand</w:t>
      </w:r>
      <w:r>
        <w:rPr>
          <w:rFonts w:ascii="Arial" w:cs="Arial" w:eastAsia="Arial" w:hAnsi="Arial"/>
          <w:sz w:val="20"/>
          <w:szCs w:val="20"/>
          <w:b w:val="1"/>
          <w:bCs w:val="1"/>
          <w:color w:val="auto"/>
        </w:rPr>
        <w:t xml:space="preserve"> </w:t>
      </w:r>
      <w:r>
        <w:rPr>
          <w:rFonts w:ascii="Arial" w:cs="Arial" w:eastAsia="Arial" w:hAnsi="Arial"/>
          <w:sz w:val="20"/>
          <w:szCs w:val="20"/>
          <w:color w:val="auto"/>
        </w:rPr>
        <w:t>Elements in connection with the Commercialization of each Licensed Product in the Field in the Territory in accordance with the applicable Commercialization Plan.</w:t>
      </w:r>
    </w:p>
    <w:p>
      <w:pPr>
        <w:spacing w:after="0" w:line="193" w:lineRule="exact"/>
        <w:rPr>
          <w:sz w:val="20"/>
          <w:szCs w:val="20"/>
          <w:color w:val="auto"/>
        </w:rPr>
      </w:pPr>
    </w:p>
    <w:p>
      <w:pPr>
        <w:jc w:val="both"/>
        <w:ind w:left="1380" w:hanging="647"/>
        <w:spacing w:after="0" w:line="255" w:lineRule="auto"/>
        <w:rPr>
          <w:sz w:val="20"/>
          <w:szCs w:val="20"/>
          <w:color w:val="auto"/>
        </w:rPr>
      </w:pPr>
      <w:r>
        <w:rPr>
          <w:rFonts w:ascii="Arial" w:cs="Arial" w:eastAsia="Arial" w:hAnsi="Arial"/>
          <w:sz w:val="19"/>
          <w:szCs w:val="19"/>
          <w:color w:val="auto"/>
        </w:rPr>
        <w:t xml:space="preserve">14.9.2 </w:t>
      </w:r>
      <w:r>
        <w:rPr>
          <w:rFonts w:ascii="Arial" w:cs="Arial" w:eastAsia="Arial" w:hAnsi="Arial"/>
          <w:sz w:val="19"/>
          <w:szCs w:val="19"/>
          <w:b w:val="1"/>
          <w:bCs w:val="1"/>
          <w:color w:val="auto"/>
        </w:rPr>
        <w:t>Product Marks in the Territory</w:t>
      </w:r>
      <w:r>
        <w:rPr>
          <w:rFonts w:ascii="Arial" w:cs="Arial" w:eastAsia="Arial" w:hAnsi="Arial"/>
          <w:sz w:val="19"/>
          <w:szCs w:val="19"/>
          <w:color w:val="auto"/>
        </w:rPr>
        <w:t xml:space="preserve">. Zai will brand the Licensed Products in the Territory using Blueprint’s Global Brand Elements;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 Product Mark may deviate from Blueprint’s Global Brand Elements if (a) the JSC determines such Product Mark is not appropriate for the Territory due to linguistic reasons or market research showing that such Product Mark is not appropriate, (b) a Governmental Authority rejects or refuses such Product Mark for use in the Territory or such Product Mark is not registrable in the Territory, or (c) Zai reasonably desires alternative or additional trademarks in the applicable local language in the Territory. In the event of the foregoing (a), (b), or (c), Zai may select an alternative Licensed Product-specific trademark to use in connection with the Commercialization of Licensed Products in the Territory and will provide any such proposed Licensed Product-specific trademark to the JSC for review and comment prior to finally selecting and using any such proposed Licensed Product-specific trademark. Zai will not use any trademarks of Blueprint (including Blueprint’s corporate name) or any trademark confusingly similar thereto without Blueprint’s prior written consent. Following review thereof by the JSC, such Licensed Product-specific trademark will become a Product Mark for all purposes under this Agreement.</w:t>
      </w:r>
    </w:p>
    <w:p>
      <w:pPr>
        <w:spacing w:after="0" w:line="179" w:lineRule="exact"/>
        <w:rPr>
          <w:sz w:val="20"/>
          <w:szCs w:val="20"/>
          <w:color w:val="auto"/>
        </w:rPr>
      </w:pPr>
    </w:p>
    <w:p>
      <w:pPr>
        <w:jc w:val="both"/>
        <w:ind w:left="1300" w:hanging="647"/>
        <w:spacing w:after="0" w:line="257" w:lineRule="auto"/>
        <w:rPr>
          <w:sz w:val="20"/>
          <w:szCs w:val="20"/>
          <w:color w:val="auto"/>
        </w:rPr>
      </w:pPr>
      <w:r>
        <w:rPr>
          <w:rFonts w:ascii="Arial" w:cs="Arial" w:eastAsia="Arial" w:hAnsi="Arial"/>
          <w:sz w:val="20"/>
          <w:szCs w:val="20"/>
          <w:color w:val="auto"/>
        </w:rPr>
        <w:t xml:space="preserve">14.9.3 </w:t>
      </w:r>
      <w:r>
        <w:rPr>
          <w:rFonts w:ascii="Arial" w:cs="Arial" w:eastAsia="Arial" w:hAnsi="Arial"/>
          <w:sz w:val="20"/>
          <w:szCs w:val="20"/>
          <w:b w:val="1"/>
          <w:bCs w:val="1"/>
          <w:color w:val="auto"/>
        </w:rPr>
        <w:t>Ownership</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Blueprint will be the sole and exclusive owner of all Product Marks and Global Brand Elements, including all trademark registrations and applications therefor and all goodwill associated therewith. To the extent Zai acquires any rights, title, or interests in or to any Product Mark or Global Brand Element (including any trademark registration or application therefore or goodwill associated with any Product Mark), Zai will, and hereby does, assign the same to Blueprint. Blueprint will and hereby does grant Zai the exclusive right to use such Product Marks in connection with the Commercialization of the applicable Licensed Product in the Territory. Upon Zai’s request, Blueprint will register and maintain the Product Marks in the Territory using counsel of Blueprint’s choice and [****].</w:t>
      </w:r>
    </w:p>
    <w:p>
      <w:pPr>
        <w:spacing w:after="0" w:line="180"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14.9.4 </w:t>
      </w:r>
      <w:r>
        <w:rPr>
          <w:rFonts w:ascii="Arial" w:cs="Arial" w:eastAsia="Arial" w:hAnsi="Arial"/>
          <w:sz w:val="20"/>
          <w:szCs w:val="20"/>
          <w:b w:val="1"/>
          <w:bCs w:val="1"/>
          <w:color w:val="auto"/>
        </w:rPr>
        <w:t>Use</w:t>
      </w:r>
      <w:r>
        <w:rPr>
          <w:rFonts w:ascii="Arial" w:cs="Arial" w:eastAsia="Arial" w:hAnsi="Arial"/>
          <w:sz w:val="20"/>
          <w:szCs w:val="20"/>
          <w:color w:val="auto"/>
        </w:rPr>
        <w:t>. Zai agrees that it and its Affiliates and Sublicensees will Commercialize each of the Licensed Products in the Territory in a manner consistent with the Global Brand Elements and will: (a) ensure that all Licensed Products that are sold bearing the Product Marks and Global Brand Elements are of a high quality consistent with industry standards for global pharmaceutical and biologic therapeutic products; (b) ensure that each use of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9" w:name="page320"/>
    <w:bookmarkEnd w:id="319"/>
    <w:p>
      <w:pPr>
        <w:jc w:val="both"/>
        <w:ind w:left="1300"/>
        <w:spacing w:after="0" w:line="253" w:lineRule="auto"/>
        <w:rPr>
          <w:sz w:val="20"/>
          <w:szCs w:val="20"/>
          <w:color w:val="auto"/>
        </w:rPr>
      </w:pPr>
      <w:r>
        <w:rPr>
          <w:rFonts w:ascii="Arial" w:cs="Arial" w:eastAsia="Arial" w:hAnsi="Arial"/>
          <w:sz w:val="19"/>
          <w:szCs w:val="19"/>
          <w:color w:val="auto"/>
        </w:rPr>
        <w:t>Brand Elements and Product Marks by Zai and its Affiliates and Sublicensees is accompanied by an acknowledgement that such Global Brand Elements and Product Marks are owned by Blueprint; (c) not use such Global Brand Elements or Product Marks in a way that might materially prejudice their distinctiveness or validity or the goodwill of Blueprint therein and includes the trademark registration symbol ® or ™ as appropriate; (d) not use any trademarks or trade names so resembling any of such Global Brand Elements or Product Marks as to be likely to cause confusion or deception; and (e) place and display the Global Brand Elements and the Product Marks on and in connection with the Licensed Products in a way that acknowledges Blueprint’s role in discovering the Licensed Products and that such Licensed Product is under license from Blueprint. To the extent permitted by and consistent with Applicable Law, Zai will include the words (a) “</w:t>
      </w:r>
      <w:r>
        <w:rPr>
          <w:rFonts w:ascii="Arial" w:cs="Arial" w:eastAsia="Arial" w:hAnsi="Arial"/>
          <w:sz w:val="19"/>
          <w:szCs w:val="19"/>
          <w:i w:val="1"/>
          <w:iCs w:val="1"/>
          <w:color w:val="auto"/>
        </w:rPr>
        <w:t>Discovered by Blueprint Medicines Corporation</w:t>
      </w:r>
      <w:r>
        <w:rPr>
          <w:rFonts w:ascii="Arial" w:cs="Arial" w:eastAsia="Arial" w:hAnsi="Arial"/>
          <w:sz w:val="19"/>
          <w:szCs w:val="19"/>
          <w:color w:val="auto"/>
        </w:rPr>
        <w:t>” (or such other similar text provided by Blueprint and reasonably acceptable to Zai) on all packaging and labeling for any Licensed Product that is not a Blueprint/Zai Combination and in relevant scientific, medical, and other Licensed Product-related communications to the extent such communications address the Development or Commercialization of such a Licensed Product (that is not a Blueprint/Zai Combination), and (b) “</w:t>
      </w:r>
      <w:r>
        <w:rPr>
          <w:rFonts w:ascii="Arial" w:cs="Arial" w:eastAsia="Arial" w:hAnsi="Arial"/>
          <w:sz w:val="19"/>
          <w:szCs w:val="19"/>
          <w:i w:val="1"/>
          <w:iCs w:val="1"/>
          <w:color w:val="auto"/>
        </w:rPr>
        <w:t>Discovered in Collaboration by</w:t>
      </w:r>
      <w:r>
        <w:rPr>
          <w:rFonts w:ascii="Arial" w:cs="Arial" w:eastAsia="Arial" w:hAnsi="Arial"/>
          <w:sz w:val="19"/>
          <w:szCs w:val="19"/>
          <w:color w:val="auto"/>
        </w:rPr>
        <w:t xml:space="preserve"> </w:t>
      </w:r>
      <w:r>
        <w:rPr>
          <w:rFonts w:ascii="Arial" w:cs="Arial" w:eastAsia="Arial" w:hAnsi="Arial"/>
          <w:sz w:val="19"/>
          <w:szCs w:val="19"/>
          <w:i w:val="1"/>
          <w:iCs w:val="1"/>
          <w:color w:val="auto"/>
        </w:rPr>
        <w:t>Blueprint Medicines Corporation and Zai Pharmaceuticals</w:t>
      </w:r>
      <w:r>
        <w:rPr>
          <w:rFonts w:ascii="Arial" w:cs="Arial" w:eastAsia="Arial" w:hAnsi="Arial"/>
          <w:sz w:val="19"/>
          <w:szCs w:val="19"/>
          <w:color w:val="auto"/>
        </w:rPr>
        <w:t>” (or such other similar text provided by</w:t>
      </w:r>
      <w:r>
        <w:rPr>
          <w:rFonts w:ascii="Arial" w:cs="Arial" w:eastAsia="Arial" w:hAnsi="Arial"/>
          <w:sz w:val="19"/>
          <w:szCs w:val="19"/>
          <w:i w:val="1"/>
          <w:iCs w:val="1"/>
          <w:color w:val="auto"/>
        </w:rPr>
        <w:t xml:space="preserve"> </w:t>
      </w:r>
      <w:r>
        <w:rPr>
          <w:rFonts w:ascii="Arial" w:cs="Arial" w:eastAsia="Arial" w:hAnsi="Arial"/>
          <w:sz w:val="19"/>
          <w:szCs w:val="19"/>
          <w:color w:val="auto"/>
        </w:rPr>
        <w:t>Blueprint and reasonably acceptable to Zai) on all packaging and labeling for any Blueprint/Zai Combination (to the extent feasible, for example, if the Zai Product and the Blueprint Compound are co-packaged) and in relevant scientific, medical, and other Blueprint/Zai Combination-related communications to the extent such communications address the Development or Commercialization of a Blueprint/Zai Combination, in each case ((a) and (b)), in English unless required under Applicable Law to be in another language.</w:t>
      </w:r>
    </w:p>
    <w:p>
      <w:pPr>
        <w:spacing w:after="0" w:line="19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14.10</w:t>
        <w:tab/>
        <w:t>Patent Marking</w:t>
      </w:r>
      <w:r>
        <w:rPr>
          <w:rFonts w:ascii="Arial" w:cs="Arial" w:eastAsia="Arial" w:hAnsi="Arial"/>
          <w:sz w:val="20"/>
          <w:szCs w:val="20"/>
          <w:color w:val="auto"/>
        </w:rPr>
        <w:t>. Zai will mark all Licensed Products in accordance with the applicable patent marking laws,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require all of its Affiliates and Sublicensees to do the same. To the extent permitted by Applicable Law, Zai will indicate on the product packaging, advertisement and promotional materials that such Licensed Product is in-licensed from Blueprint.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194"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This Agreement will be effective as of the Effective Date, and will continue, on a Licensed Product-by-Licensed Product and region-by-region basis, in effect until the expiration of all payment obligations set forth under this Agreement with respect to such Licensed Product in such region (the “</w:t>
      </w:r>
      <w:r>
        <w:rPr>
          <w:rFonts w:ascii="Arial" w:cs="Arial" w:eastAsia="Arial" w:hAnsi="Arial"/>
          <w:sz w:val="18"/>
          <w:szCs w:val="18"/>
          <w:b w:val="1"/>
          <w:bCs w:val="1"/>
          <w:color w:val="auto"/>
        </w:rPr>
        <w:t>Term</w:t>
      </w:r>
      <w:r>
        <w:rPr>
          <w:rFonts w:ascii="Arial" w:cs="Arial" w:eastAsia="Arial" w:hAnsi="Arial"/>
          <w:sz w:val="18"/>
          <w:szCs w:val="18"/>
          <w:color w:val="auto"/>
        </w:rPr>
        <w:t>”). On a Licensed Product-by-Licensed Product and region-by-region basis, upon the natural expiration of this Agreement as contemplated in this Section 15.1 (Term), so long as at such time Zai has paid to Blueprint all undisputed amounts due under this Agreement and accrued prior to such natural expiration of the Term in accordance with the terms hereof and is not at such time in material breach of any term of this Agreement, the licenses granted to Zai under Section 2.1 (License Grants to Zai) will become non-exclusive, perpetual, and irrevocable.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53" w:lineRule="auto"/>
        <w:rPr>
          <w:sz w:val="20"/>
          <w:szCs w:val="20"/>
          <w:color w:val="auto"/>
        </w:rPr>
      </w:pPr>
      <w:r>
        <w:rPr>
          <w:rFonts w:ascii="Arial" w:cs="Arial" w:eastAsia="Arial" w:hAnsi="Arial"/>
          <w:sz w:val="20"/>
          <w:szCs w:val="20"/>
          <w:color w:val="auto"/>
        </w:rPr>
        <w:t xml:space="preserve">15.2.1 </w:t>
      </w:r>
      <w:r>
        <w:rPr>
          <w:rFonts w:ascii="Arial" w:cs="Arial" w:eastAsia="Arial" w:hAnsi="Arial"/>
          <w:sz w:val="20"/>
          <w:szCs w:val="20"/>
          <w:b w:val="1"/>
          <w:bCs w:val="1"/>
          <w:color w:val="auto"/>
        </w:rPr>
        <w:t>Termination by Zai for Convenience</w:t>
      </w:r>
      <w:r>
        <w:rPr>
          <w:rFonts w:ascii="Arial" w:cs="Arial" w:eastAsia="Arial" w:hAnsi="Arial"/>
          <w:sz w:val="20"/>
          <w:szCs w:val="20"/>
          <w:color w:val="auto"/>
        </w:rPr>
        <w:t>. Zai may terminate this Agreement in its entirety by providing a written notice of termination to Blueprint after the [****] anniversary of the Effective Date that includes an effective date of termination [****].</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15.2.2  </w:t>
      </w:r>
      <w:r>
        <w:rPr>
          <w:rFonts w:ascii="Arial" w:cs="Arial" w:eastAsia="Arial" w:hAnsi="Arial"/>
          <w:sz w:val="20"/>
          <w:szCs w:val="20"/>
          <w:b w:val="1"/>
          <w:bCs w:val="1"/>
          <w:color w:val="auto"/>
        </w:rPr>
        <w:t>Termination for Material Breach</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0" w:name="page321"/>
    <w:bookmarkEnd w:id="320"/>
    <w:p>
      <w:pPr>
        <w:jc w:val="both"/>
        <w:ind w:left="1420" w:hanging="495"/>
        <w:spacing w:after="0" w:line="268" w:lineRule="auto"/>
        <w:tabs>
          <w:tab w:leader="none" w:pos="142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Notice and Cure Period</w:t>
      </w:r>
      <w:r>
        <w:rPr>
          <w:rFonts w:ascii="Arial" w:cs="Arial" w:eastAsia="Arial" w:hAnsi="Arial"/>
          <w:sz w:val="18"/>
          <w:szCs w:val="18"/>
          <w:color w:val="auto"/>
        </w:rPr>
        <w:t>. If either Party believes in good faith that the other is in material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Agreement, then the non-breaching Party may deliver notice of such breach to the other Party stating the cause and proposed remedy (“</w:t>
      </w:r>
      <w:r>
        <w:rPr>
          <w:rFonts w:ascii="Arial" w:cs="Arial" w:eastAsia="Arial" w:hAnsi="Arial"/>
          <w:sz w:val="18"/>
          <w:szCs w:val="18"/>
          <w:b w:val="1"/>
          <w:bCs w:val="1"/>
          <w:color w:val="auto"/>
        </w:rPr>
        <w:t>Breach Notification</w:t>
      </w:r>
      <w:r>
        <w:rPr>
          <w:rFonts w:ascii="Arial" w:cs="Arial" w:eastAsia="Arial" w:hAnsi="Arial"/>
          <w:sz w:val="18"/>
          <w:szCs w:val="18"/>
          <w:color w:val="auto"/>
        </w:rPr>
        <w:t xml:space="preserve">”). For any breach arising from a failure to make a payment set forth in this Agreement, the allegedly breaching Party will have [****] from the receipt of the applicable Breach Notice to dispute or cure such breach. If the Party receiving notice of breach fails to cure, or fails to dispute, that breach within the applicable period set forth above, then the Party originally delivering the Breach Notification may terminate this Agreement effective on written notice of termination to the other Party. For all breaches other than a failure to make a payment as set forth in this Agreement, the allegedly breaching Party will have [****] from the date of the Breach Notification to dispute or cure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breach (other than a payment breach) is not reasonably capable of cure within such [****] period, but is capable of cure within [****] from the date of such Breach Notification, then the breaching Party may submit, within [****] of such Breach Notification, a reasonable cure plan to remedy such breach as soon as possible and in any event prior to the end of such [****] period that is reasonably acceptable to the non-breaching Party, and, upon such submission, the [****] cure period will be automatically extended for so long as the breaching Party continues to use reasonable efforts to cure such breach in accordance with the cure plan, but for no more than [****]. Notwithstanding the foregoing, if the allegedly breaching Party disputes in good faith the existence or materiality of the alleged breach, then the other Party will not have the right to terminate this Agreement unless and until an arbitrator issues a final award pursuant to Section 16.3 (Arbitration) that the allegedly breaching Party has materially breached a term of this Agreement. During the pendency of such a dispute, all of the terms of this Agreement will remain in effect and the Parties will continue to perform all of their respective obligations hereunder. The cure period will be tolled starting as of the date of such notice of a dispute from the allegedly breaching Party and for the remainder of the pendency of any such dispute and such breaching Party will have the time remaining of the applicable cure period to cure the applicable breach after such award finding such breach is issued.</w:t>
      </w:r>
    </w:p>
    <w:p>
      <w:pPr>
        <w:spacing w:after="0" w:line="174" w:lineRule="exact"/>
        <w:rPr>
          <w:sz w:val="20"/>
          <w:szCs w:val="20"/>
          <w:color w:val="auto"/>
        </w:rPr>
      </w:pPr>
    </w:p>
    <w:p>
      <w:pPr>
        <w:jc w:val="both"/>
        <w:ind w:left="920" w:hanging="647"/>
        <w:spacing w:after="0" w:line="269" w:lineRule="auto"/>
        <w:rPr>
          <w:sz w:val="20"/>
          <w:szCs w:val="20"/>
          <w:color w:val="auto"/>
        </w:rPr>
      </w:pPr>
      <w:r>
        <w:rPr>
          <w:rFonts w:ascii="Arial" w:cs="Arial" w:eastAsia="Arial" w:hAnsi="Arial"/>
          <w:sz w:val="20"/>
          <w:szCs w:val="20"/>
          <w:color w:val="auto"/>
        </w:rPr>
        <w:t xml:space="preserve">15.2.3 </w:t>
      </w:r>
      <w:r>
        <w:rPr>
          <w:rFonts w:ascii="Arial" w:cs="Arial" w:eastAsia="Arial" w:hAnsi="Arial"/>
          <w:sz w:val="20"/>
          <w:szCs w:val="20"/>
          <w:b w:val="1"/>
          <w:bCs w:val="1"/>
          <w:color w:val="auto"/>
        </w:rPr>
        <w:t>Termination for Patent Challenge</w:t>
      </w:r>
      <w:r>
        <w:rPr>
          <w:rFonts w:ascii="Arial" w:cs="Arial" w:eastAsia="Arial" w:hAnsi="Arial"/>
          <w:sz w:val="20"/>
          <w:szCs w:val="20"/>
          <w:color w:val="auto"/>
        </w:rPr>
        <w:t>.</w:t>
      </w:r>
      <w:r>
        <w:rPr>
          <w:sz w:val="20"/>
          <w:szCs w:val="20"/>
          <w:color w:val="auto"/>
        </w:rPr>
        <w:t xml:space="preserve"> </w:t>
      </w:r>
      <w:r>
        <w:rPr>
          <w:rFonts w:ascii="Arial" w:cs="Arial" w:eastAsia="Arial" w:hAnsi="Arial"/>
          <w:sz w:val="18"/>
          <w:szCs w:val="18"/>
          <w:color w:val="auto"/>
        </w:rPr>
        <w:t>Except to the extent unenforceable under the Applicable Law, Blueprint may terminate this Agreement by providing written notice of termination to Zai if Zai or its Affiliates or Sublicensees (individually or in association with any Person) contests or assists a Third Party in contesting the scope, validity, or enforceability of any Blueprint Patent Right, Blueprint Manufacturing Patent Right, or Joint Collaboration Patent Right anywhere in the world in any court, tribunal, arbitration proceeding, or other proceeding, including the U.S. Patent and Trademark Office and the U.S. International Trade Commission (a “</w:t>
      </w:r>
      <w:r>
        <w:rPr>
          <w:rFonts w:ascii="Arial" w:cs="Arial" w:eastAsia="Arial" w:hAnsi="Arial"/>
          <w:sz w:val="18"/>
          <w:szCs w:val="18"/>
          <w:b w:val="1"/>
          <w:bCs w:val="1"/>
          <w:color w:val="auto"/>
        </w:rPr>
        <w:t>Patent Challenge</w:t>
      </w:r>
      <w:r>
        <w:rPr>
          <w:rFonts w:ascii="Arial" w:cs="Arial" w:eastAsia="Arial" w:hAnsi="Arial"/>
          <w:sz w:val="18"/>
          <w:szCs w:val="18"/>
          <w:color w:val="auto"/>
        </w:rPr>
        <w:t>”) unless Zai or its applicable Affiliate withdraws, cancels, or otherwise terminates such Patent Challenge within [****] following the earlier of (a) Blueprint’s notice or</w:t>
      </w:r>
    </w:p>
    <w:p>
      <w:pPr>
        <w:spacing w:after="0" w:line="2" w:lineRule="exact"/>
        <w:rPr>
          <w:sz w:val="20"/>
          <w:szCs w:val="20"/>
          <w:color w:val="auto"/>
        </w:rPr>
      </w:pPr>
    </w:p>
    <w:p>
      <w:pPr>
        <w:jc w:val="both"/>
        <w:ind w:left="920" w:firstLine="5"/>
        <w:spacing w:after="0"/>
        <w:tabs>
          <w:tab w:leader="none" w:pos="120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date on which Zai or its applicable Affiliate had written notice, or otherwise first became aware (as evidenced by written records), of such Patent Challenge[****] if: (i) [****] or (ii) [****] this Section 15.2.3 [****] As used herein, a Patent Challenge includes: (A) filing an action under 28 U.S.C. §§ 2201-2202 seeking a declaration of invalidity or unenforceability of any such Patent Right; (B) filing, or joining in, a petition under 35 U.S.C. § 311 to institute inter partes review of any such Patent Right; (C) filing, or joining in, a petition under 35 U.S.C. § 321 to institute post-grant review of any such Patent Right or any portion thereof; (D)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321" w:name="page322"/>
    <w:bookmarkEnd w:id="321"/>
    <w:p>
      <w:pPr>
        <w:ind w:left="1380"/>
        <w:spacing w:after="0" w:line="316" w:lineRule="auto"/>
        <w:rPr>
          <w:sz w:val="20"/>
          <w:szCs w:val="20"/>
          <w:color w:val="auto"/>
        </w:rPr>
      </w:pPr>
      <w:r>
        <w:rPr>
          <w:rFonts w:ascii="Arial" w:cs="Arial" w:eastAsia="Arial" w:hAnsi="Arial"/>
          <w:sz w:val="18"/>
          <w:szCs w:val="18"/>
          <w:color w:val="auto"/>
        </w:rPr>
        <w:t>or commencing any opposition, nullity, or similar proceedings challenging the validity of any such Patent Right in any country or region; or (E) any foreign equivalent of clauses (A), (B), (C), or (D) [****].</w:t>
      </w:r>
    </w:p>
    <w:p>
      <w:pPr>
        <w:spacing w:after="0" w:line="124" w:lineRule="exact"/>
        <w:rPr>
          <w:sz w:val="20"/>
          <w:szCs w:val="20"/>
          <w:color w:val="auto"/>
        </w:rPr>
      </w:pPr>
    </w:p>
    <w:p>
      <w:pPr>
        <w:jc w:val="both"/>
        <w:ind w:left="1380" w:hanging="647"/>
        <w:spacing w:after="0" w:line="269" w:lineRule="auto"/>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b w:val="1"/>
          <w:bCs w:val="1"/>
          <w:color w:val="auto"/>
        </w:rPr>
        <w:t>Cessation of Development and Commercialization</w:t>
      </w:r>
      <w:r>
        <w:rPr>
          <w:rFonts w:ascii="Arial" w:cs="Arial" w:eastAsia="Arial" w:hAnsi="Arial"/>
          <w:sz w:val="18"/>
          <w:szCs w:val="18"/>
          <w:color w:val="auto"/>
        </w:rPr>
        <w:t>. If Zai and its Affiliates do not conduct any material Development or Commercialization activities with respect to one or more Licensed Products [****], and such suspension of activity is not: [****] then Blueprint may, at its election, terminate this Agreement upon [****] prior written notice to Zai if Zai does not commence material Development or Commercialization activities with respect to one or more Licensed Products before the expiration of such [****] notice period. Notwithstanding the foregoing, if Blueprint gives a notice of termination to Zai pursuant to this Section 15.2.4 (Cessation of Development or Commercialization), and Zai provides notice during such [****] period that it disputes the basis for termination pursuant to this Section 15.2.4 (Cessation of Development or Commercialization), then this Agreement will not terminate unless and until an arbitrator issues a final award pursuant to Section 16.3 (Arbitration) upholding such basis for termination. During the pendency of such a dispute, all of the terms of this Agreement will remain in effect and the Parties will continue to perform all of their respective obligations hereunder. The [****] notice period will be tolled starting as of the date of such notice of a dispute from Zai and for the remainder of the pendency of any such dispute and Zai will have the time remaining of the notice period to commence material Development or Commercialization activities with respect to one or more Licensed Products after the arbitrator has upheld the basis for termination.</w:t>
      </w:r>
    </w:p>
    <w:p>
      <w:pPr>
        <w:spacing w:after="0" w:line="176" w:lineRule="exact"/>
        <w:rPr>
          <w:sz w:val="20"/>
          <w:szCs w:val="20"/>
          <w:color w:val="auto"/>
        </w:rPr>
      </w:pPr>
    </w:p>
    <w:p>
      <w:pPr>
        <w:jc w:val="both"/>
        <w:ind w:left="1380" w:hanging="647"/>
        <w:spacing w:after="0" w:line="275" w:lineRule="auto"/>
        <w:rPr>
          <w:sz w:val="20"/>
          <w:szCs w:val="20"/>
          <w:color w:val="auto"/>
        </w:rPr>
      </w:pPr>
      <w:r>
        <w:rPr>
          <w:rFonts w:ascii="Arial" w:cs="Arial" w:eastAsia="Arial" w:hAnsi="Arial"/>
          <w:sz w:val="18"/>
          <w:szCs w:val="18"/>
          <w:color w:val="auto"/>
        </w:rPr>
        <w:t xml:space="preserve">15.2.5 </w:t>
      </w:r>
      <w:r>
        <w:rPr>
          <w:rFonts w:ascii="Arial" w:cs="Arial" w:eastAsia="Arial" w:hAnsi="Arial"/>
          <w:sz w:val="18"/>
          <w:szCs w:val="18"/>
          <w:b w:val="1"/>
          <w:bCs w:val="1"/>
          <w:color w:val="auto"/>
        </w:rPr>
        <w:t>Termination for Insolvency</w:t>
      </w:r>
      <w:r>
        <w:rPr>
          <w:rFonts w:ascii="Arial" w:cs="Arial" w:eastAsia="Arial" w:hAnsi="Arial"/>
          <w:sz w:val="18"/>
          <w:szCs w:val="18"/>
          <w:color w:val="auto"/>
        </w:rPr>
        <w:t>. Each Party will have the right to terminate this Agreement upon delivery of written notice to the other Party if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 [****] of its filing, or (c) such other Party makes an assignment of substantially all of its assets for the benefit of its creditors.</w:t>
      </w:r>
    </w:p>
    <w:p>
      <w:pPr>
        <w:spacing w:after="0" w:line="162" w:lineRule="exact"/>
        <w:rPr>
          <w:sz w:val="20"/>
          <w:szCs w:val="20"/>
          <w:color w:val="auto"/>
        </w:rPr>
      </w:pPr>
    </w:p>
    <w:p>
      <w:pPr>
        <w:jc w:val="both"/>
        <w:ind w:left="1380" w:hanging="647"/>
        <w:spacing w:after="0" w:line="280" w:lineRule="auto"/>
        <w:rPr>
          <w:sz w:val="20"/>
          <w:szCs w:val="20"/>
          <w:color w:val="auto"/>
        </w:rPr>
      </w:pPr>
      <w:r>
        <w:rPr>
          <w:rFonts w:ascii="Arial" w:cs="Arial" w:eastAsia="Arial" w:hAnsi="Arial"/>
          <w:sz w:val="18"/>
          <w:szCs w:val="18"/>
          <w:color w:val="auto"/>
        </w:rPr>
        <w:t xml:space="preserve">15.2.6 </w:t>
      </w:r>
      <w:r>
        <w:rPr>
          <w:rFonts w:ascii="Arial" w:cs="Arial" w:eastAsia="Arial" w:hAnsi="Arial"/>
          <w:sz w:val="18"/>
          <w:szCs w:val="18"/>
          <w:b w:val="1"/>
          <w:bCs w:val="1"/>
          <w:color w:val="auto"/>
        </w:rPr>
        <w:t>Full Force and Effect During Notice Period</w:t>
      </w:r>
      <w:r>
        <w:rPr>
          <w:rFonts w:ascii="Arial" w:cs="Arial" w:eastAsia="Arial" w:hAnsi="Arial"/>
          <w:sz w:val="18"/>
          <w:szCs w:val="18"/>
          <w:color w:val="auto"/>
        </w:rPr>
        <w:t>. This Agreement will remain in full force and effect until the expiration of the applicable termination notice period. For clarity, if Zai or any of its Affiliates or Sublicensees achieve any Milestone Event during the termination notice period, then the corresponding Milestone Payment is accrued and Zai will remain responsible for the payment of such Milestone Payment even if the due date of such Milestone Payment occurs after the effective date of the termination.</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8"/>
          <w:szCs w:val="18"/>
          <w:b w:val="1"/>
          <w:bCs w:val="1"/>
          <w:color w:val="auto"/>
        </w:rPr>
        <w:t>Effect of Termination</w:t>
      </w:r>
      <w:r>
        <w:rPr>
          <w:rFonts w:ascii="Arial" w:cs="Arial" w:eastAsia="Arial" w:hAnsi="Arial"/>
          <w:sz w:val="18"/>
          <w:szCs w:val="18"/>
          <w:color w:val="auto"/>
        </w:rPr>
        <w:t>. Upon the termination of this Agreement (but not expiration of this Agreement):</w:t>
      </w:r>
    </w:p>
    <w:p>
      <w:pPr>
        <w:spacing w:after="0" w:line="216" w:lineRule="exact"/>
        <w:rPr>
          <w:sz w:val="20"/>
          <w:szCs w:val="20"/>
          <w:color w:val="auto"/>
        </w:rPr>
      </w:pPr>
    </w:p>
    <w:p>
      <w:pPr>
        <w:jc w:val="both"/>
        <w:ind w:left="1380" w:hanging="647"/>
        <w:spacing w:after="0" w:line="277" w:lineRule="auto"/>
        <w:rPr>
          <w:sz w:val="20"/>
          <w:szCs w:val="20"/>
          <w:color w:val="auto"/>
        </w:rPr>
      </w:pPr>
      <w:r>
        <w:rPr>
          <w:rFonts w:ascii="Arial" w:cs="Arial" w:eastAsia="Arial" w:hAnsi="Arial"/>
          <w:sz w:val="18"/>
          <w:szCs w:val="18"/>
          <w:color w:val="auto"/>
        </w:rPr>
        <w:t xml:space="preserve">15.3.1 </w:t>
      </w:r>
      <w:r>
        <w:rPr>
          <w:rFonts w:ascii="Arial" w:cs="Arial" w:eastAsia="Arial" w:hAnsi="Arial"/>
          <w:sz w:val="18"/>
          <w:szCs w:val="18"/>
          <w:b w:val="1"/>
          <w:bCs w:val="1"/>
          <w:color w:val="auto"/>
        </w:rPr>
        <w:t>Licenses</w:t>
      </w:r>
      <w:r>
        <w:rPr>
          <w:rFonts w:ascii="Arial" w:cs="Arial" w:eastAsia="Arial" w:hAnsi="Arial"/>
          <w:sz w:val="18"/>
          <w:szCs w:val="18"/>
          <w:color w:val="auto"/>
        </w:rPr>
        <w:t>. As of the effective date of termination of this Agreement (but not expiration of this Agreement), all licenses and all other rights granted by Blueprint to Zai under the Blueprint Technology and Blueprint Manufacturing Technology will terminate and all sublicenses granted by Zai pursuant to Section 2.2 (Sublicensing and Subcontractors) will also terminate. Each Party will retain its joint ownership interests in the Joint Collaboration Technology. In addition, upon the termination of this Agreement (but not expiration of this Agreement) Blueprint will have, and Zai hereby grants to Blueprint,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2" w:name="page323"/>
    <w:bookmarkEnd w:id="322"/>
    <w:p>
      <w:pPr>
        <w:jc w:val="both"/>
        <w:ind w:left="920"/>
        <w:spacing w:after="0" w:line="268" w:lineRule="auto"/>
        <w:rPr>
          <w:sz w:val="20"/>
          <w:szCs w:val="20"/>
          <w:color w:val="auto"/>
        </w:rPr>
      </w:pPr>
      <w:r>
        <w:rPr>
          <w:rFonts w:ascii="Arial" w:cs="Arial" w:eastAsia="Arial" w:hAnsi="Arial"/>
          <w:sz w:val="18"/>
          <w:szCs w:val="18"/>
          <w:color w:val="auto"/>
        </w:rPr>
        <w:t>effective upon such termination, a worldwide, exclusive, perpetual, royalty-bearing [****] and sublicenseable (through multiple tiers) license under the Zai Technology, Zai’s interests in the Joint Collaboration Technology and any Zai Identified Rights, in each case, Controlled by Zai as of the effective date of such termination and solely to Exploit the Licensed Products (in the form that such Licensed Products exist as of the effective date of termination). In addition to [****], subject to Blueprint’s right to decline a license or sublicense of Zai In-Licensed Rights in accordance with the terms of Section 2.6.6(b) (Right to Decline Zai In-Licensed Rights) or by providing written notice to Zai within [****] of the effective date of termination of this Agreement declining such rights, Blueprint will reimburse Zai for amounts owed under such Zai Third Party IP Agreement in accordance with Section 2.6.6(c) (Responsibility for Costs of Zai In-Licensed Rights). In addition, Zai will assign to Blueprint any Third Party IP Agreement pursuant to which Zai then Controls any Zai Identified Rights, if such Third Party IP Agreement is specific to the terminated Licensed Product and if permitted under such Third Party IP Agreement (and will use reasonable efforts to seek any consent required from the applicable Third Party in connection with such an assignment). If such Third Party IP Agreement cannot be assigned to Blueprint, then upon Blueprint’s reasonable request, Zai will maintain such Third Party IP Agreement and Blueprint will pay to Zai [****] of all payments due to the applicable Third Party under any such Third Party IP Agreement in consideration of the sublicense to Blueprint and Blueprint’s Exploitation of such Zai Identified Rights. If Zai is unable to sublicense any Zai Identified Rights to Blueprint pursuant to this Section 15.3.1 (Effect of Termination; Licenses) without the consent of the Third Party, then Zai undertakes, on request from Blueprint, to use reasonable efforts to procure such licenses with respect to the applicable Licensed Products on behalf of Blueprint to the extent that it is able to do so, and Blueprint will pay such fees and agree to be bound by the terms agreed between Zai and the Third Party licensor.</w:t>
      </w:r>
    </w:p>
    <w:p>
      <w:pPr>
        <w:spacing w:after="0" w:line="174" w:lineRule="exact"/>
        <w:rPr>
          <w:sz w:val="20"/>
          <w:szCs w:val="20"/>
          <w:color w:val="auto"/>
        </w:rPr>
      </w:pPr>
    </w:p>
    <w:p>
      <w:pPr>
        <w:jc w:val="both"/>
        <w:ind w:left="920" w:hanging="647"/>
        <w:spacing w:after="0" w:line="269" w:lineRule="auto"/>
        <w:rPr>
          <w:sz w:val="20"/>
          <w:szCs w:val="20"/>
          <w:color w:val="auto"/>
        </w:rPr>
      </w:pPr>
      <w:r>
        <w:rPr>
          <w:rFonts w:ascii="Arial" w:cs="Arial" w:eastAsia="Arial" w:hAnsi="Arial"/>
          <w:sz w:val="18"/>
          <w:szCs w:val="18"/>
          <w:color w:val="auto"/>
        </w:rPr>
        <w:t xml:space="preserve">15.3.2 </w:t>
      </w:r>
      <w:r>
        <w:rPr>
          <w:rFonts w:ascii="Arial" w:cs="Arial" w:eastAsia="Arial" w:hAnsi="Arial"/>
          <w:sz w:val="18"/>
          <w:szCs w:val="18"/>
          <w:b w:val="1"/>
          <w:bCs w:val="1"/>
          <w:color w:val="auto"/>
        </w:rPr>
        <w:t>Appointment as Exclusive Distributor</w:t>
      </w:r>
      <w:r>
        <w:rPr>
          <w:rFonts w:ascii="Arial" w:cs="Arial" w:eastAsia="Arial" w:hAnsi="Arial"/>
          <w:sz w:val="18"/>
          <w:szCs w:val="18"/>
          <w:color w:val="auto"/>
        </w:rPr>
        <w:t xml:space="preserve">. If Zai is Commercializing any Licensed Product in any region in the Territory as of the effective date of termination of this Agreement (but not expiration of this Agreement), then, at Blueprint’s election (in its sole discretion) in the event of termination of this Agreement by Blueprint pursuant to Section 15.2.2 (Termination for Material Breach), Section 15.2.5 (Termination for Insolvency), or Section 15.2.4 (Cessation of Development and Commercialization), by Zai pursuant to Section 15.2.1 (Termination by Zai for Convenience), or in all other cases, at Zai’s election (in its sole discretion), on a region-by-region basis in the Territory, until such time as all Regulatory Approvals with respect to such Licensed Product in such region have been assigned and transferred to Blueprint, either (a) Zai will (with Blueprint’s consent in the event such election is made by Zai) appoint Blueprint or its designee as its exclusive distributor of such Licensed Product in such region and grant Blueprint or its designee the right to appoint sub-distributors, to the extent not prohibited by any written agreement between Zai or any of its Affiliates and a Third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Blueprint will purchase any and all salable inventory of the Licensed Product held by Zai or its Affiliates as of the effective date of termination [****] or (b) Zai will have the continued right to sell the Licensed Product in such region from its inventory;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Zai’s obligations under this Agreement with respect to all such Licensed Product that Zai sells following termination, including the obligation to remit Royalty Payments to Blueprint hereunder, will continue in full force and effect during such period.</w:t>
      </w:r>
    </w:p>
    <w:p>
      <w:pPr>
        <w:spacing w:after="0" w:line="174" w:lineRule="exact"/>
        <w:rPr>
          <w:sz w:val="20"/>
          <w:szCs w:val="20"/>
          <w:color w:val="auto"/>
        </w:rPr>
      </w:pPr>
    </w:p>
    <w:p>
      <w:pPr>
        <w:jc w:val="both"/>
        <w:ind w:left="920" w:hanging="647"/>
        <w:spacing w:after="0" w:line="253" w:lineRule="auto"/>
        <w:rPr>
          <w:sz w:val="20"/>
          <w:szCs w:val="20"/>
          <w:color w:val="auto"/>
        </w:rPr>
      </w:pPr>
      <w:r>
        <w:rPr>
          <w:rFonts w:ascii="Arial" w:cs="Arial" w:eastAsia="Arial" w:hAnsi="Arial"/>
          <w:sz w:val="20"/>
          <w:szCs w:val="20"/>
          <w:color w:val="auto"/>
        </w:rPr>
        <w:t xml:space="preserve">15.3.3 </w:t>
      </w:r>
      <w:r>
        <w:rPr>
          <w:rFonts w:ascii="Arial" w:cs="Arial" w:eastAsia="Arial" w:hAnsi="Arial"/>
          <w:sz w:val="20"/>
          <w:szCs w:val="20"/>
          <w:b w:val="1"/>
          <w:bCs w:val="1"/>
          <w:color w:val="auto"/>
        </w:rPr>
        <w:t>Regulatory Submissions and Regulatory Approvals</w:t>
      </w:r>
      <w:r>
        <w:rPr>
          <w:rFonts w:ascii="Arial" w:cs="Arial" w:eastAsia="Arial" w:hAnsi="Arial"/>
          <w:sz w:val="20"/>
          <w:szCs w:val="20"/>
          <w:color w:val="auto"/>
        </w:rPr>
        <w:t>. To the extent requested by Blueprint following the date that a Party provides notice of termination of this Agreement (but not expiration of this Agreement), Zai will and hereby does, and will cause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323" w:name="page324"/>
    <w:bookmarkEnd w:id="323"/>
    <w:p>
      <w:pPr>
        <w:jc w:val="both"/>
        <w:ind w:left="920"/>
        <w:spacing w:after="0" w:line="269" w:lineRule="auto"/>
        <w:rPr>
          <w:sz w:val="20"/>
          <w:szCs w:val="20"/>
          <w:color w:val="auto"/>
        </w:rPr>
      </w:pPr>
      <w:r>
        <w:rPr>
          <w:rFonts w:ascii="Arial" w:cs="Arial" w:eastAsia="Arial" w:hAnsi="Arial"/>
          <w:sz w:val="18"/>
          <w:szCs w:val="18"/>
          <w:color w:val="auto"/>
        </w:rPr>
        <w:t xml:space="preserve">Affiliates and Sublicensees to, (a) [****] assign and transfer to Blueprint or its designee all of Zai’s rights, title, and interests in and to all Regulatory Submissions and Regulatory Approvals for Licensed Products then owned or Controlled by Zai or any of its Affiliates or Sublicensees, and (b) to the extent assignment pursuant to clause (a) is delayed or is not permitted by the applicable Regulatory Authority, permit Blueprint to cross-reference and rely upon any Regulatory Submissions and Regulatory Approvals filed by Zai with respect to a Licensed Product. Zai will take all steps necessary to transfer ownership of all such assigned Regulatory Submissions and Regulatory Approvals to Blueprint, including submitting to each applicable Regulatory Authority a letter or other necessary documentation (with a copy to Blueprint) notifying such Regulatory Authority of the transfer of such ownership of each Regulatory Submission and Regulatory Approval. In addition, upon Blueprint’s written request, Zai will [****] provide to Blueprint copies of all material related documentation, including material non-clinical, preclinical, and clinical data that are held by or reasonably available to Zai or its Affiliates or Sublicensees. The Parties will discuss and establish appropriate arrangements with respect to safety data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Blueprint will assume all safety and safety database activities with respect to all Licensed Products no later than [****] after the effective date of termination of this Agreement.</w:t>
      </w:r>
    </w:p>
    <w:p>
      <w:pPr>
        <w:spacing w:after="0" w:line="173" w:lineRule="exact"/>
        <w:rPr>
          <w:sz w:val="20"/>
          <w:szCs w:val="20"/>
          <w:color w:val="auto"/>
        </w:rPr>
      </w:pPr>
    </w:p>
    <w:p>
      <w:pPr>
        <w:ind w:left="920" w:right="20" w:hanging="647"/>
        <w:spacing w:after="0" w:line="323" w:lineRule="auto"/>
        <w:rPr>
          <w:sz w:val="20"/>
          <w:szCs w:val="20"/>
          <w:color w:val="auto"/>
        </w:rPr>
      </w:pPr>
      <w:r>
        <w:rPr>
          <w:rFonts w:ascii="Arial" w:cs="Arial" w:eastAsia="Arial" w:hAnsi="Arial"/>
          <w:sz w:val="18"/>
          <w:szCs w:val="18"/>
          <w:color w:val="auto"/>
        </w:rPr>
        <w:t xml:space="preserve">15.3.4 </w:t>
      </w:r>
      <w:r>
        <w:rPr>
          <w:rFonts w:ascii="Arial" w:cs="Arial" w:eastAsia="Arial" w:hAnsi="Arial"/>
          <w:sz w:val="18"/>
          <w:szCs w:val="18"/>
          <w:b w:val="1"/>
          <w:bCs w:val="1"/>
          <w:color w:val="auto"/>
        </w:rPr>
        <w:t>Assignment and Disclosure</w:t>
      </w:r>
      <w:r>
        <w:rPr>
          <w:rFonts w:ascii="Arial" w:cs="Arial" w:eastAsia="Arial" w:hAnsi="Arial"/>
          <w:sz w:val="18"/>
          <w:szCs w:val="18"/>
          <w:color w:val="auto"/>
        </w:rPr>
        <w:t>. To the extent requested by Blueprint following the date that a Party provides notice of termination of this Agreement, Zai will promptly upon request (and in any event within [****]):</w:t>
      </w:r>
    </w:p>
    <w:p>
      <w:pPr>
        <w:spacing w:after="0" w:line="124" w:lineRule="exact"/>
        <w:rPr>
          <w:sz w:val="20"/>
          <w:szCs w:val="20"/>
          <w:color w:val="auto"/>
        </w:rPr>
      </w:pPr>
    </w:p>
    <w:p>
      <w:pPr>
        <w:jc w:val="both"/>
        <w:ind w:left="1420" w:hanging="495"/>
        <w:spacing w:after="0" w:line="278" w:lineRule="auto"/>
        <w:tabs>
          <w:tab w:leader="none" w:pos="1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assign and transfer to Blueprint or its designee all of Zai’s rights, title, and interests in and to all clinical trial agreements, manufacturing and supply agreements, and distribution agreements (to the extent assignable and not cancelled), confidentiality and other agreements, data and other Know-How (including commercial information) in Zai’s Control, in each case, relating solely to any Licensed Product and that are necessary or useful for the Exploitation of any Licensed Product;</w:t>
      </w:r>
    </w:p>
    <w:p>
      <w:pPr>
        <w:spacing w:after="0" w:line="164" w:lineRule="exact"/>
        <w:rPr>
          <w:rFonts w:ascii="Arial" w:cs="Arial" w:eastAsia="Arial" w:hAnsi="Arial"/>
          <w:sz w:val="18"/>
          <w:szCs w:val="18"/>
          <w:color w:val="auto"/>
        </w:rPr>
      </w:pPr>
    </w:p>
    <w:p>
      <w:pPr>
        <w:jc w:val="both"/>
        <w:ind w:left="1420" w:hanging="495"/>
        <w:spacing w:after="0" w:line="250" w:lineRule="auto"/>
        <w:tabs>
          <w:tab w:leader="none" w:pos="14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disclose to Blueprint or its designee all documents, records, and materials related to Licensed Products that are controlled by Zai or that Zai is able to obtain using reasonable efforts, and that embody the foregoing; and</w:t>
      </w:r>
    </w:p>
    <w:p>
      <w:pPr>
        <w:spacing w:after="0" w:line="185" w:lineRule="exact"/>
        <w:rPr>
          <w:rFonts w:ascii="Arial" w:cs="Arial" w:eastAsia="Arial" w:hAnsi="Arial"/>
          <w:sz w:val="20"/>
          <w:szCs w:val="20"/>
          <w:color w:val="auto"/>
        </w:rPr>
      </w:pPr>
    </w:p>
    <w:p>
      <w:pPr>
        <w:jc w:val="both"/>
        <w:ind w:left="1420" w:hanging="495"/>
        <w:spacing w:after="0" w:line="246" w:lineRule="auto"/>
        <w:tabs>
          <w:tab w:leader="none" w:pos="14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assign and transfer to Blueprint or its designee all of Zai’s rights, title, and interests in and to any promotional materials, training materials, medical education materials, packaging and labeling, and all other literature or other information solely related to Licensed Products and copyrights and any registrations for the foregoing.</w:t>
      </w:r>
    </w:p>
    <w:p>
      <w:pPr>
        <w:spacing w:after="0" w:line="191" w:lineRule="exact"/>
        <w:rPr>
          <w:sz w:val="20"/>
          <w:szCs w:val="20"/>
          <w:color w:val="auto"/>
        </w:rPr>
      </w:pPr>
    </w:p>
    <w:p>
      <w:pPr>
        <w:jc w:val="both"/>
        <w:ind w:left="840"/>
        <w:spacing w:after="0" w:line="255" w:lineRule="auto"/>
        <w:rPr>
          <w:sz w:val="20"/>
          <w:szCs w:val="20"/>
          <w:color w:val="auto"/>
        </w:rPr>
      </w:pPr>
      <w:r>
        <w:rPr>
          <w:rFonts w:ascii="Arial" w:cs="Arial" w:eastAsia="Arial" w:hAnsi="Arial"/>
          <w:sz w:val="19"/>
          <w:szCs w:val="19"/>
          <w:color w:val="auto"/>
        </w:rPr>
        <w:t>Unless this Agreement is terminated by Zai pursuant to Section 15.2.2 (Termination for Material Breach) or Section 15.2.5 (Termination for Insolvency), the costs and expenses associated with the assignments set forth in this Section 15.3.4 (Assignment and Disclosure) will be borne by Zai. To the extent that any agreement or other asset described in this Section 15.3.4 (Assignment and Disclosure) is not assignable by Zai, then such agreement or other asset will not be assigned, and upon the request of Blueprint, Zai will take such steps as may be necessary to allow Blueprint to obtain and to enjoy the benefits of such agreement or other asset, without additional payment therefor, in the form of a license or other right to the extent Zai has the right and ability to do so. For clarity, Blueprint will have the right to request that Zai take any or all of the foregoing actions in whole or in part, or with respect to all or any portion of the assets set forth in this Section 15.3.4 (Assignment and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324" w:name="page325"/>
    <w:bookmarkEnd w:id="324"/>
    <w:p>
      <w:pPr>
        <w:jc w:val="both"/>
        <w:ind w:left="920" w:hanging="647"/>
        <w:spacing w:after="0" w:line="256" w:lineRule="auto"/>
        <w:rPr>
          <w:sz w:val="20"/>
          <w:szCs w:val="20"/>
          <w:color w:val="auto"/>
        </w:rPr>
      </w:pPr>
      <w:r>
        <w:rPr>
          <w:rFonts w:ascii="Arial" w:cs="Arial" w:eastAsia="Arial" w:hAnsi="Arial"/>
          <w:sz w:val="20"/>
          <w:szCs w:val="20"/>
          <w:color w:val="auto"/>
        </w:rPr>
        <w:t xml:space="preserve">15.3.5 </w:t>
      </w:r>
      <w:r>
        <w:rPr>
          <w:rFonts w:ascii="Arial" w:cs="Arial" w:eastAsia="Arial" w:hAnsi="Arial"/>
          <w:sz w:val="20"/>
          <w:szCs w:val="20"/>
          <w:b w:val="1"/>
          <w:bCs w:val="1"/>
          <w:color w:val="auto"/>
        </w:rPr>
        <w:t>Regulatory Transfer Support</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In furtherance of the assignment of Regulatory Submissions and Regulatory Approvals and other data pursuant to Section 15.3.3 (Regulatory Submissions and Regulatory Approvals) and Section 15.3.4 (Assignment and Disclosure), Zai will appoint Blueprint as Zai’s or its Affiliate’s agent for all Licensed Product-related matters involving Regulatory Authorities until all Regulatory Approvals, Regulatory Submissions, and other governmental or regulatory filings that are not then in Blueprint’s or its Affiliate’s name have been assigned to Blueprint or its designee. In the event of failure to obtain such assignment, Zai hereby consents and grants to Blueprint the right to access and reference (without any further action required on the part of Zai, whose authorization to file this consent with any Regulatory Authority is hereby granted) any such item with respect to the Licensed Products.</w:t>
      </w:r>
    </w:p>
    <w:p>
      <w:pPr>
        <w:spacing w:after="0" w:line="184" w:lineRule="exact"/>
        <w:rPr>
          <w:sz w:val="20"/>
          <w:szCs w:val="20"/>
          <w:color w:val="auto"/>
        </w:rPr>
      </w:pPr>
    </w:p>
    <w:p>
      <w:pPr>
        <w:jc w:val="both"/>
        <w:ind w:left="920" w:hanging="647"/>
        <w:spacing w:after="0" w:line="260" w:lineRule="auto"/>
        <w:rPr>
          <w:sz w:val="20"/>
          <w:szCs w:val="20"/>
          <w:color w:val="auto"/>
        </w:rPr>
      </w:pPr>
      <w:r>
        <w:rPr>
          <w:rFonts w:ascii="Arial" w:cs="Arial" w:eastAsia="Arial" w:hAnsi="Arial"/>
          <w:sz w:val="19"/>
          <w:szCs w:val="19"/>
          <w:color w:val="auto"/>
        </w:rPr>
        <w:t xml:space="preserve">15.3.6 </w:t>
      </w:r>
      <w:r>
        <w:rPr>
          <w:rFonts w:ascii="Arial" w:cs="Arial" w:eastAsia="Arial" w:hAnsi="Arial"/>
          <w:sz w:val="19"/>
          <w:szCs w:val="19"/>
          <w:b w:val="1"/>
          <w:bCs w:val="1"/>
          <w:color w:val="auto"/>
        </w:rPr>
        <w:t>Know-How Transfer Support</w:t>
      </w:r>
      <w:r>
        <w:rPr>
          <w:rFonts w:ascii="Arial" w:cs="Arial" w:eastAsia="Arial" w:hAnsi="Arial"/>
          <w:sz w:val="19"/>
          <w:szCs w:val="19"/>
          <w:color w:val="auto"/>
        </w:rPr>
        <w:t>. In furtherance of the assignment of Know-How pursuant to Section 15.3.4 (Assignment and Disclosure) and in addition to the requirements in Section 15.3.9 (Supply Following Termination), Zai will for a period of [****] from the effective date of termination of this Agreement, provide such consultation or other assistance as Blueprint may reasonably request to assist Blueprint in becoming familiar with such Know-How in order for Blueprint to undertake further Exploitation of the Licensed Products following termination of this Agreement [****].</w:t>
      </w:r>
    </w:p>
    <w:p>
      <w:pPr>
        <w:spacing w:after="0" w:line="173" w:lineRule="exact"/>
        <w:rPr>
          <w:sz w:val="20"/>
          <w:szCs w:val="20"/>
          <w:color w:val="auto"/>
        </w:rPr>
      </w:pPr>
    </w:p>
    <w:p>
      <w:pPr>
        <w:jc w:val="both"/>
        <w:ind w:left="920" w:hanging="647"/>
        <w:spacing w:after="0" w:line="260" w:lineRule="auto"/>
        <w:rPr>
          <w:sz w:val="20"/>
          <w:szCs w:val="20"/>
          <w:color w:val="auto"/>
        </w:rPr>
      </w:pPr>
      <w:r>
        <w:rPr>
          <w:rFonts w:ascii="Arial" w:cs="Arial" w:eastAsia="Arial" w:hAnsi="Arial"/>
          <w:sz w:val="19"/>
          <w:szCs w:val="19"/>
          <w:color w:val="auto"/>
        </w:rPr>
        <w:t xml:space="preserve">15.3.7 </w:t>
      </w:r>
      <w:r>
        <w:rPr>
          <w:rFonts w:ascii="Arial" w:cs="Arial" w:eastAsia="Arial" w:hAnsi="Arial"/>
          <w:sz w:val="19"/>
          <w:szCs w:val="19"/>
          <w:b w:val="1"/>
          <w:bCs w:val="1"/>
          <w:color w:val="auto"/>
        </w:rPr>
        <w:t>Inventory</w:t>
      </w:r>
      <w:r>
        <w:rPr>
          <w:rFonts w:ascii="Arial" w:cs="Arial" w:eastAsia="Arial" w:hAnsi="Arial"/>
          <w:sz w:val="19"/>
          <w:szCs w:val="19"/>
          <w:color w:val="auto"/>
        </w:rPr>
        <w:t xml:space="preserve">. At Blueprint’s election and request, Zai will transfer to Blueprint or its designee some or all inventory of each Licensed Product (including all final product, bulk drug substance, intermediates, works-in-process, formulation materials, reference standards, drug product clinical reserve samples, packaged retention samples, and the like) then in the possession or Control of Zai, its Affiliates or Sublicensees;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Blueprint will [****] and</w:t>
      </w:r>
      <w:r>
        <w:rPr>
          <w:rFonts w:ascii="Arial" w:cs="Arial" w:eastAsia="Arial" w:hAnsi="Arial"/>
          <w:sz w:val="19"/>
          <w:szCs w:val="19"/>
          <w:i w:val="1"/>
          <w:iCs w:val="1"/>
          <w:color w:val="auto"/>
        </w:rPr>
        <w:t xml:space="preserve"> provided further </w:t>
      </w:r>
      <w:r>
        <w:rPr>
          <w:rFonts w:ascii="Arial" w:cs="Arial" w:eastAsia="Arial" w:hAnsi="Arial"/>
          <w:sz w:val="19"/>
          <w:szCs w:val="19"/>
          <w:color w:val="auto"/>
        </w:rPr>
        <w:t>that Zai may retain inventory to the extent retained</w:t>
      </w:r>
      <w:r>
        <w:rPr>
          <w:rFonts w:ascii="Arial" w:cs="Arial" w:eastAsia="Arial" w:hAnsi="Arial"/>
          <w:sz w:val="19"/>
          <w:szCs w:val="19"/>
          <w:i w:val="1"/>
          <w:iCs w:val="1"/>
          <w:color w:val="auto"/>
        </w:rPr>
        <w:t xml:space="preserve"> </w:t>
      </w:r>
      <w:r>
        <w:rPr>
          <w:rFonts w:ascii="Arial" w:cs="Arial" w:eastAsia="Arial" w:hAnsi="Arial"/>
          <w:sz w:val="19"/>
          <w:szCs w:val="19"/>
          <w:color w:val="auto"/>
        </w:rPr>
        <w:t>to exercise its rights under Section 15.3.2 (Appointment of Exclusive Distributor).</w:t>
      </w:r>
    </w:p>
    <w:p>
      <w:pPr>
        <w:spacing w:after="0" w:line="173" w:lineRule="exact"/>
        <w:rPr>
          <w:sz w:val="20"/>
          <w:szCs w:val="20"/>
          <w:color w:val="auto"/>
        </w:rPr>
      </w:pPr>
    </w:p>
    <w:p>
      <w:pPr>
        <w:jc w:val="both"/>
        <w:ind w:left="920" w:hanging="647"/>
        <w:spacing w:after="0" w:line="269" w:lineRule="auto"/>
        <w:rPr>
          <w:sz w:val="20"/>
          <w:szCs w:val="20"/>
          <w:color w:val="auto"/>
        </w:rPr>
      </w:pPr>
      <w:r>
        <w:rPr>
          <w:rFonts w:ascii="Arial" w:cs="Arial" w:eastAsia="Arial" w:hAnsi="Arial"/>
          <w:sz w:val="18"/>
          <w:szCs w:val="18"/>
          <w:color w:val="auto"/>
        </w:rPr>
        <w:t xml:space="preserve">15.3.8 </w:t>
      </w:r>
      <w:r>
        <w:rPr>
          <w:rFonts w:ascii="Arial" w:cs="Arial" w:eastAsia="Arial" w:hAnsi="Arial"/>
          <w:sz w:val="18"/>
          <w:szCs w:val="18"/>
          <w:b w:val="1"/>
          <w:bCs w:val="1"/>
          <w:color w:val="auto"/>
        </w:rPr>
        <w:t>Wind Down and Transition</w:t>
      </w:r>
      <w:r>
        <w:rPr>
          <w:rFonts w:ascii="Arial" w:cs="Arial" w:eastAsia="Arial" w:hAnsi="Arial"/>
          <w:sz w:val="18"/>
          <w:szCs w:val="18"/>
          <w:color w:val="auto"/>
        </w:rPr>
        <w:t>. Zai will be responsible, [****] for the wind-down of Zai’s and its Affiliates’ and its Sublicensees’ Exploitation of all Licensed Products. Zai will, and will cause its Affiliates and Sublicensees to, reasonably cooperate with Blueprint to facilitate orderly transition of the Exploitation of each Licensed Product to Blueprint or its designee, including (a) assigning or amending as appropriate, upon request of Blueprint, any agreements or arrangements with Third Party vendors (including distributors) solely related to the Exploitation of each Licensed Product or, to the extent any such Third Party agreement or arrangement is not assignable to Blueprint, reasonably cooperating with Blueprint to arrange to continue to provide such services for a reasonable time after termination of this Agreement; and</w:t>
      </w:r>
    </w:p>
    <w:p>
      <w:pPr>
        <w:spacing w:after="0" w:line="2" w:lineRule="exact"/>
        <w:rPr>
          <w:sz w:val="20"/>
          <w:szCs w:val="20"/>
          <w:color w:val="auto"/>
        </w:rPr>
      </w:pPr>
    </w:p>
    <w:p>
      <w:pPr>
        <w:jc w:val="both"/>
        <w:ind w:left="920" w:firstLine="5"/>
        <w:spacing w:after="0" w:line="241" w:lineRule="auto"/>
        <w:tabs>
          <w:tab w:leader="none" w:pos="1214"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to the extent that Zai or its Affiliate is performing any activities described in the foregoing clause (a), reasonably cooperating with Blueprint to transfer such activities to Blueprint or its designee and continuing to perform such activities on Blueprint’s behalf for a reasonable time after termination of this Agreement until such transfer is completed.</w:t>
      </w:r>
    </w:p>
    <w:p>
      <w:pPr>
        <w:spacing w:after="0" w:line="188" w:lineRule="exact"/>
        <w:rPr>
          <w:sz w:val="20"/>
          <w:szCs w:val="20"/>
          <w:color w:val="auto"/>
        </w:rPr>
      </w:pPr>
    </w:p>
    <w:p>
      <w:pPr>
        <w:jc w:val="both"/>
        <w:ind w:left="920" w:hanging="647"/>
        <w:spacing w:after="0" w:line="259" w:lineRule="auto"/>
        <w:rPr>
          <w:sz w:val="20"/>
          <w:szCs w:val="20"/>
          <w:color w:val="auto"/>
        </w:rPr>
      </w:pPr>
      <w:r>
        <w:rPr>
          <w:rFonts w:ascii="Arial" w:cs="Arial" w:eastAsia="Arial" w:hAnsi="Arial"/>
          <w:sz w:val="19"/>
          <w:szCs w:val="19"/>
          <w:color w:val="auto"/>
        </w:rPr>
        <w:t xml:space="preserve">15.3.9 </w:t>
      </w:r>
      <w:r>
        <w:rPr>
          <w:rFonts w:ascii="Arial" w:cs="Arial" w:eastAsia="Arial" w:hAnsi="Arial"/>
          <w:sz w:val="19"/>
          <w:szCs w:val="19"/>
          <w:b w:val="1"/>
          <w:bCs w:val="1"/>
          <w:color w:val="auto"/>
        </w:rPr>
        <w:t>Supply Following Termination</w:t>
      </w:r>
      <w:r>
        <w:rPr>
          <w:rFonts w:ascii="Arial" w:cs="Arial" w:eastAsia="Arial" w:hAnsi="Arial"/>
          <w:sz w:val="19"/>
          <w:szCs w:val="19"/>
          <w:color w:val="auto"/>
        </w:rPr>
        <w:t>. If, as of the effective date of termination of this Agreement, Blueprint has completed the Manufacturing Technology Transfer for a one or more Licensed Products and Zai is Manufacturing one or more such Licensed Products, then at Blueprint’s written request, Zai will supply to Blueprint such quantities of such Licensed Product (in bulk drug substance, bulk drug product, or finished drug product form, as requested by Blueprint, to the extent within Zai’s then current capacity restrictions as of the effective date of termination) as Blueprint indicates in written forecasts and orders therefor from time to time [****] until [****] (a) [****]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325" w:name="page326"/>
    <w:bookmarkEnd w:id="325"/>
    <w:p>
      <w:pPr>
        <w:jc w:val="both"/>
        <w:ind w:left="920"/>
        <w:spacing w:after="0" w:line="255" w:lineRule="auto"/>
        <w:rPr>
          <w:sz w:val="20"/>
          <w:szCs w:val="20"/>
          <w:color w:val="auto"/>
        </w:rPr>
      </w:pPr>
      <w:r>
        <w:rPr>
          <w:rFonts w:ascii="Arial" w:cs="Arial" w:eastAsia="Arial" w:hAnsi="Arial"/>
          <w:sz w:val="19"/>
          <w:szCs w:val="19"/>
          <w:color w:val="auto"/>
        </w:rPr>
        <w:t>[****]. In addition, upon Blueprint’s request, Zai will (i) provide a [****] technology transfer to Blueprint or its designee of information and materials [****] for Blueprint or its designee to Manufacture such Licensed Product in each formulation of such Licensed Product (as it exists at the time of termination of this Agreement and to the extent such information was not previously transferred by or on behalf of Blueprint to Zai or its Affiliate or designee), including providing reasonable assistance to Blueprint or its designee in connection therewith upon request, and (ii) assign to Blueprint any agreement that [****] relates to the Manufacture or supply of Licensed Products in the Territory, to the extent that such contract is assignable. If any such agreement is not assignable, then Zai will cooperate with Blueprint in all reasonable respects to secure the consent of the applicable Third Party to such assignment or to cause such Third Party to enter into a separate agreement with Blueprint on terms substantially similar to those granted to Zai. [****]</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15.3.10 </w:t>
      </w:r>
      <w:r>
        <w:rPr>
          <w:rFonts w:ascii="Arial" w:cs="Arial" w:eastAsia="Arial" w:hAnsi="Arial"/>
          <w:sz w:val="20"/>
          <w:szCs w:val="20"/>
          <w:b w:val="1"/>
          <w:bCs w:val="1"/>
          <w:color w:val="auto"/>
        </w:rPr>
        <w:t>Ongoing Clinical Trials</w:t>
      </w:r>
      <w:r>
        <w:rPr>
          <w:rFonts w:ascii="Arial" w:cs="Arial" w:eastAsia="Arial" w:hAnsi="Arial"/>
          <w:sz w:val="20"/>
          <w:szCs w:val="20"/>
          <w:color w:val="auto"/>
        </w:rPr>
        <w:t>.</w:t>
      </w:r>
    </w:p>
    <w:p>
      <w:pPr>
        <w:spacing w:after="0" w:line="216" w:lineRule="exact"/>
        <w:rPr>
          <w:sz w:val="20"/>
          <w:szCs w:val="20"/>
          <w:color w:val="auto"/>
        </w:rPr>
      </w:pPr>
    </w:p>
    <w:p>
      <w:pPr>
        <w:ind w:left="1420" w:hanging="495"/>
        <w:spacing w:after="0" w:line="272" w:lineRule="auto"/>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Transfer to Blueprint</w:t>
      </w:r>
      <w:r>
        <w:rPr>
          <w:rFonts w:ascii="Arial" w:cs="Arial" w:eastAsia="Arial" w:hAnsi="Arial"/>
          <w:sz w:val="18"/>
          <w:szCs w:val="18"/>
          <w:color w:val="auto"/>
        </w:rPr>
        <w:t>. If, as of the effective date of termination of this Agreement, Zai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are conducting any Clinical Trials for Licensed Products, then, at Blueprint’s election on a Clinical Trial-by-Clinical Trial basis, Zai will fully cooperate, and will ensure that its Affiliates fully cooperate, with Blueprint to transfer the conduct of such Clinical Trial to Blueprint or its designees. If Blueprint so elects, then Zai will continue to conduct such Clinical Trial [****] to enable such transfer to be completed without interruption of any such Clinical Trial (including the assignment of all related Regulatory Submissions and investigator and other agreements related to such Clinical Trials). [****] Zai will provide such knowledge transfer and other training to Blueprint or its designated Affiliate or Third Party as reasonably necessary for Blueprint or such designated Affiliate or Third Party to continue such Clinical Trial for the applicable Licensed Product.</w:t>
      </w:r>
    </w:p>
    <w:p>
      <w:pPr>
        <w:spacing w:after="0" w:line="165" w:lineRule="exact"/>
        <w:rPr>
          <w:rFonts w:ascii="Arial" w:cs="Arial" w:eastAsia="Arial" w:hAnsi="Arial"/>
          <w:sz w:val="18"/>
          <w:szCs w:val="18"/>
          <w:color w:val="auto"/>
        </w:rPr>
      </w:pPr>
    </w:p>
    <w:p>
      <w:pPr>
        <w:jc w:val="both"/>
        <w:ind w:left="1420" w:hanging="495"/>
        <w:spacing w:after="0" w:line="248" w:lineRule="auto"/>
        <w:tabs>
          <w:tab w:leader="none" w:pos="1420" w:val="left"/>
        </w:tabs>
        <w:numPr>
          <w:ilvl w:val="0"/>
          <w:numId w:val="192"/>
        </w:numPr>
        <w:rPr>
          <w:rFonts w:ascii="Arial" w:cs="Arial" w:eastAsia="Arial" w:hAnsi="Arial"/>
          <w:sz w:val="20"/>
          <w:szCs w:val="20"/>
          <w:color w:val="auto"/>
        </w:rPr>
      </w:pPr>
      <w:r>
        <w:rPr>
          <w:rFonts w:ascii="Arial" w:cs="Arial" w:eastAsia="Arial" w:hAnsi="Arial"/>
          <w:sz w:val="20"/>
          <w:szCs w:val="20"/>
          <w:b w:val="1"/>
          <w:bCs w:val="1"/>
          <w:color w:val="auto"/>
        </w:rPr>
        <w:t>Wind-Down</w:t>
      </w:r>
      <w:r>
        <w:rPr>
          <w:rFonts w:ascii="Arial" w:cs="Arial" w:eastAsia="Arial" w:hAnsi="Arial"/>
          <w:sz w:val="20"/>
          <w:szCs w:val="20"/>
          <w:color w:val="auto"/>
        </w:rPr>
        <w:t>. If Blueprint does not elect to assume control over or have Zai continue to conduct any</w:t>
      </w:r>
      <w:r>
        <w:rPr>
          <w:rFonts w:ascii="Arial" w:cs="Arial" w:eastAsia="Arial" w:hAnsi="Arial"/>
          <w:sz w:val="20"/>
          <w:szCs w:val="20"/>
          <w:b w:val="1"/>
          <w:bCs w:val="1"/>
          <w:color w:val="auto"/>
        </w:rPr>
        <w:t xml:space="preserve"> </w:t>
      </w:r>
      <w:r>
        <w:rPr>
          <w:rFonts w:ascii="Arial" w:cs="Arial" w:eastAsia="Arial" w:hAnsi="Arial"/>
          <w:sz w:val="20"/>
          <w:szCs w:val="20"/>
          <w:color w:val="auto"/>
        </w:rPr>
        <w:t>such Clinical Trials for a Licensed Product, then Zai will, in accordance with accepted pharmaceutical industry norms and ethical practices, wind-down the conduct of any such Clinical Trial in an orderly manner. Zai will be responsible for [****].</w:t>
      </w:r>
    </w:p>
    <w:p>
      <w:pPr>
        <w:spacing w:after="0" w:line="183" w:lineRule="exact"/>
        <w:rPr>
          <w:sz w:val="20"/>
          <w:szCs w:val="20"/>
          <w:color w:val="auto"/>
        </w:rPr>
      </w:pPr>
    </w:p>
    <w:p>
      <w:pPr>
        <w:jc w:val="both"/>
        <w:ind w:left="920" w:hanging="647"/>
        <w:spacing w:after="0" w:line="257" w:lineRule="auto"/>
        <w:rPr>
          <w:sz w:val="20"/>
          <w:szCs w:val="20"/>
          <w:color w:val="auto"/>
        </w:rPr>
      </w:pPr>
      <w:r>
        <w:rPr>
          <w:rFonts w:ascii="Arial" w:cs="Arial" w:eastAsia="Arial" w:hAnsi="Arial"/>
          <w:sz w:val="19"/>
          <w:szCs w:val="19"/>
          <w:color w:val="auto"/>
        </w:rPr>
        <w:t xml:space="preserve">15.3.11 </w:t>
      </w:r>
      <w:r>
        <w:rPr>
          <w:rFonts w:ascii="Arial" w:cs="Arial" w:eastAsia="Arial" w:hAnsi="Arial"/>
          <w:sz w:val="19"/>
          <w:szCs w:val="19"/>
          <w:b w:val="1"/>
          <w:bCs w:val="1"/>
          <w:color w:val="auto"/>
        </w:rPr>
        <w:t>Sublicense Survival</w:t>
      </w:r>
      <w:r>
        <w:rPr>
          <w:rFonts w:ascii="Arial" w:cs="Arial" w:eastAsia="Arial" w:hAnsi="Arial"/>
          <w:sz w:val="19"/>
          <w:szCs w:val="19"/>
          <w:color w:val="auto"/>
        </w:rPr>
        <w:t xml:space="preserve">. Upon termination of this Agreement, upon the request of any Sublicensee of Zai that was granted a sublicense in accordance with the terms of Section 2.2.1 (Right to Sublicense) and that is not then in breach of its sublicense agreement or the terms of this Agreement applicable to such Sublicensee, Blueprint will negotiate [****] with such Sublicensee with respect to the grant of a direct license to such Sublicensee, which license will not be broader in license scope, territory, or duration than such sublicense agreement granted by Zai to such Sublicensee and not more burdensome on Blueprint [****] and no less favorable to Blueprint than the financial terms of Article 10 (Payments) for the scope, territory, and duration of such sublicense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Sublicensee agrees to comply with all applicable terms of this Agreement.</w:t>
      </w:r>
    </w:p>
    <w:p>
      <w:pPr>
        <w:spacing w:after="0" w:line="176" w:lineRule="exact"/>
        <w:rPr>
          <w:sz w:val="20"/>
          <w:szCs w:val="20"/>
          <w:color w:val="auto"/>
        </w:rPr>
      </w:pPr>
    </w:p>
    <w:p>
      <w:pPr>
        <w:jc w:val="both"/>
        <w:ind w:left="920" w:hanging="647"/>
        <w:spacing w:after="0" w:line="246" w:lineRule="auto"/>
        <w:rPr>
          <w:sz w:val="20"/>
          <w:szCs w:val="20"/>
          <w:color w:val="auto"/>
        </w:rPr>
      </w:pPr>
      <w:r>
        <w:rPr>
          <w:rFonts w:ascii="Arial" w:cs="Arial" w:eastAsia="Arial" w:hAnsi="Arial"/>
          <w:sz w:val="20"/>
          <w:szCs w:val="20"/>
          <w:color w:val="auto"/>
        </w:rPr>
        <w:t xml:space="preserve">15.3.12 </w:t>
      </w:r>
      <w:r>
        <w:rPr>
          <w:rFonts w:ascii="Arial" w:cs="Arial" w:eastAsia="Arial" w:hAnsi="Arial"/>
          <w:sz w:val="20"/>
          <w:szCs w:val="20"/>
          <w:b w:val="1"/>
          <w:bCs w:val="1"/>
          <w:color w:val="auto"/>
        </w:rPr>
        <w:t>Return of Confidential Information</w:t>
      </w:r>
      <w:r>
        <w:rPr>
          <w:rFonts w:ascii="Arial" w:cs="Arial" w:eastAsia="Arial" w:hAnsi="Arial"/>
          <w:sz w:val="20"/>
          <w:szCs w:val="20"/>
          <w:color w:val="auto"/>
        </w:rPr>
        <w:t>. At the Disclosing Party’s election, the Receiving Party will return (at Disclosing Party’s expense) or destroy all tangible materials comprising, bearing, or containing any Confidential Information of the Disclosing Party relating to any Licensed Product that are in the Receiving Party’s or its Affiliates’ or Sublicensees’ possession or control and provide written certification of such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326" w:name="page327"/>
    <w:bookmarkEnd w:id="326"/>
    <w:p>
      <w:pPr>
        <w:jc w:val="both"/>
        <w:ind w:left="1360"/>
        <w:spacing w:after="0" w:line="274" w:lineRule="auto"/>
        <w:rPr>
          <w:sz w:val="20"/>
          <w:szCs w:val="20"/>
          <w:color w:val="auto"/>
        </w:rPr>
      </w:pPr>
      <w:r>
        <w:rPr>
          <w:rFonts w:ascii="Arial" w:cs="Arial" w:eastAsia="Arial" w:hAnsi="Arial"/>
          <w:sz w:val="18"/>
          <w:szCs w:val="18"/>
          <w:color w:val="auto"/>
        </w:rPr>
        <w:t xml:space="preserve">(except to the extent any information is the Confidential Information of both Parties or to the extent that the Receiving Party has the continuing right to use the Confidential Information under this Agreement);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Receiving Party may retain one copy of such Confidential Information for its legal</w:t>
      </w:r>
      <w:r>
        <w:rPr>
          <w:rFonts w:ascii="Arial" w:cs="Arial" w:eastAsia="Arial" w:hAnsi="Arial"/>
          <w:sz w:val="18"/>
          <w:szCs w:val="18"/>
          <w:i w:val="1"/>
          <w:iCs w:val="1"/>
          <w:color w:val="auto"/>
        </w:rPr>
        <w:t xml:space="preserve"> </w:t>
      </w:r>
      <w:r>
        <w:rPr>
          <w:rFonts w:ascii="Arial" w:cs="Arial" w:eastAsia="Arial" w:hAnsi="Arial"/>
          <w:sz w:val="18"/>
          <w:szCs w:val="18"/>
          <w:color w:val="auto"/>
        </w:rPr>
        <w:t>archives. Notwithstanding anything to the contrary set forth in this Agreement,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62" w:lineRule="exact"/>
        <w:rPr>
          <w:sz w:val="20"/>
          <w:szCs w:val="20"/>
          <w:color w:val="auto"/>
        </w:rPr>
      </w:pPr>
    </w:p>
    <w:p>
      <w:pPr>
        <w:jc w:val="both"/>
        <w:ind w:left="1360" w:right="20" w:hanging="647"/>
        <w:spacing w:after="0" w:line="246" w:lineRule="auto"/>
        <w:rPr>
          <w:sz w:val="20"/>
          <w:szCs w:val="20"/>
          <w:color w:val="auto"/>
        </w:rPr>
      </w:pPr>
      <w:r>
        <w:rPr>
          <w:rFonts w:ascii="Arial" w:cs="Arial" w:eastAsia="Arial" w:hAnsi="Arial"/>
          <w:sz w:val="20"/>
          <w:szCs w:val="20"/>
          <w:color w:val="auto"/>
        </w:rPr>
        <w:t xml:space="preserve">15.3.13 </w:t>
      </w:r>
      <w:r>
        <w:rPr>
          <w:rFonts w:ascii="Arial" w:cs="Arial" w:eastAsia="Arial" w:hAnsi="Arial"/>
          <w:sz w:val="20"/>
          <w:szCs w:val="20"/>
          <w:b w:val="1"/>
          <w:bCs w:val="1"/>
          <w:color w:val="auto"/>
        </w:rPr>
        <w:t>Further Assistance</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Zai will provide any other assistance or take any other actions, in each case, reasonably requested by Blueprint as necessary to give effect to this Section 15.3 (Effect of Termination), and will execute all documents as may be reasonably requested by Blueprint in order to give effect to this Section 15.3 (Effect of Termination).</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15.3.14 [****]</w:t>
      </w:r>
    </w:p>
    <w:p>
      <w:pPr>
        <w:spacing w:after="0" w:line="210" w:lineRule="exact"/>
        <w:rPr>
          <w:sz w:val="20"/>
          <w:szCs w:val="20"/>
          <w:color w:val="auto"/>
        </w:rPr>
      </w:pPr>
    </w:p>
    <w:p>
      <w:pPr>
        <w:jc w:val="both"/>
        <w:ind w:left="1360" w:hanging="647"/>
        <w:spacing w:after="0" w:line="248" w:lineRule="auto"/>
        <w:rPr>
          <w:sz w:val="20"/>
          <w:szCs w:val="20"/>
          <w:color w:val="auto"/>
        </w:rPr>
      </w:pPr>
      <w:r>
        <w:rPr>
          <w:rFonts w:ascii="Arial" w:cs="Arial" w:eastAsia="Arial" w:hAnsi="Arial"/>
          <w:sz w:val="20"/>
          <w:szCs w:val="20"/>
          <w:color w:val="auto"/>
        </w:rPr>
        <w:t xml:space="preserve">15.3.15 </w:t>
      </w:r>
      <w:r>
        <w:rPr>
          <w:rFonts w:ascii="Arial" w:cs="Arial" w:eastAsia="Arial" w:hAnsi="Arial"/>
          <w:sz w:val="20"/>
          <w:szCs w:val="20"/>
          <w:b w:val="1"/>
          <w:bCs w:val="1"/>
          <w:color w:val="auto"/>
        </w:rPr>
        <w:t>Blueprint/Zai Combinations</w:t>
      </w:r>
      <w:r>
        <w:rPr>
          <w:rFonts w:ascii="Arial" w:cs="Arial" w:eastAsia="Arial" w:hAnsi="Arial"/>
          <w:sz w:val="20"/>
          <w:szCs w:val="20"/>
          <w:color w:val="auto"/>
        </w:rPr>
        <w:t>. Notwithstanding any provision to the contrary set forth in this Agreement, the effects of termination as it relates to any Blueprint/Zai Combination will be subject to the applicable terms agreed upon by the Parties for such Blueprint/Zai Combination under Section 5.8 (Proposed Blueprint/Zai Combinations).</w:t>
      </w:r>
    </w:p>
    <w:p>
      <w:pPr>
        <w:spacing w:after="0" w:line="183"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8"/>
          <w:szCs w:val="18"/>
          <w:b w:val="1"/>
          <w:bCs w:val="1"/>
          <w:color w:val="auto"/>
        </w:rPr>
        <w:t>Termination Press Releases</w:t>
      </w:r>
      <w:r>
        <w:rPr>
          <w:rFonts w:ascii="Arial" w:cs="Arial" w:eastAsia="Arial" w:hAnsi="Arial"/>
          <w:sz w:val="18"/>
          <w:szCs w:val="18"/>
          <w:color w:val="auto"/>
        </w:rPr>
        <w:t>. In the event of termination of this Agreement for any reason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11.7.1 (Press Release), the Parties will cooperate in good faith to coordinate public disclosure of such termination and the reasons therefor, and will not, except to the extent required by Applicable Law, disclose such information without the prior approval of the other Party. In any such disclosures, the Parties will observe the principles of accuracy, compliance with Applicable Law, and regulatory guidance documents, and reasonable sensitivity to potential negative investor reaction to such news.</w:t>
      </w:r>
    </w:p>
    <w:p>
      <w:pPr>
        <w:spacing w:after="0" w:line="160"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expiration or termination. Without limiting the foregoing, the following provisions of this Agreement will survive the expiration or termination of this Agreement: Article 1 (Definitions), Section 2.3.2 (Outside of Territory), Section 5.15 (Development Records), Section 5.17 (Data Exchange and Use) (to the extent set forth therein), Section 10.3.4 (Royalty Reports and Payments) (with respect to payments becoming due during the Term), Section 10.5 (Other Amounts Payable) (with respect to amounts becoming due during the Term), Section 10.11 (Financial Records and Audits) (with respect to payments becoming due during the Term), Section 11.1 (Duty of Confidence), Section 11.2 (Confidential Information), Section 11.3 (Authorized Disclosures), Section 11.4 (Tax Treatment), Section 11.5 (Publications), Section 11.8 (Attorney-Client Privilege), Section 12.8 (Time for Claims), Article 13 (Indemnification), Section 14.1 (Inventions), Section 14.2.3 (Joint Collaboration Technology), Section 14.2.4 (Cooperation), Section 14.9.3 (Ownership), Section 15.1 (Term), Section 15.3 (Effect of Termination), Section 15.4 (Termination Press Releases), Section 15.5 (Survival), Section 15.6 (Termination Not Sole Remedy), Article 16 (Dispute Resolution), and Article 17 (Miscellaneous).</w:t>
      </w:r>
    </w:p>
    <w:p>
      <w:pPr>
        <w:spacing w:after="0" w:line="17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15.6</w:t>
        <w:tab/>
        <w:t>Termination Not Sole Remedy</w:t>
      </w:r>
      <w:r>
        <w:rPr>
          <w:rFonts w:ascii="Arial" w:cs="Arial" w:eastAsia="Arial" w:hAnsi="Arial"/>
          <w:sz w:val="20"/>
          <w:szCs w:val="20"/>
          <w:color w:val="auto"/>
        </w:rPr>
        <w:t>. Termination is not the sole remedy under this Agreement and, whether or not</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is effected and notwithstanding anything to the contrary set forth in this Agreement, all other remedies will remain available except as expressly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DISPUTE RESOLUTION</w:t>
      </w:r>
    </w:p>
    <w:p>
      <w:pPr>
        <w:spacing w:after="0" w:line="194"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16.1</w:t>
        <w:tab/>
        <w:t>General</w:t>
      </w:r>
      <w:r>
        <w:rPr>
          <w:rFonts w:ascii="Arial" w:cs="Arial" w:eastAsia="Arial" w:hAnsi="Arial"/>
          <w:sz w:val="20"/>
          <w:szCs w:val="20"/>
          <w:color w:val="auto"/>
        </w:rPr>
        <w:t>. The Parties recognize that a dispute may arise relating to this Agreement or to the breach, enforcement,</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 or validity of this Agreement (a “</w:t>
      </w:r>
      <w:r>
        <w:rPr>
          <w:rFonts w:ascii="Arial" w:cs="Arial" w:eastAsia="Arial" w:hAnsi="Arial"/>
          <w:sz w:val="20"/>
          <w:szCs w:val="20"/>
          <w:b w:val="1"/>
          <w:bCs w:val="1"/>
          <w:color w:val="auto"/>
        </w:rPr>
        <w:t>Dispute</w:t>
      </w:r>
      <w:r>
        <w:rPr>
          <w:rFonts w:ascii="Arial" w:cs="Arial" w:eastAsia="Arial" w:hAnsi="Arial"/>
          <w:sz w:val="20"/>
          <w:szCs w:val="20"/>
          <w:color w:val="auto"/>
        </w:rPr>
        <w:t>”). Except as otherwise expressly set forth in this Agreement, any Dispute, including Disputes that may involve the Affiliates of any Party, will be resolved in accordance with this Article 16 (Dispute Resolution).</w:t>
      </w:r>
    </w:p>
    <w:p>
      <w:pPr>
        <w:spacing w:after="0" w:line="183"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8"/>
          <w:szCs w:val="18"/>
          <w:b w:val="1"/>
          <w:bCs w:val="1"/>
          <w:color w:val="auto"/>
        </w:rPr>
        <w:t>Negotiation; Escalation</w:t>
      </w:r>
      <w:r>
        <w:rPr>
          <w:rFonts w:ascii="Arial" w:cs="Arial" w:eastAsia="Arial" w:hAnsi="Arial"/>
          <w:sz w:val="18"/>
          <w:szCs w:val="18"/>
          <w:color w:val="auto"/>
        </w:rPr>
        <w:t>. The Parties will negotiate [****] to settle any Dispute under this Agreement,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subject to resolution under Article 3 (Governance). Any Dispute relating to this Agreement or the breach, enforcement, interpretation, or validity of this Agreement will be referred to the Executive Officers for attempted resolution. If the Executive Officers are unable to resolve such Dispute within [****] after such Dispute is referred to them, then, upon the written request of either Party to the other Party, other than a Dispute relating to the scope, validity, enforceability, or infringement of any Patent Rights or trademark rights (which will be submitted for resolution to a court of competent jurisdiction in the country or region in which such Patent Rights or trademark rights were granted or arose), the Dispute will be subject to arbitration in accordance with Section 16.3 (Arbitration).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16" w:lineRule="exact"/>
        <w:rPr>
          <w:sz w:val="20"/>
          <w:szCs w:val="20"/>
          <w:color w:val="auto"/>
        </w:rPr>
      </w:pPr>
    </w:p>
    <w:p>
      <w:pPr>
        <w:jc w:val="both"/>
        <w:ind w:left="1380" w:hanging="647"/>
        <w:spacing w:after="0" w:line="242" w:lineRule="auto"/>
        <w:rPr>
          <w:sz w:val="20"/>
          <w:szCs w:val="20"/>
          <w:color w:val="auto"/>
        </w:rPr>
      </w:pPr>
      <w:r>
        <w:rPr>
          <w:rFonts w:ascii="Arial" w:cs="Arial" w:eastAsia="Arial" w:hAnsi="Arial"/>
          <w:sz w:val="20"/>
          <w:szCs w:val="20"/>
          <w:color w:val="auto"/>
        </w:rPr>
        <w:t xml:space="preserve">16.3.1 </w:t>
      </w:r>
      <w:r>
        <w:rPr>
          <w:rFonts w:ascii="Arial" w:cs="Arial" w:eastAsia="Arial" w:hAnsi="Arial"/>
          <w:sz w:val="20"/>
          <w:szCs w:val="20"/>
          <w:b w:val="1"/>
          <w:bCs w:val="1"/>
          <w:color w:val="auto"/>
        </w:rPr>
        <w:t>Rules</w:t>
      </w:r>
      <w:r>
        <w:rPr>
          <w:rFonts w:ascii="Arial" w:cs="Arial" w:eastAsia="Arial" w:hAnsi="Arial"/>
          <w:sz w:val="20"/>
          <w:szCs w:val="20"/>
          <w:color w:val="auto"/>
        </w:rPr>
        <w:t>. In the event of a Dispute that cannot be resolved between the Parties or the Executive Officers as set forth in Section 16.2 (Negotiation; Escalation), either Party will be free to institute binding arbitration with respect to such dispute in accordance with this Section 16.3 (Arbitration) upon written notice to the other Party (an “</w:t>
      </w:r>
      <w:r>
        <w:rPr>
          <w:rFonts w:ascii="Arial" w:cs="Arial" w:eastAsia="Arial" w:hAnsi="Arial"/>
          <w:sz w:val="20"/>
          <w:szCs w:val="20"/>
          <w:b w:val="1"/>
          <w:bCs w:val="1"/>
          <w:color w:val="auto"/>
        </w:rPr>
        <w:t>Arbitration Notice</w:t>
      </w:r>
      <w:r>
        <w:rPr>
          <w:rFonts w:ascii="Arial" w:cs="Arial" w:eastAsia="Arial" w:hAnsi="Arial"/>
          <w:sz w:val="20"/>
          <w:szCs w:val="20"/>
          <w:color w:val="auto"/>
        </w:rPr>
        <w:t>”) and seek remedies as may be available. Any dispute unresolved under this Section 16.3 (Arbitration) will be settled by binding arbitration administered by the International Chamber of Commerce (“</w:t>
      </w:r>
      <w:r>
        <w:rPr>
          <w:rFonts w:ascii="Arial" w:cs="Arial" w:eastAsia="Arial" w:hAnsi="Arial"/>
          <w:sz w:val="20"/>
          <w:szCs w:val="20"/>
          <w:b w:val="1"/>
          <w:bCs w:val="1"/>
          <w:color w:val="auto"/>
        </w:rPr>
        <w:t>ICC</w:t>
      </w:r>
      <w:r>
        <w:rPr>
          <w:rFonts w:ascii="Arial" w:cs="Arial" w:eastAsia="Arial" w:hAnsi="Arial"/>
          <w:sz w:val="20"/>
          <w:szCs w:val="20"/>
          <w:color w:val="auto"/>
        </w:rPr>
        <w:t>”) (or any successor entity thereto) and in accordance with the ICC Rules of Arbitration then in effect, as modified in this Section 16.3 (Arbitration) (the “</w:t>
      </w:r>
      <w:r>
        <w:rPr>
          <w:rFonts w:ascii="Arial" w:cs="Arial" w:eastAsia="Arial" w:hAnsi="Arial"/>
          <w:sz w:val="20"/>
          <w:szCs w:val="20"/>
          <w:b w:val="1"/>
          <w:bCs w:val="1"/>
          <w:color w:val="auto"/>
        </w:rPr>
        <w:t>Rules</w:t>
      </w:r>
      <w:r>
        <w:rPr>
          <w:rFonts w:ascii="Arial" w:cs="Arial" w:eastAsia="Arial" w:hAnsi="Arial"/>
          <w:sz w:val="20"/>
          <w:szCs w:val="20"/>
          <w:color w:val="auto"/>
        </w:rPr>
        <w:t>”), except to the extent such rules are inconsistent with this Section 16.3 (Arbitration), in which case this Section 16.3 (Arbitration) will control.</w:t>
      </w:r>
    </w:p>
    <w:p>
      <w:pPr>
        <w:spacing w:after="0" w:line="194" w:lineRule="exact"/>
        <w:rPr>
          <w:sz w:val="20"/>
          <w:szCs w:val="20"/>
          <w:color w:val="auto"/>
        </w:rPr>
      </w:pPr>
    </w:p>
    <w:p>
      <w:pPr>
        <w:jc w:val="both"/>
        <w:ind w:left="1380" w:hanging="647"/>
        <w:spacing w:after="0" w:line="256" w:lineRule="auto"/>
        <w:rPr>
          <w:sz w:val="20"/>
          <w:szCs w:val="20"/>
          <w:color w:val="auto"/>
        </w:rPr>
      </w:pPr>
      <w:r>
        <w:rPr>
          <w:rFonts w:ascii="Arial" w:cs="Arial" w:eastAsia="Arial" w:hAnsi="Arial"/>
          <w:sz w:val="19"/>
          <w:szCs w:val="19"/>
          <w:color w:val="auto"/>
        </w:rPr>
        <w:t xml:space="preserve">16.3.2 </w:t>
      </w:r>
      <w:r>
        <w:rPr>
          <w:rFonts w:ascii="Arial" w:cs="Arial" w:eastAsia="Arial" w:hAnsi="Arial"/>
          <w:sz w:val="19"/>
          <w:szCs w:val="19"/>
          <w:b w:val="1"/>
          <w:bCs w:val="1"/>
          <w:color w:val="auto"/>
        </w:rPr>
        <w:t>Selection of Arbitrators</w:t>
      </w:r>
      <w:r>
        <w:rPr>
          <w:rFonts w:ascii="Arial" w:cs="Arial" w:eastAsia="Arial" w:hAnsi="Arial"/>
          <w:sz w:val="19"/>
          <w:szCs w:val="19"/>
          <w:color w:val="auto"/>
        </w:rPr>
        <w:t>. Upon receipt of an Arbitration Notice by a Party, the applicable dispute will be resolved by final and binding arbitration before a panel of three arbitrators (the “</w:t>
      </w:r>
      <w:r>
        <w:rPr>
          <w:rFonts w:ascii="Arial" w:cs="Arial" w:eastAsia="Arial" w:hAnsi="Arial"/>
          <w:sz w:val="19"/>
          <w:szCs w:val="19"/>
          <w:b w:val="1"/>
          <w:bCs w:val="1"/>
          <w:color w:val="auto"/>
        </w:rPr>
        <w:t>Arbitrators</w:t>
      </w:r>
      <w:r>
        <w:rPr>
          <w:rFonts w:ascii="Arial" w:cs="Arial" w:eastAsia="Arial" w:hAnsi="Arial"/>
          <w:sz w:val="19"/>
          <w:szCs w:val="19"/>
          <w:color w:val="auto"/>
        </w:rPr>
        <w:t>”), with each arbitrator having [****] of experience in the biotechnology or pharmaceutical industry and subject matter expertise with respect to the matter subject to arbitration [****]. Any Arbitrator chosen hereunder will have educational training and industry experience sufficient to demonstrate a reasonable level of scientific, financial, medical, and industry knowledge relevant to the particular dispute. Each Party will promptly select one Arbitrator, which selections will in no event be made later than [****] after receipt of the Arbitration Notice. The third Arbitrator will be chosen promptly by agreement of the Arbitrators chosen by each Party, but in no event later than [****] after the date on which the last of such Arbitrators was appointed. If the two Party-nominated Arbitrators cannot agree on the third Arbitrator, then the third Arbitrator will be appointed by ICC.</w:t>
      </w:r>
    </w:p>
    <w:p>
      <w:pPr>
        <w:spacing w:after="0" w:line="177" w:lineRule="exact"/>
        <w:rPr>
          <w:sz w:val="20"/>
          <w:szCs w:val="20"/>
          <w:color w:val="auto"/>
        </w:rPr>
      </w:pPr>
    </w:p>
    <w:p>
      <w:pPr>
        <w:jc w:val="both"/>
        <w:ind w:left="1380" w:hanging="647"/>
        <w:spacing w:after="0" w:line="246" w:lineRule="auto"/>
        <w:rPr>
          <w:sz w:val="20"/>
          <w:szCs w:val="20"/>
          <w:color w:val="auto"/>
        </w:rPr>
      </w:pPr>
      <w:r>
        <w:rPr>
          <w:rFonts w:ascii="Arial" w:cs="Arial" w:eastAsia="Arial" w:hAnsi="Arial"/>
          <w:sz w:val="20"/>
          <w:szCs w:val="20"/>
          <w:color w:val="auto"/>
        </w:rPr>
        <w:t xml:space="preserve">16.3.3 </w:t>
      </w:r>
      <w:r>
        <w:rPr>
          <w:rFonts w:ascii="Arial" w:cs="Arial" w:eastAsia="Arial" w:hAnsi="Arial"/>
          <w:sz w:val="20"/>
          <w:szCs w:val="20"/>
          <w:b w:val="1"/>
          <w:bCs w:val="1"/>
          <w:color w:val="auto"/>
        </w:rPr>
        <w:t>Decisions</w:t>
      </w:r>
      <w:r>
        <w:rPr>
          <w:rFonts w:ascii="Arial" w:cs="Arial" w:eastAsia="Arial" w:hAnsi="Arial"/>
          <w:sz w:val="20"/>
          <w:szCs w:val="20"/>
          <w:color w:val="auto"/>
        </w:rPr>
        <w:t>. The Arbitrators’ decision and award will be made within [****]of the filing of the arbitration demand and the Arbitrators will agree to comply with this schedule before accepting appointment. However, this time limit may be extended by agreement of the Parties or by the Arbitrators. The Arbitrators will be authorized to award compensatory damages, but will not be authorized to reform, modify, or materially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328" w:name="page329"/>
    <w:bookmarkEnd w:id="328"/>
    <w:p>
      <w:pPr>
        <w:jc w:val="both"/>
        <w:ind w:left="1360"/>
        <w:spacing w:after="0" w:line="260" w:lineRule="auto"/>
        <w:rPr>
          <w:sz w:val="20"/>
          <w:szCs w:val="20"/>
          <w:color w:val="auto"/>
        </w:rPr>
      </w:pPr>
      <w:r>
        <w:rPr>
          <w:rFonts w:ascii="Arial" w:cs="Arial" w:eastAsia="Arial" w:hAnsi="Arial"/>
          <w:sz w:val="19"/>
          <w:szCs w:val="19"/>
          <w:color w:val="auto"/>
        </w:rPr>
        <w:t>this Agreement. The Arbitrators will, within [****] after the conclusion of the hearing, issue a written award and statement of decision describing the material facts and the grounds for the conclusions on which the award is based, including the calculation of any damages awarded. The proceedings and decisions of the arbitrator will be confidential, final, and binding on the Parties, and judgment upon the award of such arbitrator may be entered in any court having jurisdiction thereof.</w:t>
      </w:r>
    </w:p>
    <w:p>
      <w:pPr>
        <w:spacing w:after="0" w:line="174" w:lineRule="exact"/>
        <w:rPr>
          <w:sz w:val="20"/>
          <w:szCs w:val="20"/>
          <w:color w:val="auto"/>
        </w:rPr>
      </w:pPr>
    </w:p>
    <w:p>
      <w:pPr>
        <w:jc w:val="both"/>
        <w:ind w:left="1360" w:hanging="647"/>
        <w:spacing w:after="0" w:line="243" w:lineRule="auto"/>
        <w:rPr>
          <w:sz w:val="20"/>
          <w:szCs w:val="20"/>
          <w:color w:val="auto"/>
        </w:rPr>
      </w:pPr>
      <w:r>
        <w:rPr>
          <w:rFonts w:ascii="Arial" w:cs="Arial" w:eastAsia="Arial" w:hAnsi="Arial"/>
          <w:sz w:val="20"/>
          <w:szCs w:val="20"/>
          <w:color w:val="auto"/>
        </w:rPr>
        <w:t xml:space="preserve">16.3.4 </w:t>
      </w:r>
      <w:r>
        <w:rPr>
          <w:rFonts w:ascii="Arial" w:cs="Arial" w:eastAsia="Arial" w:hAnsi="Arial"/>
          <w:sz w:val="20"/>
          <w:szCs w:val="20"/>
          <w:b w:val="1"/>
          <w:bCs w:val="1"/>
          <w:color w:val="auto"/>
        </w:rPr>
        <w:t>Responsibility for Costs</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Each Party will bear its own costs and expenses (including legal fees and expenses) relating to the arbitration proceeding, except that the fees of the Arbitrators and other related costs of the arbitration will be shared equally by the Parties, unless the Arbitrators determine that a Party has incurred unreasonable expenses due to vexatious or bad faith positions taken by the other Party, in which event the Arbitrators may make an award of all or any portion of such expenses (including legal fees and expenses) so incurred.</w:t>
      </w:r>
    </w:p>
    <w:p>
      <w:pPr>
        <w:spacing w:after="0" w:line="196" w:lineRule="exact"/>
        <w:rPr>
          <w:sz w:val="20"/>
          <w:szCs w:val="20"/>
          <w:color w:val="auto"/>
        </w:rPr>
      </w:pPr>
    </w:p>
    <w:p>
      <w:pPr>
        <w:jc w:val="both"/>
        <w:ind w:left="1360" w:hanging="647"/>
        <w:spacing w:after="0" w:line="245" w:lineRule="auto"/>
        <w:rPr>
          <w:sz w:val="20"/>
          <w:szCs w:val="20"/>
          <w:color w:val="auto"/>
        </w:rPr>
      </w:pPr>
      <w:r>
        <w:rPr>
          <w:rFonts w:ascii="Arial" w:cs="Arial" w:eastAsia="Arial" w:hAnsi="Arial"/>
          <w:sz w:val="20"/>
          <w:szCs w:val="20"/>
          <w:color w:val="auto"/>
        </w:rPr>
        <w:t xml:space="preserve">16.3.5 </w:t>
      </w:r>
      <w:r>
        <w:rPr>
          <w:rFonts w:ascii="Arial" w:cs="Arial" w:eastAsia="Arial" w:hAnsi="Arial"/>
          <w:sz w:val="20"/>
          <w:szCs w:val="20"/>
          <w:b w:val="1"/>
          <w:bCs w:val="1"/>
          <w:color w:val="auto"/>
        </w:rPr>
        <w:t>Limitations</w:t>
      </w:r>
      <w:r>
        <w:rPr>
          <w:rFonts w:ascii="Arial" w:cs="Arial" w:eastAsia="Arial" w:hAnsi="Arial"/>
          <w:sz w:val="20"/>
          <w:szCs w:val="20"/>
          <w:color w:val="auto"/>
        </w:rPr>
        <w:t>. The Arbitrators will be required to apply the internal laws of the State of New York as the governing law for this Agreement and to render the decision in writing and to comply with, and the award will be limited by, any express provisions of this Agreement relating to damages or the limitation thereof. To the extent punitive or other indirect damages are expressly limited under this Agreement, no Arbitrator will have the power to award punitive damages under this Agreement, regardless of whether any such damages are contained in a proposal.</w:t>
      </w:r>
    </w:p>
    <w:p>
      <w:pPr>
        <w:spacing w:after="0" w:line="184" w:lineRule="exact"/>
        <w:rPr>
          <w:sz w:val="20"/>
          <w:szCs w:val="20"/>
          <w:color w:val="auto"/>
        </w:rPr>
      </w:pPr>
    </w:p>
    <w:p>
      <w:pPr>
        <w:jc w:val="both"/>
        <w:ind w:left="1360" w:hanging="647"/>
        <w:spacing w:after="0" w:line="243" w:lineRule="auto"/>
        <w:rPr>
          <w:sz w:val="20"/>
          <w:szCs w:val="20"/>
          <w:color w:val="auto"/>
        </w:rPr>
      </w:pPr>
      <w:r>
        <w:rPr>
          <w:rFonts w:ascii="Arial" w:cs="Arial" w:eastAsia="Arial" w:hAnsi="Arial"/>
          <w:sz w:val="20"/>
          <w:szCs w:val="20"/>
          <w:color w:val="auto"/>
        </w:rPr>
        <w:t xml:space="preserve">16.3.6 </w:t>
      </w:r>
      <w:r>
        <w:rPr>
          <w:rFonts w:ascii="Arial" w:cs="Arial" w:eastAsia="Arial" w:hAnsi="Arial"/>
          <w:sz w:val="20"/>
          <w:szCs w:val="20"/>
          <w:b w:val="1"/>
          <w:bCs w:val="1"/>
          <w:color w:val="auto"/>
        </w:rPr>
        <w:t>Effectiveness of Agreement</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Unless the Parties otherwise agree in writing, during the period of time during which any arbitration proceeding is pending under this Agreement, (a) the Parties will continue to comply with all those terms and provisions of this Agreement that are not the subject of the pending arbitration proceeding; and (b) 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16.3 (Arbitration).</w:t>
      </w:r>
    </w:p>
    <w:p>
      <w:pPr>
        <w:spacing w:after="0" w:line="193" w:lineRule="exact"/>
        <w:rPr>
          <w:sz w:val="20"/>
          <w:szCs w:val="20"/>
          <w:color w:val="auto"/>
        </w:rPr>
      </w:pPr>
    </w:p>
    <w:p>
      <w:pPr>
        <w:jc w:val="both"/>
        <w:ind w:left="1360" w:hanging="647"/>
        <w:spacing w:after="0" w:line="248" w:lineRule="auto"/>
        <w:rPr>
          <w:sz w:val="20"/>
          <w:szCs w:val="20"/>
          <w:color w:val="auto"/>
        </w:rPr>
      </w:pPr>
      <w:r>
        <w:rPr>
          <w:rFonts w:ascii="Arial" w:cs="Arial" w:eastAsia="Arial" w:hAnsi="Arial"/>
          <w:sz w:val="20"/>
          <w:szCs w:val="20"/>
          <w:color w:val="auto"/>
        </w:rPr>
        <w:t xml:space="preserve">16.3.7 </w:t>
      </w:r>
      <w:r>
        <w:rPr>
          <w:rFonts w:ascii="Arial" w:cs="Arial" w:eastAsia="Arial" w:hAnsi="Arial"/>
          <w:sz w:val="20"/>
          <w:szCs w:val="20"/>
          <w:b w:val="1"/>
          <w:bCs w:val="1"/>
          <w:color w:val="auto"/>
        </w:rPr>
        <w:t>Confidential Proceedings</w:t>
      </w:r>
      <w:r>
        <w:rPr>
          <w:rFonts w:ascii="Arial" w:cs="Arial" w:eastAsia="Arial" w:hAnsi="Arial"/>
          <w:sz w:val="20"/>
          <w:szCs w:val="20"/>
          <w:color w:val="auto"/>
        </w:rPr>
        <w:t>. All arbitration proceedings and decisions of the Arbitrators under this Section 16.3 (Arbitration) will be Confidential Information of both Parties and subject to the terms of Article 11 (Confidentiality; Publication). The arbitration proceedings will take place in New York, New York, in the English language.</w:t>
      </w:r>
    </w:p>
    <w:p>
      <w:pPr>
        <w:spacing w:after="0" w:line="183" w:lineRule="exact"/>
        <w:rPr>
          <w:sz w:val="20"/>
          <w:szCs w:val="20"/>
          <w:color w:val="auto"/>
        </w:rPr>
      </w:pPr>
    </w:p>
    <w:p>
      <w:pPr>
        <w:jc w:val="both"/>
        <w:ind w:left="1360" w:hanging="647"/>
        <w:spacing w:after="0" w:line="244" w:lineRule="auto"/>
        <w:rPr>
          <w:sz w:val="20"/>
          <w:szCs w:val="20"/>
          <w:color w:val="auto"/>
        </w:rPr>
      </w:pPr>
      <w:r>
        <w:rPr>
          <w:rFonts w:ascii="Arial" w:cs="Arial" w:eastAsia="Arial" w:hAnsi="Arial"/>
          <w:sz w:val="20"/>
          <w:szCs w:val="20"/>
          <w:color w:val="auto"/>
        </w:rPr>
        <w:t xml:space="preserve">16.3.8 </w:t>
      </w:r>
      <w:r>
        <w:rPr>
          <w:rFonts w:ascii="Arial" w:cs="Arial" w:eastAsia="Arial" w:hAnsi="Arial"/>
          <w:sz w:val="20"/>
          <w:szCs w:val="20"/>
          <w:b w:val="1"/>
          <w:bCs w:val="1"/>
          <w:color w:val="auto"/>
        </w:rPr>
        <w:t>Equitable Relief</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 xml:space="preserve">Nothing in this Section 16.3 (Arbitration)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w:t>
      </w:r>
      <w:r>
        <w:rPr>
          <w:rFonts w:ascii="Arial" w:cs="Arial" w:eastAsia="Arial" w:hAnsi="Arial"/>
          <w:sz w:val="20"/>
          <w:szCs w:val="20"/>
          <w:i w:val="1"/>
          <w:iCs w:val="1"/>
          <w:color w:val="auto"/>
        </w:rPr>
        <w:t xml:space="preserve">status quo </w:t>
      </w:r>
      <w:r>
        <w:rPr>
          <w:rFonts w:ascii="Arial" w:cs="Arial" w:eastAsia="Arial" w:hAnsi="Arial"/>
          <w:sz w:val="20"/>
          <w:szCs w:val="20"/>
          <w:color w:val="auto"/>
        </w:rPr>
        <w:t>pending the arbitration proceeding.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left="640" w:right="2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17.1</w:t>
        <w:tab/>
        <w:t>Assignment</w:t>
      </w:r>
      <w:r>
        <w:rPr>
          <w:rFonts w:ascii="Arial" w:cs="Arial" w:eastAsia="Arial" w:hAnsi="Arial"/>
          <w:sz w:val="20"/>
          <w:szCs w:val="20"/>
          <w:color w:val="auto"/>
        </w:rPr>
        <w:t>. This Agreement may not be assigned or otherwise transferred, nor may any right or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be assigned or transferred, by either Party without the prior written consent of the other Party. Notwithstanding the foregoing, Blueprint may assign its rights to receive payments under this Agreement to one or more Persons without consent of Zai [****], and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29" w:name="page330"/>
    <w:bookmarkEnd w:id="329"/>
    <w:p>
      <w:pPr>
        <w:jc w:val="both"/>
        <w:ind w:left="660"/>
        <w:spacing w:after="0" w:line="272" w:lineRule="auto"/>
        <w:rPr>
          <w:sz w:val="20"/>
          <w:szCs w:val="20"/>
          <w:color w:val="auto"/>
        </w:rPr>
      </w:pPr>
      <w:r>
        <w:rPr>
          <w:rFonts w:ascii="Arial" w:cs="Arial" w:eastAsia="Arial" w:hAnsi="Arial"/>
          <w:sz w:val="18"/>
          <w:szCs w:val="18"/>
          <w:color w:val="auto"/>
        </w:rPr>
        <w:t xml:space="preserve">Party may, without consent of the other Party, assign this Agreement and its rights and obligations hereunder (a) in whole or in part to an Affiliate of such Party, or (b) in whole to its successor-in-interest in connection with the sale of all or substantially all of its assets to which this Agreement relates, whether in a merger, acquisition, or similar transaction or series of related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foregoing clause (a) or (b), the assigning Party provides written notice of such assignment to the non-assigning Party within [****] after the effective date of such assignment. Any attempted assignment of this Agreement not in accordance with this Section 17.1 (Assignment) will be null, void, and of no legal effect. Any permitted assignee will assume all assigned obligations of its assignor under this Agreement. The terms of this Agreement will be binding upon, and will inure to the benefit of, the Parties and their respected successors and permitted assigns.</w:t>
      </w:r>
    </w:p>
    <w:p>
      <w:pPr>
        <w:spacing w:after="0" w:line="16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b w:val="1"/>
          <w:bCs w:val="1"/>
          <w:color w:val="auto"/>
        </w:rPr>
        <w:t>Limitation of Liability</w:t>
      </w:r>
      <w:r>
        <w:rPr>
          <w:rFonts w:ascii="Arial" w:cs="Arial" w:eastAsia="Arial" w:hAnsi="Arial"/>
          <w:sz w:val="19"/>
          <w:szCs w:val="19"/>
          <w:color w:val="auto"/>
        </w:rPr>
        <w:t>. NEITHER PARTY WILL BE LIABLE TO THE OTHER FOR ANY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CONSEQUENTIAL, INCIDENTAL, PUNITIVE, OR INDIRECT DAMAGES ARISING FROM OR RELATING TO ANY BREACH OF THIS AGREEMENT, OR DAMAGES FOR LOSS OF PROFIT IN CONNECTION WITH THIS AGREEMENT, IN EACH CASE, REGARDLESS OF ANY NOTICE OF THE POSSIBILITY OF SUCH DAMAGES. NOTWITHSTANDING THE FOREGOING, NOTHING IN THIS SECTION 17.2 (LIMITATION OF LIABILITY) IS INTENDED TO OR WILL LIMIT OR RESTRICT THE INDEMNIFICATION RIGHTS OR OBLIGATIONS OF ANY PARTY UNDER SECTION 13.1 (BY ZAI ) OR SECTION 13.2 (BY BLUEPRINT), OR DAMAGES AVAILABLE TO A PARTY FOR THE OTHER PARTY’S BREACH OF ITS OBLIGATIONS HEREUNDER RELATING TO Article 10 (CONFIDENTIALITY; PUBLICATION), MISAPPROPRIATION OR INFRINGEMENT OF INTELLECTUAL PROPERTY OWNED OR CONTROLLED BY SUCH PARTY, OR A PARTY’S BREACH OF ITS OBLIGATIONS UNDER SECTION 2.8 (EXCLUSIVITY).</w:t>
      </w:r>
    </w:p>
    <w:p>
      <w:pPr>
        <w:spacing w:after="0" w:line="177"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0"/>
          <w:szCs w:val="20"/>
          <w:b w:val="1"/>
          <w:bCs w:val="1"/>
          <w:color w:val="auto"/>
        </w:rPr>
        <w:t>17.3</w:t>
        <w:tab/>
        <w:t>Severability</w:t>
      </w:r>
      <w:r>
        <w:rPr>
          <w:rFonts w:ascii="Arial" w:cs="Arial" w:eastAsia="Arial" w:hAnsi="Arial"/>
          <w:sz w:val="20"/>
          <w:szCs w:val="20"/>
          <w:color w:val="auto"/>
        </w:rPr>
        <w:t>. If any one or more of the provisions contained in this Agreement is held invalid, illegal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in any respect, the validity, legality, and enforceability of the remaining provisions contained herein will not in any way be affected or impaired thereby, unless the absence of the invalidated provisions adversely affects the substantive rights of the Parties. The Parties will in such an instance use their best efforts to replace the invalid, illegal or unenforceable provisions with valid, legal, and enforceable provisions that, insofar as practical, implement the purposes of this Agreement.</w:t>
      </w:r>
    </w:p>
    <w:p>
      <w:pPr>
        <w:spacing w:after="0" w:line="184" w:lineRule="exact"/>
        <w:rPr>
          <w:sz w:val="20"/>
          <w:szCs w:val="20"/>
          <w:color w:val="auto"/>
        </w:rPr>
      </w:pPr>
    </w:p>
    <w:p>
      <w:pPr>
        <w:jc w:val="both"/>
        <w:ind w:left="660" w:right="20" w:hanging="647"/>
        <w:spacing w:after="0" w:line="248" w:lineRule="auto"/>
        <w:tabs>
          <w:tab w:leader="none" w:pos="640" w:val="left"/>
        </w:tabs>
        <w:rPr>
          <w:sz w:val="20"/>
          <w:szCs w:val="20"/>
          <w:color w:val="auto"/>
        </w:rPr>
      </w:pPr>
      <w:r>
        <w:rPr>
          <w:rFonts w:ascii="Arial" w:cs="Arial" w:eastAsia="Arial" w:hAnsi="Arial"/>
          <w:sz w:val="20"/>
          <w:szCs w:val="20"/>
          <w:b w:val="1"/>
          <w:bCs w:val="1"/>
          <w:color w:val="auto"/>
        </w:rPr>
        <w:t>17.4</w:t>
        <w:tab/>
        <w:t>Notices</w:t>
      </w:r>
      <w:r>
        <w:rPr>
          <w:rFonts w:ascii="Arial" w:cs="Arial" w:eastAsia="Arial" w:hAnsi="Arial"/>
          <w:sz w:val="20"/>
          <w:szCs w:val="20"/>
          <w:color w:val="auto"/>
        </w:rPr>
        <w:t>. All notices that are required or permitted hereunder will be in writing and sufficient if delivered by</w:t>
      </w:r>
      <w:r>
        <w:rPr>
          <w:rFonts w:ascii="Arial" w:cs="Arial" w:eastAsia="Arial" w:hAnsi="Arial"/>
          <w:sz w:val="20"/>
          <w:szCs w:val="20"/>
          <w:b w:val="1"/>
          <w:bCs w:val="1"/>
          <w:color w:val="auto"/>
        </w:rPr>
        <w:t xml:space="preserve"> </w:t>
      </w:r>
      <w:r>
        <w:rPr>
          <w:rFonts w:ascii="Arial" w:cs="Arial" w:eastAsia="Arial" w:hAnsi="Arial"/>
          <w:sz w:val="20"/>
          <w:szCs w:val="20"/>
          <w:color w:val="auto"/>
        </w:rPr>
        <w:t>internationally-recognized overnight courier or sent by registered or certified mail, postage prepaid, return receipt requested, and in each case, addressed as follows (with a courtesy copy sent by email, which will not constitute notice):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If to Blueprint: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Blueprint Medicines Corporation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45 Sidney Street</w:t>
      </w:r>
    </w:p>
    <w:p>
      <w:pPr>
        <w:ind w:left="660"/>
        <w:spacing w:after="0"/>
        <w:rPr>
          <w:sz w:val="20"/>
          <w:szCs w:val="20"/>
          <w:color w:val="auto"/>
        </w:rPr>
      </w:pPr>
      <w:r>
        <w:rPr>
          <w:rFonts w:ascii="Arial" w:cs="Arial" w:eastAsia="Arial" w:hAnsi="Arial"/>
          <w:sz w:val="20"/>
          <w:szCs w:val="20"/>
          <w:color w:val="auto"/>
        </w:rPr>
        <w:t>Cambridge MA 02139 USA</w:t>
      </w:r>
    </w:p>
    <w:p>
      <w:pPr>
        <w:ind w:left="660"/>
        <w:spacing w:after="0"/>
        <w:rPr>
          <w:sz w:val="20"/>
          <w:szCs w:val="20"/>
          <w:color w:val="auto"/>
        </w:rPr>
      </w:pPr>
      <w:r>
        <w:rPr>
          <w:rFonts w:ascii="Arial" w:cs="Arial" w:eastAsia="Arial" w:hAnsi="Arial"/>
          <w:sz w:val="20"/>
          <w:szCs w:val="20"/>
          <w:color w:val="auto"/>
        </w:rPr>
        <w:t>Attention: Chief Executive Officer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Blueprint Medicines Corporation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45 Sidney Street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0" w:name="page331"/>
    <w:bookmarkEnd w:id="330"/>
    <w:p>
      <w:pPr>
        <w:ind w:left="640"/>
        <w:spacing w:after="0"/>
        <w:rPr>
          <w:sz w:val="20"/>
          <w:szCs w:val="20"/>
          <w:color w:val="auto"/>
        </w:rPr>
      </w:pPr>
      <w:r>
        <w:rPr>
          <w:rFonts w:ascii="Arial" w:cs="Arial" w:eastAsia="Arial" w:hAnsi="Arial"/>
          <w:sz w:val="20"/>
          <w:szCs w:val="20"/>
          <w:color w:val="auto"/>
        </w:rPr>
        <w:t>Cambridge MA 02139 USA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Attention: Chief Legal Officer</w:t>
      </w:r>
    </w:p>
    <w:p>
      <w:pPr>
        <w:ind w:left="6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If to Zai: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Zai Lab Limited</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4F, Bldg 1, Jinchuang Plaza</w:t>
      </w:r>
    </w:p>
    <w:p>
      <w:pPr>
        <w:ind w:left="640"/>
        <w:spacing w:after="0"/>
        <w:rPr>
          <w:sz w:val="20"/>
          <w:szCs w:val="20"/>
          <w:color w:val="auto"/>
        </w:rPr>
      </w:pPr>
      <w:r>
        <w:rPr>
          <w:rFonts w:ascii="Arial" w:cs="Arial" w:eastAsia="Arial" w:hAnsi="Arial"/>
          <w:sz w:val="20"/>
          <w:szCs w:val="20"/>
          <w:color w:val="auto"/>
        </w:rPr>
        <w:t>4560 Jinke Rd</w:t>
      </w:r>
    </w:p>
    <w:p>
      <w:pPr>
        <w:ind w:left="640"/>
        <w:spacing w:after="0"/>
        <w:rPr>
          <w:sz w:val="20"/>
          <w:szCs w:val="20"/>
          <w:color w:val="auto"/>
        </w:rPr>
      </w:pPr>
      <w:r>
        <w:rPr>
          <w:rFonts w:ascii="Arial" w:cs="Arial" w:eastAsia="Arial" w:hAnsi="Arial"/>
          <w:sz w:val="20"/>
          <w:szCs w:val="20"/>
          <w:color w:val="auto"/>
        </w:rPr>
        <w:t>Shanghai, China, 201210</w:t>
      </w:r>
    </w:p>
    <w:p>
      <w:pPr>
        <w:ind w:left="640"/>
        <w:spacing w:after="0"/>
        <w:rPr>
          <w:sz w:val="20"/>
          <w:szCs w:val="20"/>
          <w:color w:val="auto"/>
        </w:rPr>
      </w:pPr>
      <w:r>
        <w:rPr>
          <w:rFonts w:ascii="Arial" w:cs="Arial" w:eastAsia="Arial" w:hAnsi="Arial"/>
          <w:sz w:val="20"/>
          <w:szCs w:val="20"/>
          <w:color w:val="auto"/>
        </w:rPr>
        <w:t>Attention: [****]</w:t>
      </w:r>
    </w:p>
    <w:p>
      <w:pPr>
        <w:ind w:left="640"/>
        <w:spacing w:after="0"/>
        <w:rPr>
          <w:sz w:val="20"/>
          <w:szCs w:val="20"/>
          <w:color w:val="auto"/>
        </w:rPr>
      </w:pPr>
      <w:r>
        <w:rPr>
          <w:rFonts w:ascii="Arial" w:cs="Arial" w:eastAsia="Arial" w:hAnsi="Arial"/>
          <w:sz w:val="20"/>
          <w:szCs w:val="20"/>
          <w:color w:val="auto"/>
        </w:rPr>
        <w:t>With an electronic copy to [****]</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Cooley LLP</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3175 Hanover Street</w:t>
      </w:r>
    </w:p>
    <w:p>
      <w:pPr>
        <w:ind w:left="640"/>
        <w:spacing w:after="0"/>
        <w:rPr>
          <w:sz w:val="20"/>
          <w:szCs w:val="20"/>
          <w:color w:val="auto"/>
        </w:rPr>
      </w:pPr>
      <w:r>
        <w:rPr>
          <w:rFonts w:ascii="Arial" w:cs="Arial" w:eastAsia="Arial" w:hAnsi="Arial"/>
          <w:sz w:val="20"/>
          <w:szCs w:val="20"/>
          <w:color w:val="auto"/>
        </w:rPr>
        <w:t>Palo Alto, CA 94303</w:t>
      </w:r>
    </w:p>
    <w:p>
      <w:pPr>
        <w:ind w:left="640"/>
        <w:spacing w:after="0"/>
        <w:rPr>
          <w:sz w:val="20"/>
          <w:szCs w:val="20"/>
          <w:color w:val="auto"/>
        </w:rPr>
      </w:pPr>
      <w:r>
        <w:rPr>
          <w:rFonts w:ascii="Arial" w:cs="Arial" w:eastAsia="Arial" w:hAnsi="Arial"/>
          <w:sz w:val="20"/>
          <w:szCs w:val="20"/>
          <w:color w:val="auto"/>
        </w:rPr>
        <w:t>USA</w:t>
      </w:r>
    </w:p>
    <w:p>
      <w:pPr>
        <w:ind w:left="640"/>
        <w:spacing w:after="0"/>
        <w:rPr>
          <w:sz w:val="20"/>
          <w:szCs w:val="20"/>
          <w:color w:val="auto"/>
        </w:rPr>
      </w:pPr>
      <w:r>
        <w:rPr>
          <w:rFonts w:ascii="Arial" w:cs="Arial" w:eastAsia="Arial" w:hAnsi="Arial"/>
          <w:sz w:val="20"/>
          <w:szCs w:val="20"/>
          <w:color w:val="auto"/>
        </w:rPr>
        <w:t>Attention: [****]</w:t>
      </w:r>
    </w:p>
    <w:p>
      <w:pPr>
        <w:ind w:left="640"/>
        <w:spacing w:after="0"/>
        <w:rPr>
          <w:sz w:val="20"/>
          <w:szCs w:val="20"/>
          <w:color w:val="auto"/>
        </w:rPr>
      </w:pPr>
      <w:r>
        <w:rPr>
          <w:rFonts w:ascii="Arial" w:cs="Arial" w:eastAsia="Arial" w:hAnsi="Arial"/>
          <w:sz w:val="20"/>
          <w:szCs w:val="20"/>
          <w:color w:val="auto"/>
        </w:rPr>
        <w:t>with an electronic copy to [****]</w:t>
      </w:r>
    </w:p>
    <w:p>
      <w:pPr>
        <w:spacing w:after="0" w:line="92"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notice will be deemed to have been given: (a) [****] after dispatch if sent by internationally-recognized overnight courier; or (b) [****] after dispatch if sent by registered or certified mail, postage prepaid, return receipt requested.</w:t>
      </w:r>
    </w:p>
    <w:p>
      <w:pPr>
        <w:spacing w:after="0" w:line="185"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all claims or causes of action (whether in contract, tort or statute)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will be governed by, and enforced in accordance with, the internal laws of the State of New York, including its statutes of limitations without giving effect to the conflicts of law provisions thereunder.</w:t>
      </w:r>
    </w:p>
    <w:p>
      <w:pPr>
        <w:spacing w:after="0" w:line="160"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Both Parties will be excused from the performance of their obligations under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such performance is prevented by force majeure and the nonperforming Party promptly provides notice of the prevention to the other Party. Such excuse will continue only so long as the condition constituting force majeure continues and the nonperforming Party takes reasonable efforts to remove the condition. When the force majeure no longer exists, the affected Party must promptly resume performance. For purposes of this Agreement, “force majeure” will include conditions beyond the reasonable control of the non-performing Party, including an act of God, war, civil commotion, terrorist act, labor strike or lock-out, epidemic, pandemic, failure or default of public utilities or common carriers, destruction of production facilities or materials by fire, earthquake, storm or like catastrophe, failure of plant or machinery and act (or failure to act) of a government of any country or of any Governmental Authority (other than as a result of the non-performing Party’s failure to comply with Applicable Law). The Parties agree the effects of the COVID-19 pandemic that is ongoing as of the Effective Date may be invoked as a force majeure for the purposes of this Agreement even though the pandemic is ongoing to the extent those effects are not reasonably foreseeable by the Parties as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31" w:name="page332"/>
    <w:bookmarkEnd w:id="331"/>
    <w:p>
      <w:pPr>
        <w:jc w:val="both"/>
        <w:ind w:left="660"/>
        <w:spacing w:after="0" w:line="271" w:lineRule="auto"/>
        <w:rPr>
          <w:sz w:val="20"/>
          <w:szCs w:val="20"/>
          <w:color w:val="auto"/>
        </w:rPr>
      </w:pPr>
      <w:r>
        <w:rPr>
          <w:rFonts w:ascii="Arial" w:cs="Arial" w:eastAsia="Arial" w:hAnsi="Arial"/>
          <w:sz w:val="18"/>
          <w:szCs w:val="18"/>
          <w:color w:val="auto"/>
        </w:rPr>
        <w:t>the Effective Date. Notwithstanding the foregoing, a Party will not be excused from making undisputed payments that have accrued and are owed hereunder because of a force majeure affecting such Party. The affected Party will notify the other Party in writing of any force majeure circumstances that may affect its performance under this Agreement as soon as reasonably practical, will provide a good faith estimate of the period for which its failure or delay in performance under the Agreement is expected to continue based on currently available information, and will undertake reasonable efforts necessary to mitigate and overcome such force majeure circumstances and resume normal performance of its obligations hereunder as soon as reasonably practicable under the circumstances. If the force majeure circumstance continues, then the affected Party will update such notice to the other Party on a bi-weekly basis, or more frequently if requested by the other Party, to provide updated summaries of its mitigation efforts and its estimates of when normal performance under the Agreement will be able to resume.</w:t>
      </w:r>
    </w:p>
    <w:p>
      <w:pPr>
        <w:spacing w:after="0" w:line="16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b w:val="1"/>
          <w:bCs w:val="1"/>
          <w:color w:val="auto"/>
        </w:rPr>
        <w:t>Entire Agreement; Amendments</w:t>
      </w:r>
      <w:r>
        <w:rPr>
          <w:rFonts w:ascii="Arial" w:cs="Arial" w:eastAsia="Arial" w:hAnsi="Arial"/>
          <w:sz w:val="19"/>
          <w:szCs w:val="19"/>
          <w:color w:val="auto"/>
        </w:rPr>
        <w:t>. This Agreement, together with the Schedules hereto, contains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with respect to the collaboration and the licenses granted hereunder. Any other express or implied agreements and understandings, negotiations, writings and commitments, either oral or written, in respect to the collaboration and the licenses granted hereunder, including the Confidentiality Agreement, are superseded by the terms of this Agreement. The Schedules to this Agreement are incorporated herein by reference and will be deemed a part of this Agreement. This Agreement may be amended, or any term hereof modified, only by a written instrument duly executed by authorized representatives of each Party. The foregoing will not be interpreted as a waiver of any remedies available to either Party or its Affiliates as a result of any breach, prior to the Effective Date, by the other Party or its Affiliates of such Party’s or its Affiliate’s obligations pursuant to the Confidentiality Agreement.</w:t>
      </w:r>
    </w:p>
    <w:p>
      <w:pPr>
        <w:spacing w:after="0" w:line="180" w:lineRule="exact"/>
        <w:rPr>
          <w:sz w:val="20"/>
          <w:szCs w:val="20"/>
          <w:color w:val="auto"/>
        </w:rPr>
      </w:pPr>
    </w:p>
    <w:p>
      <w:pPr>
        <w:jc w:val="both"/>
        <w:ind w:left="660" w:right="20" w:hanging="647"/>
        <w:spacing w:after="0" w:line="323" w:lineRule="auto"/>
        <w:tabs>
          <w:tab w:leader="none" w:pos="64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The captions to the several Article</w:t>
      </w:r>
      <w:r>
        <w:rPr>
          <w:rFonts w:ascii="Arial" w:cs="Arial" w:eastAsia="Arial" w:hAnsi="Arial"/>
          <w:sz w:val="18"/>
          <w:szCs w:val="18"/>
          <w:b w:val="1"/>
          <w:bCs w:val="1"/>
          <w:color w:val="auto"/>
        </w:rPr>
        <w:t>s</w:t>
      </w:r>
      <w:r>
        <w:rPr>
          <w:rFonts w:ascii="Arial" w:cs="Arial" w:eastAsia="Arial" w:hAnsi="Arial"/>
          <w:sz w:val="18"/>
          <w:szCs w:val="18"/>
          <w:color w:val="auto"/>
        </w:rPr>
        <w:t>, Sections and subsections hereof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but are merely for convenience to assist in locating and reading the several Articles and Sections of this Agreement.</w:t>
      </w:r>
    </w:p>
    <w:p>
      <w:pPr>
        <w:spacing w:after="0" w:line="118"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b w:val="1"/>
          <w:bCs w:val="1"/>
          <w:color w:val="auto"/>
        </w:rPr>
        <w:t>Independent Contractors</w:t>
      </w:r>
      <w:r>
        <w:rPr>
          <w:rFonts w:ascii="Arial" w:cs="Arial" w:eastAsia="Arial" w:hAnsi="Arial"/>
          <w:sz w:val="19"/>
          <w:szCs w:val="19"/>
          <w:color w:val="auto"/>
        </w:rPr>
        <w:t>. It is expressly agreed that Blueprint and Zai will be independent contractors and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relationship between the two Parties will not constitute a partnership, joint venture or agency. Neither Blueprint nor Zai will have the authority to make any statements, representations, or commitments of any kind, or to take any action that is binding on the other Party without the prior written consent of the other Party.</w:t>
      </w:r>
    </w:p>
    <w:p>
      <w:pPr>
        <w:spacing w:after="0" w:line="16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17.10</w:t>
        <w:tab/>
        <w:t>Performance by Affiliates</w:t>
      </w:r>
      <w:r>
        <w:rPr>
          <w:rFonts w:ascii="Arial" w:cs="Arial" w:eastAsia="Arial" w:hAnsi="Arial"/>
          <w:sz w:val="20"/>
          <w:szCs w:val="20"/>
          <w:color w:val="auto"/>
        </w:rPr>
        <w:t>. Notwithstanding anything to the contrary set forth in this Agreement, ether Party will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right to perform any or all of its obligations and exercise any or all of its rights under this Agreement through any Affiliate. Each Party hereby guarantees the performance by its Affiliates of such Party’s obligations under this Agreement and will cause its Affiliates to comply with the provisions of this Agreement in connection with such performance.</w:t>
      </w:r>
    </w:p>
    <w:p>
      <w:pPr>
        <w:spacing w:after="0" w:line="185" w:lineRule="exact"/>
        <w:rPr>
          <w:sz w:val="20"/>
          <w:szCs w:val="20"/>
          <w:color w:val="auto"/>
        </w:rPr>
      </w:pPr>
    </w:p>
    <w:p>
      <w:pPr>
        <w:jc w:val="both"/>
        <w:ind w:left="660" w:hanging="647"/>
        <w:spacing w:after="0" w:line="280" w:lineRule="auto"/>
        <w:tabs>
          <w:tab w:leader="none" w:pos="640" w:val="left"/>
        </w:tabs>
        <w:rPr>
          <w:sz w:val="20"/>
          <w:szCs w:val="20"/>
          <w:color w:val="auto"/>
        </w:rPr>
      </w:pPr>
      <w:r>
        <w:rPr>
          <w:rFonts w:ascii="Arial" w:cs="Arial" w:eastAsia="Arial" w:hAnsi="Arial"/>
          <w:sz w:val="20"/>
          <w:szCs w:val="20"/>
          <w:b w:val="1"/>
          <w:bCs w:val="1"/>
          <w:color w:val="auto"/>
        </w:rPr>
        <w:t>17.11</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Any waiver of any provision of this Agreement will be effective only if in writing and signed by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and Zai.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w:t>
      </w:r>
    </w:p>
    <w:p>
      <w:pPr>
        <w:spacing w:after="0" w:line="15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b w:val="1"/>
          <w:bCs w:val="1"/>
          <w:color w:val="auto"/>
        </w:rPr>
        <w:t>17.12</w:t>
        <w:tab/>
        <w:t>Waiver of Rule of Construction</w:t>
      </w:r>
      <w:r>
        <w:rPr>
          <w:rFonts w:ascii="Arial" w:cs="Arial" w:eastAsia="Arial" w:hAnsi="Arial"/>
          <w:sz w:val="20"/>
          <w:szCs w:val="20"/>
          <w:color w:val="auto"/>
        </w:rPr>
        <w:t>. Each Party has had the opportunity to consult with counsel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review, drafting and negotiation of this Agreement. Accordingly, the rule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2" w:name="page333"/>
    <w:bookmarkEnd w:id="332"/>
    <w:p>
      <w:pPr>
        <w:jc w:val="center"/>
        <w:spacing w:after="0"/>
        <w:rPr>
          <w:sz w:val="20"/>
          <w:szCs w:val="20"/>
          <w:color w:val="auto"/>
        </w:rPr>
      </w:pPr>
      <w:r>
        <w:rPr>
          <w:rFonts w:ascii="Arial" w:cs="Arial" w:eastAsia="Arial" w:hAnsi="Arial"/>
          <w:sz w:val="20"/>
          <w:szCs w:val="20"/>
          <w:color w:val="auto"/>
        </w:rPr>
        <w:t>construction that any ambiguity in this Agreement will be construed against the drafting Party will not apply.</w:t>
      </w:r>
    </w:p>
    <w:p>
      <w:pPr>
        <w:spacing w:after="0" w:line="210"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17.13</w:t>
        <w:tab/>
        <w:t>Cumulative Remedies</w:t>
      </w:r>
      <w:r>
        <w:rPr>
          <w:rFonts w:ascii="Arial" w:cs="Arial" w:eastAsia="Arial" w:hAnsi="Arial"/>
          <w:sz w:val="20"/>
          <w:szCs w:val="20"/>
          <w:color w:val="auto"/>
        </w:rPr>
        <w:t>. No remedy referred to in this Agreement is intended to be exclusive, but each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cumulative and in addition to any other remedy referred to in this Agreement or otherwise available under Applicable Law.</w:t>
      </w:r>
    </w:p>
    <w:p>
      <w:pPr>
        <w:spacing w:after="0" w:line="177"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17.14</w:t>
        <w:tab/>
        <w:t>Business Day Requirements</w:t>
      </w:r>
      <w:r>
        <w:rPr>
          <w:rFonts w:ascii="Arial" w:cs="Arial" w:eastAsia="Arial" w:hAnsi="Arial"/>
          <w:sz w:val="20"/>
          <w:szCs w:val="20"/>
          <w:color w:val="auto"/>
        </w:rPr>
        <w:t>. If any notice or other action or omission is required to be taken by a Party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on a day that is not a Business Day, then such notice or other action or omission will be deemed to be required to be taken on the next occurring Business Day.</w:t>
      </w:r>
    </w:p>
    <w:p>
      <w:pPr>
        <w:spacing w:after="0" w:line="177" w:lineRule="exact"/>
        <w:rPr>
          <w:sz w:val="20"/>
          <w:szCs w:val="20"/>
          <w:color w:val="auto"/>
        </w:rPr>
      </w:pPr>
    </w:p>
    <w:p>
      <w:pPr>
        <w:jc w:val="both"/>
        <w:ind w:left="64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17.15</w:t>
      </w:r>
      <w:r>
        <w:rPr>
          <w:sz w:val="20"/>
          <w:szCs w:val="20"/>
          <w:color w:val="auto"/>
        </w:rPr>
        <w:tab/>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acts, as necessary or appropriate in order to carry out the purposes and intent of this Agreement.</w:t>
      </w:r>
    </w:p>
    <w:p>
      <w:pPr>
        <w:spacing w:after="0" w:line="118"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17.16</w:t>
      </w:r>
      <w:r>
        <w:rPr>
          <w:sz w:val="20"/>
          <w:szCs w:val="20"/>
          <w:color w:val="auto"/>
        </w:rPr>
        <w:tab/>
      </w:r>
      <w:r>
        <w:rPr>
          <w:rFonts w:ascii="Arial" w:cs="Arial" w:eastAsia="Arial" w:hAnsi="Arial"/>
          <w:sz w:val="19"/>
          <w:szCs w:val="19"/>
          <w:b w:val="1"/>
          <w:bCs w:val="1"/>
          <w:color w:val="auto"/>
        </w:rPr>
        <w:t>Non-Solicitation of Employees</w:t>
      </w:r>
      <w:r>
        <w:rPr>
          <w:rFonts w:ascii="Arial" w:cs="Arial" w:eastAsia="Arial" w:hAnsi="Arial"/>
          <w:sz w:val="19"/>
          <w:szCs w:val="19"/>
          <w:color w:val="auto"/>
        </w:rPr>
        <w:t>. [****] each Party agrees that neither it nor any of its Affiliates will recruit, solicit,</w:t>
      </w:r>
      <w:r>
        <w:rPr>
          <w:rFonts w:ascii="Arial" w:cs="Arial" w:eastAsia="Arial" w:hAnsi="Arial"/>
          <w:sz w:val="19"/>
          <w:szCs w:val="19"/>
          <w:b w:val="1"/>
          <w:bCs w:val="1"/>
          <w:color w:val="auto"/>
        </w:rPr>
        <w:t xml:space="preserve"> </w:t>
      </w:r>
      <w:r>
        <w:rPr>
          <w:rFonts w:ascii="Arial" w:cs="Arial" w:eastAsia="Arial" w:hAnsi="Arial"/>
          <w:sz w:val="19"/>
          <w:szCs w:val="19"/>
          <w:color w:val="auto"/>
        </w:rPr>
        <w:t>or induce any employee of the other Party [****] to terminate his or her employment with such other Party and become employed by or consult for such Party, whether or not such employee is a full-time employee of such other Party, and whether or not such employment is pursuant to a written agreement or is at-will. For purposes of the foregoing, “recruit,” “solicit,” or “induce” will not be deemed to mean (a) circumstances where an employee of a Party (i) initiates contact with the other Party or any of its Affiliates with regard to possible employment; or (ii) responds to general solicitations of employment not specifically targeted at employees of a Party or any of its Affiliates, including responses to general advertisements or postings, and (b) discussions, interviews, negotiations, offers, or acceptances of employment or similar activities that arise as a result of circumstances described in the foregoing clause (a).</w:t>
      </w:r>
    </w:p>
    <w:p>
      <w:pPr>
        <w:spacing w:after="0" w:line="180"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17.17</w:t>
      </w:r>
      <w:r>
        <w:rPr>
          <w:sz w:val="20"/>
          <w:szCs w:val="20"/>
          <w:color w:val="auto"/>
        </w:rPr>
        <w:tab/>
      </w:r>
      <w:r>
        <w:rPr>
          <w:rFonts w:ascii="Arial" w:cs="Arial" w:eastAsia="Arial" w:hAnsi="Arial"/>
          <w:sz w:val="18"/>
          <w:szCs w:val="18"/>
          <w:b w:val="1"/>
          <w:bCs w:val="1"/>
          <w:color w:val="auto"/>
        </w:rPr>
        <w:t>Construction</w:t>
      </w:r>
      <w:r>
        <w:rPr>
          <w:rFonts w:ascii="Arial" w:cs="Arial" w:eastAsia="Arial" w:hAnsi="Arial"/>
          <w:sz w:val="18"/>
          <w:szCs w:val="18"/>
          <w:color w:val="auto"/>
        </w:rPr>
        <w:t>. Except where the context expressly requires otherwise, (a) the use of any gender herein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w:t>
      </w:r>
    </w:p>
    <w:p>
      <w:pPr>
        <w:spacing w:after="0" w:line="5" w:lineRule="exact"/>
        <w:rPr>
          <w:sz w:val="20"/>
          <w:szCs w:val="20"/>
          <w:color w:val="auto"/>
        </w:rPr>
      </w:pPr>
    </w:p>
    <w:p>
      <w:pPr>
        <w:jc w:val="both"/>
        <w:ind w:left="640" w:hanging="4"/>
        <w:spacing w:after="0" w:line="266" w:lineRule="auto"/>
        <w:tabs>
          <w:tab w:leader="none" w:pos="9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reference herein to any person will be construed to include the person’s successors and assigns, (f) the words “herein,” “hereof,” and “hereunder” and words of similar import, will each be construed to refer to this Agreement in its entirety and not to any particular provision hereof, (g) all references herein to Articles, Sections, Schedules, or Exhibits will be construed to refer to Articles, Sections, Schedules, or Exhibits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w:t>
      </w:r>
    </w:p>
    <w:p>
      <w:pPr>
        <w:jc w:val="both"/>
        <w:ind w:left="640" w:hanging="4"/>
        <w:spacing w:after="0" w:line="260" w:lineRule="auto"/>
        <w:tabs>
          <w:tab w:leader="none" w:pos="88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references to any specific law, rule or regulation, or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333" w:name="page334"/>
    <w:bookmarkEnd w:id="333"/>
    <w:p>
      <w:pPr>
        <w:jc w:val="both"/>
        <w:ind w:left="640" w:hanging="647"/>
        <w:spacing w:after="0" w:line="272" w:lineRule="auto"/>
        <w:tabs>
          <w:tab w:leader="none" w:pos="620" w:val="left"/>
        </w:tabs>
        <w:rPr>
          <w:sz w:val="20"/>
          <w:szCs w:val="20"/>
          <w:color w:val="auto"/>
        </w:rPr>
      </w:pPr>
      <w:r>
        <w:rPr>
          <w:rFonts w:ascii="Arial" w:cs="Arial" w:eastAsia="Arial" w:hAnsi="Arial"/>
          <w:sz w:val="20"/>
          <w:szCs w:val="20"/>
          <w:b w:val="1"/>
          <w:bCs w:val="1"/>
          <w:color w:val="auto"/>
        </w:rPr>
        <w:t>17.18</w:t>
      </w:r>
      <w:r>
        <w:rPr>
          <w:sz w:val="20"/>
          <w:szCs w:val="20"/>
          <w:color w:val="auto"/>
        </w:rPr>
        <w:tab/>
      </w:r>
      <w:r>
        <w:rPr>
          <w:rFonts w:ascii="Arial" w:cs="Arial" w:eastAsia="Arial" w:hAnsi="Arial"/>
          <w:sz w:val="18"/>
          <w:szCs w:val="18"/>
          <w:b w:val="1"/>
          <w:bCs w:val="1"/>
          <w:color w:val="auto"/>
        </w:rPr>
        <w:t>Language; Translations</w:t>
      </w:r>
      <w:r>
        <w:rPr>
          <w:rFonts w:ascii="Arial" w:cs="Arial" w:eastAsia="Arial" w:hAnsi="Arial"/>
          <w:sz w:val="18"/>
          <w:szCs w:val="18"/>
          <w:color w:val="auto"/>
        </w:rPr>
        <w:t>. This Agreement is in the English language only, which language will be controlling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and all versions hereof in any other language will be for accommodation only and will not be binding upon the Parties. All communications and notices to be made or given by one Party to the other pursuant to this Agreement, and any dispute proceeding related to or arising hereunder, will be in the English language. If there is a discrepancy between this Agreement and any non-English translation of this Agreement, this Agreement will prevail. Upon Blueprint’s request, Zai will provide to Blueprint any documentation in English already in Zai’s possession. For other material data, information, documents or materials, Zai will provide to Blueprint [****] in English upon Blueprint’s reasonable request. In addition, at Blueprint’s request, Zai will provide a full English translation of such material data, information, or materials [****]. Zai will be responsible[****] for the translation to Chinese of any documentation provided by Blueprint. [****]</w:t>
      </w:r>
    </w:p>
    <w:p>
      <w:pPr>
        <w:spacing w:after="0" w:line="165"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17.19</w:t>
        <w:tab/>
        <w:t>Counterparts</w:t>
      </w:r>
      <w:r>
        <w:rPr>
          <w:rFonts w:ascii="Arial" w:cs="Arial" w:eastAsia="Arial" w:hAnsi="Arial"/>
          <w:sz w:val="20"/>
          <w:szCs w:val="20"/>
          <w:color w:val="auto"/>
        </w:rPr>
        <w:t>. This Agreement may be executed in counterparts, all of which taken together will be regarded as</w:t>
      </w:r>
      <w:r>
        <w:rPr>
          <w:rFonts w:ascii="Arial" w:cs="Arial" w:eastAsia="Arial" w:hAnsi="Arial"/>
          <w:sz w:val="20"/>
          <w:szCs w:val="20"/>
          <w:b w:val="1"/>
          <w:bCs w:val="1"/>
          <w:color w:val="auto"/>
        </w:rPr>
        <w:t xml:space="preserve"> </w:t>
      </w:r>
      <w:r>
        <w:rPr>
          <w:rFonts w:ascii="Arial" w:cs="Arial" w:eastAsia="Arial" w:hAnsi="Arial"/>
          <w:sz w:val="20"/>
          <w:szCs w:val="20"/>
          <w:color w:val="auto"/>
        </w:rPr>
        <w:t>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6" w:right="999" w:bottom="1440" w:gutter="0" w:footer="0" w:header="0"/>
        </w:sectPr>
      </w:pPr>
    </w:p>
    <w:bookmarkStart w:id="334" w:name="page335"/>
    <w:bookmarkEnd w:id="334"/>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intending to be bound have caused this License and Collaboration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be executed by their respective duly authorized representatives as of the Effective Date.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ectPr>
          <w:pgSz w:w="11900" w:h="16838" w:orient="portrait"/>
          <w:cols w:equalWidth="0" w:num="1">
            <w:col w:w="9920"/>
          </w:cols>
          <w:pgMar w:left="980" w:top="346" w:right="99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Jeff Albers</w:t>
      </w:r>
    </w:p>
    <w:p>
      <w:pPr>
        <w:spacing w:after="0" w:line="222" w:lineRule="exact"/>
        <w:rPr>
          <w:sz w:val="20"/>
          <w:szCs w:val="20"/>
          <w:color w:val="auto"/>
        </w:rPr>
      </w:pPr>
    </w:p>
    <w:p>
      <w:pPr>
        <w:sectPr>
          <w:pgSz w:w="11900" w:h="16838" w:orient="portrait"/>
          <w:cols w:equalWidth="0" w:num="2">
            <w:col w:w="300" w:space="560"/>
            <w:col w:w="9060"/>
          </w:cols>
          <w:pgMar w:left="980" w:top="346" w:right="9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Albers</w:t>
      </w:r>
    </w:p>
    <w:p>
      <w:pPr>
        <w:spacing w:after="0" w:line="200" w:lineRule="exact"/>
        <w:rPr>
          <w:sz w:val="20"/>
          <w:szCs w:val="20"/>
          <w:color w:val="auto"/>
        </w:rPr>
      </w:pPr>
    </w:p>
    <w:p>
      <w:pPr>
        <w:sectPr>
          <w:pgSz w:w="11900" w:h="16838" w:orient="portrait"/>
          <w:cols w:equalWidth="0" w:num="2">
            <w:col w:w="540" w:space="520"/>
            <w:col w:w="8860"/>
          </w:cols>
          <w:pgMar w:left="980" w:top="346" w:right="9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ectPr>
          <w:pgSz w:w="11900" w:h="16838" w:orient="portrait"/>
          <w:cols w:equalWidth="0" w:num="2">
            <w:col w:w="480" w:space="720"/>
            <w:col w:w="8720"/>
          </w:cols>
          <w:pgMar w:left="980" w:top="346" w:right="99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ZAI LAB (SHANGHAI) CO., LTD</w:t>
      </w:r>
    </w:p>
    <w:p>
      <w:pPr>
        <w:sectPr>
          <w:pgSz w:w="11900" w:h="16838" w:orient="portrait"/>
          <w:cols w:equalWidth="0" w:num="1">
            <w:col w:w="9920"/>
          </w:cols>
          <w:pgMar w:left="980" w:top="346" w:right="99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 Samantha Du</w:t>
      </w:r>
    </w:p>
    <w:p>
      <w:pPr>
        <w:spacing w:after="0" w:line="245" w:lineRule="exact"/>
        <w:rPr>
          <w:sz w:val="20"/>
          <w:szCs w:val="20"/>
          <w:color w:val="auto"/>
        </w:rPr>
      </w:pPr>
    </w:p>
    <w:p>
      <w:pPr>
        <w:sectPr>
          <w:pgSz w:w="11900" w:h="16838" w:orient="portrait"/>
          <w:cols w:equalWidth="0" w:num="2">
            <w:col w:w="300" w:space="560"/>
            <w:col w:w="9060"/>
          </w:cols>
          <w:pgMar w:left="980" w:top="346" w:right="9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Samantha Du</w:t>
      </w:r>
    </w:p>
    <w:p>
      <w:pPr>
        <w:spacing w:after="0" w:line="222" w:lineRule="exact"/>
        <w:rPr>
          <w:sz w:val="20"/>
          <w:szCs w:val="20"/>
          <w:color w:val="auto"/>
        </w:rPr>
      </w:pPr>
    </w:p>
    <w:p>
      <w:pPr>
        <w:sectPr>
          <w:pgSz w:w="11900" w:h="16838" w:orient="portrait"/>
          <w:cols w:equalWidth="0" w:num="2">
            <w:col w:w="540" w:space="520"/>
            <w:col w:w="8860"/>
          </w:cols>
          <w:pgMar w:left="980" w:top="346" w:right="9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ectPr>
          <w:pgSz w:w="11900" w:h="16838" w:orient="portrait"/>
          <w:cols w:equalWidth="0" w:num="2">
            <w:col w:w="480" w:space="720"/>
            <w:col w:w="8720"/>
          </w:cols>
          <w:pgMar w:left="980" w:top="346" w:right="99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License and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type w:val="continuous"/>
        </w:sectPr>
      </w:pPr>
    </w:p>
    <w:bookmarkStart w:id="335" w:name="page336"/>
    <w:bookmarkEnd w:id="335"/>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33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Entity</w:t>
            </w:r>
          </w:p>
        </w:tc>
        <w:tc>
          <w:tcPr>
            <w:tcW w:w="200" w:type="dxa"/>
            <w:vAlign w:val="bottom"/>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State/Jurisdiction of Incorporation or Organization</w:t>
            </w:r>
          </w:p>
        </w:tc>
        <w:tc>
          <w:tcPr>
            <w:tcW w:w="580" w:type="dxa"/>
            <w:vAlign w:val="bottom"/>
          </w:tcPr>
          <w:p>
            <w:pPr>
              <w:spacing w:after="0"/>
              <w:rPr>
                <w:sz w:val="18"/>
                <w:szCs w:val="18"/>
                <w:color w:val="auto"/>
              </w:rPr>
            </w:pPr>
          </w:p>
        </w:tc>
      </w:tr>
      <w:tr>
        <w:trPr>
          <w:trHeight w:val="318"/>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Security Corporation</w:t>
            </w:r>
          </w:p>
        </w:tc>
        <w:tc>
          <w:tcPr>
            <w:tcW w:w="450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Massachusetts</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(Switzerland) GmbH</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Switzerland</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(Netherlands) B.V.</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Netherlands</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(UK) Ltd.</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United Kingdom</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(Germany) GmbH</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Germany</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Spain, S.L.</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Spain</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(France) SAS</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France</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Blueprint Medicines (Italy) S.r.L.</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rPr>
              <w:t>Italy</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Lengo Therapeutics, Inc.</w:t>
            </w:r>
          </w:p>
        </w:tc>
        <w:tc>
          <w:tcPr>
            <w:tcW w:w="45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Delaware</w:t>
            </w:r>
          </w:p>
        </w:tc>
      </w:tr>
      <w:tr>
        <w:trPr>
          <w:trHeight w:val="1681"/>
        </w:trPr>
        <w:tc>
          <w:tcPr>
            <w:tcW w:w="5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36" w:name="page337"/>
    <w:bookmarkEnd w:id="336"/>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860" w:hanging="327"/>
        <w:spacing w:after="0"/>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S-3ASR No. 333-236424) of Blueprint Medicines Corporation,</w:t>
      </w:r>
    </w:p>
    <w:p>
      <w:pPr>
        <w:spacing w:after="0" w:line="36" w:lineRule="exact"/>
        <w:rPr>
          <w:rFonts w:ascii="Arial" w:cs="Arial" w:eastAsia="Arial" w:hAnsi="Arial"/>
          <w:sz w:val="18"/>
          <w:szCs w:val="18"/>
          <w:color w:val="auto"/>
        </w:rPr>
      </w:pPr>
    </w:p>
    <w:p>
      <w:pPr>
        <w:jc w:val="both"/>
        <w:ind w:left="860" w:right="239" w:hanging="327"/>
        <w:spacing w:after="0" w:line="281"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333-203749) pertaining to the 2011 Stock Option and Grant Plan, 2015 Stock Option and Incentive Plan, and 2015 Employee Stock Purchase Plan of Blueprint Medicines Corporation,</w:t>
      </w:r>
    </w:p>
    <w:p>
      <w:pPr>
        <w:spacing w:after="0" w:line="1" w:lineRule="exact"/>
        <w:rPr>
          <w:rFonts w:ascii="Arial" w:cs="Arial" w:eastAsia="Arial" w:hAnsi="Arial"/>
          <w:sz w:val="18"/>
          <w:szCs w:val="18"/>
          <w:color w:val="auto"/>
        </w:rPr>
      </w:pPr>
    </w:p>
    <w:p>
      <w:pPr>
        <w:jc w:val="both"/>
        <w:ind w:left="860" w:right="219" w:hanging="327"/>
        <w:spacing w:after="0" w:line="281"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Statements (Form S-8 Nos. 333-210125, 333-216575, 333-223131, 333-229885, 333-236421 and 333-253215) pertaining to the 2015 Stock Option and Incentive Plan and 2015 Employee Stock Purchase Plan of Blueprint Medicines Corporation, and</w:t>
      </w:r>
    </w:p>
    <w:p>
      <w:pPr>
        <w:spacing w:after="0" w:line="1" w:lineRule="exact"/>
        <w:rPr>
          <w:rFonts w:ascii="Arial" w:cs="Arial" w:eastAsia="Arial" w:hAnsi="Arial"/>
          <w:sz w:val="18"/>
          <w:szCs w:val="18"/>
          <w:color w:val="auto"/>
        </w:rPr>
      </w:pPr>
    </w:p>
    <w:p>
      <w:pPr>
        <w:ind w:left="860" w:right="239" w:hanging="327"/>
        <w:spacing w:after="0" w:line="308"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333-238039) pertaining to the 2020 Inducement Plan of Blueprint Medicines Corporation;</w:t>
      </w:r>
    </w:p>
    <w:p>
      <w:pPr>
        <w:spacing w:after="0" w:line="157"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color w:val="auto"/>
        </w:rPr>
        <w:t>of our reports dated February 17, 2022,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2021.</w:t>
      </w:r>
    </w:p>
    <w:p>
      <w:pPr>
        <w:spacing w:after="0" w:line="18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7" w:name="page338"/>
    <w:bookmarkEnd w:id="337"/>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Jeffrey W. Albers</w:t>
      </w:r>
    </w:p>
    <w:p>
      <w:pPr>
        <w:ind w:left="47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8" w:name="page339"/>
    <w:bookmarkEnd w:id="338"/>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6"/>
          <w:szCs w:val="16"/>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Michael Landsittel</w:t>
      </w:r>
    </w:p>
    <w:p>
      <w:pP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9" w:name="page340"/>
    <w:bookmarkEnd w:id="339"/>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1" w:lineRule="exact"/>
        <w:rPr>
          <w:sz w:val="20"/>
          <w:szCs w:val="20"/>
          <w:color w:val="auto"/>
        </w:rPr>
      </w:pPr>
    </w:p>
    <w:p>
      <w:pPr>
        <w:jc w:val="both"/>
        <w:ind w:left="200" w:right="339" w:firstLine="648"/>
        <w:spacing w:after="0" w:line="243" w:lineRule="auto"/>
        <w:rPr>
          <w:sz w:val="20"/>
          <w:szCs w:val="20"/>
          <w:color w:val="auto"/>
        </w:rPr>
      </w:pPr>
      <w:r>
        <w:rPr>
          <w:rFonts w:ascii="Arial" w:cs="Arial" w:eastAsia="Arial" w:hAnsi="Arial"/>
          <w:sz w:val="18"/>
          <w:szCs w:val="18"/>
          <w:color w:val="auto"/>
        </w:rPr>
        <w:t>In connection with the Annual Report on Form 10-K of Blueprint Medicines Corporation (the “Company”) for the year ended December 31, 2021 as filed with the Securities and Exchange Commission on the date hereof (the “Report”), each of the undersigned officers of the Company hereby certifies, pursuant to 18 U.S.C. Section 1350, that to his knowledge:</w:t>
      </w:r>
    </w:p>
    <w:p>
      <w:pPr>
        <w:spacing w:after="0" w:line="188" w:lineRule="exact"/>
        <w:rPr>
          <w:sz w:val="20"/>
          <w:szCs w:val="20"/>
          <w:color w:val="auto"/>
        </w:rPr>
      </w:pPr>
    </w:p>
    <w:p>
      <w:pPr>
        <w:ind w:left="1500" w:right="259" w:hanging="562"/>
        <w:spacing w:after="0" w:line="261"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899" w:hanging="562"/>
        <w:spacing w:after="0" w:line="261"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4771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ind w:left="49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6"/>
          <w:szCs w:val="16"/>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4771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Michael Landsittel</w:t>
      </w:r>
    </w:p>
    <w:p>
      <w:pPr>
        <w:ind w:left="49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1)"/>
      <w:numFmt w:val="decimal"/>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amp;"/>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lvl w:ilvl="1">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amp;"/>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1)"/>
      <w:numFmt w:val="lowerRoman"/>
      <w:start w:val="3"/>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1)"/>
      <w:numFmt w:val="decimal"/>
      <w:start w:val="1"/>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
      <w:numFmt w:val="bullet"/>
      <w:start w:val="1"/>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1)"/>
      <w:numFmt w:val="decimal"/>
      <w:start w:val="1"/>
    </w:lvl>
  </w:abstractNum>
  <w:abstractNum w:abstractNumId="52">
    <w:nsid w:val="56438D15"/>
    <w:multiLevelType w:val="hybridMultilevel"/>
    <w:lvl w:ilvl="0">
      <w:lvlJc w:val="left"/>
      <w:lvlText w:val="(%1)"/>
      <w:numFmt w:val="decimal"/>
      <w:start w:val="3"/>
    </w:lvl>
  </w:abstractNum>
  <w:abstractNum w:abstractNumId="53">
    <w:nsid w:val="519E3149"/>
    <w:multiLevelType w:val="hybridMultilevel"/>
    <w:lvl w:ilvl="0">
      <w:lvlJc w:val="left"/>
      <w:lvlText w:val="#"/>
      <w:numFmt w:val="bullet"/>
      <w:start w:val="1"/>
    </w:lvl>
    <w:lvl w:ilvl="1">
      <w:lvlJc w:val="left"/>
      <w:lvlText w:val="%2"/>
      <w:numFmt w:val="decimal"/>
      <w:start w:val="104"/>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1)"/>
      <w:numFmt w:val="lowerRoman"/>
      <w:start w:val="3"/>
    </w:lvl>
  </w:abstractNum>
  <w:abstractNum w:abstractNumId="62">
    <w:nsid w:val="75E0858A"/>
    <w:multiLevelType w:val="hybridMultilevel"/>
    <w:lvl w:ilvl="0">
      <w:lvlJc w:val="left"/>
      <w:lvlText w:val="%1."/>
      <w:numFmt w:val="decimal"/>
      <w:start w:val="606"/>
    </w:lvl>
  </w:abstractNum>
  <w:abstractNum w:abstractNumId="63">
    <w:nsid w:val="57A61A29"/>
    <w:multiLevelType w:val="hybridMultilevel"/>
    <w:lvl w:ilvl="0">
      <w:lvlJc w:val="left"/>
      <w:lvlText w:val="(%1)"/>
      <w:numFmt w:val="lowerRoman"/>
      <w:start w:val="1"/>
    </w:lvl>
  </w:abstractNum>
  <w:abstractNum w:abstractNumId="64">
    <w:nsid w:val="5399C654"/>
    <w:multiLevelType w:val="hybridMultilevel"/>
    <w:lvl w:ilvl="0">
      <w:lvlJc w:val="left"/>
      <w:lvlText w:val="(%1)"/>
      <w:numFmt w:val="decimal"/>
      <w:start w:val="3"/>
    </w:lvl>
  </w:abstractNum>
  <w:abstractNum w:abstractNumId="65">
    <w:nsid w:val="20EE1348"/>
    <w:multiLevelType w:val="hybridMultilevel"/>
    <w:lvl w:ilvl="0">
      <w:lvlJc w:val="left"/>
      <w:lvlText w:val="(%1)"/>
      <w:numFmt w:val="decimal"/>
      <w:start w:val="1"/>
    </w:lvl>
  </w:abstractNum>
  <w:abstractNum w:abstractNumId="66">
    <w:nsid w:val="4427069A"/>
    <w:multiLevelType w:val="hybridMultilevel"/>
    <w:lvl w:ilvl="0">
      <w:lvlJc w:val="left"/>
      <w:lvlText w:val="%1."/>
      <w:numFmt w:val="decimal"/>
      <w:start w:val="16"/>
    </w:lvl>
    <w:lvl w:ilvl="1">
      <w:lvlJc w:val="left"/>
      <w:lvlText w:val="*"/>
      <w:numFmt w:val="bullet"/>
      <w:start w:val="1"/>
    </w:lvl>
  </w:abstractNum>
  <w:abstractNum w:abstractNumId="67">
    <w:nsid w:val="B37E80A"/>
    <w:multiLevelType w:val="hybridMultilevel"/>
    <w:lvl w:ilvl="0">
      <w:lvlJc w:val="left"/>
      <w:lvlText w:val="%1."/>
      <w:numFmt w:val="decimal"/>
      <w:start w:val="1"/>
    </w:lvl>
  </w:abstractNum>
  <w:abstractNum w:abstractNumId="68">
    <w:nsid w:val="2157F6BC"/>
    <w:multiLevelType w:val="hybridMultilevel"/>
    <w:lvl w:ilvl="0">
      <w:lvlJc w:val="left"/>
      <w:lvlText w:val="%1."/>
      <w:numFmt w:val="decimal"/>
      <w:start w:val="2"/>
    </w:lvl>
  </w:abstractNum>
  <w:abstractNum w:abstractNumId="69">
    <w:nsid w:val="704E1DD5"/>
    <w:multiLevelType w:val="hybridMultilevel"/>
    <w:lvl w:ilvl="0">
      <w:lvlJc w:val="left"/>
      <w:lvlText w:val="(%1)"/>
      <w:numFmt w:val="lowerLetter"/>
      <w:start w:val="2"/>
    </w:lvl>
    <w:lvl w:ilvl="1">
      <w:lvlJc w:val="left"/>
      <w:lvlText w:val="%2."/>
      <w:numFmt w:val="decimal"/>
      <w:start w:val="3"/>
    </w:lvl>
  </w:abstractNum>
  <w:abstractNum w:abstractNumId="70">
    <w:nsid w:val="57D2F10E"/>
    <w:multiLevelType w:val="hybridMultilevel"/>
    <w:lvl w:ilvl="0">
      <w:lvlJc w:val="left"/>
      <w:lvlText w:val="%1"/>
      <w:numFmt w:val="lowerLetter"/>
      <w:start w:val="1"/>
    </w:lvl>
    <w:lvl w:ilvl="1">
      <w:lvlJc w:val="left"/>
      <w:lvlText w:val="(%2)"/>
      <w:numFmt w:val="lowerRoman"/>
      <w:start w:val="1"/>
    </w:lvl>
  </w:abstractNum>
  <w:abstractNum w:abstractNumId="71">
    <w:nsid w:val="BFFAE18"/>
    <w:multiLevelType w:val="hybridMultilevel"/>
    <w:lvl w:ilvl="0">
      <w:lvlJc w:val="left"/>
      <w:lvlText w:val="(%1)"/>
      <w:numFmt w:val="lowerLetter"/>
      <w:start w:val="3"/>
    </w:lvl>
    <w:lvl w:ilvl="1">
      <w:lvlJc w:val="left"/>
      <w:lvlText w:val="%2"/>
      <w:numFmt w:val="lowerRoman"/>
      <w:start w:val="1"/>
    </w:lvl>
  </w:abstractNum>
  <w:abstractNum w:abstractNumId="72">
    <w:nsid w:val="E3E47A8"/>
    <w:multiLevelType w:val="hybridMultilevel"/>
    <w:lvl w:ilvl="0">
      <w:lvlJc w:val="left"/>
      <w:lvlText w:val="%1."/>
      <w:numFmt w:val="decimal"/>
      <w:start w:val="4"/>
    </w:lvl>
  </w:abstractNum>
  <w:abstractNum w:abstractNumId="73">
    <w:nsid w:val="2E48F044"/>
    <w:multiLevelType w:val="hybridMultilevel"/>
    <w:lvl w:ilvl="0">
      <w:lvlJc w:val="left"/>
      <w:lvlText w:val="(%1)"/>
      <w:numFmt w:val="lowerLetter"/>
      <w:start w:val="1"/>
    </w:lvl>
  </w:abstractNum>
  <w:abstractNum w:abstractNumId="74">
    <w:nsid w:val="49D0FEAC"/>
    <w:multiLevelType w:val="hybridMultilevel"/>
    <w:lvl w:ilvl="0">
      <w:lvlJc w:val="left"/>
      <w:lvlText w:val="(%1)"/>
      <w:numFmt w:val="lowerLetter"/>
      <w:start w:val="2"/>
    </w:lvl>
  </w:abstractNum>
  <w:abstractNum w:abstractNumId="75">
    <w:nsid w:val="4BEE5A5B"/>
    <w:multiLevelType w:val="hybridMultilevel"/>
    <w:lvl w:ilvl="0">
      <w:lvlJc w:val="left"/>
      <w:lvlText w:val="%1."/>
      <w:numFmt w:val="decimal"/>
      <w:start w:val="5"/>
    </w:lvl>
  </w:abstractNum>
  <w:abstractNum w:abstractNumId="76">
    <w:nsid w:val="5551B9F3"/>
    <w:multiLevelType w:val="hybridMultilevel"/>
    <w:lvl w:ilvl="0">
      <w:lvlJc w:val="left"/>
      <w:lvlText w:val="(%1)"/>
      <w:numFmt w:val="lowerLetter"/>
      <w:start w:val="1"/>
    </w:lvl>
  </w:abstractNum>
  <w:abstractNum w:abstractNumId="77">
    <w:nsid w:val="24F6AB8E"/>
    <w:multiLevelType w:val="hybridMultilevel"/>
    <w:lvl w:ilvl="0">
      <w:lvlJc w:val="left"/>
      <w:lvlText w:val="%1."/>
      <w:numFmt w:val="decimal"/>
      <w:start w:val="6"/>
    </w:lvl>
  </w:abstractNum>
  <w:abstractNum w:abstractNumId="78">
    <w:nsid w:val="634C574C"/>
    <w:multiLevelType w:val="hybridMultilevel"/>
    <w:lvl w:ilvl="0">
      <w:lvlJc w:val="left"/>
      <w:lvlText w:val="(%1)"/>
      <w:numFmt w:val="lowerLetter"/>
      <w:start w:val="1"/>
    </w:lvl>
  </w:abstractNum>
  <w:abstractNum w:abstractNumId="79">
    <w:nsid w:val="24E99DD7"/>
    <w:multiLevelType w:val="hybridMultilevel"/>
    <w:lvl w:ilvl="0">
      <w:lvlJc w:val="left"/>
      <w:lvlText w:val="(%1)"/>
      <w:numFmt w:val="lowerLetter"/>
      <w:start w:val="4"/>
    </w:lvl>
  </w:abstractNum>
  <w:abstractNum w:abstractNumId="80">
    <w:nsid w:val="2A31B62D"/>
    <w:multiLevelType w:val="hybridMultilevel"/>
    <w:lvl w:ilvl="0">
      <w:lvlJc w:val="left"/>
      <w:lvlText w:val="(%1)"/>
      <w:numFmt w:val="lowerLetter"/>
      <w:start w:val="10"/>
    </w:lvl>
  </w:abstractNum>
  <w:abstractNum w:abstractNumId="81">
    <w:nsid w:val="1849C29B"/>
    <w:multiLevelType w:val="hybridMultilevel"/>
    <w:lvl w:ilvl="0">
      <w:lvlJc w:val="left"/>
      <w:lvlText w:val="(%1)"/>
      <w:numFmt w:val="lowerLetter"/>
      <w:start w:val="14"/>
    </w:lvl>
  </w:abstractNum>
  <w:abstractNum w:abstractNumId="82">
    <w:nsid w:val="7DFF9D09"/>
    <w:multiLevelType w:val="hybridMultilevel"/>
    <w:lvl w:ilvl="0">
      <w:lvlJc w:val="left"/>
      <w:lvlText w:val="%1"/>
      <w:numFmt w:val="lowerLetter"/>
      <w:start w:val="1"/>
    </w:lvl>
    <w:lvl w:ilvl="1">
      <w:lvlJc w:val="left"/>
      <w:lvlText w:val="(%2)"/>
      <w:numFmt w:val="lowerLetter"/>
      <w:start w:val="16"/>
    </w:lvl>
  </w:abstractNum>
  <w:abstractNum w:abstractNumId="83">
    <w:nsid w:val="754342"/>
    <w:multiLevelType w:val="hybridMultilevel"/>
    <w:lvl w:ilvl="0">
      <w:lvlJc w:val="left"/>
      <w:lvlText w:val="(%1)"/>
      <w:numFmt w:val="lowerLetter"/>
      <w:start w:val="9"/>
    </w:lvl>
    <w:lvl w:ilvl="1">
      <w:lvlJc w:val="left"/>
      <w:lvlText w:val="(%2)"/>
      <w:numFmt w:val="lowerLetter"/>
      <w:start w:val="17"/>
    </w:lvl>
  </w:abstractNum>
  <w:abstractNum w:abstractNumId="84">
    <w:nsid w:val="69E7F3E5"/>
    <w:multiLevelType w:val="hybridMultilevel"/>
    <w:lvl w:ilvl="0">
      <w:lvlJc w:val="left"/>
      <w:lvlText w:val="(%1)"/>
      <w:numFmt w:val="lowerLetter"/>
      <w:start w:val="20"/>
    </w:lvl>
  </w:abstractNum>
  <w:abstractNum w:abstractNumId="85">
    <w:nsid w:val="2A6DE806"/>
    <w:multiLevelType w:val="hybridMultilevel"/>
    <w:lvl w:ilvl="0">
      <w:lvlJc w:val="left"/>
      <w:lvlText w:val="(%1)"/>
      <w:numFmt w:val="lowerLetter"/>
      <w:start w:val="26"/>
    </w:lvl>
    <w:lvl w:ilvl="1">
      <w:lvlJc w:val="left"/>
      <w:lvlText w:val="(%2)"/>
      <w:numFmt w:val="upperLetter"/>
      <w:start w:val="2"/>
    </w:lvl>
  </w:abstractNum>
  <w:abstractNum w:abstractNumId="86">
    <w:nsid w:val="1816F8C4"/>
    <w:multiLevelType w:val="hybridMultilevel"/>
    <w:lvl w:ilvl="0">
      <w:lvlJc w:val="left"/>
      <w:lvlText w:val="(%1)"/>
      <w:numFmt w:val="lowerLetter"/>
      <w:start w:val="27"/>
    </w:lvl>
  </w:abstractNum>
  <w:abstractNum w:abstractNumId="87">
    <w:nsid w:val="37DF2233"/>
    <w:multiLevelType w:val="hybridMultilevel"/>
    <w:lvl w:ilvl="0">
      <w:lvlJc w:val="left"/>
      <w:lvlText w:val="%1"/>
      <w:numFmt w:val="upperLetter"/>
      <w:start w:val="1"/>
    </w:lvl>
    <w:lvl w:ilvl="1">
      <w:lvlJc w:val="left"/>
      <w:lvlText w:val="(%2)"/>
      <w:numFmt w:val="lowerLetter"/>
      <w:start w:val="29"/>
    </w:lvl>
  </w:abstractNum>
  <w:abstractNum w:abstractNumId="88">
    <w:nsid w:val="7AB49DAF"/>
    <w:multiLevelType w:val="hybridMultilevel"/>
    <w:lvl w:ilvl="0">
      <w:lvlJc w:val="left"/>
      <w:lvlText w:val="(%1)"/>
      <w:numFmt w:val="upperLetter"/>
      <w:start w:val="2"/>
    </w:lvl>
    <w:lvl w:ilvl="1">
      <w:lvlJc w:val="left"/>
      <w:lvlText w:val="(%2)"/>
      <w:numFmt w:val="lowerLetter"/>
      <w:start w:val="30"/>
    </w:lvl>
  </w:abstractNum>
  <w:abstractNum w:abstractNumId="89">
    <w:nsid w:val="759F82CD"/>
    <w:multiLevelType w:val="hybridMultilevel"/>
    <w:lvl w:ilvl="0">
      <w:lvlJc w:val="left"/>
      <w:lvlText w:val="(%1)"/>
      <w:numFmt w:val="lowerLetter"/>
      <w:start w:val="31"/>
    </w:lvl>
  </w:abstractNum>
  <w:abstractNum w:abstractNumId="90">
    <w:nsid w:val="61E74EA3"/>
    <w:multiLevelType w:val="hybridMultilevel"/>
    <w:lvl w:ilvl="0">
      <w:lvlJc w:val="left"/>
      <w:lvlText w:val="(%1)"/>
      <w:numFmt w:val="lowerLetter"/>
      <w:start w:val="33"/>
    </w:lvl>
  </w:abstractNum>
  <w:abstractNum w:abstractNumId="91">
    <w:nsid w:val="597B4D84"/>
    <w:multiLevelType w:val="hybridMultilevel"/>
    <w:lvl w:ilvl="0">
      <w:lvlJc w:val="left"/>
      <w:lvlText w:val="(%1)"/>
      <w:numFmt w:val="lowerLetter"/>
      <w:start w:val="39"/>
    </w:lvl>
  </w:abstractNum>
  <w:abstractNum w:abstractNumId="92">
    <w:nsid w:val="F819E7F"/>
    <w:multiLevelType w:val="hybridMultilevel"/>
    <w:lvl w:ilvl="0">
      <w:lvlJc w:val="left"/>
      <w:lvlText w:val="(%1)"/>
      <w:numFmt w:val="lowerLetter"/>
      <w:start w:val="42"/>
    </w:lvl>
  </w:abstractNum>
  <w:abstractNum w:abstractNumId="93">
    <w:nsid w:val="57C7D42D"/>
    <w:multiLevelType w:val="hybridMultilevel"/>
    <w:lvl w:ilvl="0">
      <w:lvlJc w:val="left"/>
      <w:lvlText w:val="(%1)"/>
      <w:numFmt w:val="lowerLetter"/>
      <w:start w:val="44"/>
    </w:lvl>
  </w:abstractNum>
  <w:abstractNum w:abstractNumId="94">
    <w:nsid w:val="312167AD"/>
    <w:multiLevelType w:val="hybridMultilevel"/>
    <w:lvl w:ilvl="0">
      <w:lvlJc w:val="left"/>
      <w:lvlText w:val="(%1)"/>
      <w:numFmt w:val="lowerLetter"/>
      <w:start w:val="45"/>
    </w:lvl>
  </w:abstractNum>
  <w:abstractNum w:abstractNumId="95">
    <w:nsid w:val="631B64D4"/>
    <w:multiLevelType w:val="hybridMultilevel"/>
    <w:lvl w:ilvl="0">
      <w:lvlJc w:val="left"/>
      <w:lvlText w:val="%1."/>
      <w:numFmt w:val="decimal"/>
      <w:start w:val="7"/>
    </w:lvl>
  </w:abstractNum>
  <w:abstractNum w:abstractNumId="96">
    <w:nsid w:val="78B5E776"/>
    <w:multiLevelType w:val="hybridMultilevel"/>
    <w:lvl w:ilvl="0">
      <w:lvlJc w:val="left"/>
      <w:lvlText w:val="(%1)"/>
      <w:numFmt w:val="lowerLetter"/>
      <w:start w:val="1"/>
    </w:lvl>
  </w:abstractNum>
  <w:abstractNum w:abstractNumId="97">
    <w:nsid w:val="75486E47"/>
    <w:multiLevelType w:val="hybridMultilevel"/>
    <w:lvl w:ilvl="0">
      <w:lvlJc w:val="left"/>
      <w:lvlText w:val="(%1)"/>
      <w:numFmt w:val="lowerLetter"/>
      <w:start w:val="2"/>
    </w:lvl>
  </w:abstractNum>
  <w:abstractNum w:abstractNumId="98">
    <w:nsid w:val="6E534CDE"/>
    <w:multiLevelType w:val="hybridMultilevel"/>
    <w:lvl w:ilvl="0">
      <w:lvlJc w:val="left"/>
      <w:lvlText w:val="%1"/>
      <w:numFmt w:val="lowerRoman"/>
      <w:start w:val="1"/>
    </w:lvl>
    <w:lvl w:ilvl="1">
      <w:lvlJc w:val="left"/>
      <w:lvlText w:val="(%2)"/>
      <w:numFmt w:val="lowerLetter"/>
      <w:start w:val="4"/>
    </w:lvl>
  </w:abstractNum>
  <w:abstractNum w:abstractNumId="99">
    <w:nsid w:val="1A0DDE32"/>
    <w:multiLevelType w:val="hybridMultilevel"/>
    <w:lvl w:ilvl="0">
      <w:lvlJc w:val="left"/>
      <w:lvlText w:val="(%1)"/>
      <w:numFmt w:val="lowerRoman"/>
      <w:start w:val="7"/>
    </w:lvl>
    <w:lvl w:ilvl="1">
      <w:lvlJc w:val="left"/>
      <w:lvlText w:val="%2"/>
      <w:numFmt w:val="lowerLetter"/>
      <w:start w:val="1"/>
    </w:lvl>
  </w:abstractNum>
  <w:abstractNum w:abstractNumId="100">
    <w:nsid w:val="65968C1C"/>
    <w:multiLevelType w:val="hybridMultilevel"/>
    <w:lvl w:ilvl="0">
      <w:lvlJc w:val="left"/>
      <w:lvlText w:val="(%1)"/>
      <w:numFmt w:val="lowerLetter"/>
      <w:start w:val="8"/>
    </w:lvl>
  </w:abstractNum>
  <w:abstractNum w:abstractNumId="101">
    <w:nsid w:val="46263DEC"/>
    <w:multiLevelType w:val="hybridMultilevel"/>
    <w:lvl w:ilvl="0">
      <w:lvlJc w:val="left"/>
      <w:lvlText w:val="%1"/>
      <w:numFmt w:val="upperLetter"/>
      <w:start w:val="1"/>
    </w:lvl>
    <w:lvl w:ilvl="1">
      <w:lvlJc w:val="left"/>
      <w:lvlText w:val="(%2)"/>
      <w:numFmt w:val="lowerLetter"/>
      <w:start w:val="13"/>
    </w:lvl>
  </w:abstractNum>
  <w:abstractNum w:abstractNumId="102">
    <w:nsid w:val="260D8C4A"/>
    <w:multiLevelType w:val="hybridMultilevel"/>
    <w:lvl w:ilvl="0">
      <w:lvlJc w:val="left"/>
      <w:lvlText w:val="(%1)"/>
      <w:numFmt w:val="lowerLetter"/>
      <w:start w:val="15"/>
    </w:lvl>
  </w:abstractNum>
  <w:abstractNum w:abstractNumId="103">
    <w:nsid w:val="73D4D3C4"/>
    <w:multiLevelType w:val="hybridMultilevel"/>
    <w:lvl w:ilvl="0">
      <w:lvlJc w:val="left"/>
      <w:lvlText w:val="(%1)"/>
      <w:numFmt w:val="lowerLetter"/>
      <w:start w:val="17"/>
    </w:lvl>
  </w:abstractNum>
  <w:abstractNum w:abstractNumId="104">
    <w:nsid w:val="746F2E30"/>
    <w:multiLevelType w:val="hybridMultilevel"/>
    <w:lvl w:ilvl="0">
      <w:lvlJc w:val="left"/>
      <w:lvlText w:val="(%1)"/>
      <w:numFmt w:val="lowerLetter"/>
      <w:start w:val="25"/>
    </w:lvl>
  </w:abstractNum>
  <w:abstractNum w:abstractNumId="105">
    <w:nsid w:val="6FDE8AF6"/>
    <w:multiLevelType w:val="hybridMultilevel"/>
    <w:lvl w:ilvl="0">
      <w:lvlJc w:val="left"/>
      <w:lvlText w:val="%1."/>
      <w:numFmt w:val="decimal"/>
      <w:start w:val="8"/>
    </w:lvl>
  </w:abstractNum>
  <w:abstractNum w:abstractNumId="106">
    <w:nsid w:val="3FC32E20"/>
    <w:multiLevelType w:val="hybridMultilevel"/>
    <w:lvl w:ilvl="0">
      <w:lvlJc w:val="left"/>
      <w:lvlText w:val="%1"/>
      <w:numFmt w:val="lowerLetter"/>
      <w:start w:val="1"/>
    </w:lvl>
    <w:lvl w:ilvl="1">
      <w:lvlJc w:val="left"/>
      <w:lvlText w:val="(%2)"/>
      <w:numFmt w:val="lowerLetter"/>
      <w:start w:val="1"/>
    </w:lvl>
  </w:abstractNum>
  <w:abstractNum w:abstractNumId="107">
    <w:nsid w:val="49C0E823"/>
    <w:multiLevelType w:val="hybridMultilevel"/>
    <w:lvl w:ilvl="0">
      <w:lvlJc w:val="left"/>
      <w:lvlText w:val="(%1)"/>
      <w:numFmt w:val="lowerLetter"/>
      <w:start w:val="35"/>
    </w:lvl>
    <w:lvl w:ilvl="1">
      <w:lvlJc w:val="left"/>
      <w:lvlText w:val="(%2)"/>
      <w:numFmt w:val="lowerLetter"/>
      <w:start w:val="2"/>
    </w:lvl>
  </w:abstractNum>
  <w:abstractNum w:abstractNumId="108">
    <w:nsid w:val="14D53685"/>
    <w:multiLevelType w:val="hybridMultilevel"/>
    <w:lvl w:ilvl="0">
      <w:lvlJc w:val="left"/>
      <w:lvlText w:val="(%1)"/>
      <w:numFmt w:val="lowerLetter"/>
      <w:start w:val="3"/>
    </w:lvl>
  </w:abstractNum>
  <w:abstractNum w:abstractNumId="109">
    <w:nsid w:val="230F856C"/>
    <w:multiLevelType w:val="hybridMultilevel"/>
    <w:lvl w:ilvl="0">
      <w:lvlJc w:val="left"/>
      <w:lvlText w:val="(%1)"/>
      <w:numFmt w:val="lowerLetter"/>
      <w:start w:val="11"/>
    </w:lvl>
  </w:abstractNum>
  <w:abstractNum w:abstractNumId="110">
    <w:nsid w:val="6EAA85FB"/>
    <w:multiLevelType w:val="hybridMultilevel"/>
    <w:lvl w:ilvl="0">
      <w:lvlJc w:val="left"/>
      <w:lvlText w:val="%1."/>
      <w:numFmt w:val="decimal"/>
      <w:start w:val="9"/>
    </w:lvl>
  </w:abstractNum>
  <w:abstractNum w:abstractNumId="111">
    <w:nsid w:val="3F06ECB2"/>
    <w:multiLevelType w:val="hybridMultilevel"/>
    <w:lvl w:ilvl="0">
      <w:lvlJc w:val="left"/>
      <w:lvlText w:val="(%1)"/>
      <w:numFmt w:val="lowerLetter"/>
      <w:start w:val="1"/>
    </w:lvl>
  </w:abstractNum>
  <w:abstractNum w:abstractNumId="112">
    <w:nsid w:val="3B594807"/>
    <w:multiLevelType w:val="hybridMultilevel"/>
    <w:lvl w:ilvl="0">
      <w:lvlJc w:val="left"/>
      <w:lvlText w:val="%1"/>
      <w:numFmt w:val="lowerLetter"/>
      <w:start w:val="1"/>
    </w:lvl>
    <w:lvl w:ilvl="1">
      <w:lvlJc w:val="left"/>
      <w:lvlText w:val="(%2)"/>
      <w:numFmt w:val="lowerLetter"/>
      <w:start w:val="2"/>
    </w:lvl>
  </w:abstractNum>
  <w:abstractNum w:abstractNumId="113">
    <w:nsid w:val="6CAA2304"/>
    <w:multiLevelType w:val="hybridMultilevel"/>
    <w:lvl w:ilvl="0">
      <w:lvlJc w:val="left"/>
      <w:lvlText w:val="(%1)"/>
      <w:numFmt w:val="lowerLetter"/>
      <w:start w:val="9"/>
    </w:lvl>
    <w:lvl w:ilvl="1">
      <w:lvlJc w:val="left"/>
      <w:lvlText w:val="(%2)"/>
      <w:numFmt w:val="lowerLetter"/>
      <w:start w:val="3"/>
    </w:lvl>
  </w:abstractNum>
  <w:abstractNum w:abstractNumId="114">
    <w:nsid w:val="3F7C2FF4"/>
    <w:multiLevelType w:val="hybridMultilevel"/>
    <w:lvl w:ilvl="0">
      <w:lvlJc w:val="left"/>
      <w:lvlText w:val="(%1)"/>
      <w:numFmt w:val="lowerLetter"/>
      <w:start w:val="4"/>
    </w:lvl>
  </w:abstractNum>
  <w:abstractNum w:abstractNumId="115">
    <w:nsid w:val="25413BEC"/>
    <w:multiLevelType w:val="hybridMultilevel"/>
    <w:lvl w:ilvl="0">
      <w:lvlJc w:val="left"/>
      <w:lvlText w:val="%1."/>
      <w:numFmt w:val="decimal"/>
      <w:start w:val="10"/>
    </w:lvl>
  </w:abstractNum>
  <w:abstractNum w:abstractNumId="116">
    <w:nsid w:val="17180B0B"/>
    <w:multiLevelType w:val="hybridMultilevel"/>
    <w:lvl w:ilvl="0">
      <w:lvlJc w:val="left"/>
      <w:lvlText w:val="(%1)"/>
      <w:numFmt w:val="lowerLetter"/>
      <w:start w:val="1"/>
    </w:lvl>
  </w:abstractNum>
  <w:abstractNum w:abstractNumId="117">
    <w:nsid w:val="579328B9"/>
    <w:multiLevelType w:val="hybridMultilevel"/>
    <w:lvl w:ilvl="0">
      <w:lvlJc w:val="left"/>
      <w:lvlText w:val="(%1)"/>
      <w:numFmt w:val="lowerLetter"/>
      <w:start w:val="3"/>
    </w:lvl>
  </w:abstractNum>
  <w:abstractNum w:abstractNumId="118">
    <w:nsid w:val="5D205E20"/>
    <w:multiLevelType w:val="hybridMultilevel"/>
    <w:lvl w:ilvl="0">
      <w:lvlJc w:val="left"/>
      <w:lvlText w:val="(%1)"/>
      <w:numFmt w:val="lowerLetter"/>
      <w:start w:val="8"/>
    </w:lvl>
  </w:abstractNum>
  <w:abstractNum w:abstractNumId="119">
    <w:nsid w:val="11CCA8BA"/>
    <w:multiLevelType w:val="hybridMultilevel"/>
    <w:lvl w:ilvl="0">
      <w:lvlJc w:val="left"/>
      <w:lvlText w:val="%1."/>
      <w:numFmt w:val="decimal"/>
      <w:start w:val="12"/>
    </w:lvl>
  </w:abstractNum>
  <w:abstractNum w:abstractNumId="120">
    <w:nsid w:val="4D32AB86"/>
    <w:multiLevelType w:val="hybridMultilevel"/>
    <w:lvl w:ilvl="0">
      <w:lvlJc w:val="left"/>
      <w:lvlText w:val="%1."/>
      <w:numFmt w:val="decimal"/>
      <w:start w:val="15"/>
    </w:lvl>
  </w:abstractNum>
  <w:abstractNum w:abstractNumId="121">
    <w:nsid w:val="3F07ACC3"/>
    <w:multiLevelType w:val="hybridMultilevel"/>
    <w:lvl w:ilvl="0">
      <w:lvlJc w:val="left"/>
      <w:lvlText w:val="(%1)"/>
      <w:numFmt w:val="lowerLetter"/>
      <w:start w:val="1"/>
    </w:lvl>
  </w:abstractNum>
  <w:abstractNum w:abstractNumId="122">
    <w:nsid w:val="6B47F63E"/>
    <w:multiLevelType w:val="hybridMultilevel"/>
    <w:lvl w:ilvl="0">
      <w:lvlJc w:val="left"/>
      <w:lvlText w:val="(%1)"/>
      <w:numFmt w:val="lowerLetter"/>
      <w:start w:val="2"/>
    </w:lvl>
  </w:abstractNum>
  <w:abstractNum w:abstractNumId="123">
    <w:nsid w:val="5CB44A05"/>
    <w:multiLevelType w:val="hybridMultilevel"/>
    <w:lvl w:ilvl="0">
      <w:lvlJc w:val="left"/>
      <w:lvlText w:val="%1."/>
      <w:numFmt w:val="decimal"/>
      <w:start w:val="19"/>
    </w:lvl>
  </w:abstractNum>
  <w:abstractNum w:abstractNumId="124">
    <w:nsid w:val="16CF80F1"/>
    <w:multiLevelType w:val="hybridMultilevel"/>
    <w:lvl w:ilvl="0">
      <w:lvlJc w:val="left"/>
      <w:lvlText w:val="(%1)"/>
      <w:numFmt w:val="decimal"/>
      <w:start w:val="1"/>
    </w:lvl>
  </w:abstractNum>
  <w:abstractNum w:abstractNumId="125">
    <w:nsid w:val="1C695DEC"/>
    <w:multiLevelType w:val="hybridMultilevel"/>
    <w:lvl w:ilvl="0">
      <w:lvlJc w:val="left"/>
      <w:lvlText w:val="●"/>
      <w:numFmt w:val="bullet"/>
      <w:start w:val="1"/>
    </w:lvl>
  </w:abstractNum>
  <w:abstractNum w:abstractNumId="126">
    <w:nsid w:val="3FCFAED9"/>
    <w:multiLevelType w:val="hybridMultilevel"/>
    <w:lvl w:ilvl="0">
      <w:lvlJc w:val="left"/>
      <w:lvlText w:val="(%1)"/>
      <w:numFmt w:val="lowerRoman"/>
      <w:start w:val="1"/>
    </w:lvl>
  </w:abstractNum>
  <w:abstractNum w:abstractNumId="127">
    <w:nsid w:val="F856867"/>
    <w:multiLevelType w:val="hybridMultilevel"/>
    <w:lvl w:ilvl="0">
      <w:lvlJc w:val="left"/>
      <w:lvlText w:val="%1."/>
      <w:numFmt w:val="upperLetter"/>
      <w:start w:val="1"/>
    </w:lvl>
  </w:abstractNum>
  <w:abstractNum w:abstractNumId="128">
    <w:nsid w:val="11B1CC33"/>
    <w:multiLevelType w:val="hybridMultilevel"/>
    <w:lvl w:ilvl="0">
      <w:lvlJc w:val="left"/>
      <w:lvlText w:val="%1."/>
      <w:numFmt w:val="decimal"/>
      <w:start w:val="1"/>
    </w:lvl>
  </w:abstractNum>
  <w:abstractNum w:abstractNumId="129">
    <w:nsid w:val="2E22FBB7"/>
    <w:multiLevelType w:val="hybridMultilevel"/>
    <w:lvl w:ilvl="0">
      <w:lvlJc w:val="left"/>
      <w:lvlText w:val="%1."/>
      <w:numFmt w:val="decimal"/>
      <w:start w:val="3"/>
    </w:lvl>
  </w:abstractNum>
  <w:abstractNum w:abstractNumId="130">
    <w:nsid w:val="29934699"/>
    <w:multiLevelType w:val="hybridMultilevel"/>
    <w:lvl w:ilvl="0">
      <w:lvlJc w:val="left"/>
      <w:lvlText w:val="%1."/>
      <w:numFmt w:val="decimal"/>
      <w:start w:val="4"/>
    </w:lvl>
  </w:abstractNum>
  <w:abstractNum w:abstractNumId="131">
    <w:nsid w:val="77485850"/>
    <w:multiLevelType w:val="hybridMultilevel"/>
    <w:lvl w:ilvl="0">
      <w:lvlJc w:val="left"/>
      <w:lvlText w:val="(%1)"/>
      <w:numFmt w:val="lowerRoman"/>
      <w:start w:val="2"/>
    </w:lvl>
    <w:lvl w:ilvl="1">
      <w:lvlJc w:val="left"/>
      <w:lvlText w:val="%2."/>
      <w:numFmt w:val="decimal"/>
      <w:start w:val="5"/>
    </w:lvl>
    <w:lvl w:ilvl="2">
      <w:lvlJc w:val="left"/>
      <w:lvlText w:val="%3."/>
      <w:numFmt w:val="lowerLetter"/>
      <w:start w:val="1"/>
    </w:lvl>
  </w:abstractNum>
  <w:abstractNum w:abstractNumId="132">
    <w:nsid w:val="744939A3"/>
    <w:multiLevelType w:val="hybridMultilevel"/>
    <w:lvl w:ilvl="0">
      <w:lvlJc w:val="left"/>
      <w:lvlText w:val="%1"/>
      <w:numFmt w:val="decimal"/>
      <w:start w:val="1"/>
    </w:lvl>
    <w:lvl w:ilvl="1">
      <w:lvlJc w:val="left"/>
      <w:lvlText w:val="%2."/>
      <w:numFmt w:val="lowerLetter"/>
      <w:start w:val="2"/>
    </w:lvl>
  </w:abstractNum>
  <w:abstractNum w:abstractNumId="133">
    <w:nsid w:val="4FA0D2E3"/>
    <w:multiLevelType w:val="hybridMultilevel"/>
    <w:lvl w:ilvl="0">
      <w:lvlJc w:val="left"/>
      <w:lvlText w:val="%1."/>
      <w:numFmt w:val="decimal"/>
      <w:start w:val="8"/>
    </w:lvl>
    <w:lvl w:ilvl="1">
      <w:lvlJc w:val="left"/>
      <w:lvlText w:val="%2"/>
      <w:numFmt w:val="lowerLetter"/>
      <w:start w:val="1"/>
    </w:lvl>
  </w:abstractNum>
  <w:abstractNum w:abstractNumId="134">
    <w:nsid w:val="6B1D2C14"/>
    <w:multiLevelType w:val="hybridMultilevel"/>
    <w:lvl w:ilvl="0">
      <w:lvlJc w:val="left"/>
      <w:lvlText w:val="%1."/>
      <w:numFmt w:val="decimal"/>
      <w:start w:val="11"/>
    </w:lvl>
  </w:abstractNum>
  <w:abstractNum w:abstractNumId="135">
    <w:nsid w:val="68B867D3"/>
    <w:multiLevelType w:val="hybridMultilevel"/>
    <w:lvl w:ilvl="0">
      <w:lvlJc w:val="left"/>
      <w:lvlText w:val="%1."/>
      <w:numFmt w:val="decimal"/>
      <w:start w:val="1"/>
    </w:lvl>
    <w:lvl w:ilvl="1">
      <w:lvlJc w:val="left"/>
      <w:lvlText w:val="(%2)"/>
      <w:numFmt w:val="lowerLetter"/>
      <w:start w:val="1"/>
    </w:lvl>
  </w:abstractNum>
  <w:abstractNum w:abstractNumId="136">
    <w:nsid w:val="3F7F5DD9"/>
    <w:multiLevelType w:val="hybridMultilevel"/>
    <w:lvl w:ilvl="0">
      <w:lvlJc w:val="left"/>
      <w:lvlText w:val="%1."/>
      <w:numFmt w:val="decimal"/>
      <w:start w:val="2"/>
    </w:lvl>
  </w:abstractNum>
  <w:abstractNum w:abstractNumId="137">
    <w:nsid w:val="2AE05A34"/>
    <w:multiLevelType w:val="hybridMultilevel"/>
    <w:lvl w:ilvl="0">
      <w:lvlJc w:val="left"/>
      <w:lvlText w:val="(%1)"/>
      <w:numFmt w:val="lowerLetter"/>
      <w:start w:val="1"/>
    </w:lvl>
  </w:abstractNum>
  <w:abstractNum w:abstractNumId="138">
    <w:nsid w:val="32794FF7"/>
    <w:multiLevelType w:val="hybridMultilevel"/>
    <w:lvl w:ilvl="0">
      <w:lvlJc w:val="left"/>
      <w:lvlText w:val="%1."/>
      <w:numFmt w:val="decimal"/>
      <w:start w:val="3"/>
    </w:lvl>
  </w:abstractNum>
  <w:abstractNum w:abstractNumId="139">
    <w:nsid w:val="5454945E"/>
    <w:multiLevelType w:val="hybridMultilevel"/>
    <w:lvl w:ilvl="0">
      <w:lvlJc w:val="left"/>
      <w:lvlText w:val="%1."/>
      <w:numFmt w:val="decimal"/>
      <w:start w:val="4"/>
    </w:lvl>
  </w:abstractNum>
  <w:abstractNum w:abstractNumId="140">
    <w:nsid w:val="4DEFDFA0"/>
    <w:multiLevelType w:val="hybridMultilevel"/>
    <w:lvl w:ilvl="0">
      <w:lvlJc w:val="left"/>
      <w:lvlText w:val="%1."/>
      <w:numFmt w:val="decimal"/>
      <w:start w:val="5"/>
    </w:lvl>
  </w:abstractNum>
  <w:abstractNum w:abstractNumId="141">
    <w:nsid w:val="2123D5F2"/>
    <w:multiLevelType w:val="hybridMultilevel"/>
    <w:lvl w:ilvl="0">
      <w:lvlJc w:val="left"/>
      <w:lvlText w:val="%1."/>
      <w:numFmt w:val="decimal"/>
      <w:start w:val="6"/>
    </w:lvl>
  </w:abstractNum>
  <w:abstractNum w:abstractNumId="142">
    <w:nsid w:val="135B8110"/>
    <w:multiLevelType w:val="hybridMultilevel"/>
    <w:lvl w:ilvl="0">
      <w:lvlJc w:val="left"/>
      <w:lvlText w:val="(%1)"/>
      <w:numFmt w:val="lowerLetter"/>
      <w:start w:val="6"/>
    </w:lvl>
  </w:abstractNum>
  <w:abstractNum w:abstractNumId="143">
    <w:nsid w:val="94927A8"/>
    <w:multiLevelType w:val="hybridMultilevel"/>
    <w:lvl w:ilvl="0">
      <w:lvlJc w:val="left"/>
      <w:lvlText w:val="(%1)"/>
      <w:numFmt w:val="lowerLetter"/>
      <w:start w:val="6"/>
    </w:lvl>
  </w:abstractNum>
  <w:abstractNum w:abstractNumId="144">
    <w:nsid w:val="DCDF8F6"/>
    <w:multiLevelType w:val="hybridMultilevel"/>
    <w:lvl w:ilvl="0">
      <w:lvlJc w:val="left"/>
      <w:lvlText w:val="(%1)"/>
      <w:numFmt w:val="lowerLetter"/>
      <w:start w:val="2"/>
    </w:lvl>
  </w:abstractNum>
  <w:abstractNum w:abstractNumId="145">
    <w:nsid w:val="52D7B105"/>
    <w:multiLevelType w:val="hybridMultilevel"/>
    <w:lvl w:ilvl="0">
      <w:lvlJc w:val="left"/>
      <w:lvlText w:val="(%1)"/>
      <w:numFmt w:val="lowerLetter"/>
      <w:start w:val="1"/>
    </w:lvl>
  </w:abstractNum>
  <w:abstractNum w:abstractNumId="146">
    <w:nsid w:val="2E8A6394"/>
    <w:multiLevelType w:val="hybridMultilevel"/>
    <w:lvl w:ilvl="0">
      <w:lvlJc w:val="left"/>
      <w:lvlText w:val="(%1)"/>
      <w:numFmt w:val="lowerLetter"/>
      <w:start w:val="1"/>
    </w:lvl>
  </w:abstractNum>
  <w:abstractNum w:abstractNumId="147">
    <w:nsid w:val="24E60401"/>
    <w:multiLevelType w:val="hybridMultilevel"/>
    <w:lvl w:ilvl="0">
      <w:lvlJc w:val="left"/>
      <w:lvlText w:val="(%1)"/>
      <w:numFmt w:val="lowerLetter"/>
      <w:start w:val="1"/>
    </w:lvl>
  </w:abstractNum>
  <w:abstractNum w:abstractNumId="148">
    <w:nsid w:val="2A6AD9BE"/>
    <w:multiLevelType w:val="hybridMultilevel"/>
    <w:lvl w:ilvl="0">
      <w:lvlJc w:val="left"/>
      <w:lvlText w:val="(%1)"/>
      <w:numFmt w:val="lowerLetter"/>
      <w:start w:val="1"/>
    </w:lvl>
  </w:abstractNum>
  <w:abstractNum w:abstractNumId="149">
    <w:nsid w:val="BAAC1B4"/>
    <w:multiLevelType w:val="hybridMultilevel"/>
    <w:lvl w:ilvl="0">
      <w:lvlJc w:val="left"/>
      <w:lvlText w:val="(%1)"/>
      <w:numFmt w:val="lowerLetter"/>
      <w:start w:val="1"/>
    </w:lvl>
  </w:abstractNum>
  <w:abstractNum w:abstractNumId="150">
    <w:nsid w:val="36B2ACBC"/>
    <w:multiLevelType w:val="hybridMultilevel"/>
    <w:lvl w:ilvl="0">
      <w:lvlJc w:val="left"/>
      <w:lvlText w:val="(%1)"/>
      <w:numFmt w:val="lowerLetter"/>
      <w:start w:val="1"/>
    </w:lvl>
    <w:lvl w:ilvl="1">
      <w:lvlJc w:val="left"/>
      <w:lvlText w:val="(%2)"/>
      <w:numFmt w:val="upperLetter"/>
      <w:start w:val="2"/>
    </w:lvl>
  </w:abstractNum>
  <w:abstractNum w:abstractNumId="151">
    <w:nsid w:val="779D8544"/>
    <w:multiLevelType w:val="hybridMultilevel"/>
    <w:lvl w:ilvl="0">
      <w:lvlJc w:val="left"/>
      <w:lvlText w:val="%1"/>
      <w:numFmt w:val="lowerLetter"/>
      <w:start w:val="1"/>
    </w:lvl>
    <w:lvl w:ilvl="1">
      <w:lvlJc w:val="left"/>
      <w:lvlText w:val="(%2)"/>
      <w:numFmt w:val="upperLetter"/>
      <w:start w:val="1"/>
    </w:lvl>
  </w:abstractNum>
  <w:abstractNum w:abstractNumId="152">
    <w:nsid w:val="4AB26E78"/>
    <w:multiLevelType w:val="hybridMultilevel"/>
    <w:lvl w:ilvl="0">
      <w:lvlJc w:val="left"/>
      <w:lvlText w:val="%1"/>
      <w:numFmt w:val="lowerLetter"/>
      <w:start w:val="1"/>
    </w:lvl>
    <w:lvl w:ilvl="1">
      <w:lvlJc w:val="left"/>
      <w:lvlText w:val="(%2)."/>
      <w:numFmt w:val="upperLetter"/>
      <w:start w:val="2"/>
    </w:lvl>
  </w:abstractNum>
  <w:abstractNum w:abstractNumId="153">
    <w:nsid w:val="21FAA2FA"/>
    <w:multiLevelType w:val="hybridMultilevel"/>
    <w:lvl w:ilvl="0">
      <w:lvlJc w:val="left"/>
      <w:lvlText w:val="(%1)"/>
      <w:numFmt w:val="lowerLetter"/>
      <w:start w:val="1"/>
    </w:lvl>
    <w:lvl w:ilvl="1">
      <w:lvlJc w:val="left"/>
      <w:lvlText w:val="(%2)"/>
      <w:numFmt w:val="lowerLetter"/>
      <w:start w:val="2"/>
    </w:lvl>
  </w:abstractNum>
  <w:abstractNum w:abstractNumId="154">
    <w:nsid w:val="5451CF49"/>
    <w:multiLevelType w:val="hybridMultilevel"/>
    <w:lvl w:ilvl="0">
      <w:lvlJc w:val="left"/>
      <w:lvlText w:val="(%1)"/>
      <w:numFmt w:val="lowerLetter"/>
      <w:start w:val="10"/>
    </w:lvl>
  </w:abstractNum>
  <w:abstractNum w:abstractNumId="155">
    <w:nsid w:val="6181EF69"/>
    <w:multiLevelType w:val="hybridMultilevel"/>
    <w:lvl w:ilvl="0">
      <w:lvlJc w:val="left"/>
      <w:lvlText w:val="(%1)"/>
      <w:numFmt w:val="lowerLetter"/>
      <w:start w:val="1"/>
    </w:lvl>
  </w:abstractNum>
  <w:abstractNum w:abstractNumId="156">
    <w:nsid w:val="3E6400E6"/>
    <w:multiLevelType w:val="hybridMultilevel"/>
    <w:lvl w:ilvl="0">
      <w:lvlJc w:val="left"/>
      <w:lvlText w:val="(%1)"/>
      <w:numFmt w:val="lowerLetter"/>
      <w:start w:val="2"/>
    </w:lvl>
  </w:abstractNum>
  <w:abstractNum w:abstractNumId="157">
    <w:nsid w:val="14217E23"/>
    <w:multiLevelType w:val="hybridMultilevel"/>
    <w:lvl w:ilvl="0">
      <w:lvlJc w:val="left"/>
      <w:lvlText w:val="(%1)"/>
      <w:numFmt w:val="lowerLetter"/>
      <w:start w:val="14"/>
    </w:lvl>
  </w:abstractNum>
  <w:abstractNum w:abstractNumId="158">
    <w:nsid w:val="710757D0"/>
    <w:multiLevelType w:val="hybridMultilevel"/>
    <w:lvl w:ilvl="0">
      <w:lvlJc w:val="left"/>
      <w:lvlText w:val="(%1)"/>
      <w:numFmt w:val="lowerLetter"/>
      <w:start w:val="1"/>
    </w:lvl>
  </w:abstractNum>
  <w:abstractNum w:abstractNumId="159">
    <w:nsid w:val="5015CD1A"/>
    <w:multiLevelType w:val="hybridMultilevel"/>
    <w:lvl w:ilvl="0">
      <w:lvlJc w:val="left"/>
      <w:lvlText w:val="(%1)"/>
      <w:numFmt w:val="lowerLetter"/>
      <w:start w:val="2"/>
    </w:lvl>
    <w:lvl w:ilvl="1">
      <w:lvlJc w:val="left"/>
      <w:lvlText w:val="(%2)"/>
      <w:numFmt w:val="lowerRoman"/>
      <w:start w:val="1"/>
    </w:lvl>
  </w:abstractNum>
  <w:abstractNum w:abstractNumId="160">
    <w:nsid w:val="424479DA"/>
    <w:multiLevelType w:val="hybridMultilevel"/>
    <w:lvl w:ilvl="0">
      <w:lvlJc w:val="left"/>
      <w:lvlText w:val="(%1)"/>
      <w:numFmt w:val="lowerLetter"/>
      <w:start w:val="1"/>
    </w:lvl>
  </w:abstractNum>
  <w:abstractNum w:abstractNumId="161">
    <w:nsid w:val="1A9A9E69"/>
    <w:multiLevelType w:val="hybridMultilevel"/>
    <w:lvl w:ilvl="0">
      <w:lvlJc w:val="left"/>
      <w:lvlText w:val="(%1)"/>
      <w:numFmt w:val="lowerLetter"/>
      <w:start w:val="1"/>
    </w:lvl>
  </w:abstractNum>
  <w:abstractNum w:abstractNumId="162">
    <w:nsid w:val="475E256A"/>
    <w:multiLevelType w:val="hybridMultilevel"/>
    <w:lvl w:ilvl="0">
      <w:lvlJc w:val="left"/>
      <w:lvlText w:val="(%1)"/>
      <w:numFmt w:val="lowerLetter"/>
      <w:start w:val="1"/>
    </w:lvl>
  </w:abstractNum>
  <w:abstractNum w:abstractNumId="163">
    <w:nsid w:val="368DB37E"/>
    <w:multiLevelType w:val="hybridMultilevel"/>
    <w:lvl w:ilvl="0">
      <w:lvlJc w:val="left"/>
      <w:lvlText w:val="(%1)"/>
      <w:numFmt w:val="lowerLetter"/>
      <w:start w:val="1"/>
    </w:lvl>
  </w:abstractNum>
  <w:abstractNum w:abstractNumId="164">
    <w:nsid w:val="6A3B714C"/>
    <w:multiLevelType w:val="hybridMultilevel"/>
    <w:lvl w:ilvl="0">
      <w:lvlJc w:val="left"/>
      <w:lvlText w:val="(%1)"/>
      <w:numFmt w:val="lowerLetter"/>
      <w:start w:val="1"/>
    </w:lvl>
  </w:abstractNum>
  <w:abstractNum w:abstractNumId="165">
    <w:nsid w:val="327B517E"/>
    <w:multiLevelType w:val="hybridMultilevel"/>
    <w:lvl w:ilvl="0">
      <w:lvlJc w:val="left"/>
      <w:lvlText w:val="(%1)"/>
      <w:numFmt w:val="lowerLetter"/>
      <w:start w:val="2"/>
    </w:lvl>
  </w:abstractNum>
  <w:abstractNum w:abstractNumId="166">
    <w:nsid w:val="1F461B51"/>
    <w:multiLevelType w:val="hybridMultilevel"/>
    <w:lvl w:ilvl="0">
      <w:lvlJc w:val="left"/>
      <w:lvlText w:val="(%1)"/>
      <w:numFmt w:val="lowerLetter"/>
      <w:start w:val="1"/>
    </w:lvl>
  </w:abstractNum>
  <w:abstractNum w:abstractNumId="167">
    <w:nsid w:val="29BACF25"/>
    <w:multiLevelType w:val="hybridMultilevel"/>
    <w:lvl w:ilvl="0">
      <w:lvlJc w:val="left"/>
      <w:lvlText w:val="(%1)"/>
      <w:numFmt w:val="lowerLetter"/>
      <w:start w:val="1"/>
    </w:lvl>
  </w:abstractNum>
  <w:abstractNum w:abstractNumId="168">
    <w:nsid w:val="5D5BABB3"/>
    <w:multiLevelType w:val="hybridMultilevel"/>
    <w:lvl w:ilvl="0">
      <w:lvlJc w:val="left"/>
      <w:lvlText w:val="(%1)"/>
      <w:numFmt w:val="lowerLetter"/>
      <w:start w:val="1"/>
    </w:lvl>
  </w:abstractNum>
  <w:abstractNum w:abstractNumId="169">
    <w:nsid w:val="51BF6B48"/>
    <w:multiLevelType w:val="hybridMultilevel"/>
    <w:lvl w:ilvl="0">
      <w:lvlJc w:val="left"/>
      <w:lvlText w:val="(%1)"/>
      <w:numFmt w:val="lowerLetter"/>
      <w:start w:val="1"/>
    </w:lvl>
  </w:abstractNum>
  <w:abstractNum w:abstractNumId="170">
    <w:nsid w:val="7E0F6384"/>
    <w:multiLevelType w:val="hybridMultilevel"/>
    <w:lvl w:ilvl="0">
      <w:lvlJc w:val="left"/>
      <w:lvlText w:val="(%1)"/>
      <w:numFmt w:val="lowerLetter"/>
      <w:start w:val="1"/>
    </w:lvl>
    <w:lvl w:ilvl="1">
      <w:lvlJc w:val="left"/>
      <w:lvlText w:val="(%2)"/>
      <w:numFmt w:val="lowerLetter"/>
      <w:start w:val="2"/>
    </w:lvl>
  </w:abstractNum>
  <w:abstractNum w:abstractNumId="171">
    <w:nsid w:val="2B4B8B53"/>
    <w:multiLevelType w:val="hybridMultilevel"/>
    <w:lvl w:ilvl="0">
      <w:lvlJc w:val="left"/>
      <w:lvlText w:val="(%1)"/>
      <w:numFmt w:val="lowerLetter"/>
      <w:start w:val="1"/>
    </w:lvl>
  </w:abstractNum>
  <w:abstractNum w:abstractNumId="172">
    <w:nsid w:val="72E3413A"/>
    <w:multiLevelType w:val="hybridMultilevel"/>
    <w:lvl w:ilvl="0">
      <w:lvlJc w:val="left"/>
      <w:lvlText w:val="(%1)"/>
      <w:numFmt w:val="lowerLetter"/>
      <w:start w:val="6"/>
    </w:lvl>
  </w:abstractNum>
  <w:abstractNum w:abstractNumId="173">
    <w:nsid w:val="116AE494"/>
    <w:multiLevelType w:val="hybridMultilevel"/>
    <w:lvl w:ilvl="0">
      <w:lvlJc w:val="left"/>
      <w:lvlText w:val="%1"/>
      <w:numFmt w:val="lowerRoman"/>
      <w:start w:val="1"/>
    </w:lvl>
    <w:lvl w:ilvl="1">
      <w:lvlJc w:val="left"/>
      <w:lvlText w:val="(%2)"/>
      <w:numFmt w:val="lowerLetter"/>
      <w:start w:val="1"/>
    </w:lvl>
  </w:abstractNum>
  <w:abstractNum w:abstractNumId="174">
    <w:nsid w:val="3494B2FB"/>
    <w:multiLevelType w:val="hybridMultilevel"/>
    <w:lvl w:ilvl="0">
      <w:lvlJc w:val="left"/>
      <w:lvlText w:val="(%1)"/>
      <w:numFmt w:val="lowerRoman"/>
      <w:start w:val="1"/>
    </w:lvl>
    <w:lvl w:ilvl="1">
      <w:lvlJc w:val="left"/>
      <w:lvlText w:val="%2"/>
      <w:numFmt w:val="lowerLetter"/>
      <w:start w:val="1"/>
    </w:lvl>
  </w:abstractNum>
  <w:abstractNum w:abstractNumId="175">
    <w:nsid w:val="B13A31"/>
    <w:multiLevelType w:val="hybridMultilevel"/>
    <w:lvl w:ilvl="0">
      <w:lvlJc w:val="left"/>
      <w:lvlText w:val="(%1)"/>
      <w:numFmt w:val="lowerLetter"/>
      <w:start w:val="1"/>
    </w:lvl>
  </w:abstractNum>
  <w:abstractNum w:abstractNumId="176">
    <w:nsid w:val="64429599"/>
    <w:multiLevelType w:val="hybridMultilevel"/>
    <w:lvl w:ilvl="0">
      <w:lvlJc w:val="left"/>
      <w:lvlText w:val="(%1)"/>
      <w:numFmt w:val="lowerLetter"/>
      <w:start w:val="1"/>
    </w:lvl>
  </w:abstractNum>
  <w:abstractNum w:abstractNumId="177">
    <w:nsid w:val="631F1690"/>
    <w:multiLevelType w:val="hybridMultilevel"/>
    <w:lvl w:ilvl="0">
      <w:lvlJc w:val="left"/>
      <w:lvlText w:val="(%1)"/>
      <w:numFmt w:val="lowerLetter"/>
      <w:start w:val="2"/>
    </w:lvl>
  </w:abstractNum>
  <w:abstractNum w:abstractNumId="178">
    <w:nsid w:val="25973E32"/>
    <w:multiLevelType w:val="hybridMultilevel"/>
    <w:lvl w:ilvl="0">
      <w:lvlJc w:val="left"/>
      <w:lvlText w:val="(%1)"/>
      <w:numFmt w:val="lowerLetter"/>
      <w:start w:val="4"/>
    </w:lvl>
    <w:lvl w:ilvl="1">
      <w:lvlJc w:val="left"/>
      <w:lvlText w:val="(%2)"/>
      <w:numFmt w:val="lowerRoman"/>
      <w:start w:val="1"/>
    </w:lvl>
  </w:abstractNum>
  <w:abstractNum w:abstractNumId="179">
    <w:nsid w:val="EAD6F57"/>
    <w:multiLevelType w:val="hybridMultilevel"/>
    <w:lvl w:ilvl="0">
      <w:lvlJc w:val="left"/>
      <w:lvlText w:val="(%1)"/>
      <w:numFmt w:val="lowerRoman"/>
      <w:start w:val="2"/>
    </w:lvl>
  </w:abstractNum>
  <w:abstractNum w:abstractNumId="180">
    <w:nsid w:val="6EC9D844"/>
    <w:multiLevelType w:val="hybridMultilevel"/>
    <w:lvl w:ilvl="0">
      <w:lvlJc w:val="left"/>
      <w:lvlText w:val="(%1)"/>
      <w:numFmt w:val="lowerLetter"/>
      <w:start w:val="1"/>
    </w:lvl>
  </w:abstractNum>
  <w:abstractNum w:abstractNumId="181">
    <w:nsid w:val="5C49EAEE"/>
    <w:multiLevelType w:val="hybridMultilevel"/>
    <w:lvl w:ilvl="0">
      <w:lvlJc w:val="left"/>
      <w:lvlText w:val="(%1)"/>
      <w:numFmt w:val="lowerLetter"/>
      <w:start w:val="3"/>
    </w:lvl>
  </w:abstractNum>
  <w:abstractNum w:abstractNumId="182">
    <w:nsid w:val="64AF49B"/>
    <w:multiLevelType w:val="hybridMultilevel"/>
    <w:lvl w:ilvl="0">
      <w:lvlJc w:val="left"/>
      <w:lvlText w:val="(%1)"/>
      <w:numFmt w:val="lowerLetter"/>
      <w:start w:val="1"/>
    </w:lvl>
    <w:lvl w:ilvl="1">
      <w:lvlJc w:val="left"/>
      <w:lvlText w:val="(%2)"/>
      <w:numFmt w:val="lowerLetter"/>
      <w:start w:val="35"/>
    </w:lvl>
  </w:abstractNum>
  <w:abstractNum w:abstractNumId="183">
    <w:nsid w:val="397C46BC"/>
    <w:multiLevelType w:val="hybridMultilevel"/>
    <w:lvl w:ilvl="0">
      <w:lvlJc w:val="left"/>
      <w:lvlText w:val="(%1)"/>
      <w:numFmt w:val="lowerLetter"/>
      <w:start w:val="1"/>
    </w:lvl>
  </w:abstractNum>
  <w:abstractNum w:abstractNumId="184">
    <w:nsid w:val="7E448DE9"/>
    <w:multiLevelType w:val="hybridMultilevel"/>
    <w:lvl w:ilvl="0">
      <w:lvlJc w:val="left"/>
      <w:lvlText w:val="(%1)"/>
      <w:numFmt w:val="lowerRoman"/>
      <w:start w:val="3"/>
    </w:lvl>
  </w:abstractNum>
  <w:abstractNum w:abstractNumId="185">
    <w:nsid w:val="5A9CC3E5"/>
    <w:multiLevelType w:val="hybridMultilevel"/>
    <w:lvl w:ilvl="0">
      <w:lvlJc w:val="left"/>
      <w:lvlText w:val="(%1)"/>
      <w:numFmt w:val="lowerLetter"/>
      <w:start w:val="1"/>
    </w:lvl>
    <w:lvl w:ilvl="1">
      <w:lvlJc w:val="left"/>
      <w:lvlText w:val="(%2)"/>
      <w:numFmt w:val="lowerRoman"/>
      <w:start w:val="1"/>
    </w:lvl>
  </w:abstractNum>
  <w:abstractNum w:abstractNumId="186">
    <w:nsid w:val="1AFE3625"/>
    <w:multiLevelType w:val="hybridMultilevel"/>
    <w:lvl w:ilvl="0">
      <w:lvlJc w:val="left"/>
      <w:lvlText w:val="(%1)"/>
      <w:numFmt w:val="lowerRoman"/>
      <w:start w:val="4"/>
    </w:lvl>
  </w:abstractNum>
  <w:abstractNum w:abstractNumId="187">
    <w:nsid w:val="3CA88ECF"/>
    <w:multiLevelType w:val="hybridMultilevel"/>
    <w:lvl w:ilvl="0">
      <w:lvlJc w:val="left"/>
      <w:lvlText w:val="(%1)"/>
      <w:numFmt w:val="lowerLetter"/>
      <w:start w:val="1"/>
    </w:lvl>
  </w:abstractNum>
  <w:abstractNum w:abstractNumId="188">
    <w:nsid w:val="6EBE4208"/>
    <w:multiLevelType w:val="hybridMultilevel"/>
    <w:lvl w:ilvl="0">
      <w:lvlJc w:val="left"/>
      <w:lvlText w:val="(%1)"/>
      <w:numFmt w:val="lowerLetter"/>
      <w:start w:val="2"/>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2"/>
    </w:lvl>
  </w:abstractNum>
  <w:abstractNum w:abstractNumId="191">
    <w:nsid w:val="3102BBE2"/>
    <w:multiLevelType w:val="hybridMultilevel"/>
    <w:lvl w:ilvl="0">
      <w:lvlJc w:val="left"/>
      <w:lvlText w:val="(%1)"/>
      <w:numFmt w:val="lowerLetter"/>
      <w:start w:val="1"/>
    </w:lvl>
  </w:abstractNum>
  <w:abstractNum w:abstractNumId="192">
    <w:nsid w:val="26A02C5E"/>
    <w:multiLevelType w:val="hybridMultilevel"/>
    <w:lvl w:ilvl="0">
      <w:lvlJc w:val="left"/>
      <w:lvlText w:val="(%1)"/>
      <w:numFmt w:val="lowerLetter"/>
      <w:start w:val="5"/>
    </w:lvl>
  </w:abstractNum>
  <w:abstractNum w:abstractNumId="193">
    <w:nsid w:val="541C8153"/>
    <w:multiLevelType w:val="hybridMultilevel"/>
    <w:lvl w:ilvl="0">
      <w:lvlJc w:val="left"/>
      <w:lvlText w:val="(%1)"/>
      <w:numFmt w:val="lowerLetter"/>
      <w:start w:val="10"/>
    </w:lvl>
  </w:abstractNum>
  <w:abstractNum w:abstractNumId="194">
    <w:nsid w:val="67906F60"/>
    <w:multiLevelType w:val="hybridMultilevel"/>
    <w:lvl w:ilvl="0">
      <w:lvlJc w:val="left"/>
      <w:lvlText w:val="(%1)"/>
      <w:numFmt w:val="decimal"/>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88"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99" Type="http://schemas.openxmlformats.org/officeDocument/2006/relationships/image" Target="media/image231.png"/><Relationship Id="rId300" Type="http://schemas.openxmlformats.org/officeDocument/2006/relationships/image" Target="media/image232.png"/><Relationship Id="rId301" Type="http://schemas.openxmlformats.org/officeDocument/2006/relationships/image" Target="media/image233.jpeg"/><Relationship Id="rId302" Type="http://schemas.openxmlformats.org/officeDocument/2006/relationships/image" Target="media/image234.png"/><Relationship Id="rId303" Type="http://schemas.openxmlformats.org/officeDocument/2006/relationships/image" Target="media/image235.png"/><Relationship Id="rId304" Type="http://schemas.openxmlformats.org/officeDocument/2006/relationships/image" Target="media/image236.png"/><Relationship Id="rId305" Type="http://schemas.openxmlformats.org/officeDocument/2006/relationships/image" Target="media/image237.png"/><Relationship Id="rId306" Type="http://schemas.openxmlformats.org/officeDocument/2006/relationships/image" Target="media/image238.png"/><Relationship Id="rId307" Type="http://schemas.openxmlformats.org/officeDocument/2006/relationships/image" Target="media/image239.png"/><Relationship Id="rId308" Type="http://schemas.openxmlformats.org/officeDocument/2006/relationships/image" Target="media/image240.png"/><Relationship Id="rId309"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2" Type="http://schemas.openxmlformats.org/officeDocument/2006/relationships/image" Target="media/image244.png"/><Relationship Id="rId313" Type="http://schemas.openxmlformats.org/officeDocument/2006/relationships/image" Target="media/image245.png"/><Relationship Id="rId314"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326" Type="http://schemas.openxmlformats.org/officeDocument/2006/relationships/image" Target="media/image258.png"/><Relationship Id="rId327" Type="http://schemas.openxmlformats.org/officeDocument/2006/relationships/image" Target="media/image259.pn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0" Type="http://schemas.openxmlformats.org/officeDocument/2006/relationships/image" Target="media/image272.png"/><Relationship Id="rId341" Type="http://schemas.openxmlformats.org/officeDocument/2006/relationships/image" Target="media/image273.png"/><Relationship Id="rId342" Type="http://schemas.openxmlformats.org/officeDocument/2006/relationships/image" Target="media/image274.png"/><Relationship Id="rId343" Type="http://schemas.openxmlformats.org/officeDocument/2006/relationships/image" Target="media/image275.png"/><Relationship Id="rId344" Type="http://schemas.openxmlformats.org/officeDocument/2006/relationships/image" Target="media/image276.png"/><Relationship Id="rId345" Type="http://schemas.openxmlformats.org/officeDocument/2006/relationships/image" Target="media/image277.png"/><Relationship Id="rId346" Type="http://schemas.openxmlformats.org/officeDocument/2006/relationships/image" Target="media/image278.png"/><Relationship Id="rId347" Type="http://schemas.openxmlformats.org/officeDocument/2006/relationships/image" Target="media/image279.png"/><Relationship Id="rId348" Type="http://schemas.openxmlformats.org/officeDocument/2006/relationships/image" Target="media/image280.png"/><Relationship Id="rId349" Type="http://schemas.openxmlformats.org/officeDocument/2006/relationships/image" Target="media/image281.png"/><Relationship Id="rId350" Type="http://schemas.openxmlformats.org/officeDocument/2006/relationships/image" Target="media/image282.png"/><Relationship Id="rId351" Type="http://schemas.openxmlformats.org/officeDocument/2006/relationships/image" Target="media/image283.png"/><Relationship Id="rId352" Type="http://schemas.openxmlformats.org/officeDocument/2006/relationships/image" Target="media/image284.png"/><Relationship Id="rId353" Type="http://schemas.openxmlformats.org/officeDocument/2006/relationships/image" Target="media/image285.png"/><Relationship Id="rId354" Type="http://schemas.openxmlformats.org/officeDocument/2006/relationships/image" Target="media/image286.png"/><Relationship Id="rId355" Type="http://schemas.openxmlformats.org/officeDocument/2006/relationships/image" Target="media/image287.png"/><Relationship Id="rId356" Type="http://schemas.openxmlformats.org/officeDocument/2006/relationships/image" Target="media/image288.png"/><Relationship Id="rId357" Type="http://schemas.openxmlformats.org/officeDocument/2006/relationships/image" Target="media/image289.png"/><Relationship Id="rId358" Type="http://schemas.openxmlformats.org/officeDocument/2006/relationships/image" Target="media/image290.png"/><Relationship Id="rId359" Type="http://schemas.openxmlformats.org/officeDocument/2006/relationships/image" Target="media/image291.png"/><Relationship Id="rId360" Type="http://schemas.openxmlformats.org/officeDocument/2006/relationships/image" Target="media/image292.png"/><Relationship Id="rId361" Type="http://schemas.openxmlformats.org/officeDocument/2006/relationships/image" Target="media/image293.png"/><Relationship Id="rId362" Type="http://schemas.openxmlformats.org/officeDocument/2006/relationships/image" Target="media/image294.png"/><Relationship Id="rId363" Type="http://schemas.openxmlformats.org/officeDocument/2006/relationships/image" Target="media/image295.png"/><Relationship Id="rId364" Type="http://schemas.openxmlformats.org/officeDocument/2006/relationships/image" Target="media/image296.png"/><Relationship Id="rId365" Type="http://schemas.openxmlformats.org/officeDocument/2006/relationships/image" Target="media/image297.png"/><Relationship Id="rId366" Type="http://schemas.openxmlformats.org/officeDocument/2006/relationships/image" Target="media/image298.png"/><Relationship Id="rId367" Type="http://schemas.openxmlformats.org/officeDocument/2006/relationships/image" Target="media/image299.png"/><Relationship Id="rId368" Type="http://schemas.openxmlformats.org/officeDocument/2006/relationships/image" Target="media/image300.png"/><Relationship Id="rId369" Type="http://schemas.openxmlformats.org/officeDocument/2006/relationships/image" Target="media/image301.png"/><Relationship Id="rId370" Type="http://schemas.openxmlformats.org/officeDocument/2006/relationships/image" Target="media/image302.png"/><Relationship Id="rId371" Type="http://schemas.openxmlformats.org/officeDocument/2006/relationships/image" Target="media/image303.png"/><Relationship Id="rId372" Type="http://schemas.openxmlformats.org/officeDocument/2006/relationships/image" Target="media/image304.png"/><Relationship Id="rId373" Type="http://schemas.openxmlformats.org/officeDocument/2006/relationships/image" Target="media/image305.png"/><Relationship Id="rId374" Type="http://schemas.openxmlformats.org/officeDocument/2006/relationships/image" Target="media/image306.png"/><Relationship Id="rId375" Type="http://schemas.openxmlformats.org/officeDocument/2006/relationships/image" Target="media/image307.png"/><Relationship Id="rId376" Type="http://schemas.openxmlformats.org/officeDocument/2006/relationships/image" Target="media/image308.png"/><Relationship Id="rId377" Type="http://schemas.openxmlformats.org/officeDocument/2006/relationships/image" Target="media/image309.png"/><Relationship Id="rId378" Type="http://schemas.openxmlformats.org/officeDocument/2006/relationships/image" Target="media/image310.png"/><Relationship Id="rId379" Type="http://schemas.openxmlformats.org/officeDocument/2006/relationships/image" Target="media/image311.png"/><Relationship Id="rId380" Type="http://schemas.openxmlformats.org/officeDocument/2006/relationships/image" Target="media/image312.png"/><Relationship Id="rId381" Type="http://schemas.openxmlformats.org/officeDocument/2006/relationships/image" Target="media/image313.png"/><Relationship Id="rId382" Type="http://schemas.openxmlformats.org/officeDocument/2006/relationships/image" Target="media/image314.png"/><Relationship Id="rId383" Type="http://schemas.openxmlformats.org/officeDocument/2006/relationships/image" Target="media/image315.png"/><Relationship Id="rId384" Type="http://schemas.openxmlformats.org/officeDocument/2006/relationships/image" Target="media/image316.png"/><Relationship Id="rId385" Type="http://schemas.openxmlformats.org/officeDocument/2006/relationships/image" Target="media/image317.png"/><Relationship Id="rId386" Type="http://schemas.openxmlformats.org/officeDocument/2006/relationships/image" Target="media/image318.png"/><Relationship Id="rId387" Type="http://schemas.openxmlformats.org/officeDocument/2006/relationships/image" Target="media/image319.png"/><Relationship Id="rId388" Type="http://schemas.openxmlformats.org/officeDocument/2006/relationships/image" Target="media/image320.png"/><Relationship Id="rId389" Type="http://schemas.openxmlformats.org/officeDocument/2006/relationships/image" Target="media/image321.png"/><Relationship Id="rId390" Type="http://schemas.openxmlformats.org/officeDocument/2006/relationships/image" Target="media/image322.png"/><Relationship Id="rId391" Type="http://schemas.openxmlformats.org/officeDocument/2006/relationships/image" Target="media/image323.png"/><Relationship Id="rId392" Type="http://schemas.openxmlformats.org/officeDocument/2006/relationships/image" Target="media/image324.png"/><Relationship Id="rId393" Type="http://schemas.openxmlformats.org/officeDocument/2006/relationships/image" Target="media/image325.png"/><Relationship Id="rId394" Type="http://schemas.openxmlformats.org/officeDocument/2006/relationships/image" Target="media/image326.png"/><Relationship Id="rId395" Type="http://schemas.openxmlformats.org/officeDocument/2006/relationships/image" Target="media/image327.png"/><Relationship Id="rId396" Type="http://schemas.openxmlformats.org/officeDocument/2006/relationships/image" Target="media/image328.png"/><Relationship Id="rId397" Type="http://schemas.openxmlformats.org/officeDocument/2006/relationships/image" Target="media/image329.png"/><Relationship Id="rId398" Type="http://schemas.openxmlformats.org/officeDocument/2006/relationships/image" Target="media/image330.png"/><Relationship Id="rId399" Type="http://schemas.openxmlformats.org/officeDocument/2006/relationships/image" Target="media/image331.png"/><Relationship Id="rId400" Type="http://schemas.openxmlformats.org/officeDocument/2006/relationships/image" Target="media/image332.png"/><Relationship Id="rId401" Type="http://schemas.openxmlformats.org/officeDocument/2006/relationships/image" Target="media/image333.png"/><Relationship Id="rId402" Type="http://schemas.openxmlformats.org/officeDocument/2006/relationships/image" Target="media/image334.png"/><Relationship Id="rId403" Type="http://schemas.openxmlformats.org/officeDocument/2006/relationships/image" Target="media/image335.png"/><Relationship Id="rId404" Type="http://schemas.openxmlformats.org/officeDocument/2006/relationships/image" Target="media/image336.png"/><Relationship Id="rId405" Type="http://schemas.openxmlformats.org/officeDocument/2006/relationships/image" Target="media/image337.png"/><Relationship Id="rId406" Type="http://schemas.openxmlformats.org/officeDocument/2006/relationships/image" Target="media/image338.png"/><Relationship Id="rId407" Type="http://schemas.openxmlformats.org/officeDocument/2006/relationships/image" Target="media/image339.png"/><Relationship Id="rId408" Type="http://schemas.openxmlformats.org/officeDocument/2006/relationships/image" Target="media/image340.png"/><Relationship Id="rId409" Type="http://schemas.openxmlformats.org/officeDocument/2006/relationships/image" Target="media/image341.png"/><Relationship Id="rId410" Type="http://schemas.openxmlformats.org/officeDocument/2006/relationships/image" Target="media/image342.png"/><Relationship Id="rId411" Type="http://schemas.openxmlformats.org/officeDocument/2006/relationships/image" Target="media/image343.png"/><Relationship Id="rId412" Type="http://schemas.openxmlformats.org/officeDocument/2006/relationships/image" Target="media/image344.png"/><Relationship Id="rId413" Type="http://schemas.openxmlformats.org/officeDocument/2006/relationships/image" Target="media/image345.png"/><Relationship Id="rId414" Type="http://schemas.openxmlformats.org/officeDocument/2006/relationships/image" Target="media/image346.png"/><Relationship Id="rId415" Type="http://schemas.openxmlformats.org/officeDocument/2006/relationships/image" Target="media/image347.png"/><Relationship Id="rId416" Type="http://schemas.openxmlformats.org/officeDocument/2006/relationships/image" Target="media/image348.png"/><Relationship Id="rId417" Type="http://schemas.openxmlformats.org/officeDocument/2006/relationships/image" Target="media/image349.png"/><Relationship Id="rId418" Type="http://schemas.openxmlformats.org/officeDocument/2006/relationships/image" Target="media/image350.png"/><Relationship Id="rId419" Type="http://schemas.openxmlformats.org/officeDocument/2006/relationships/image" Target="media/image351.png"/><Relationship Id="rId420" Type="http://schemas.openxmlformats.org/officeDocument/2006/relationships/image" Target="media/image352.png"/><Relationship Id="rId421" Type="http://schemas.openxmlformats.org/officeDocument/2006/relationships/image" Target="media/image353.png"/><Relationship Id="rId422" Type="http://schemas.openxmlformats.org/officeDocument/2006/relationships/image" Target="media/image354.png"/><Relationship Id="rId423" Type="http://schemas.openxmlformats.org/officeDocument/2006/relationships/image" Target="media/image355.png"/><Relationship Id="rId424" Type="http://schemas.openxmlformats.org/officeDocument/2006/relationships/image" Target="media/image356.png"/><Relationship Id="rId425" Type="http://schemas.openxmlformats.org/officeDocument/2006/relationships/image" Target="media/image357.png"/><Relationship Id="rId426" Type="http://schemas.openxmlformats.org/officeDocument/2006/relationships/image" Target="media/image358.png"/><Relationship Id="rId427" Type="http://schemas.openxmlformats.org/officeDocument/2006/relationships/image" Target="media/image359.png"/><Relationship Id="rId428" Type="http://schemas.openxmlformats.org/officeDocument/2006/relationships/image" Target="media/image360.png"/><Relationship Id="rId429" Type="http://schemas.openxmlformats.org/officeDocument/2006/relationships/image" Target="media/image361.png"/><Relationship Id="rId430" Type="http://schemas.openxmlformats.org/officeDocument/2006/relationships/image" Target="media/image362.png"/><Relationship Id="rId431" Type="http://schemas.openxmlformats.org/officeDocument/2006/relationships/image" Target="media/image363.png"/><Relationship Id="rId432" Type="http://schemas.openxmlformats.org/officeDocument/2006/relationships/image" Target="media/image364.png"/><Relationship Id="rId433" Type="http://schemas.openxmlformats.org/officeDocument/2006/relationships/image" Target="media/image365.png"/><Relationship Id="rId434" Type="http://schemas.openxmlformats.org/officeDocument/2006/relationships/image" Target="media/image366.png"/><Relationship Id="rId435" Type="http://schemas.openxmlformats.org/officeDocument/2006/relationships/image" Target="media/image367.png"/><Relationship Id="rId436" Type="http://schemas.openxmlformats.org/officeDocument/2006/relationships/image" Target="media/image368.png"/><Relationship Id="rId437" Type="http://schemas.openxmlformats.org/officeDocument/2006/relationships/image" Target="media/image369.png"/><Relationship Id="rId438" Type="http://schemas.openxmlformats.org/officeDocument/2006/relationships/image" Target="media/image370.png"/><Relationship Id="rId439" Type="http://schemas.openxmlformats.org/officeDocument/2006/relationships/image" Target="media/image371.png"/><Relationship Id="rId440" Type="http://schemas.openxmlformats.org/officeDocument/2006/relationships/image" Target="media/image372.png"/><Relationship Id="rId441" Type="http://schemas.openxmlformats.org/officeDocument/2006/relationships/image" Target="media/image373.png"/><Relationship Id="rId442" Type="http://schemas.openxmlformats.org/officeDocument/2006/relationships/image" Target="media/image374.png"/><Relationship Id="rId443" Type="http://schemas.openxmlformats.org/officeDocument/2006/relationships/image" Target="media/image375.png"/><Relationship Id="rId444" Type="http://schemas.openxmlformats.org/officeDocument/2006/relationships/image" Target="media/image376.png"/><Relationship Id="rId445" Type="http://schemas.openxmlformats.org/officeDocument/2006/relationships/image" Target="media/image377.png"/><Relationship Id="rId446" Type="http://schemas.openxmlformats.org/officeDocument/2006/relationships/image" Target="media/image378.png"/><Relationship Id="rId447" Type="http://schemas.openxmlformats.org/officeDocument/2006/relationships/image" Target="media/image379.png"/><Relationship Id="rId448" Type="http://schemas.openxmlformats.org/officeDocument/2006/relationships/image" Target="media/image380.png"/><Relationship Id="rId449" Type="http://schemas.openxmlformats.org/officeDocument/2006/relationships/image" Target="media/image381.png"/><Relationship Id="rId450" Type="http://schemas.openxmlformats.org/officeDocument/2006/relationships/image" Target="media/image382.png"/><Relationship Id="rId150" Type="http://schemas.openxmlformats.org/officeDocument/2006/relationships/hyperlink" Target="https://www.sec.gov/Archives/edgar/data/0001597264/000110465921154482/tm2136572d1_ex2-1.htm" TargetMode="External"/><Relationship Id="rId151" Type="http://schemas.openxmlformats.org/officeDocument/2006/relationships/hyperlink" Target="http://www.sec.gov/Archives/edgar/data/1597264/000155837015002529/bpmc-20150930ex3100367a3.htm" TargetMode="External"/><Relationship Id="rId152" Type="http://schemas.openxmlformats.org/officeDocument/2006/relationships/hyperlink" Target="https://www.sec.gov/Archives/edgar/data/1597264/000155837020005307/bpmc-20200331xex3d1.htm" TargetMode="External"/><Relationship Id="rId153" Type="http://schemas.openxmlformats.org/officeDocument/2006/relationships/hyperlink" Target="http://www.sec.gov/Archives/edgar/data/1597264/000104746915003668/a2224211zex-4_1.htm" TargetMode="External"/><Relationship Id="rId154" Type="http://schemas.openxmlformats.org/officeDocument/2006/relationships/hyperlink" Target="http://www.sec.gov/Archives/edgar/data/1597264/000104746915002608/a2223883zex-4_4.htm" TargetMode="External"/><Relationship Id="rId155" Type="http://schemas.openxmlformats.org/officeDocument/2006/relationships/hyperlink" Target="https://www.sec.gov/Archives/edgar/data/1597264/000155837020000784/ex-4d3.htm" TargetMode="External"/><Relationship Id="rId156" Type="http://schemas.openxmlformats.org/officeDocument/2006/relationships/hyperlink" Target="http://www.sec.gov/Archives/edgar/data/1597264/000104746915002608/a2223883zex-10_1.htm" TargetMode="External"/><Relationship Id="rId157" Type="http://schemas.openxmlformats.org/officeDocument/2006/relationships/hyperlink" Target="https://www.sec.gov/Archives/edgar/data/1597264/000155837020000784/ex-10d2.htm" TargetMode="External"/><Relationship Id="rId158" Type="http://schemas.openxmlformats.org/officeDocument/2006/relationships/hyperlink" Target="https://www.sec.gov/Archives/edgar/data/1597264/000155837020000784/ex-10d3.htm" TargetMode="External"/><Relationship Id="rId159" Type="http://schemas.openxmlformats.org/officeDocument/2006/relationships/hyperlink" Target="https://www.sec.gov/Archives/edgar/data/1597264/000155837020005420/tmb-20200506xex99d1.htm" TargetMode="External"/><Relationship Id="rId160" Type="http://schemas.openxmlformats.org/officeDocument/2006/relationships/hyperlink" Target="http://www.sec.gov/Archives/edgar/data/1597264/000104746915002608/a2223883zex-10_4.htm" TargetMode="External"/><Relationship Id="rId161" Type="http://schemas.openxmlformats.org/officeDocument/2006/relationships/hyperlink" Target="http://www.sec.gov/Archives/edgar/data/1597264/000155837018000862/bpmc-20171231ex105e4bc60.htm" TargetMode="External"/><Relationship Id="rId162" Type="http://schemas.openxmlformats.org/officeDocument/2006/relationships/hyperlink" Target="https://www.sec.gov/Archives/edgar/data/1597264/000155837021005262/bpmc-20210331xex10d1.htm" TargetMode="External"/><Relationship Id="rId163" Type="http://schemas.openxmlformats.org/officeDocument/2006/relationships/hyperlink" Target="http://www.sec.gov/Archives/edgar/data/1597264/000155837017003397/bpmc-20170331ex1015d322c.htm" TargetMode="External"/><Relationship Id="rId164" Type="http://schemas.openxmlformats.org/officeDocument/2006/relationships/hyperlink" Target="http://www.sec.gov/Archives/edgar/data/1597264/000155837018007557/ex-10d1.htm" TargetMode="External"/><Relationship Id="rId165" Type="http://schemas.openxmlformats.org/officeDocument/2006/relationships/hyperlink" Target="http://www.sec.gov/Archives/edgar/data/1597264/000155837015002529/bpmc-20150930ex10257b824.htm" TargetMode="External"/><Relationship Id="rId166" Type="http://schemas.openxmlformats.org/officeDocument/2006/relationships/hyperlink" Target="https://www.sec.gov/Archives/edgar/data/0001597264/000110465921153200/tm2136160d1_ex10-1.htm" TargetMode="External"/><Relationship Id="rId167" Type="http://schemas.openxmlformats.org/officeDocument/2006/relationships/hyperlink" Target="https://www.sec.gov/Archives/edgar/data/1597264/000110465922001275/tm221614d1_ex10-1.htm" TargetMode="External"/><Relationship Id="rId168" Type="http://schemas.openxmlformats.org/officeDocument/2006/relationships/hyperlink" Target="http://www.sec.gov/Archives/edgar/data/1597264/000155837015002529/bpmc-20150930ex1044ce742.htm" TargetMode="External"/><Relationship Id="rId169" Type="http://schemas.openxmlformats.org/officeDocument/2006/relationships/hyperlink" Target="https://www.sec.gov/Archives/edgar/data/1597264/000155837021000147/bpmc-20210108xex10d1.htm" TargetMode="External"/><Relationship Id="rId170" Type="http://schemas.openxmlformats.org/officeDocument/2006/relationships/hyperlink" Target="http://www.sec.gov/Archives/edgar/data/1597264/000155837016004066/bpmc-20151231ex109ea407e.htm" TargetMode="External"/><Relationship Id="rId171" Type="http://schemas.openxmlformats.org/officeDocument/2006/relationships/hyperlink" Target="http://www.sec.gov/Archives/edgar/data/1597264/000155837019000364/ex-10d2.htm" TargetMode="External"/><Relationship Id="rId172" Type="http://schemas.openxmlformats.org/officeDocument/2006/relationships/hyperlink" Target="https://www.sec.gov/Archives/edgar/data/1597264/000110465921153200/tm2136160d1_ex10-4.htm" TargetMode="External"/><Relationship Id="rId173" Type="http://schemas.openxmlformats.org/officeDocument/2006/relationships/hyperlink" Target="https://www.sec.gov/Archives/edgar/data/1597264/000110465922001275/tm221614d1_ex10-2.htm" TargetMode="External"/><Relationship Id="rId174" Type="http://schemas.openxmlformats.org/officeDocument/2006/relationships/hyperlink" Target="http://www.sec.gov/Archives/edgar/data/1597264/000155837016009951/bpmc-20160930ex1035083d6.htm" TargetMode="External"/><Relationship Id="rId175" Type="http://schemas.openxmlformats.org/officeDocument/2006/relationships/hyperlink" Target="https://www.sec.gov/Archives/edgar/data/1597264/000110465921153200/tm2136160d1_ex10-5.htm" TargetMode="External"/><Relationship Id="rId176" Type="http://schemas.openxmlformats.org/officeDocument/2006/relationships/hyperlink" Target="http://www.sec.gov/Archives/edgar/data/1597264/000155837016010074/bpmc_ex101marion-employmen.htm" TargetMode="External"/><Relationship Id="rId177" Type="http://schemas.openxmlformats.org/officeDocument/2006/relationships/hyperlink" Target="http://www.sec.gov/Archives/edgar/data/1597264/000155837017007829/bpmc-20170930ex101a9a4c6.htm" TargetMode="External"/><Relationship Id="rId178" Type="http://schemas.openxmlformats.org/officeDocument/2006/relationships/hyperlink" Target="https://www.sec.gov/Archives/edgar/data/1597264/000110465921153200/tm2136160d1_ex10-8.htm" TargetMode="External"/><Relationship Id="rId179" Type="http://schemas.openxmlformats.org/officeDocument/2006/relationships/hyperlink" Target="http://www.sec.gov/Archives/edgar/data/1597264/000155837017009050/ex-10d1.htm" TargetMode="External"/><Relationship Id="rId180" Type="http://schemas.openxmlformats.org/officeDocument/2006/relationships/hyperlink" Target="http://www.sec.gov/Archives/edgar/data/1597264/000155837019000364/ex-10d1.htm" TargetMode="External"/><Relationship Id="rId181" Type="http://schemas.openxmlformats.org/officeDocument/2006/relationships/hyperlink" Target="https://www.sec.gov/Archives/edgar/data/1597264/000110465921153200/tm2136160d1_ex10-2.htm" TargetMode="External"/><Relationship Id="rId182" Type="http://schemas.openxmlformats.org/officeDocument/2006/relationships/hyperlink" Target="http://www.sec.gov/Archives/edgar/data/1597264/000155837018007980/ex-10d1.htm" TargetMode="External"/><Relationship Id="rId183" Type="http://schemas.openxmlformats.org/officeDocument/2006/relationships/hyperlink" Target="https://www.sec.gov/Archives/edgar/data/1597264/000110465921153200/tm2136160d1_ex10-6.htm" TargetMode="External"/><Relationship Id="rId184" Type="http://schemas.openxmlformats.org/officeDocument/2006/relationships/hyperlink" Target="https://www.sec.gov/Archives/edgar/data/1597264/000110465922001275/tm221614d1_ex10-3.htm" TargetMode="External"/><Relationship Id="rId185" Type="http://schemas.openxmlformats.org/officeDocument/2006/relationships/hyperlink" Target="http://www.sec.gov/Archives/edgar/data/1597264/000155837019001726/ex-10d1.htm" TargetMode="External"/><Relationship Id="rId186" Type="http://schemas.openxmlformats.org/officeDocument/2006/relationships/hyperlink" Target="https://www.sec.gov/Archives/edgar/data/1597264/000110465921153200/tm2136160d1_ex10-11.htm" TargetMode="External"/><Relationship Id="rId187" Type="http://schemas.openxmlformats.org/officeDocument/2006/relationships/hyperlink" Target="https://www.sec.gov/Archives/edgar/data/1597264/000155837020000784/ex-10d19.htm" TargetMode="External"/><Relationship Id="rId189" Type="http://schemas.openxmlformats.org/officeDocument/2006/relationships/hyperlink" Target="https://www.sec.gov/Archives/edgar/data/1597264/000110465921153200/tm2136160d1_ex10-10.htm" TargetMode="External"/><Relationship Id="rId190" Type="http://schemas.openxmlformats.org/officeDocument/2006/relationships/hyperlink" Target="https://www.sec.gov/Archives/edgar/data/1597264/000155837020010927/bpmc-20200901xex10d1.htm" TargetMode="External"/><Relationship Id="rId191" Type="http://schemas.openxmlformats.org/officeDocument/2006/relationships/hyperlink" Target="https://www.sec.gov/Archives/edgar/data/1597264/000110465921153200/tm2136160d1_ex10-3.htm" TargetMode="External"/><Relationship Id="rId192" Type="http://schemas.openxmlformats.org/officeDocument/2006/relationships/hyperlink" Target="https://www.sec.gov/Archives/edgar/data/1597264/000155837021000147/bpmc-20210108xex10d2.htm" TargetMode="External"/><Relationship Id="rId193" Type="http://schemas.openxmlformats.org/officeDocument/2006/relationships/hyperlink" Target="https://www.sec.gov/Archives/edgar/data/1597264/000110465921153200/tm2136160d1_ex10-7.htm" TargetMode="External"/><Relationship Id="rId194" Type="http://schemas.openxmlformats.org/officeDocument/2006/relationships/hyperlink" Target="https://www.sec.gov/Archives/edgar/data/1597264/000155837021009606/bpmc-20210630xex10d1.htm" TargetMode="External"/><Relationship Id="rId195" Type="http://schemas.openxmlformats.org/officeDocument/2006/relationships/hyperlink" Target="https://www.sec.gov/Archives/edgar/data/1597264/000110465921153200/tm2136160d1_ex10-9.htm" TargetMode="External"/><Relationship Id="rId196" Type="http://schemas.openxmlformats.org/officeDocument/2006/relationships/hyperlink" Target="https://www.sec.gov/Archives/edgar/data/1597264/000110465922005729/tm223965d1_ex10-1.htm" TargetMode="External"/><Relationship Id="rId197" Type="http://schemas.openxmlformats.org/officeDocument/2006/relationships/hyperlink" Target="http://www.sec.gov/Archives/edgar/data/1597264/000155837016006732/bpmc-20160331ex1025287b1.htm" TargetMode="External"/><Relationship Id="rId198" Type="http://schemas.openxmlformats.org/officeDocument/2006/relationships/hyperlink" Target="http://www.sec.gov/Archives/edgar/data/1597264/000155837016007817/bpmc-20160630ex10190ad0c.htm" TargetMode="External"/><Relationship Id="rId199" Type="http://schemas.openxmlformats.org/officeDocument/2006/relationships/hyperlink" Target="http://www.sec.gov/Archives/edgar/data/1597264/000155837016009951/bpmc-20160930ex101983993.htm" TargetMode="External"/><Relationship Id="rId200" Type="http://schemas.openxmlformats.org/officeDocument/2006/relationships/hyperlink" Target="http://www.sec.gov/Archives/edgar/data/1597264/000155837019001094/bpmc-20181231ex1026a2f80.htm" TargetMode="External"/><Relationship Id="rId201" Type="http://schemas.openxmlformats.org/officeDocument/2006/relationships/hyperlink" Target="http://www.sec.gov/Archives/edgar/data/1597264/000155837019006016/ex-10d1.htm" TargetMode="External"/><Relationship Id="rId202" Type="http://schemas.openxmlformats.org/officeDocument/2006/relationships/hyperlink" Target="http://www.sec.gov/Archives/edgar/data/1597264/000155837019009888/ex-10d2.htm" TargetMode="External"/><Relationship Id="rId203" Type="http://schemas.openxmlformats.org/officeDocument/2006/relationships/hyperlink" Target="http://www.sec.gov/Archives/edgar/data/1597264/000155837019011670/ex-10d1.htm" TargetMode="External"/><Relationship Id="rId204" Type="http://schemas.openxmlformats.org/officeDocument/2006/relationships/hyperlink" Target="https://www.sec.gov/Archives/edgar/data/1597264/000155837020005307/bpmc-20200331xex10d1.htm" TargetMode="External"/><Relationship Id="rId205" Type="http://schemas.openxmlformats.org/officeDocument/2006/relationships/hyperlink" Target="https://www.sec.gov/Archives/edgar/data/1597264/000155837021001141/bpmc-20201231xex10d32.htm" TargetMode="External"/><Relationship Id="rId206" Type="http://schemas.openxmlformats.org/officeDocument/2006/relationships/hyperlink" Target="https://www.sec.gov/Archives/edgar/data/1597264/000155837020008810/bpmc-20200630ex1011ade78.htm" TargetMode="External"/><Relationship Id="rId207" Type="http://schemas.openxmlformats.org/officeDocument/2006/relationships/hyperlink" Target="http://www.sec.gov/Archives/edgar/data/1597264/000155837018006090/bpmc-20180630ex101d33531.htm" TargetMode="External"/><Relationship Id="rId208" Type="http://schemas.openxmlformats.org/officeDocument/2006/relationships/hyperlink" Target="http://www.sec.gov/Archives/edgar/data/1597264/000155837019009888/ex-10d1.htm" TargetMode="External"/><Relationship Id="rId209" Type="http://schemas.openxmlformats.org/officeDocument/2006/relationships/hyperlink" Target="http://www.sec.gov/Archives/edgar/data/1597264/000104746915002608/a2223883zex-10_11.htm" TargetMode="External"/><Relationship Id="rId210" Type="http://schemas.openxmlformats.org/officeDocument/2006/relationships/hyperlink" Target="http://www.sec.gov/Archives/edgar/data/1597264/000104746915002608/a2223883zex-10_12.htm" TargetMode="External"/><Relationship Id="rId211" Type="http://schemas.openxmlformats.org/officeDocument/2006/relationships/hyperlink" Target="http://www.sec.gov/Archives/edgar/data/1597264/000155837016004066/bpmc-20151231ex101559e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2022-02-17T07:24:00Z</dcterms:created>
  <dcterms:modified xsi:type="dcterms:W3CDTF">2022-02-17T07:24:00Z</dcterms:modified>
</cp:coreProperties>
</file>