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229870</wp:posOffset>
            </wp:positionV>
            <wp:extent cx="1603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18,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223520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10060"/>
          </w:cols>
          <w:pgMar w:left="920" w:top="206" w:right="9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340" w:space="720"/>
            <w:col w:w="3000" w:space="720"/>
            <w:col w:w="2280"/>
          </w:cols>
          <w:pgMar w:left="920" w:top="206" w:right="919" w:bottom="1440" w:gutter="0" w:footer="0" w:header="0"/>
          <w:type w:val="continuous"/>
        </w:sectPr>
      </w:pPr>
    </w:p>
    <w:p>
      <w:pPr>
        <w:spacing w:after="0" w:line="331"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7"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0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480" w:space="720"/>
            <w:col w:w="2860"/>
          </w:cols>
          <w:pgMar w:left="920" w:top="206" w:right="91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83185</wp:posOffset>
            </wp:positionV>
            <wp:extent cx="16033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right="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1" w:lineRule="exact"/>
        <w:rPr>
          <w:sz w:val="24"/>
          <w:szCs w:val="24"/>
          <w:color w:val="auto"/>
        </w:rPr>
      </w:pPr>
    </w:p>
    <w:p>
      <w:pPr>
        <w:ind w:right="38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760"/>
        <w:spacing w:after="0" w:line="207" w:lineRule="exact"/>
        <w:tabs>
          <w:tab w:leader="none" w:pos="89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42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2"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390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Title of each class</w:t>
            </w:r>
          </w:p>
        </w:tc>
        <w:tc>
          <w:tcPr>
            <w:tcW w:w="1900" w:type="dxa"/>
            <w:vAlign w:val="bottom"/>
            <w:gridSpan w:val="2"/>
          </w:tcPr>
          <w:p>
            <w:pPr>
              <w:ind w:left="100"/>
              <w:spacing w:after="0"/>
              <w:rPr>
                <w:sz w:val="20"/>
                <w:szCs w:val="20"/>
                <w:color w:val="auto"/>
              </w:rPr>
            </w:pPr>
            <w:r>
              <w:rPr>
                <w:rFonts w:ascii="Arial" w:cs="Arial" w:eastAsia="Arial" w:hAnsi="Arial"/>
                <w:sz w:val="18"/>
                <w:szCs w:val="18"/>
                <w:color w:val="auto"/>
              </w:rPr>
              <w:t>Trading symbol(s)</w:t>
            </w:r>
          </w:p>
        </w:tc>
        <w:tc>
          <w:tcPr>
            <w:tcW w:w="3440" w:type="dxa"/>
            <w:vAlign w:val="bottom"/>
          </w:tcPr>
          <w:p>
            <w:pPr>
              <w:ind w:left="120"/>
              <w:spacing w:after="0"/>
              <w:rPr>
                <w:sz w:val="20"/>
                <w:szCs w:val="20"/>
                <w:color w:val="auto"/>
              </w:rPr>
            </w:pPr>
            <w:r>
              <w:rPr>
                <w:rFonts w:ascii="Arial" w:cs="Arial" w:eastAsia="Arial" w:hAnsi="Arial"/>
                <w:sz w:val="18"/>
                <w:szCs w:val="18"/>
                <w:color w:val="auto"/>
                <w:w w:val="92"/>
              </w:rPr>
              <w:t>Name of each exchange on which registered</w:t>
            </w:r>
          </w:p>
        </w:tc>
        <w:tc>
          <w:tcPr>
            <w:tcW w:w="400" w:type="dxa"/>
            <w:vAlign w:val="bottom"/>
          </w:tcPr>
          <w:p>
            <w:pPr>
              <w:spacing w:after="0"/>
              <w:rPr>
                <w:sz w:val="20"/>
                <w:szCs w:val="20"/>
                <w:color w:val="auto"/>
              </w:rPr>
            </w:pPr>
          </w:p>
        </w:tc>
      </w:tr>
      <w:tr>
        <w:trPr>
          <w:trHeight w:val="228"/>
        </w:trPr>
        <w:tc>
          <w:tcPr>
            <w:tcW w:w="4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380" w:type="dxa"/>
            <w:vAlign w:val="bottom"/>
          </w:tcPr>
          <w:p>
            <w:pPr>
              <w:spacing w:after="0"/>
              <w:rPr>
                <w:sz w:val="19"/>
                <w:szCs w:val="19"/>
                <w:color w:val="auto"/>
              </w:rPr>
            </w:pPr>
          </w:p>
        </w:tc>
        <w:tc>
          <w:tcPr>
            <w:tcW w:w="1560" w:type="dxa"/>
            <w:vAlign w:val="bottom"/>
            <w:tcBorders>
              <w:top w:val="single" w:sz="8" w:color="auto"/>
            </w:tcBorders>
          </w:tcPr>
          <w:p>
            <w:pPr>
              <w:ind w:left="460"/>
              <w:spacing w:after="0"/>
              <w:rPr>
                <w:sz w:val="20"/>
                <w:szCs w:val="20"/>
                <w:color w:val="auto"/>
              </w:rPr>
            </w:pPr>
            <w:r>
              <w:rPr>
                <w:rFonts w:ascii="Arial" w:cs="Arial" w:eastAsia="Arial" w:hAnsi="Arial"/>
                <w:sz w:val="18"/>
                <w:szCs w:val="18"/>
                <w:b w:val="1"/>
                <w:bCs w:val="1"/>
                <w:color w:val="auto"/>
              </w:rPr>
              <w:t>BPMC</w:t>
            </w:r>
          </w:p>
        </w:tc>
        <w:tc>
          <w:tcPr>
            <w:tcW w:w="340" w:type="dxa"/>
            <w:vAlign w:val="bottom"/>
          </w:tcPr>
          <w:p>
            <w:pPr>
              <w:spacing w:after="0"/>
              <w:rPr>
                <w:sz w:val="19"/>
                <w:szCs w:val="19"/>
                <w:color w:val="auto"/>
              </w:rPr>
            </w:pPr>
          </w:p>
        </w:tc>
        <w:tc>
          <w:tcPr>
            <w:tcW w:w="3440" w:type="dxa"/>
            <w:vAlign w:val="bottom"/>
            <w:tcBorders>
              <w:top w:val="single" w:sz="8" w:color="auto"/>
            </w:tcBorders>
          </w:tcPr>
          <w:p>
            <w:pPr>
              <w:ind w:left="560"/>
              <w:spacing w:after="0"/>
              <w:rPr>
                <w:sz w:val="20"/>
                <w:szCs w:val="20"/>
                <w:color w:val="auto"/>
              </w:rPr>
            </w:pPr>
            <w:r>
              <w:rPr>
                <w:rFonts w:ascii="Arial" w:cs="Arial" w:eastAsia="Arial" w:hAnsi="Arial"/>
                <w:sz w:val="18"/>
                <w:szCs w:val="18"/>
                <w:b w:val="1"/>
                <w:bCs w:val="1"/>
                <w:color w:val="auto"/>
              </w:rPr>
              <w:t>Nasdaq Global Select Market</w:t>
            </w:r>
          </w:p>
        </w:tc>
        <w:tc>
          <w:tcPr>
            <w:tcW w:w="400" w:type="dxa"/>
            <w:vAlign w:val="bottom"/>
          </w:tcPr>
          <w:p>
            <w:pPr>
              <w:spacing w:after="0"/>
              <w:rPr>
                <w:sz w:val="19"/>
                <w:szCs w:val="19"/>
                <w:color w:val="auto"/>
              </w:rPr>
            </w:pPr>
          </w:p>
        </w:tc>
      </w:tr>
      <w:tr>
        <w:trPr>
          <w:trHeight w:val="745"/>
        </w:trPr>
        <w:tc>
          <w:tcPr>
            <w:tcW w:w="4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206" w:right="919" w:bottom="1440" w:gutter="0" w:footer="0" w:header="0"/>
          <w:type w:val="continuous"/>
        </w:sectPr>
      </w:pPr>
    </w:p>
    <w:bookmarkStart w:id="1" w:name="page2"/>
    <w:bookmarkEnd w:id="1"/>
    <w:p>
      <w:pPr>
        <w:ind w:left="160"/>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left="160" w:right="1439" w:firstLine="648"/>
        <w:spacing w:after="0" w:line="308" w:lineRule="auto"/>
        <w:rPr>
          <w:sz w:val="20"/>
          <w:szCs w:val="20"/>
          <w:color w:val="auto"/>
        </w:rPr>
      </w:pPr>
      <w:r>
        <w:rPr>
          <w:rFonts w:ascii="Arial" w:cs="Arial" w:eastAsia="Arial" w:hAnsi="Arial"/>
          <w:sz w:val="17"/>
          <w:szCs w:val="17"/>
          <w:color w:val="auto"/>
        </w:rPr>
        <w:t>Blueprint Medicines Corporation (the “Company”) held its annual meeting of stockholders on June 18, 2019. The following is a summary of the matters voted on at the meeting.</w:t>
      </w:r>
    </w:p>
    <w:p>
      <w:pPr>
        <w:spacing w:after="0" w:line="38" w:lineRule="exact"/>
        <w:rPr>
          <w:sz w:val="20"/>
          <w:szCs w:val="20"/>
          <w:color w:val="auto"/>
        </w:rPr>
      </w:pPr>
    </w:p>
    <w:p>
      <w:pPr>
        <w:ind w:left="1120" w:right="339" w:hanging="321"/>
        <w:spacing w:after="0" w:line="279" w:lineRule="auto"/>
        <w:tabs>
          <w:tab w:leader="none" w:pos="11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Company’s stockholders elected Jeffrey W. Albers, Mark Goldberg, M.D. and Nicholas Lydon, Ph.D. as Class I directors, each to serve for a three-year term expiring at the 2022 annual meeting of stockholders and until his successor has been duly elected and qualified. The results of the stockholders’ vote with respect to the election of such Class I directors were as follows:</w:t>
      </w:r>
    </w:p>
    <w:p>
      <w:pPr>
        <w:spacing w:after="0" w:line="73" w:lineRule="exact"/>
        <w:rPr>
          <w:sz w:val="20"/>
          <w:szCs w:val="20"/>
          <w:color w:val="auto"/>
        </w:rPr>
      </w:pPr>
    </w:p>
    <w:tbl>
      <w:tblPr>
        <w:tblLayout w:type="fixed"/>
        <w:tblInd w:w="90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Votes For</w:t>
            </w:r>
          </w:p>
        </w:tc>
        <w:tc>
          <w:tcPr>
            <w:tcW w:w="1700" w:type="dxa"/>
            <w:vAlign w:val="bottom"/>
            <w:gridSpan w:val="2"/>
          </w:tcPr>
          <w:p>
            <w:pPr>
              <w:ind w:left="120"/>
              <w:spacing w:after="0"/>
              <w:rPr>
                <w:sz w:val="20"/>
                <w:szCs w:val="20"/>
                <w:color w:val="auto"/>
              </w:rPr>
            </w:pPr>
            <w:r>
              <w:rPr>
                <w:rFonts w:ascii="Arial" w:cs="Arial" w:eastAsia="Arial" w:hAnsi="Arial"/>
                <w:sz w:val="18"/>
                <w:szCs w:val="18"/>
                <w:b w:val="1"/>
                <w:bCs w:val="1"/>
                <w:color w:val="auto"/>
              </w:rPr>
              <w:t>Votes Withheld</w:t>
            </w:r>
          </w:p>
        </w:tc>
        <w:tc>
          <w:tcPr>
            <w:tcW w:w="164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Broker Non-Votes</w:t>
            </w:r>
          </w:p>
        </w:tc>
      </w:tr>
      <w:tr>
        <w:trPr>
          <w:trHeight w:val="210"/>
        </w:trPr>
        <w:tc>
          <w:tcPr>
            <w:tcW w:w="26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Jeffrey W. Albers</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34,608,501</w:t>
            </w:r>
          </w:p>
        </w:tc>
        <w:tc>
          <w:tcPr>
            <w:tcW w:w="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9,642,031</w:t>
            </w:r>
          </w:p>
        </w:tc>
        <w:tc>
          <w:tcPr>
            <w:tcW w:w="2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2,477,875</w:t>
            </w:r>
          </w:p>
        </w:tc>
      </w:tr>
      <w:tr>
        <w:trPr>
          <w:trHeight w:val="216"/>
        </w:trPr>
        <w:tc>
          <w:tcPr>
            <w:tcW w:w="2640" w:type="dxa"/>
            <w:vAlign w:val="bottom"/>
          </w:tcPr>
          <w:p>
            <w:pPr>
              <w:ind w:left="120"/>
              <w:spacing w:after="0"/>
              <w:rPr>
                <w:sz w:val="20"/>
                <w:szCs w:val="20"/>
                <w:color w:val="auto"/>
              </w:rPr>
            </w:pPr>
            <w:r>
              <w:rPr>
                <w:rFonts w:ascii="Arial" w:cs="Arial" w:eastAsia="Arial" w:hAnsi="Arial"/>
                <w:sz w:val="18"/>
                <w:szCs w:val="18"/>
                <w:color w:val="auto"/>
              </w:rPr>
              <w:t>Mark Goldberg, M.D.</w:t>
            </w:r>
          </w:p>
        </w:tc>
        <w:tc>
          <w:tcPr>
            <w:tcW w:w="980" w:type="dxa"/>
            <w:vAlign w:val="bottom"/>
          </w:tcPr>
          <w:p>
            <w:pPr>
              <w:jc w:val="right"/>
              <w:spacing w:after="0"/>
              <w:rPr>
                <w:sz w:val="20"/>
                <w:szCs w:val="20"/>
                <w:color w:val="auto"/>
              </w:rPr>
            </w:pPr>
            <w:r>
              <w:rPr>
                <w:rFonts w:ascii="Arial" w:cs="Arial" w:eastAsia="Arial" w:hAnsi="Arial"/>
                <w:sz w:val="18"/>
                <w:szCs w:val="18"/>
                <w:color w:val="auto"/>
              </w:rPr>
              <w:t>24,871,360</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19,379,172</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2,477,875</w:t>
            </w:r>
          </w:p>
        </w:tc>
      </w:tr>
      <w:tr>
        <w:trPr>
          <w:trHeight w:val="216"/>
        </w:trPr>
        <w:tc>
          <w:tcPr>
            <w:tcW w:w="2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Nicholas Lydon, Ph.D.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28,703,285</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15,547,247</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2,477,875</w:t>
            </w:r>
          </w:p>
        </w:tc>
      </w:tr>
    </w:tbl>
    <w:p>
      <w:pPr>
        <w:spacing w:after="0" w:line="310" w:lineRule="exact"/>
        <w:rPr>
          <w:sz w:val="20"/>
          <w:szCs w:val="20"/>
          <w:color w:val="auto"/>
        </w:rPr>
      </w:pPr>
    </w:p>
    <w:p>
      <w:pPr>
        <w:ind w:left="1120" w:right="539" w:hanging="321"/>
        <w:spacing w:after="0" w:line="286" w:lineRule="auto"/>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Company’s stockholders approved the non-binding, advisory vote on the compensation paid to its named executive officers. The results of the stockholders’ non-binding, advisory vote with respect to compensation paid to the Company’s named executive officers were as follows:</w:t>
      </w:r>
    </w:p>
    <w:p>
      <w:pPr>
        <w:spacing w:after="0" w:line="67"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Votes For</w:t>
            </w:r>
          </w:p>
        </w:tc>
        <w:tc>
          <w:tcPr>
            <w:tcW w:w="1580" w:type="dxa"/>
            <w:vAlign w:val="bottom"/>
            <w:gridSpan w:val="2"/>
          </w:tcPr>
          <w:p>
            <w:pPr>
              <w:ind w:left="120"/>
              <w:spacing w:after="0"/>
              <w:rPr>
                <w:sz w:val="20"/>
                <w:szCs w:val="20"/>
                <w:color w:val="auto"/>
              </w:rPr>
            </w:pPr>
            <w:r>
              <w:rPr>
                <w:rFonts w:ascii="Arial" w:cs="Arial" w:eastAsia="Arial" w:hAnsi="Arial"/>
                <w:sz w:val="18"/>
                <w:szCs w:val="18"/>
                <w:b w:val="1"/>
                <w:bCs w:val="1"/>
                <w:color w:val="auto"/>
              </w:rPr>
              <w:t>Votes Against</w:t>
            </w:r>
          </w:p>
        </w:tc>
        <w:tc>
          <w:tcPr>
            <w:tcW w:w="1800" w:type="dxa"/>
            <w:vAlign w:val="bottom"/>
            <w:gridSpan w:val="2"/>
          </w:tcPr>
          <w:p>
            <w:pPr>
              <w:ind w:left="100"/>
              <w:spacing w:after="0"/>
              <w:rPr>
                <w:sz w:val="20"/>
                <w:szCs w:val="20"/>
                <w:color w:val="auto"/>
              </w:rPr>
            </w:pPr>
            <w:r>
              <w:rPr>
                <w:rFonts w:ascii="Arial" w:cs="Arial" w:eastAsia="Arial" w:hAnsi="Arial"/>
                <w:sz w:val="18"/>
                <w:szCs w:val="18"/>
                <w:b w:val="1"/>
                <w:bCs w:val="1"/>
                <w:color w:val="auto"/>
              </w:rPr>
              <w:t>Votes Abstaining</w:t>
            </w:r>
          </w:p>
        </w:tc>
        <w:tc>
          <w:tcPr>
            <w:tcW w:w="162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Broker Non-Votes</w:t>
            </w:r>
          </w:p>
        </w:tc>
      </w:tr>
      <w:tr>
        <w:trPr>
          <w:trHeight w:val="210"/>
        </w:trPr>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40,792,123</w:t>
            </w:r>
          </w:p>
        </w:tc>
        <w:tc>
          <w:tcPr>
            <w:tcW w:w="2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2,885,795</w:t>
            </w:r>
          </w:p>
        </w:tc>
        <w:tc>
          <w:tcPr>
            <w:tcW w:w="3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572,614</w:t>
            </w:r>
          </w:p>
        </w:tc>
        <w:tc>
          <w:tcPr>
            <w:tcW w:w="2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2,477,875</w:t>
            </w:r>
          </w:p>
        </w:tc>
      </w:tr>
    </w:tbl>
    <w:p>
      <w:pPr>
        <w:spacing w:after="0" w:line="310" w:lineRule="exact"/>
        <w:rPr>
          <w:sz w:val="20"/>
          <w:szCs w:val="20"/>
          <w:color w:val="auto"/>
        </w:rPr>
      </w:pPr>
    </w:p>
    <w:p>
      <w:pPr>
        <w:ind w:left="1120" w:right="279" w:hanging="321"/>
        <w:spacing w:after="0" w:line="264"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stockholders ratified the appointment of Ernst &amp; Young LLP as the Company’s independent registered public accounting for the fiscal year ending December 31, 2019. The results of the stockholders’ vote with respect to such ratification were as follows:</w:t>
      </w:r>
    </w:p>
    <w:p>
      <w:pPr>
        <w:spacing w:after="0" w:line="83" w:lineRule="exact"/>
        <w:rPr>
          <w:sz w:val="20"/>
          <w:szCs w:val="20"/>
          <w:color w:val="auto"/>
        </w:rPr>
      </w:pPr>
    </w:p>
    <w:tbl>
      <w:tblPr>
        <w:tblLayout w:type="fixed"/>
        <w:tblInd w:w="2340" w:type="dxa"/>
        <w:tblCellMar>
          <w:top w:w="0" w:type="dxa"/>
          <w:left w:w="0" w:type="dxa"/>
          <w:bottom w:w="0" w:type="dxa"/>
          <w:right w:w="0" w:type="dxa"/>
        </w:tblCellMar>
      </w:tblPr>
      <w:tr>
        <w:trPr>
          <w:trHeight w:val="234"/>
        </w:trPr>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Votes For</w:t>
            </w:r>
          </w:p>
        </w:tc>
        <w:tc>
          <w:tcPr>
            <w:tcW w:w="1560" w:type="dxa"/>
            <w:vAlign w:val="bottom"/>
            <w:gridSpan w:val="2"/>
          </w:tcPr>
          <w:p>
            <w:pPr>
              <w:ind w:left="120"/>
              <w:spacing w:after="0"/>
              <w:rPr>
                <w:sz w:val="20"/>
                <w:szCs w:val="20"/>
                <w:color w:val="auto"/>
              </w:rPr>
            </w:pPr>
            <w:r>
              <w:rPr>
                <w:rFonts w:ascii="Arial" w:cs="Arial" w:eastAsia="Arial" w:hAnsi="Arial"/>
                <w:sz w:val="18"/>
                <w:szCs w:val="18"/>
                <w:b w:val="1"/>
                <w:bCs w:val="1"/>
                <w:color w:val="auto"/>
              </w:rPr>
              <w:t>Votes Against</w:t>
            </w:r>
          </w:p>
        </w:tc>
        <w:tc>
          <w:tcPr>
            <w:tcW w:w="154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Votes Abstaining</w:t>
            </w:r>
          </w:p>
        </w:tc>
      </w:tr>
      <w:tr>
        <w:trPr>
          <w:trHeight w:val="210"/>
        </w:trPr>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45,883,230</w:t>
            </w:r>
          </w:p>
        </w:tc>
        <w:tc>
          <w:tcPr>
            <w:tcW w:w="2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127,252</w:t>
            </w:r>
          </w:p>
        </w:tc>
        <w:tc>
          <w:tcPr>
            <w:tcW w:w="2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717,925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358140</wp:posOffset>
            </wp:positionV>
            <wp:extent cx="554863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4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60" w:right="27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5520" w:type="dxa"/>
            <w:vAlign w:val="bottom"/>
            <w:gridSpan w:val="2"/>
          </w:tcPr>
          <w:p>
            <w:pPr>
              <w:ind w:left="1340"/>
              <w:spacing w:after="0"/>
              <w:rPr>
                <w:sz w:val="20"/>
                <w:szCs w:val="20"/>
                <w:color w:val="auto"/>
              </w:rPr>
            </w:pPr>
            <w:r>
              <w:rPr>
                <w:rFonts w:ascii="Arial" w:cs="Arial" w:eastAsia="Arial" w:hAnsi="Arial"/>
                <w:sz w:val="18"/>
                <w:szCs w:val="18"/>
                <w:b w:val="1"/>
                <w:bCs w:val="1"/>
                <w:color w:val="auto"/>
              </w:rPr>
              <w:t>BLUEPRINT MEDICINES CORPORATION</w:t>
            </w:r>
          </w:p>
        </w:tc>
        <w:tc>
          <w:tcPr>
            <w:tcW w:w="420" w:type="dxa"/>
            <w:vAlign w:val="bottom"/>
          </w:tcPr>
          <w:p>
            <w:pPr>
              <w:spacing w:after="0"/>
              <w:rPr>
                <w:sz w:val="20"/>
                <w:szCs w:val="20"/>
                <w:color w:val="auto"/>
              </w:rPr>
            </w:pPr>
          </w:p>
        </w:tc>
      </w:tr>
      <w:tr>
        <w:trPr>
          <w:trHeight w:val="634"/>
        </w:trPr>
        <w:tc>
          <w:tcPr>
            <w:tcW w:w="2800" w:type="dxa"/>
            <w:vAlign w:val="bottom"/>
          </w:tcPr>
          <w:p>
            <w:pPr>
              <w:ind w:left="20"/>
              <w:spacing w:after="0"/>
              <w:rPr>
                <w:sz w:val="20"/>
                <w:szCs w:val="20"/>
                <w:color w:val="auto"/>
              </w:rPr>
            </w:pPr>
            <w:r>
              <w:rPr>
                <w:rFonts w:ascii="Arial" w:cs="Arial" w:eastAsia="Arial" w:hAnsi="Arial"/>
                <w:sz w:val="18"/>
                <w:szCs w:val="18"/>
                <w:color w:val="auto"/>
              </w:rPr>
              <w:t>Date: June 20, 2019</w:t>
            </w:r>
          </w:p>
        </w:tc>
        <w:tc>
          <w:tcPr>
            <w:tcW w:w="5520" w:type="dxa"/>
            <w:vAlign w:val="bottom"/>
            <w:gridSpan w:val="2"/>
          </w:tcPr>
          <w:p>
            <w:pPr>
              <w:ind w:left="1340"/>
              <w:spacing w:after="0"/>
              <w:rPr>
                <w:sz w:val="20"/>
                <w:szCs w:val="20"/>
                <w:color w:val="auto"/>
              </w:rPr>
            </w:pPr>
            <w:r>
              <w:rPr>
                <w:rFonts w:ascii="Arial" w:cs="Arial" w:eastAsia="Arial" w:hAnsi="Arial"/>
                <w:sz w:val="18"/>
                <w:szCs w:val="18"/>
                <w:color w:val="auto"/>
              </w:rPr>
              <w:t>By: /s/ Tracey L.</w:t>
            </w:r>
          </w:p>
        </w:tc>
        <w:tc>
          <w:tcPr>
            <w:tcW w:w="420" w:type="dxa"/>
            <w:vAlign w:val="bottom"/>
          </w:tcPr>
          <w:p>
            <w:pPr>
              <w:spacing w:after="0"/>
              <w:rPr>
                <w:sz w:val="24"/>
                <w:szCs w:val="24"/>
                <w:color w:val="auto"/>
              </w:rPr>
            </w:pPr>
          </w:p>
        </w:tc>
      </w:tr>
      <w:tr>
        <w:trPr>
          <w:trHeight w:val="230"/>
        </w:trPr>
        <w:tc>
          <w:tcPr>
            <w:tcW w:w="28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McCain</w:t>
            </w:r>
          </w:p>
        </w:tc>
        <w:tc>
          <w:tcPr>
            <w:tcW w:w="420" w:type="dxa"/>
            <w:vAlign w:val="bottom"/>
          </w:tcPr>
          <w:p>
            <w:pPr>
              <w:spacing w:after="0"/>
              <w:rPr>
                <w:sz w:val="20"/>
                <w:szCs w:val="20"/>
                <w:color w:val="auto"/>
              </w:rPr>
            </w:pPr>
          </w:p>
        </w:tc>
      </w:tr>
      <w:tr>
        <w:trPr>
          <w:trHeight w:val="216"/>
        </w:trPr>
        <w:tc>
          <w:tcPr>
            <w:tcW w:w="2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r>
      <w:tr>
        <w:trPr>
          <w:trHeight w:val="195"/>
        </w:trPr>
        <w:tc>
          <w:tcPr>
            <w:tcW w:w="2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840" w:type="dxa"/>
            <w:vAlign w:val="bottom"/>
          </w:tcPr>
          <w:p>
            <w:pPr>
              <w:spacing w:after="0" w:line="195" w:lineRule="exact"/>
              <w:rPr>
                <w:sz w:val="20"/>
                <w:szCs w:val="20"/>
                <w:color w:val="auto"/>
              </w:rPr>
            </w:pPr>
            <w:r>
              <w:rPr>
                <w:rFonts w:ascii="Arial" w:cs="Arial" w:eastAsia="Arial" w:hAnsi="Arial"/>
                <w:sz w:val="18"/>
                <w:szCs w:val="18"/>
                <w:color w:val="auto"/>
              </w:rPr>
              <w:t>Tracey L. McCain</w:t>
            </w:r>
          </w:p>
        </w:tc>
        <w:tc>
          <w:tcPr>
            <w:tcW w:w="420" w:type="dxa"/>
            <w:vAlign w:val="bottom"/>
          </w:tcPr>
          <w:p>
            <w:pPr>
              <w:spacing w:after="0"/>
              <w:rPr>
                <w:sz w:val="16"/>
                <w:szCs w:val="16"/>
                <w:color w:val="auto"/>
              </w:rPr>
            </w:pPr>
          </w:p>
        </w:tc>
      </w:tr>
      <w:tr>
        <w:trPr>
          <w:trHeight w:val="230"/>
        </w:trPr>
        <w:tc>
          <w:tcPr>
            <w:tcW w:w="28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Chief Legal Officer</w:t>
            </w:r>
          </w:p>
        </w:tc>
        <w:tc>
          <w:tcPr>
            <w:tcW w:w="420" w:type="dxa"/>
            <w:vAlign w:val="bottom"/>
          </w:tcPr>
          <w:p>
            <w:pPr>
              <w:spacing w:after="0"/>
              <w:rPr>
                <w:sz w:val="20"/>
                <w:szCs w:val="20"/>
                <w:color w:val="auto"/>
              </w:rPr>
            </w:pPr>
          </w:p>
        </w:tc>
      </w:tr>
      <w:tr>
        <w:trPr>
          <w:trHeight w:val="864"/>
        </w:trPr>
        <w:tc>
          <w:tcPr>
            <w:tcW w:w="28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w:t>
            </w:r>
          </w:p>
        </w:tc>
        <w:tc>
          <w:tcPr>
            <w:tcW w:w="38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561"/>
        </w:trPr>
        <w:tc>
          <w:tcPr>
            <w:tcW w:w="28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44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2019-12-01T14:37:51Z</dcterms:created>
  <dcterms:modified xsi:type="dcterms:W3CDTF">2019-12-01T14:37:51Z</dcterms:modified>
</cp:coreProperties>
</file>