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July 30, 2020, Blueprint Medicines Corporation (the “Company”) announced its financial results for the quarter ended June 30, 2020 and other business highlights. The full text of the press release issued in connection with the announcement is furnished as Exhibit 99.1 to this Current Report on Form 8-K and is incorporated by reference herein.</w:t>
      </w:r>
    </w:p>
    <w:p>
      <w:pPr>
        <w:spacing w:after="0" w:line="18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July 30, 2020</w:t>
              </w:r>
            </w:hyperlink>
          </w:p>
        </w:tc>
      </w:tr>
      <w:tr>
        <w:trPr>
          <w:trHeight w:val="216"/>
        </w:trPr>
        <w:tc>
          <w:tcPr>
            <w:tcW w:w="1460" w:type="dxa"/>
            <w:vAlign w:val="bottom"/>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5"/>
              </w:rPr>
              <w:t xml:space="preserve">Cover Page Interactive Data File </w:t>
            </w:r>
            <w:r>
              <w:rPr>
                <w:rFonts w:ascii="Arial" w:cs="Arial" w:eastAsia="Arial" w:hAnsi="Arial"/>
                <w:sz w:val="18"/>
                <w:szCs w:val="18"/>
                <w:color w:val="212529"/>
                <w:w w:val="95"/>
              </w:rPr>
              <w:t>(embedded within the Inline XBRL document and incorporated as Exhibit</w:t>
            </w:r>
          </w:p>
        </w:tc>
      </w:tr>
      <w:tr>
        <w:trPr>
          <w:trHeight w:val="230"/>
        </w:trPr>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212529"/>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color w:val="auto"/>
        </w:rPr>
        <w:t>Exhibit 99.1</w:t>
      </w:r>
    </w:p>
    <w:p>
      <w:pPr>
        <w:spacing w:after="0" w:line="399"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Blueprint Medicines Reports Second Quarter 2020 Financial Results</w:t>
      </w:r>
    </w:p>
    <w:p>
      <w:pPr>
        <w:spacing w:after="0" w:line="202"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 Recorded $5.7M Second Quarter Net Revenue for AYVAKIT™ (avapritinib) --</w:t>
      </w:r>
    </w:p>
    <w:p>
      <w:pPr>
        <w:spacing w:after="0" w:line="14" w:lineRule="exact"/>
        <w:rPr>
          <w:sz w:val="20"/>
          <w:szCs w:val="20"/>
          <w:color w:val="auto"/>
        </w:rPr>
      </w:pPr>
    </w:p>
    <w:p>
      <w:pPr>
        <w:jc w:val="center"/>
        <w:ind w:left="200" w:right="219"/>
        <w:spacing w:after="0" w:line="234" w:lineRule="auto"/>
        <w:rPr>
          <w:sz w:val="20"/>
          <w:szCs w:val="20"/>
          <w:color w:val="auto"/>
        </w:rPr>
      </w:pPr>
      <w:r>
        <w:rPr>
          <w:rFonts w:ascii="Arial" w:cs="Arial" w:eastAsia="Arial" w:hAnsi="Arial"/>
          <w:sz w:val="18"/>
          <w:szCs w:val="18"/>
          <w:i w:val="1"/>
          <w:iCs w:val="1"/>
          <w:color w:val="auto"/>
        </w:rPr>
        <w:t>-- Initiated registration-enabling Part 2 of PIONEER trial of avapritinib in indolent SM -- -- Received positive CHMP opinion for avapritinib for PDGFRA D842V mutant GIST in EU -- -- Entered into global collaboration with Roche for pralsetinib, including $775 million in upfront payments --</w:t>
      </w:r>
    </w:p>
    <w:p>
      <w:pPr>
        <w:ind w:left="440" w:hanging="163"/>
        <w:spacing w:after="0" w:line="237" w:lineRule="auto"/>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On track to report top-line EXPLORER and PATHFINDER trial data for avapritinib in advanced SM in Q3</w:t>
      </w:r>
    </w:p>
    <w:p>
      <w:pPr>
        <w:ind w:left="4280"/>
        <w:spacing w:after="0" w:line="234" w:lineRule="auto"/>
        <w:rPr>
          <w:rFonts w:ascii="Arial" w:cs="Arial" w:eastAsia="Arial" w:hAnsi="Arial"/>
          <w:sz w:val="18"/>
          <w:szCs w:val="18"/>
          <w:i w:val="1"/>
          <w:iCs w:val="1"/>
          <w:color w:val="auto"/>
        </w:rPr>
      </w:pPr>
      <w:r>
        <w:rPr>
          <w:rFonts w:ascii="Arial" w:cs="Arial" w:eastAsia="Arial" w:hAnsi="Arial"/>
          <w:sz w:val="18"/>
          <w:szCs w:val="18"/>
          <w:i w:val="1"/>
          <w:iCs w:val="1"/>
          <w:color w:val="auto"/>
        </w:rPr>
        <w:t>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and submit supplemental NDA to FDA in Q4 2020 --</w:t>
      </w:r>
    </w:p>
    <w:p>
      <w:pPr>
        <w:spacing w:after="0" w:line="200" w:lineRule="exact"/>
        <w:rPr>
          <w:sz w:val="20"/>
          <w:szCs w:val="20"/>
          <w:color w:val="auto"/>
        </w:rPr>
      </w:pPr>
    </w:p>
    <w:p>
      <w:pPr>
        <w:spacing w:after="0" w:line="201" w:lineRule="exact"/>
        <w:rPr>
          <w:sz w:val="20"/>
          <w:szCs w:val="20"/>
          <w:color w:val="auto"/>
        </w:rPr>
      </w:pPr>
    </w:p>
    <w:p>
      <w:pPr>
        <w:ind w:left="200" w:right="239"/>
        <w:spacing w:after="0" w:line="261" w:lineRule="auto"/>
        <w:rPr>
          <w:sz w:val="20"/>
          <w:szCs w:val="20"/>
          <w:color w:val="auto"/>
        </w:rPr>
      </w:pPr>
      <w:r>
        <w:rPr>
          <w:rFonts w:ascii="Arial" w:cs="Arial" w:eastAsia="Arial" w:hAnsi="Arial"/>
          <w:sz w:val="17"/>
          <w:szCs w:val="17"/>
          <w:color w:val="auto"/>
        </w:rPr>
        <w:t>CAMBRIDGE, Mass., July 30, 2020 – Blueprint Medicines Corporation (NASDAQ:BPMC), a precision therapy company focused on genomically defined cancers, rare diseases and cancer immunotherapy, today reported financial results and provided a business update for the second quarter ended June 30, 2020.</w:t>
      </w:r>
    </w:p>
    <w:p>
      <w:pPr>
        <w:spacing w:after="0" w:line="172" w:lineRule="exact"/>
        <w:rPr>
          <w:sz w:val="20"/>
          <w:szCs w:val="20"/>
          <w:color w:val="auto"/>
        </w:rPr>
      </w:pPr>
    </w:p>
    <w:p>
      <w:pPr>
        <w:ind w:left="200" w:right="219"/>
        <w:spacing w:after="0" w:line="236" w:lineRule="auto"/>
        <w:rPr>
          <w:sz w:val="20"/>
          <w:szCs w:val="20"/>
          <w:color w:val="auto"/>
        </w:rPr>
      </w:pPr>
      <w:r>
        <w:rPr>
          <w:rFonts w:ascii="Arial" w:cs="Arial" w:eastAsia="Arial" w:hAnsi="Arial"/>
          <w:sz w:val="18"/>
          <w:szCs w:val="18"/>
          <w:color w:val="auto"/>
        </w:rPr>
        <w:t>“In recent months, we made substantial progress toward cementing Blueprint Medicines as the leading precision medicine company, presenting compelling clinical data for avapritinib and pralsetinib across multiple patient populations, entering into a global collaboration with Roche for pralsetinib and bolstering our financial position to create a path to self-sustainability,” said Jeff Albers, Chief Executive Officer of Blueprint Medicines. “We are poised to build on these pillars of growth in the second half of 2020 as we continue to execute on our focused strategy. We look forward to delivering multiple precision therapies to patients in the near-term, while continuing to support the commercialization of AYVAKIT™ (avapritinib) and investing in our broad portfolio of new innovative research programs.”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2020 Highlights and Recent Updates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Avapritinib: systemic mastocytosis (SM)</w:t>
      </w:r>
    </w:p>
    <w:p>
      <w:pPr>
        <w:spacing w:after="0" w:line="18" w:lineRule="exact"/>
        <w:rPr>
          <w:sz w:val="20"/>
          <w:szCs w:val="20"/>
          <w:color w:val="auto"/>
        </w:rPr>
      </w:pPr>
    </w:p>
    <w:p>
      <w:pPr>
        <w:ind w:left="860" w:right="279" w:hanging="327"/>
        <w:spacing w:after="0" w:line="23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updated data from Part 1 of the PIONEER trial of avapritinib in patients with indolent SM at the European Academy of Allergy and Clinical Immunology (EAACI) Digital Congress in June 2020, showing a 60 percent response rate in patients treated with avapritinib 25 mg once daily (QD), compared to a zero percent response rate in patients treated with placebo at 24 weeks, with response defined as a 30 percent or greater reduction as measured by the Indolent SM Symptom Assessment Form (ISM-SAF) total symptom score (TSS). Avapritinib 25 mg QD was well-tolerated, and safety results were consistent with previously reported data, with no Grade ≥3 adverse events (AEs) or discontinuations due to AEs. Read the press release here.</w:t>
      </w:r>
    </w:p>
    <w:p>
      <w:pPr>
        <w:spacing w:after="0" w:line="5" w:lineRule="exact"/>
        <w:rPr>
          <w:rFonts w:ascii="Arial" w:cs="Arial" w:eastAsia="Arial" w:hAnsi="Arial"/>
          <w:sz w:val="18"/>
          <w:szCs w:val="18"/>
          <w:color w:val="auto"/>
        </w:rPr>
      </w:pPr>
    </w:p>
    <w:p>
      <w:pPr>
        <w:ind w:left="860" w:right="299" w:hanging="327"/>
        <w:spacing w:after="0" w:line="23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patient screening in the registration-enabling Part 2 of the PIONEER trial. Based on feedback from the U.S. Food and Drug Administration (FDA), Blueprint Medicines has selected response rate at 24 weeks as the primary endpoint for Part 2 and plans to enroll approximately 200 patients.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Avapritinib: gastrointestinal stromal tumor (GIST)</w:t>
      </w:r>
    </w:p>
    <w:p>
      <w:pPr>
        <w:spacing w:after="0" w:line="18" w:lineRule="exact"/>
        <w:rPr>
          <w:sz w:val="20"/>
          <w:szCs w:val="20"/>
          <w:color w:val="auto"/>
        </w:rPr>
      </w:pPr>
    </w:p>
    <w:p>
      <w:pPr>
        <w:jc w:val="both"/>
        <w:ind w:left="860" w:right="499" w:hanging="327"/>
        <w:spacing w:after="0" w:line="23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$5.7 million in net product revenue during the second quarter for AYVAKIT, which was approved by the FDA in January 2020 for the treatment of adults with unresectable or metastatic GIST harboring a PDGFRA exon 18 mutations.</w:t>
      </w:r>
    </w:p>
    <w:p>
      <w:pPr>
        <w:spacing w:after="0" w:line="2" w:lineRule="exact"/>
        <w:rPr>
          <w:rFonts w:ascii="Arial" w:cs="Arial" w:eastAsia="Arial" w:hAnsi="Arial"/>
          <w:sz w:val="18"/>
          <w:szCs w:val="18"/>
          <w:color w:val="auto"/>
        </w:rPr>
      </w:pPr>
    </w:p>
    <w:p>
      <w:pPr>
        <w:ind w:left="860" w:right="299" w:hanging="327"/>
        <w:spacing w:after="0" w:line="23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a positive opinion from the Committee for Medicinal Products for Human Use (CHMP), recommending the conditional marketing authorization of avapritinib for the treatment of adult patients with unresectable or metastatic GIST harboring the PDGFRA D842V mutation. The CHMP recommendation will now be reviewed by the European Commission, which has the authority to grant marketing authorization for medicinal products in the European Union (EU). A final decision on the marketing authorization application for avapritinib is anticipated by the end of September 2020.</w:t>
      </w:r>
    </w:p>
    <w:p>
      <w:pPr>
        <w:spacing w:after="0" w:line="1" w:lineRule="exact"/>
        <w:rPr>
          <w:rFonts w:ascii="Arial" w:cs="Arial" w:eastAsia="Arial" w:hAnsi="Arial"/>
          <w:sz w:val="18"/>
          <w:szCs w:val="18"/>
          <w:color w:val="auto"/>
        </w:rPr>
      </w:pPr>
    </w:p>
    <w:p>
      <w:pPr>
        <w:ind w:left="860" w:right="539" w:hanging="327"/>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Published data from the NAVIGATOR clinical trial in </w:t>
      </w:r>
      <w:r>
        <w:rPr>
          <w:rFonts w:ascii="Arial" w:cs="Arial" w:eastAsia="Arial" w:hAnsi="Arial"/>
          <w:sz w:val="18"/>
          <w:szCs w:val="18"/>
          <w:i w:val="1"/>
          <w:iCs w:val="1"/>
          <w:color w:val="auto"/>
        </w:rPr>
        <w:t>The Lancet Oncology</w:t>
      </w:r>
      <w:r>
        <w:rPr>
          <w:rFonts w:ascii="Arial" w:cs="Arial" w:eastAsia="Arial" w:hAnsi="Arial"/>
          <w:sz w:val="18"/>
          <w:szCs w:val="18"/>
          <w:color w:val="auto"/>
        </w:rPr>
        <w:t>, showing an unprecedented overall survival rate and well-tolerated safety profile for AYVAKIT in patients with advanced PDGFRA D842V mutant GIST. Read the press release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463550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Pralsetinib: RET-altered cancers</w:t>
      </w:r>
    </w:p>
    <w:p>
      <w:pPr>
        <w:spacing w:after="0" w:line="17" w:lineRule="exact"/>
        <w:rPr>
          <w:sz w:val="20"/>
          <w:szCs w:val="20"/>
          <w:color w:val="auto"/>
        </w:rPr>
      </w:pPr>
    </w:p>
    <w:p>
      <w:pPr>
        <w:ind w:left="860" w:right="379" w:hanging="327"/>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a global collaboration with Roche and Genentech, a member of the Roche Group, to develop and commercialize pralsetinib. Under the collaboration, Blueprint Medicines and Genentech will co-commercialize pralsetinib in the U.S., and Roche will obtain exclusive commercialization rights for pralsetinib outside the U.S., excluding Greater China. In addition, Blueprint Medicines and Roche will co-develop pralsetinib globally in RET-altered solid tumors, including NSCLC, MTC and other thyroid cancers, and other solid tumors. Read the press release here.</w:t>
      </w:r>
    </w:p>
    <w:p>
      <w:pPr>
        <w:spacing w:after="0" w:line="4" w:lineRule="exact"/>
        <w:rPr>
          <w:rFonts w:ascii="Arial" w:cs="Arial" w:eastAsia="Arial" w:hAnsi="Arial"/>
          <w:sz w:val="18"/>
          <w:szCs w:val="18"/>
          <w:color w:val="auto"/>
        </w:rPr>
      </w:pPr>
    </w:p>
    <w:p>
      <w:pPr>
        <w:ind w:left="860" w:right="259" w:hanging="327"/>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updated data from the ongoing ARROW clinical trial of pralsetinib in RET fusion-positive non-small cell lung cancer (NSCLC), thyroid cancer and other solid tumors treated with pralsetinib at 400 mg QD at the American Society of Clinical Oncology 2020 Virtual Scientific Program. The data showed deep, durable clinical activity and a well-tolerated safety profile for pralsetinib across a broad range of RET fusion-positive tumors. Read the press release here.</w:t>
      </w:r>
    </w:p>
    <w:p>
      <w:pPr>
        <w:spacing w:after="0" w:line="3" w:lineRule="exact"/>
        <w:rPr>
          <w:rFonts w:ascii="Arial" w:cs="Arial" w:eastAsia="Arial" w:hAnsi="Arial"/>
          <w:sz w:val="18"/>
          <w:szCs w:val="18"/>
          <w:color w:val="auto"/>
        </w:rPr>
      </w:pPr>
    </w:p>
    <w:p>
      <w:pPr>
        <w:ind w:left="860" w:right="339" w:hanging="327"/>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acceptance and validation of U.S. and EU marketing applications for pralsetinib for the treatment of locally advanced or metastatic RET fusion-positive NSCLC, respectively. The FDA granted priority review and set an action date of November 23, 2020 under the Prescription Drug User Fee Act.</w:t>
      </w:r>
    </w:p>
    <w:p>
      <w:pPr>
        <w:spacing w:after="0" w:line="2" w:lineRule="exact"/>
        <w:rPr>
          <w:rFonts w:ascii="Arial" w:cs="Arial" w:eastAsia="Arial" w:hAnsi="Arial"/>
          <w:sz w:val="18"/>
          <w:szCs w:val="18"/>
          <w:color w:val="auto"/>
        </w:rPr>
      </w:pPr>
    </w:p>
    <w:p>
      <w:pPr>
        <w:ind w:left="860" w:right="259" w:hanging="327"/>
        <w:spacing w:after="0" w:line="238"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Submitted new drug application (NDA) to the FDA for pralsetinib for the treatment of advanced RET mutant and RET fusion-positive thyroid cancer under the FDA’s Oncology Center of Excellence Real-Time Oncology Review (RTOR) pilot program. The RTOR program aims to explore a more efficient review progress to ensure that safe and effective treatments are available to patients as early as possible, while maintaining and improving review quality by the FDA.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BLU-263: systemic mastocytosis</w:t>
      </w:r>
    </w:p>
    <w:p>
      <w:pPr>
        <w:spacing w:after="0" w:line="31" w:lineRule="exact"/>
        <w:rPr>
          <w:sz w:val="20"/>
          <w:szCs w:val="20"/>
          <w:color w:val="auto"/>
        </w:rPr>
      </w:pPr>
    </w:p>
    <w:p>
      <w:pPr>
        <w:ind w:left="860" w:right="919" w:hanging="327"/>
        <w:spacing w:after="0" w:line="261"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Initiated a Phase 1 clinical trial in healthy volunteers with BLU-263, our next-generation KIT inhibitor, in June 2020.</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Upcoming Milestones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expects to achieve the following near-term milestones:</w:t>
      </w:r>
    </w:p>
    <w:p>
      <w:pPr>
        <w:ind w:left="860" w:right="279" w:hanging="327"/>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 top-line data from the EXPLORER and PATHFINDER trials of avapritinib in advanced SM in the third quarter of 2020.</w:t>
      </w:r>
    </w:p>
    <w:p>
      <w:pPr>
        <w:spacing w:after="0" w:line="1" w:lineRule="exact"/>
        <w:rPr>
          <w:rFonts w:ascii="Arial" w:cs="Arial" w:eastAsia="Arial" w:hAnsi="Arial"/>
          <w:sz w:val="18"/>
          <w:szCs w:val="18"/>
          <w:color w:val="auto"/>
        </w:rPr>
      </w:pPr>
    </w:p>
    <w:p>
      <w:pPr>
        <w:ind w:left="860" w:right="1059" w:hanging="327"/>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marketing authorization from the European Commission for avapritinib by the end of September 2020.</w:t>
      </w:r>
    </w:p>
    <w:p>
      <w:pPr>
        <w:spacing w:after="0" w:line="1" w:lineRule="exact"/>
        <w:rPr>
          <w:rFonts w:ascii="Arial" w:cs="Arial" w:eastAsia="Arial" w:hAnsi="Arial"/>
          <w:sz w:val="18"/>
          <w:szCs w:val="18"/>
          <w:color w:val="auto"/>
        </w:rPr>
      </w:pPr>
    </w:p>
    <w:p>
      <w:pPr>
        <w:ind w:left="860" w:right="339" w:hanging="327"/>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 FDA approval and, if approved, launch pralsetinib in RET fusion-positive NSCLC in the fourth quarter of 2020.</w:t>
      </w:r>
    </w:p>
    <w:p>
      <w:pPr>
        <w:spacing w:after="0" w:line="1" w:lineRule="exact"/>
        <w:rPr>
          <w:rFonts w:ascii="Arial" w:cs="Arial" w:eastAsia="Arial" w:hAnsi="Arial"/>
          <w:sz w:val="18"/>
          <w:szCs w:val="18"/>
          <w:color w:val="auto"/>
        </w:rPr>
      </w:pPr>
    </w:p>
    <w:p>
      <w:pPr>
        <w:ind w:left="860" w:right="419" w:hanging="327"/>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 a supplemental NDA to the FDA for avapritinib for the treatment of patients with advanced SM in the fourth quarter of 2020.</w:t>
      </w:r>
    </w:p>
    <w:p>
      <w:pPr>
        <w:spacing w:after="0" w:line="1" w:lineRule="exact"/>
        <w:rPr>
          <w:rFonts w:ascii="Arial" w:cs="Arial" w:eastAsia="Arial" w:hAnsi="Arial"/>
          <w:sz w:val="18"/>
          <w:szCs w:val="18"/>
          <w:color w:val="auto"/>
        </w:rPr>
      </w:pPr>
    </w:p>
    <w:p>
      <w:pPr>
        <w:ind w:left="860" w:right="839" w:hanging="327"/>
        <w:spacing w:after="0" w:line="24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 preclinical data for BLU-945 in resistant EGFR-positive NSCLC at the ESMO Virtual Congress in September 2020.</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198" w:lineRule="exact"/>
        <w:rPr>
          <w:sz w:val="20"/>
          <w:szCs w:val="20"/>
          <w:color w:val="auto"/>
        </w:rPr>
      </w:pPr>
    </w:p>
    <w:p>
      <w:pPr>
        <w:ind w:left="860" w:right="259" w:hanging="327"/>
        <w:spacing w:after="0" w:line="245"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were $8.3 million for the second quarter of 2020, including $5.7 million of net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revenues from sales of AYVAKIT and $2.6 million in collaboration revenues under the collaboration agreements with CStone, Roche and Clementia. Blueprint Medicines recorded $5.1 million in collaboration revenues for the second quarter of 2019.</w:t>
      </w:r>
    </w:p>
    <w:p>
      <w:pPr>
        <w:ind w:left="860" w:right="839" w:hanging="327"/>
        <w:spacing w:after="0" w:line="245"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$0.1 million for the second quarter of 2020. Blueprint</w:t>
      </w:r>
      <w:r>
        <w:rPr>
          <w:rFonts w:ascii="Arial" w:cs="Arial" w:eastAsia="Arial" w:hAnsi="Arial"/>
          <w:sz w:val="18"/>
          <w:szCs w:val="18"/>
          <w:b w:val="1"/>
          <w:bCs w:val="1"/>
          <w:color w:val="auto"/>
        </w:rPr>
        <w:t xml:space="preserve"> </w:t>
      </w:r>
      <w:r>
        <w:rPr>
          <w:rFonts w:ascii="Arial" w:cs="Arial" w:eastAsia="Arial" w:hAnsi="Arial"/>
          <w:sz w:val="18"/>
          <w:szCs w:val="18"/>
          <w:color w:val="auto"/>
        </w:rPr>
        <w:t>Medicines did not incur cost of sales in the second quarter of 2019 as no product sales were generated during that period.</w:t>
      </w:r>
    </w:p>
    <w:p>
      <w:pPr>
        <w:ind w:left="860" w:right="239" w:hanging="327"/>
        <w:spacing w:after="0" w:line="24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
          <w:szCs w:val="1"/>
          <w:color w:val="auto"/>
        </w:rPr>
        <w:drawing>
          <wp:inline distT="0" distB="0" distL="0" distR="0">
            <wp:extent cx="34290" cy="11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18"/>
          <w:szCs w:val="18"/>
          <w:color w:val="auto"/>
        </w:rPr>
        <w:t>Research and development expenses were $91.1 million for the second quarter of 2020, as compared to $87.1 million for the second quarter of 2019. This increase was primarily due to increased personnel expenses. Research and development expenses included $8.7 million in stock-based compensation expenses for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-943610</wp:posOffset>
            </wp:positionV>
            <wp:extent cx="2603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3716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860" w:right="379" w:hanging="327"/>
        <w:spacing w:after="0" w:line="244"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$42.2 million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as compared to $21.9 million for the second quarter of 2019. This increase was primarily due to increased costs and personnel expenses associated with building Blueprint Medicines’ commercial infrastructure for commercialization of AYVAKIT and for the potential commercialization of pralsetinib. General and administrative expenses included $10.8 million in stock-based compensation expenses for the second quarter of 2020.</w:t>
      </w:r>
    </w:p>
    <w:p>
      <w:pPr>
        <w:spacing w:after="0" w:line="1" w:lineRule="exact"/>
        <w:rPr>
          <w:rFonts w:ascii="Arial" w:cs="Arial" w:eastAsia="Arial" w:hAnsi="Arial"/>
          <w:sz w:val="18"/>
          <w:szCs w:val="18"/>
          <w:color w:val="auto"/>
        </w:rPr>
      </w:pPr>
    </w:p>
    <w:p>
      <w:pPr>
        <w:ind w:left="860" w:hanging="3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$123.5 million for the second quarter of 2020, or a net loss per share</w:t>
      </w:r>
    </w:p>
    <w:p>
      <w:pPr>
        <w:spacing w:after="0" w:line="9" w:lineRule="exact"/>
        <w:rPr>
          <w:rFonts w:ascii="Arial" w:cs="Arial" w:eastAsia="Arial" w:hAnsi="Arial"/>
          <w:sz w:val="18"/>
          <w:szCs w:val="18"/>
          <w:color w:val="auto"/>
        </w:rPr>
      </w:pPr>
    </w:p>
    <w:p>
      <w:pPr>
        <w:ind w:left="860" w:right="239"/>
        <w:spacing w:after="0" w:line="242" w:lineRule="auto"/>
        <w:rPr>
          <w:rFonts w:ascii="Arial" w:cs="Arial" w:eastAsia="Arial" w:hAnsi="Arial"/>
          <w:sz w:val="18"/>
          <w:szCs w:val="18"/>
          <w:color w:val="auto"/>
        </w:rPr>
      </w:pPr>
      <w:r>
        <w:rPr>
          <w:rFonts w:ascii="Arial" w:cs="Arial" w:eastAsia="Arial" w:hAnsi="Arial"/>
          <w:sz w:val="18"/>
          <w:szCs w:val="18"/>
          <w:color w:val="auto"/>
        </w:rPr>
        <w:t>of $2.28, as compared to a net loss of $99.7 million for the second quarter of 2019, or a net loss per share of $2.04.</w:t>
      </w:r>
    </w:p>
    <w:p>
      <w:pPr>
        <w:ind w:left="860" w:right="319" w:hanging="327"/>
        <w:spacing w:after="0" w:line="242"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Cash Position:</w:t>
      </w:r>
      <w:r>
        <w:rPr>
          <w:rFonts w:ascii="Arial" w:cs="Arial" w:eastAsia="Arial" w:hAnsi="Arial"/>
          <w:sz w:val="1"/>
          <w:szCs w:val="1"/>
          <w:color w:val="auto"/>
        </w:rPr>
        <w:drawing>
          <wp:inline distT="0" distB="0" distL="0" distR="0">
            <wp:extent cx="34290" cy="123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23825"/>
                    </a:xfrm>
                    <a:prstGeom prst="rect">
                      <a:avLst/>
                    </a:prstGeom>
                    <a:noFill/>
                    <a:ln>
                      <a:noFill/>
                    </a:ln>
                  </pic:spPr>
                </pic:pic>
              </a:graphicData>
            </a:graphic>
          </wp:inline>
        </w:drawing>
      </w:r>
      <w:r>
        <w:rPr>
          <w:rFonts w:ascii="Arial" w:cs="Arial" w:eastAsia="Arial" w:hAnsi="Arial"/>
          <w:sz w:val="17"/>
          <w:szCs w:val="17"/>
          <w:color w:val="auto"/>
        </w:rPr>
        <w:t>As of June 30, 2020, cash, cash equivalents and investments were $650.3 million, as compared to $548.0 million as of December 31, 2019. This increase was primarily related</w:t>
      </w:r>
    </w:p>
    <w:p>
      <w:pPr>
        <w:spacing w:after="0" w:line="1" w:lineRule="exact"/>
        <w:rPr>
          <w:rFonts w:ascii="Arial" w:cs="Arial" w:eastAsia="Arial" w:hAnsi="Arial"/>
          <w:sz w:val="17"/>
          <w:szCs w:val="17"/>
          <w:color w:val="auto"/>
        </w:rPr>
      </w:pPr>
    </w:p>
    <w:p>
      <w:pPr>
        <w:ind w:left="860" w:right="279"/>
        <w:spacing w:after="0" w:line="257" w:lineRule="auto"/>
        <w:rPr>
          <w:rFonts w:ascii="Arial" w:cs="Arial" w:eastAsia="Arial" w:hAnsi="Arial"/>
          <w:sz w:val="17"/>
          <w:szCs w:val="17"/>
          <w:color w:val="auto"/>
        </w:rPr>
      </w:pPr>
      <w:r>
        <w:rPr>
          <w:rFonts w:ascii="Arial" w:cs="Arial" w:eastAsia="Arial" w:hAnsi="Arial"/>
          <w:sz w:val="17"/>
          <w:szCs w:val="17"/>
          <w:color w:val="auto"/>
        </w:rPr>
        <w:t>to $308.4 million in net proceeds received from the company's January 2020 follow-on underwritten public offering, partially offset by cash used in operating activities. Cash, cash equivalents and investments as of June 30, 2020 do not include upfront payments of approximately $769.0 million received in July 2020 under Blueprint Medicines’ collaboration with Roche for pralsetinib.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-1996440</wp:posOffset>
            </wp:positionV>
            <wp:extent cx="254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13716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-1207770</wp:posOffset>
            </wp:positionV>
            <wp:extent cx="2540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Guidance</w:t>
      </w:r>
    </w:p>
    <w:p>
      <w:pPr>
        <w:spacing w:after="0" w:line="220" w:lineRule="exact"/>
        <w:rPr>
          <w:sz w:val="20"/>
          <w:szCs w:val="20"/>
          <w:color w:val="auto"/>
        </w:rPr>
      </w:pPr>
    </w:p>
    <w:p>
      <w:pPr>
        <w:ind w:left="200" w:right="399"/>
        <w:spacing w:after="0" w:line="238" w:lineRule="auto"/>
        <w:rPr>
          <w:sz w:val="20"/>
          <w:szCs w:val="20"/>
          <w:color w:val="auto"/>
        </w:rPr>
      </w:pPr>
      <w:r>
        <w:rPr>
          <w:rFonts w:ascii="Arial" w:cs="Arial" w:eastAsia="Arial" w:hAnsi="Arial"/>
          <w:sz w:val="18"/>
          <w:szCs w:val="18"/>
          <w:color w:val="auto"/>
        </w:rPr>
        <w:t>Based on its current operating plans, Blueprint Medicines expects that its existing cash, cash equivalents and investments, together with the upfront payments under its collaboration with Roche and anticipated future product revenues, will provide sufficient capital to enable the company to achieve a self-sustainable financial profile.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20" w:lineRule="exact"/>
        <w:rPr>
          <w:sz w:val="20"/>
          <w:szCs w:val="20"/>
          <w:color w:val="auto"/>
        </w:rPr>
      </w:pPr>
    </w:p>
    <w:p>
      <w:pPr>
        <w:ind w:left="200" w:right="279"/>
        <w:spacing w:after="0" w:line="237" w:lineRule="auto"/>
        <w:rPr>
          <w:sz w:val="20"/>
          <w:szCs w:val="20"/>
          <w:color w:val="auto"/>
        </w:rPr>
      </w:pPr>
      <w:r>
        <w:rPr>
          <w:rFonts w:ascii="Arial" w:cs="Arial" w:eastAsia="Arial" w:hAnsi="Arial"/>
          <w:sz w:val="18"/>
          <w:szCs w:val="18"/>
          <w:color w:val="auto"/>
        </w:rPr>
        <w:t>Blueprint Medicines will host a live conference call and webcast at 8:30 a.m. ET today to discuss second quarter 2020 financial results and recent business activities. The conference call may be accessed by dialing (855) 728-4793 (domestic) or (503) 343-6666 (international), and referring to conference ID 2769677. A webcast of the call will be available under "Events and Presentations" in the Investors &amp; Media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0" w:lineRule="exact"/>
        <w:rPr>
          <w:sz w:val="20"/>
          <w:szCs w:val="20"/>
          <w:color w:val="auto"/>
        </w:rPr>
      </w:pPr>
    </w:p>
    <w:p>
      <w:pPr>
        <w:ind w:left="200" w:right="239"/>
        <w:spacing w:after="0" w:line="236"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precision therapy approved by the U.S. Food and Drug Administration and are currently advancing multiple investigational medicines in clinical development, along with a number of research programs. For more information, visit www.BlueprintMedicines.com and follow us on Twitter (@BlueprintMeds) and LinkedIn.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ind w:left="200" w:right="259"/>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development of AYVAKIT™ (avapritinib), pralsetinib, fisogatinib and BLU-263, including the timing, designs, implementation, enrollment, plans and announcement of results regarding Blueprint Medicines' ongoing and planned clinical trials; plans and timelines for submitting additional marketing applications for avapritinib and pralsetinib and, if approved, commercializing avapritinib for additional indications or in additional geographies or commercializing pralsetinib; the potential benefits of the FDA’s RTOR program; the potential benefits of Blueprint Medicines' current and future approved drugs or drug candidates in treating patients; expectations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 w:name="page7"/>
    <w:bookmarkEnd w:id="6"/>
    <w:p>
      <w:pPr>
        <w:ind w:left="200" w:right="259"/>
        <w:spacing w:after="0" w:line="235" w:lineRule="auto"/>
        <w:rPr>
          <w:sz w:val="20"/>
          <w:szCs w:val="20"/>
          <w:color w:val="auto"/>
        </w:rPr>
      </w:pPr>
      <w:r>
        <w:rPr>
          <w:rFonts w:ascii="Arial" w:cs="Arial" w:eastAsia="Arial" w:hAnsi="Arial"/>
          <w:sz w:val="18"/>
          <w:szCs w:val="18"/>
          <w:color w:val="auto"/>
        </w:rPr>
        <w:t>Blueprint Medicines' existing cash, cash equivalents and investments and the ability to achieve a self-sustainable financial profile;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Blueprint Medicines’ ability to successfully expand the approved indications for AYVAKIT or obtain marketing approval for AYVAKIT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Blueprint Medicines Corporation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Selected Condensed Consolidated Balance Sheet Data</w:t>
      </w:r>
    </w:p>
    <w:p>
      <w:pPr>
        <w:jc w:val="center"/>
        <w:ind w:right="19"/>
        <w:spacing w:after="0"/>
        <w:rPr>
          <w:sz w:val="20"/>
          <w:szCs w:val="20"/>
          <w:color w:val="auto"/>
        </w:rPr>
      </w:pPr>
      <w:r>
        <w:rPr>
          <w:rFonts w:ascii="Arial" w:cs="Arial" w:eastAsia="Arial" w:hAnsi="Arial"/>
          <w:sz w:val="20"/>
          <w:szCs w:val="20"/>
          <w:b w:val="1"/>
          <w:bCs w:val="1"/>
          <w:color w:val="auto"/>
        </w:rPr>
        <w:t>(in thousands)</w:t>
      </w:r>
    </w:p>
    <w:p>
      <w:pPr>
        <w:jc w:val="center"/>
        <w:ind w:right="19"/>
        <w:spacing w:after="0"/>
        <w:rPr>
          <w:sz w:val="20"/>
          <w:szCs w:val="20"/>
          <w:color w:val="auto"/>
        </w:rPr>
      </w:pPr>
      <w:r>
        <w:rPr>
          <w:rFonts w:ascii="Arial" w:cs="Arial" w:eastAsia="Arial" w:hAnsi="Arial"/>
          <w:sz w:val="20"/>
          <w:szCs w:val="20"/>
          <w:b w:val="1"/>
          <w:bCs w:val="1"/>
          <w:i w:val="1"/>
          <w:iCs w:val="1"/>
          <w:color w:val="auto"/>
        </w:rPr>
        <w:t>(unaudited)</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52"/>
        </w:trPr>
        <w:tc>
          <w:tcPr>
            <w:tcW w:w="4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2"/>
          </w:tcPr>
          <w:p>
            <w:pPr>
              <w:ind w:left="260"/>
              <w:spacing w:after="0"/>
              <w:rPr>
                <w:sz w:val="20"/>
                <w:szCs w:val="20"/>
                <w:color w:val="auto"/>
              </w:rPr>
            </w:pPr>
            <w:r>
              <w:rPr>
                <w:rFonts w:ascii="Arial" w:cs="Arial" w:eastAsia="Arial" w:hAnsi="Arial"/>
                <w:sz w:val="20"/>
                <w:szCs w:val="20"/>
                <w:b w:val="1"/>
                <w:bCs w:val="1"/>
                <w:color w:val="auto"/>
              </w:rPr>
              <w:t>June 30,</w:t>
            </w:r>
          </w:p>
        </w:tc>
        <w:tc>
          <w:tcPr>
            <w:tcW w:w="140" w:type="dxa"/>
            <w:vAlign w:val="bottom"/>
          </w:tcPr>
          <w:p>
            <w:pPr>
              <w:spacing w:after="0"/>
              <w:rPr>
                <w:sz w:val="21"/>
                <w:szCs w:val="21"/>
                <w:color w:val="auto"/>
              </w:rPr>
            </w:pPr>
          </w:p>
        </w:tc>
        <w:tc>
          <w:tcPr>
            <w:tcW w:w="1420" w:type="dxa"/>
            <w:vAlign w:val="bottom"/>
          </w:tcPr>
          <w:p>
            <w:pPr>
              <w:jc w:val="right"/>
              <w:ind w:right="101"/>
              <w:spacing w:after="0"/>
              <w:rPr>
                <w:sz w:val="20"/>
                <w:szCs w:val="20"/>
                <w:color w:val="auto"/>
              </w:rPr>
            </w:pPr>
            <w:r>
              <w:rPr>
                <w:rFonts w:ascii="Arial" w:cs="Arial" w:eastAsia="Arial" w:hAnsi="Arial"/>
                <w:sz w:val="20"/>
                <w:szCs w:val="20"/>
                <w:b w:val="1"/>
                <w:bCs w:val="1"/>
                <w:color w:val="auto"/>
                <w:w w:val="92"/>
              </w:rPr>
              <w:t>December 31,</w:t>
            </w:r>
          </w:p>
        </w:tc>
      </w:tr>
      <w:tr>
        <w:trPr>
          <w:trHeight w:val="237"/>
        </w:trPr>
        <w:tc>
          <w:tcPr>
            <w:tcW w:w="486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2020</w:t>
            </w:r>
          </w:p>
        </w:tc>
        <w:tc>
          <w:tcPr>
            <w:tcW w:w="4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2019</w:t>
            </w:r>
          </w:p>
        </w:tc>
      </w:tr>
      <w:tr>
        <w:trPr>
          <w:trHeight w:val="237"/>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Cash, cash equivalents and investments</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650,273</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547,960</w:t>
            </w:r>
          </w:p>
        </w:tc>
      </w:tr>
      <w:tr>
        <w:trPr>
          <w:trHeight w:val="253"/>
        </w:trPr>
        <w:tc>
          <w:tcPr>
            <w:tcW w:w="4860" w:type="dxa"/>
            <w:vAlign w:val="bottom"/>
          </w:tcPr>
          <w:p>
            <w:pPr>
              <w:spacing w:after="0"/>
              <w:rPr>
                <w:sz w:val="20"/>
                <w:szCs w:val="20"/>
                <w:color w:val="auto"/>
              </w:rPr>
            </w:pPr>
            <w:r>
              <w:rPr>
                <w:rFonts w:ascii="Arial" w:cs="Arial" w:eastAsia="Arial" w:hAnsi="Arial"/>
                <w:sz w:val="20"/>
                <w:szCs w:val="20"/>
                <w:color w:val="auto"/>
              </w:rPr>
              <w:t>Working capital (1)</w:t>
            </w:r>
          </w:p>
        </w:tc>
        <w:tc>
          <w:tcPr>
            <w:tcW w:w="3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463,226</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410,304</w:t>
            </w:r>
          </w:p>
        </w:tc>
      </w:tr>
      <w:tr>
        <w:trPr>
          <w:trHeight w:val="260"/>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817,457</w:t>
            </w: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707,694</w:t>
            </w:r>
          </w:p>
        </w:tc>
      </w:tr>
      <w:tr>
        <w:trPr>
          <w:trHeight w:val="253"/>
        </w:trPr>
        <w:tc>
          <w:tcPr>
            <w:tcW w:w="4860" w:type="dxa"/>
            <w:vAlign w:val="bottom"/>
          </w:tcPr>
          <w:p>
            <w:pPr>
              <w:spacing w:after="0"/>
              <w:rPr>
                <w:sz w:val="20"/>
                <w:szCs w:val="20"/>
                <w:color w:val="auto"/>
              </w:rPr>
            </w:pPr>
            <w:r>
              <w:rPr>
                <w:rFonts w:ascii="Arial" w:cs="Arial" w:eastAsia="Arial" w:hAnsi="Arial"/>
                <w:sz w:val="20"/>
                <w:szCs w:val="20"/>
                <w:color w:val="auto"/>
              </w:rPr>
              <w:t>Deferred revenue</w:t>
            </w:r>
          </w:p>
        </w:tc>
        <w:tc>
          <w:tcPr>
            <w:tcW w:w="3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44,705</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46,073</w:t>
            </w:r>
          </w:p>
        </w:tc>
      </w:tr>
      <w:tr>
        <w:trPr>
          <w:trHeight w:val="260"/>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Total liabilities</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236,090</w:t>
            </w: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243,335</w:t>
            </w: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Total stockholders’ equity</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581,367</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464,359</w:t>
            </w:r>
          </w:p>
        </w:tc>
      </w:tr>
    </w:tbl>
    <w:p>
      <w:pPr>
        <w:spacing w:after="0" w:line="208" w:lineRule="exact"/>
        <w:rPr>
          <w:sz w:val="20"/>
          <w:szCs w:val="20"/>
          <w:color w:val="auto"/>
        </w:rPr>
      </w:pPr>
    </w:p>
    <w:p>
      <w:pPr>
        <w:ind w:left="620" w:hanging="411"/>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Blueprint Medicines defines working capital as current assets less current liabilities.</w:t>
      </w:r>
    </w:p>
    <w:p>
      <w:pPr>
        <w:spacing w:after="0" w:line="203" w:lineRule="exact"/>
        <w:rPr>
          <w:sz w:val="20"/>
          <w:szCs w:val="20"/>
          <w:color w:val="auto"/>
        </w:rPr>
      </w:pPr>
    </w:p>
    <w:p>
      <w:pPr>
        <w:jc w:val="center"/>
        <w:ind w:left="1660" w:right="1920"/>
        <w:spacing w:after="0" w:line="249" w:lineRule="auto"/>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4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5"/>
          </w:tcPr>
          <w:p>
            <w:pPr>
              <w:ind w:left="580"/>
              <w:spacing w:after="0"/>
              <w:rPr>
                <w:sz w:val="20"/>
                <w:szCs w:val="20"/>
                <w:color w:val="auto"/>
              </w:rPr>
            </w:pPr>
            <w:r>
              <w:rPr>
                <w:rFonts w:ascii="Arial" w:cs="Arial" w:eastAsia="Arial" w:hAnsi="Arial"/>
                <w:sz w:val="20"/>
                <w:szCs w:val="20"/>
                <w:b w:val="1"/>
                <w:bCs w:val="1"/>
                <w:color w:val="auto"/>
              </w:rPr>
              <w:t>Three Months Ended</w:t>
            </w:r>
          </w:p>
        </w:tc>
        <w:tc>
          <w:tcPr>
            <w:tcW w:w="0" w:type="dxa"/>
            <w:vAlign w:val="bottom"/>
          </w:tcPr>
          <w:p>
            <w:pPr>
              <w:spacing w:after="0"/>
              <w:rPr>
                <w:sz w:val="1"/>
                <w:szCs w:val="1"/>
                <w:color w:val="auto"/>
              </w:rPr>
            </w:pPr>
          </w:p>
        </w:tc>
      </w:tr>
      <w:tr>
        <w:trPr>
          <w:trHeight w:val="252"/>
        </w:trPr>
        <w:tc>
          <w:tcPr>
            <w:tcW w:w="4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20"/>
                <w:szCs w:val="20"/>
                <w:b w:val="1"/>
                <w:bCs w:val="1"/>
                <w:color w:val="auto"/>
              </w:rPr>
              <w:t>June 30,</w:t>
            </w:r>
          </w:p>
        </w:tc>
        <w:tc>
          <w:tcPr>
            <w:tcW w:w="12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CFF"/>
            </w:tcBorders>
          </w:tcPr>
          <w:p>
            <w:pPr>
              <w:spacing w:after="0"/>
              <w:rPr>
                <w:sz w:val="20"/>
                <w:szCs w:val="20"/>
                <w:color w:val="auto"/>
              </w:rPr>
            </w:pPr>
          </w:p>
        </w:tc>
        <w:tc>
          <w:tcPr>
            <w:tcW w:w="440" w:type="dxa"/>
            <w:vAlign w:val="bottom"/>
            <w:tcBorders>
              <w:bottom w:val="single" w:sz="8" w:color="CCEC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c>
          <w:tcPr>
            <w:tcW w:w="400" w:type="dxa"/>
            <w:vAlign w:val="bottom"/>
            <w:tcBorders>
              <w:bottom w:val="single" w:sz="8" w:color="CCEC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CFF"/>
          </w:tcPr>
          <w:p>
            <w:pPr>
              <w:spacing w:after="0" w:line="223" w:lineRule="exact"/>
              <w:rPr>
                <w:sz w:val="20"/>
                <w:szCs w:val="20"/>
                <w:color w:val="auto"/>
              </w:rPr>
            </w:pPr>
            <w:r>
              <w:rPr>
                <w:rFonts w:ascii="Arial" w:cs="Arial" w:eastAsia="Arial" w:hAnsi="Arial"/>
                <w:sz w:val="20"/>
                <w:szCs w:val="20"/>
                <w:color w:val="auto"/>
              </w:rPr>
              <w:t>Revenues:</w:t>
            </w:r>
          </w:p>
        </w:tc>
        <w:tc>
          <w:tcPr>
            <w:tcW w:w="44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36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40"/>
              <w:spacing w:after="0"/>
              <w:rPr>
                <w:sz w:val="20"/>
                <w:szCs w:val="20"/>
                <w:color w:val="auto"/>
              </w:rPr>
            </w:pPr>
            <w:r>
              <w:rPr>
                <w:rFonts w:ascii="Arial" w:cs="Arial" w:eastAsia="Arial" w:hAnsi="Arial"/>
                <w:sz w:val="20"/>
                <w:szCs w:val="20"/>
                <w:color w:val="auto"/>
              </w:rPr>
              <w:t>Product revenue, net</w:t>
            </w:r>
          </w:p>
        </w:tc>
        <w:tc>
          <w:tcPr>
            <w:tcW w:w="8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5,680</w:t>
            </w:r>
          </w:p>
        </w:tc>
        <w:tc>
          <w:tcPr>
            <w:tcW w:w="7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Collaboration revenue</w:t>
            </w:r>
          </w:p>
        </w:tc>
        <w:tc>
          <w:tcPr>
            <w:tcW w:w="4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2,663</w:t>
            </w:r>
          </w:p>
        </w:tc>
        <w:tc>
          <w:tcPr>
            <w:tcW w:w="4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20" w:type="dxa"/>
            <w:vAlign w:val="bottom"/>
          </w:tcPr>
          <w:p>
            <w:pPr>
              <w:spacing w:after="0"/>
              <w:rPr>
                <w:sz w:val="20"/>
                <w:szCs w:val="20"/>
                <w:color w:val="auto"/>
              </w:rPr>
            </w:pPr>
            <w:r>
              <w:rPr>
                <w:rFonts w:ascii="Arial" w:cs="Arial" w:eastAsia="Arial" w:hAnsi="Arial"/>
                <w:sz w:val="20"/>
                <w:szCs w:val="20"/>
                <w:color w:val="auto"/>
              </w:rPr>
              <w:t>Total revenues</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8,343</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5,110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Cost and operating expenses:</w:t>
            </w: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40"/>
              <w:spacing w:after="0"/>
              <w:rPr>
                <w:sz w:val="20"/>
                <w:szCs w:val="20"/>
                <w:color w:val="auto"/>
              </w:rPr>
            </w:pPr>
            <w:r>
              <w:rPr>
                <w:rFonts w:ascii="Arial" w:cs="Arial" w:eastAsia="Arial" w:hAnsi="Arial"/>
                <w:sz w:val="20"/>
                <w:szCs w:val="20"/>
                <w:color w:val="auto"/>
              </w:rPr>
              <w:t>Cost of sales</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127</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Research and development</w:t>
            </w: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91,079</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87,101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20"/>
                <w:szCs w:val="20"/>
                <w:color w:val="auto"/>
              </w:rPr>
              <w:t>Selling, general and administrative</w:t>
            </w:r>
          </w:p>
        </w:tc>
        <w:tc>
          <w:tcPr>
            <w:tcW w:w="4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42,174</w:t>
            </w:r>
          </w:p>
        </w:tc>
        <w:tc>
          <w:tcPr>
            <w:tcW w:w="4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21,923</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Total cost and operating expenses</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133,380</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109,024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Other income (expense):</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Interest income, net</w:t>
            </w: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1,586</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20"/>
                <w:szCs w:val="20"/>
                <w:color w:val="auto"/>
              </w:rPr>
              <w:t>Other income, net</w:t>
            </w:r>
          </w:p>
        </w:tc>
        <w:tc>
          <w:tcPr>
            <w:tcW w:w="4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4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spacing w:after="0"/>
              <w:rPr>
                <w:sz w:val="20"/>
                <w:szCs w:val="20"/>
                <w:color w:val="auto"/>
              </w:rPr>
            </w:pPr>
            <w:r>
              <w:rPr>
                <w:rFonts w:ascii="Arial" w:cs="Arial" w:eastAsia="Arial" w:hAnsi="Arial"/>
                <w:sz w:val="20"/>
                <w:szCs w:val="20"/>
                <w:color w:val="auto"/>
              </w:rPr>
              <w:t>Total other income</w:t>
            </w:r>
          </w:p>
        </w:tc>
        <w:tc>
          <w:tcPr>
            <w:tcW w:w="4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1,563</w:t>
            </w:r>
          </w:p>
        </w:tc>
        <w:tc>
          <w:tcPr>
            <w:tcW w:w="4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4,233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2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Net loss</w:t>
            </w:r>
          </w:p>
        </w:tc>
        <w:tc>
          <w:tcPr>
            <w:tcW w:w="4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(123,474)</w:t>
            </w:r>
          </w:p>
        </w:tc>
        <w:tc>
          <w:tcPr>
            <w:tcW w:w="4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(99,681)</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spacing w:after="0" w:line="224" w:lineRule="exact"/>
              <w:rPr>
                <w:sz w:val="20"/>
                <w:szCs w:val="20"/>
                <w:color w:val="auto"/>
              </w:rPr>
            </w:pPr>
            <w:r>
              <w:rPr>
                <w:rFonts w:ascii="Arial" w:cs="Arial" w:eastAsia="Arial" w:hAnsi="Arial"/>
                <w:sz w:val="20"/>
                <w:szCs w:val="20"/>
                <w:color w:val="auto"/>
              </w:rPr>
              <w:t>Net loss per share — basic and diluted</w:t>
            </w: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1"/>
              <w:spacing w:after="0" w:line="224" w:lineRule="exact"/>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0"/>
                <w:szCs w:val="20"/>
                <w:color w:val="auto"/>
              </w:rPr>
              <w:t>(2.28)</w:t>
            </w:r>
          </w:p>
        </w:tc>
        <w:tc>
          <w:tcPr>
            <w:tcW w:w="4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CEEFF"/>
          </w:tcPr>
          <w:p>
            <w:pPr>
              <w:jc w:val="right"/>
              <w:spacing w:after="0" w:line="224" w:lineRule="exact"/>
              <w:rPr>
                <w:sz w:val="20"/>
                <w:szCs w:val="20"/>
                <w:color w:val="auto"/>
              </w:rPr>
            </w:pPr>
            <w:r>
              <w:rPr>
                <w:rFonts w:ascii="Arial" w:cs="Arial" w:eastAsia="Arial" w:hAnsi="Arial"/>
                <w:sz w:val="20"/>
                <w:szCs w:val="20"/>
                <w:color w:val="auto"/>
              </w:rPr>
              <w:t>(2.04)</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20"/>
                <w:szCs w:val="20"/>
                <w:color w:val="auto"/>
                <w:w w:val="96"/>
              </w:rPr>
              <w:t>Weighted-average number of common shares used</w:t>
            </w: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20"/>
                <w:szCs w:val="20"/>
                <w:color w:val="auto"/>
              </w:rPr>
              <w:t>54,217</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48,843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220"/>
              <w:spacing w:after="0"/>
              <w:rPr>
                <w:sz w:val="20"/>
                <w:szCs w:val="20"/>
                <w:color w:val="auto"/>
              </w:rPr>
            </w:pPr>
            <w:r>
              <w:rPr>
                <w:rFonts w:ascii="Arial" w:cs="Arial" w:eastAsia="Arial" w:hAnsi="Arial"/>
                <w:sz w:val="20"/>
                <w:szCs w:val="20"/>
                <w:color w:val="auto"/>
              </w:rPr>
              <w:t>in net loss per share — basic and diluted</w:t>
            </w:r>
          </w:p>
        </w:tc>
        <w:tc>
          <w:tcPr>
            <w:tcW w:w="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8"/>
        </w:trPr>
        <w:tc>
          <w:tcPr>
            <w:tcW w:w="4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b w:val="1"/>
          <w:bCs w:val="1"/>
          <w:color w:val="auto"/>
        </w:rPr>
        <w:t>Investor and Media Contact: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Geoffrey M. Grande, CFA</w:t>
      </w:r>
    </w:p>
    <w:p>
      <w:pPr>
        <w:ind w:left="200"/>
        <w:spacing w:after="0" w:line="234" w:lineRule="auto"/>
        <w:rPr>
          <w:sz w:val="20"/>
          <w:szCs w:val="20"/>
          <w:color w:val="auto"/>
        </w:rPr>
      </w:pPr>
      <w:r>
        <w:rPr>
          <w:rFonts w:ascii="Arial" w:cs="Arial" w:eastAsia="Arial" w:hAnsi="Arial"/>
          <w:sz w:val="18"/>
          <w:szCs w:val="18"/>
          <w:color w:val="auto"/>
        </w:rPr>
        <w:t>617-871-1563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2020-07-30T06:39:48Z</dcterms:created>
  <dcterms:modified xsi:type="dcterms:W3CDTF">2020-07-30T06:39:48Z</dcterms:modified>
</cp:coreProperties>
</file>