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FMR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245 SUMMER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11/16/2015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See Remark 1</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600" w:type="dxa"/>
            <w:vAlign w:val="bottom"/>
            <w:gridSpan w:val="6"/>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600" w:type="dxa"/>
            <w:vAlign w:val="bottom"/>
            <w:gridSpan w:val="6"/>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00" w:type="dxa"/>
            <w:vAlign w:val="bottom"/>
            <w:gridSpan w:val="2"/>
          </w:tcPr>
          <w:p>
            <w:pPr>
              <w:ind w:left="540"/>
              <w:spacing w:after="0" w:line="155" w:lineRule="exact"/>
              <w:rPr>
                <w:sz w:val="20"/>
                <w:szCs w:val="20"/>
                <w:color w:val="auto"/>
              </w:rPr>
            </w:pPr>
            <w:r>
              <w:rPr>
                <w:rFonts w:ascii="Arial" w:cs="Arial" w:eastAsia="Arial" w:hAnsi="Arial"/>
                <w:sz w:val="14"/>
                <w:szCs w:val="14"/>
                <w:color w:val="auto"/>
              </w:rPr>
              <w:t>Line)</w:t>
            </w: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BOSTON</w:t>
            </w:r>
          </w:p>
        </w:tc>
        <w:tc>
          <w:tcPr>
            <w:tcW w:w="800" w:type="dxa"/>
            <w:vAlign w:val="bottom"/>
          </w:tcPr>
          <w:p>
            <w:pPr>
              <w:ind w:left="100"/>
              <w:spacing w:after="0"/>
              <w:rPr>
                <w:sz w:val="20"/>
                <w:szCs w:val="20"/>
                <w:color w:val="auto"/>
              </w:rPr>
            </w:pPr>
            <w:r>
              <w:rPr>
                <w:rFonts w:ascii="Arial" w:cs="Arial" w:eastAsia="Arial" w:hAnsi="Arial"/>
                <w:sz w:val="18"/>
                <w:szCs w:val="18"/>
                <w:color w:val="0000FF"/>
              </w:rPr>
              <w:t>MA</w:t>
            </w:r>
          </w:p>
        </w:tc>
        <w:tc>
          <w:tcPr>
            <w:tcW w:w="1820" w:type="dxa"/>
            <w:vAlign w:val="bottom"/>
          </w:tcPr>
          <w:p>
            <w:pPr>
              <w:ind w:left="560"/>
              <w:spacing w:after="0"/>
              <w:rPr>
                <w:sz w:val="20"/>
                <w:szCs w:val="20"/>
                <w:color w:val="auto"/>
              </w:rPr>
            </w:pPr>
            <w:r>
              <w:rPr>
                <w:rFonts w:ascii="Arial" w:cs="Arial" w:eastAsia="Arial" w:hAnsi="Arial"/>
                <w:sz w:val="18"/>
                <w:szCs w:val="18"/>
                <w:color w:val="0000FF"/>
              </w:rPr>
              <w:t>02210</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60" w:type="dxa"/>
            <w:vAlign w:val="bottom"/>
            <w:gridSpan w:val="4"/>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1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12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ind w:left="3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12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500" w:type="dxa"/>
            <w:vAlign w:val="bottom"/>
            <w:tcBorders>
              <w:bottom w:val="single" w:sz="8" w:color="2C2C2C"/>
            </w:tcBorders>
            <w:gridSpan w:val="8"/>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32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10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1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120" w:type="dxa"/>
            <w:vAlign w:val="bottom"/>
            <w:gridSpan w:val="2"/>
          </w:tcPr>
          <w:p>
            <w:pPr>
              <w:ind w:left="10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21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20" w:type="dxa"/>
            <w:vAlign w:val="bottom"/>
            <w:gridSpan w:val="2"/>
          </w:tcPr>
          <w:p>
            <w:pPr>
              <w:ind w:left="10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20" w:type="dxa"/>
            <w:vAlign w:val="bottom"/>
            <w:gridSpan w:val="2"/>
          </w:tcPr>
          <w:p>
            <w:pPr>
              <w:jc w:val="center"/>
              <w:ind w:left="901"/>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0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2120" w:type="dxa"/>
            <w:vAlign w:val="bottom"/>
            <w:gridSpan w:val="2"/>
          </w:tcPr>
          <w:p>
            <w:pPr>
              <w:jc w:val="center"/>
              <w:ind w:left="921"/>
              <w:spacing w:after="0"/>
              <w:rPr>
                <w:sz w:val="20"/>
                <w:szCs w:val="20"/>
                <w:color w:val="auto"/>
              </w:rPr>
            </w:pPr>
            <w:r>
              <w:rPr>
                <w:rFonts w:ascii="Arial" w:cs="Arial" w:eastAsia="Arial" w:hAnsi="Arial"/>
                <w:sz w:val="18"/>
                <w:szCs w:val="18"/>
                <w:color w:val="0000FF"/>
                <w:w w:val="88"/>
              </w:rPr>
              <w:t>11/16/2015</w:t>
            </w:r>
          </w:p>
        </w:tc>
        <w:tc>
          <w:tcPr>
            <w:tcW w:w="11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80" w:type="dxa"/>
            <w:vAlign w:val="bottom"/>
          </w:tcPr>
          <w:p>
            <w:pPr>
              <w:jc w:val="center"/>
              <w:spacing w:after="0"/>
              <w:rPr>
                <w:sz w:val="20"/>
                <w:szCs w:val="20"/>
                <w:color w:val="auto"/>
              </w:rPr>
            </w:pPr>
            <w:r>
              <w:rPr>
                <w:rFonts w:ascii="Arial" w:cs="Arial" w:eastAsia="Arial" w:hAnsi="Arial"/>
                <w:sz w:val="18"/>
                <w:szCs w:val="18"/>
                <w:color w:val="0000FF"/>
                <w:w w:val="93"/>
              </w:rPr>
              <w:t>733</w:t>
            </w:r>
          </w:p>
        </w:tc>
        <w:tc>
          <w:tcPr>
            <w:tcW w:w="5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60" w:type="dxa"/>
            <w:vAlign w:val="bottom"/>
          </w:tcPr>
          <w:p>
            <w:pPr>
              <w:ind w:left="220"/>
              <w:spacing w:after="0"/>
              <w:rPr>
                <w:sz w:val="20"/>
                <w:szCs w:val="20"/>
                <w:color w:val="auto"/>
              </w:rPr>
            </w:pPr>
            <w:r>
              <w:rPr>
                <w:rFonts w:ascii="Arial" w:cs="Arial" w:eastAsia="Arial" w:hAnsi="Arial"/>
                <w:sz w:val="18"/>
                <w:szCs w:val="18"/>
                <w:color w:val="0000FF"/>
              </w:rPr>
              <w:t>1,167,864</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2120" w:type="dxa"/>
            <w:vAlign w:val="bottom"/>
            <w:gridSpan w:val="2"/>
          </w:tcPr>
          <w:p>
            <w:pPr>
              <w:jc w:val="center"/>
              <w:ind w:left="921"/>
              <w:spacing w:after="0"/>
              <w:rPr>
                <w:sz w:val="20"/>
                <w:szCs w:val="20"/>
                <w:color w:val="auto"/>
              </w:rPr>
            </w:pPr>
            <w:r>
              <w:rPr>
                <w:rFonts w:ascii="Arial" w:cs="Arial" w:eastAsia="Arial" w:hAnsi="Arial"/>
                <w:sz w:val="18"/>
                <w:szCs w:val="18"/>
                <w:color w:val="0000FF"/>
                <w:w w:val="88"/>
              </w:rPr>
              <w:t>11/17/2015</w:t>
            </w:r>
          </w:p>
        </w:tc>
        <w:tc>
          <w:tcPr>
            <w:tcW w:w="11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S</w:t>
            </w:r>
          </w:p>
        </w:tc>
        <w:tc>
          <w:tcPr>
            <w:tcW w:w="3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3,800</w:t>
            </w:r>
          </w:p>
        </w:tc>
        <w:tc>
          <w:tcPr>
            <w:tcW w:w="5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740" w:type="dxa"/>
            <w:vAlign w:val="bottom"/>
          </w:tcPr>
          <w:p>
            <w:pPr>
              <w:jc w:val="center"/>
              <w:spacing w:after="0" w:line="217" w:lineRule="exact"/>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20.7</w:t>
            </w:r>
            <w:r>
              <w:rPr>
                <w:rFonts w:ascii="Arial" w:cs="Arial" w:eastAsia="Arial" w:hAnsi="Arial"/>
                <w:sz w:val="22"/>
                <w:szCs w:val="22"/>
                <w:color w:val="008000"/>
                <w:w w:val="85"/>
                <w:vertAlign w:val="superscript"/>
              </w:rPr>
              <w:t>(1)</w:t>
            </w:r>
          </w:p>
        </w:tc>
        <w:tc>
          <w:tcPr>
            <w:tcW w:w="1160" w:type="dxa"/>
            <w:vAlign w:val="bottom"/>
          </w:tcPr>
          <w:p>
            <w:pPr>
              <w:ind w:left="220"/>
              <w:spacing w:after="0"/>
              <w:rPr>
                <w:sz w:val="20"/>
                <w:szCs w:val="20"/>
                <w:color w:val="auto"/>
              </w:rPr>
            </w:pPr>
            <w:r>
              <w:rPr>
                <w:rFonts w:ascii="Arial" w:cs="Arial" w:eastAsia="Arial" w:hAnsi="Arial"/>
                <w:sz w:val="18"/>
                <w:szCs w:val="18"/>
                <w:color w:val="0000FF"/>
              </w:rPr>
              <w:t>1,164,064</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2120" w:type="dxa"/>
            <w:vAlign w:val="bottom"/>
            <w:gridSpan w:val="2"/>
          </w:tcPr>
          <w:p>
            <w:pPr>
              <w:jc w:val="center"/>
              <w:ind w:left="921"/>
              <w:spacing w:after="0"/>
              <w:rPr>
                <w:sz w:val="20"/>
                <w:szCs w:val="20"/>
                <w:color w:val="auto"/>
              </w:rPr>
            </w:pPr>
            <w:r>
              <w:rPr>
                <w:rFonts w:ascii="Arial" w:cs="Arial" w:eastAsia="Arial" w:hAnsi="Arial"/>
                <w:sz w:val="18"/>
                <w:szCs w:val="18"/>
                <w:color w:val="0000FF"/>
                <w:w w:val="88"/>
              </w:rPr>
              <w:t>11/17/2015</w:t>
            </w:r>
          </w:p>
        </w:tc>
        <w:tc>
          <w:tcPr>
            <w:tcW w:w="11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S</w:t>
            </w:r>
          </w:p>
        </w:tc>
        <w:tc>
          <w:tcPr>
            <w:tcW w:w="3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14,717</w:t>
            </w:r>
          </w:p>
        </w:tc>
        <w:tc>
          <w:tcPr>
            <w:tcW w:w="5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740" w:type="dxa"/>
            <w:vAlign w:val="bottom"/>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20.31</w:t>
            </w:r>
            <w:r>
              <w:rPr>
                <w:rFonts w:ascii="Arial" w:cs="Arial" w:eastAsia="Arial" w:hAnsi="Arial"/>
                <w:sz w:val="22"/>
                <w:szCs w:val="22"/>
                <w:color w:val="008000"/>
                <w:w w:val="84"/>
                <w:vertAlign w:val="superscript"/>
              </w:rPr>
              <w:t>(2)</w:t>
            </w:r>
          </w:p>
        </w:tc>
        <w:tc>
          <w:tcPr>
            <w:tcW w:w="1160" w:type="dxa"/>
            <w:vAlign w:val="bottom"/>
          </w:tcPr>
          <w:p>
            <w:pPr>
              <w:ind w:left="220"/>
              <w:spacing w:after="0"/>
              <w:rPr>
                <w:sz w:val="20"/>
                <w:szCs w:val="20"/>
                <w:color w:val="auto"/>
              </w:rPr>
            </w:pPr>
            <w:r>
              <w:rPr>
                <w:rFonts w:ascii="Arial" w:cs="Arial" w:eastAsia="Arial" w:hAnsi="Arial"/>
                <w:sz w:val="18"/>
                <w:szCs w:val="18"/>
                <w:color w:val="0000FF"/>
              </w:rPr>
              <w:t>1,149,347</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2120" w:type="dxa"/>
            <w:vAlign w:val="bottom"/>
            <w:gridSpan w:val="2"/>
          </w:tcPr>
          <w:p>
            <w:pPr>
              <w:jc w:val="center"/>
              <w:ind w:left="921"/>
              <w:spacing w:after="0"/>
              <w:rPr>
                <w:sz w:val="20"/>
                <w:szCs w:val="20"/>
                <w:color w:val="auto"/>
              </w:rPr>
            </w:pPr>
            <w:r>
              <w:rPr>
                <w:rFonts w:ascii="Arial" w:cs="Arial" w:eastAsia="Arial" w:hAnsi="Arial"/>
                <w:sz w:val="18"/>
                <w:szCs w:val="18"/>
                <w:color w:val="0000FF"/>
                <w:w w:val="88"/>
              </w:rPr>
              <w:t>11/17/2015</w:t>
            </w:r>
          </w:p>
        </w:tc>
        <w:tc>
          <w:tcPr>
            <w:tcW w:w="11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S</w:t>
            </w:r>
          </w:p>
        </w:tc>
        <w:tc>
          <w:tcPr>
            <w:tcW w:w="3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8,509</w:t>
            </w:r>
          </w:p>
        </w:tc>
        <w:tc>
          <w:tcPr>
            <w:tcW w:w="5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740" w:type="dxa"/>
            <w:vAlign w:val="bottom"/>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21.07</w:t>
            </w:r>
            <w:r>
              <w:rPr>
                <w:rFonts w:ascii="Arial" w:cs="Arial" w:eastAsia="Arial" w:hAnsi="Arial"/>
                <w:sz w:val="22"/>
                <w:szCs w:val="22"/>
                <w:color w:val="008000"/>
                <w:w w:val="84"/>
                <w:vertAlign w:val="superscript"/>
              </w:rPr>
              <w:t>(3)</w:t>
            </w:r>
          </w:p>
        </w:tc>
        <w:tc>
          <w:tcPr>
            <w:tcW w:w="1160" w:type="dxa"/>
            <w:vAlign w:val="bottom"/>
          </w:tcPr>
          <w:p>
            <w:pPr>
              <w:ind w:left="220"/>
              <w:spacing w:after="0"/>
              <w:rPr>
                <w:sz w:val="20"/>
                <w:szCs w:val="20"/>
                <w:color w:val="auto"/>
              </w:rPr>
            </w:pPr>
            <w:r>
              <w:rPr>
                <w:rFonts w:ascii="Arial" w:cs="Arial" w:eastAsia="Arial" w:hAnsi="Arial"/>
                <w:sz w:val="18"/>
                <w:szCs w:val="18"/>
                <w:color w:val="0000FF"/>
              </w:rPr>
              <w:t>1,140,838</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w w:val="99"/>
              </w:rPr>
              <w:t>Shares held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by persons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and entities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whose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2120" w:type="dxa"/>
            <w:vAlign w:val="bottom"/>
            <w:gridSpan w:val="2"/>
          </w:tcPr>
          <w:p>
            <w:pPr>
              <w:jc w:val="center"/>
              <w:ind w:left="921"/>
              <w:spacing w:after="0"/>
              <w:rPr>
                <w:sz w:val="20"/>
                <w:szCs w:val="20"/>
                <w:color w:val="auto"/>
              </w:rPr>
            </w:pPr>
            <w:r>
              <w:rPr>
                <w:rFonts w:ascii="Arial" w:cs="Arial" w:eastAsia="Arial" w:hAnsi="Arial"/>
                <w:sz w:val="18"/>
                <w:szCs w:val="18"/>
                <w:color w:val="0000FF"/>
                <w:w w:val="88"/>
              </w:rPr>
              <w:t>11/17/2015</w:t>
            </w:r>
          </w:p>
        </w:tc>
        <w:tc>
          <w:tcPr>
            <w:tcW w:w="11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S</w:t>
            </w:r>
          </w:p>
        </w:tc>
        <w:tc>
          <w:tcPr>
            <w:tcW w:w="3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93"/>
              </w:rPr>
              <w:t>464</w:t>
            </w:r>
          </w:p>
        </w:tc>
        <w:tc>
          <w:tcPr>
            <w:tcW w:w="5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740" w:type="dxa"/>
            <w:vAlign w:val="bottom"/>
          </w:tcPr>
          <w:p>
            <w:pPr>
              <w:jc w:val="center"/>
              <w:spacing w:after="0" w:line="217" w:lineRule="exact"/>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20.2</w:t>
            </w:r>
            <w:r>
              <w:rPr>
                <w:rFonts w:ascii="Arial" w:cs="Arial" w:eastAsia="Arial" w:hAnsi="Arial"/>
                <w:sz w:val="22"/>
                <w:szCs w:val="22"/>
                <w:color w:val="008000"/>
                <w:w w:val="85"/>
                <w:vertAlign w:val="superscript"/>
              </w:rPr>
              <w:t>(4)</w:t>
            </w:r>
          </w:p>
        </w:tc>
        <w:tc>
          <w:tcPr>
            <w:tcW w:w="1160" w:type="dxa"/>
            <w:vAlign w:val="bottom"/>
          </w:tcPr>
          <w:p>
            <w:pPr>
              <w:ind w:left="220"/>
              <w:spacing w:after="0"/>
              <w:rPr>
                <w:sz w:val="20"/>
                <w:szCs w:val="20"/>
                <w:color w:val="auto"/>
              </w:rPr>
            </w:pPr>
            <w:r>
              <w:rPr>
                <w:rFonts w:ascii="Arial" w:cs="Arial" w:eastAsia="Arial" w:hAnsi="Arial"/>
                <w:sz w:val="18"/>
                <w:szCs w:val="18"/>
                <w:color w:val="0000FF"/>
              </w:rPr>
              <w:t>1,140,374</w:t>
            </w:r>
          </w:p>
        </w:tc>
        <w:tc>
          <w:tcPr>
            <w:tcW w:w="940" w:type="dxa"/>
            <w:vAlign w:val="bottom"/>
          </w:tcPr>
          <w:p>
            <w:pPr>
              <w:ind w:left="440"/>
              <w:spacing w:after="0"/>
              <w:rPr>
                <w:sz w:val="20"/>
                <w:szCs w:val="20"/>
                <w:color w:val="auto"/>
              </w:rPr>
            </w:pPr>
            <w:r>
              <w:rPr>
                <w:rFonts w:ascii="Arial" w:cs="Arial" w:eastAsia="Arial" w:hAnsi="Arial"/>
                <w:sz w:val="18"/>
                <w:szCs w:val="18"/>
                <w:color w:val="0000FF"/>
              </w:rPr>
              <w:t>I</w:t>
            </w: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shares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subject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reporting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rPr>
              <w:t>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0000FF"/>
                <w:w w:val="92"/>
              </w:rPr>
              <w:t>undersigned.</w:t>
            </w:r>
          </w:p>
        </w:tc>
        <w:tc>
          <w:tcPr>
            <w:tcW w:w="0" w:type="dxa"/>
            <w:vAlign w:val="bottom"/>
          </w:tcPr>
          <w:p>
            <w:pPr>
              <w:spacing w:after="0"/>
              <w:rPr>
                <w:sz w:val="1"/>
                <w:szCs w:val="1"/>
                <w:color w:val="auto"/>
              </w:rPr>
            </w:pPr>
          </w:p>
        </w:tc>
      </w:tr>
      <w:tr>
        <w:trPr>
          <w:trHeight w:val="77"/>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822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1822450"/>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2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for this transaction is the weighted average price of multiple trades at prices ranging from $20.22 to $21.00. FMR LLC hereby undertakes to provide upon request by the Commission staff, the issuer, or a security holder of the issuer full information regarding the number of shares and prices at which the transaction was effected.</w:t>
      </w:r>
    </w:p>
    <w:p>
      <w:pPr>
        <w:spacing w:after="0" w:line="30" w:lineRule="exact"/>
        <w:rPr>
          <w:rFonts w:ascii="Arial" w:cs="Arial" w:eastAsia="Arial" w:hAnsi="Arial"/>
          <w:sz w:val="14"/>
          <w:szCs w:val="14"/>
          <w:color w:val="008000"/>
        </w:rPr>
      </w:pPr>
    </w:p>
    <w:p>
      <w:pPr>
        <w:ind w:right="2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for this transaction is the weighted average price of multiple trades at prices ranging from $19.61 to $20.43. FMR LLC hereby undertakes to provide upon request by the Commission staff, the issuer, or a security holder of the issuer full information regarding the number of shares and prices at which the transaction was effected.</w:t>
      </w:r>
    </w:p>
    <w:p>
      <w:pPr>
        <w:spacing w:after="0" w:line="30" w:lineRule="exact"/>
        <w:rPr>
          <w:rFonts w:ascii="Arial" w:cs="Arial" w:eastAsia="Arial" w:hAnsi="Arial"/>
          <w:sz w:val="14"/>
          <w:szCs w:val="14"/>
          <w:color w:val="008000"/>
        </w:rPr>
      </w:pPr>
    </w:p>
    <w:p>
      <w:pPr>
        <w:ind w:right="2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for this transaction is the weighted average price of multiple trades at prices ranging from $20.70 to $21.17. FMR LLC hereby undertakes to provide upon request by the Commission staff, the issuer, or a security holder of the issuer full information regarding the number of shares and prices at which the transaction was effected.</w:t>
      </w:r>
    </w:p>
    <w:p>
      <w:pPr>
        <w:spacing w:after="0" w:line="30" w:lineRule="exact"/>
        <w:rPr>
          <w:rFonts w:ascii="Arial" w:cs="Arial" w:eastAsia="Arial" w:hAnsi="Arial"/>
          <w:sz w:val="14"/>
          <w:szCs w:val="14"/>
          <w:color w:val="008000"/>
        </w:rPr>
      </w:pPr>
    </w:p>
    <w:p>
      <w:pPr>
        <w:ind w:right="2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for this transaction is the weighted average price of multiple trades at prices ranging from $19.54 to $20.44. FMR LLC hereby undertakes to provide upon request by the Commission staff, the issuer, or a security holder of the issuer full information regarding the number of shares and prices at which the transaction was effected.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line="268" w:lineRule="auto"/>
        <w:rPr>
          <w:sz w:val="20"/>
          <w:szCs w:val="20"/>
          <w:color w:val="auto"/>
        </w:rPr>
      </w:pPr>
      <w:r>
        <w:rPr>
          <w:rFonts w:ascii="Arial" w:cs="Arial" w:eastAsia="Arial" w:hAnsi="Arial"/>
          <w:sz w:val="12"/>
          <w:szCs w:val="12"/>
          <w:color w:val="008000"/>
        </w:rPr>
        <w:t>Remark 1: Edward C. Johnson 3d is a Director and the Chairman of FMR LLC and Abigail P. Johnson is a Director, the Vice Chairman, the Chief Executive Officer and the President of FMR LLC. 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Edward C. Johnson 3d and Abigail P. Johnson is c/o FMR LLC, 245 Summer Street, Boston, MA 02110. Remark 2: The filing of this statement shall not be deemed to be an admission that, for purposes of Section 16 of the Securities Exchange Act of 1934 or otherwise, the undersigned are the beneficial owners of any securities reported herein.</w:t>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Marc R. Bryant,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75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authorized under Powers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8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 by and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311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FMR LLC and its direct and</w:t>
      </w:r>
      <w:r>
        <w:rPr>
          <w:sz w:val="20"/>
          <w:szCs w:val="20"/>
          <w:color w:val="auto"/>
        </w:rPr>
        <w:tab/>
      </w:r>
      <w:r>
        <w:rPr>
          <w:rFonts w:ascii="Arial" w:cs="Arial" w:eastAsia="Arial" w:hAnsi="Arial"/>
          <w:sz w:val="15"/>
          <w:szCs w:val="15"/>
          <w:color w:val="0000FF"/>
        </w:rPr>
        <w:t>11/19/2015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3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indirect subsidiaries, Edward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973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 Johnson 3d and Abigail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91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65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512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8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031506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2019-12-09T04:48:46Z</dcterms:created>
  <dcterms:modified xsi:type="dcterms:W3CDTF">2019-12-09T04:48:46Z</dcterms:modified>
</cp:coreProperties>
</file>