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#09627Y109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1,047,237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4,190,375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4,190,375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7.518%</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#09627Y109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4,190,375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4,190,375</w:t>
      </w:r>
    </w:p>
    <w:p>
      <w:pPr>
        <w:spacing w:after="0"/>
        <w:rPr>
          <w:sz w:val="20"/>
          <w:szCs w:val="20"/>
          <w:color w:val="auto"/>
        </w:rPr>
      </w:pPr>
      <w:r>
        <w:rPr>
          <w:rFonts w:ascii="Courier New" w:cs="Courier New" w:eastAsia="Courier New" w:hAnsi="Courier New"/>
          <w:sz w:val="18"/>
          <w:szCs w:val="18"/>
          <w:color w:val="auto"/>
        </w:rPr>
        <w:t>Item 11: 7.518%</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CAMBRIDGE, MA 02139</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4,190,375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7.518%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1,047,237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4,190,375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BLUEPRINT MEDICINES CORP. No one other person's interest in the COMMON STOCK of BLUEPRINT MEDICINES CORP is more than five percent of the total outstanding COMMON STOCK.</w:t>
      </w:r>
    </w:p>
    <w:p>
      <w:pPr>
        <w:spacing w:after="0" w:line="89"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312"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2019"/>
        <w:spacing w:after="0" w:line="256"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97"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COMMON STOCK of BLUEPRINT MEDICINES CORP at December 31, 2020.</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2021-02-08T09:19:44Z</dcterms:created>
  <dcterms:modified xsi:type="dcterms:W3CDTF">2021-02-08T09:19:44Z</dcterms:modified>
</cp:coreProperties>
</file>