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563C1"/>
        </w:rPr>
        <w:t>Table of Contents</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filed with the Securities and Exchange Commission on March 9, 2017</w:t>
      </w:r>
    </w:p>
    <w:p>
      <w:pPr>
        <w:spacing w:after="0" w:line="13" w:lineRule="exact"/>
        <w:rPr>
          <w:sz w:val="24"/>
          <w:szCs w:val="24"/>
          <w:color w:val="auto"/>
        </w:rPr>
      </w:pPr>
    </w:p>
    <w:p>
      <w:pPr>
        <w:ind w:left="924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68" w:lineRule="exact"/>
        <w:rPr>
          <w:sz w:val="24"/>
          <w:szCs w:val="24"/>
          <w:color w:val="auto"/>
        </w:rPr>
      </w:pPr>
    </w:p>
    <w:tbl>
      <w:tblPr>
        <w:tblLayout w:type="fixed"/>
        <w:tblInd w:w="132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UNITED STATES</w:t>
            </w: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37"/>
              <w:spacing w:after="0" w:line="135" w:lineRule="exact"/>
              <w:rPr>
                <w:sz w:val="20"/>
                <w:szCs w:val="20"/>
                <w:color w:val="auto"/>
              </w:rPr>
            </w:pPr>
            <w:r>
              <w:rPr>
                <w:rFonts w:ascii="Arial" w:cs="Arial" w:eastAsia="Arial" w:hAnsi="Arial"/>
                <w:sz w:val="13"/>
                <w:szCs w:val="13"/>
                <w:b w:val="1"/>
                <w:bCs w:val="1"/>
                <w:color w:val="auto"/>
                <w:w w:val="98"/>
              </w:rPr>
              <w:t>SECURITIES AND EXCHANGE COMMISSION</w:t>
            </w:r>
          </w:p>
        </w:tc>
      </w:tr>
      <w:tr>
        <w:trPr>
          <w:trHeight w:val="164"/>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Washington, D.C. 20549</w:t>
            </w:r>
          </w:p>
        </w:tc>
      </w:tr>
      <w:tr>
        <w:trPr>
          <w:trHeight w:val="15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FORM S-3</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i w:val="1"/>
                <w:iCs w:val="1"/>
                <w:color w:val="auto"/>
                <w:w w:val="93"/>
              </w:rPr>
              <w:t>REGISTRATION STATEMENT</w:t>
            </w:r>
          </w:p>
        </w:tc>
      </w:tr>
      <w:tr>
        <w:trPr>
          <w:trHeight w:val="16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b w:val="1"/>
                <w:bCs w:val="1"/>
                <w:i w:val="1"/>
                <w:iCs w:val="1"/>
                <w:color w:val="auto"/>
                <w:w w:val="94"/>
              </w:rPr>
              <w:t>UNDER THE SECURITIES ACT OF 1933</w:t>
            </w:r>
          </w:p>
        </w:tc>
      </w:tr>
      <w:tr>
        <w:trPr>
          <w:trHeight w:val="15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Blueprint Medicines Corporation</w:t>
            </w:r>
          </w:p>
        </w:tc>
      </w:tr>
      <w:tr>
        <w:trPr>
          <w:trHeight w:val="16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218"/>
        </w:trPr>
        <w:tc>
          <w:tcPr>
            <w:tcW w:w="1940" w:type="dxa"/>
            <w:vAlign w:val="bottom"/>
          </w:tcPr>
          <w:p>
            <w:pPr>
              <w:jc w:val="center"/>
              <w:ind w:right="337"/>
              <w:spacing w:after="0"/>
              <w:rPr>
                <w:sz w:val="20"/>
                <w:szCs w:val="20"/>
                <w:color w:val="auto"/>
              </w:rPr>
            </w:pPr>
            <w:r>
              <w:rPr>
                <w:rFonts w:ascii="Arial" w:cs="Arial" w:eastAsia="Arial" w:hAnsi="Arial"/>
                <w:sz w:val="13"/>
                <w:szCs w:val="13"/>
                <w:b w:val="1"/>
                <w:bCs w:val="1"/>
                <w:color w:val="auto"/>
                <w:w w:val="87"/>
              </w:rPr>
              <w:t>Delaware</w:t>
            </w:r>
          </w:p>
        </w:tc>
        <w:tc>
          <w:tcPr>
            <w:tcW w:w="3620" w:type="dxa"/>
            <w:vAlign w:val="bottom"/>
            <w:gridSpan w:val="3"/>
          </w:tcPr>
          <w:p>
            <w:pPr>
              <w:jc w:val="center"/>
              <w:ind w:left="2297"/>
              <w:spacing w:after="0"/>
              <w:rPr>
                <w:sz w:val="20"/>
                <w:szCs w:val="20"/>
                <w:color w:val="auto"/>
              </w:rPr>
            </w:pPr>
            <w:r>
              <w:rPr>
                <w:rFonts w:ascii="Arial" w:cs="Arial" w:eastAsia="Arial" w:hAnsi="Arial"/>
                <w:sz w:val="13"/>
                <w:szCs w:val="13"/>
                <w:b w:val="1"/>
                <w:bCs w:val="1"/>
                <w:color w:val="auto"/>
                <w:w w:val="86"/>
              </w:rPr>
              <w:t>001-37359</w:t>
            </w:r>
          </w:p>
        </w:tc>
      </w:tr>
      <w:tr>
        <w:trPr>
          <w:trHeight w:val="135"/>
        </w:trPr>
        <w:tc>
          <w:tcPr>
            <w:tcW w:w="1940" w:type="dxa"/>
            <w:vAlign w:val="bottom"/>
          </w:tcPr>
          <w:p>
            <w:pPr>
              <w:jc w:val="center"/>
              <w:ind w:right="357"/>
              <w:spacing w:after="0" w:line="135" w:lineRule="exact"/>
              <w:rPr>
                <w:sz w:val="20"/>
                <w:szCs w:val="20"/>
                <w:color w:val="auto"/>
              </w:rPr>
            </w:pPr>
            <w:r>
              <w:rPr>
                <w:rFonts w:ascii="Arial" w:cs="Arial" w:eastAsia="Arial" w:hAnsi="Arial"/>
                <w:sz w:val="13"/>
                <w:szCs w:val="13"/>
                <w:color w:val="auto"/>
                <w:w w:val="89"/>
              </w:rPr>
              <w:t>(State or other jurisdiction</w:t>
            </w:r>
          </w:p>
        </w:tc>
        <w:tc>
          <w:tcPr>
            <w:tcW w:w="660" w:type="dxa"/>
            <w:vAlign w:val="bottom"/>
          </w:tcPr>
          <w:p>
            <w:pPr>
              <w:spacing w:after="0"/>
              <w:rPr>
                <w:sz w:val="11"/>
                <w:szCs w:val="11"/>
                <w:color w:val="auto"/>
              </w:rPr>
            </w:pPr>
          </w:p>
        </w:tc>
        <w:tc>
          <w:tcPr>
            <w:tcW w:w="2960" w:type="dxa"/>
            <w:vAlign w:val="bottom"/>
            <w:gridSpan w:val="2"/>
          </w:tcPr>
          <w:p>
            <w:pPr>
              <w:jc w:val="center"/>
              <w:ind w:left="1597"/>
              <w:spacing w:after="0" w:line="135" w:lineRule="exact"/>
              <w:rPr>
                <w:sz w:val="20"/>
                <w:szCs w:val="20"/>
                <w:color w:val="auto"/>
              </w:rPr>
            </w:pPr>
            <w:r>
              <w:rPr>
                <w:rFonts w:ascii="Arial" w:cs="Arial" w:eastAsia="Arial" w:hAnsi="Arial"/>
                <w:sz w:val="13"/>
                <w:szCs w:val="13"/>
                <w:color w:val="auto"/>
                <w:w w:val="90"/>
              </w:rPr>
              <w:t>(I.R.S. Employer</w:t>
            </w:r>
          </w:p>
        </w:tc>
      </w:tr>
      <w:tr>
        <w:trPr>
          <w:trHeight w:val="158"/>
        </w:trPr>
        <w:tc>
          <w:tcPr>
            <w:tcW w:w="1940" w:type="dxa"/>
            <w:vAlign w:val="bottom"/>
          </w:tcPr>
          <w:p>
            <w:pPr>
              <w:spacing w:after="0"/>
              <w:rPr>
                <w:sz w:val="20"/>
                <w:szCs w:val="20"/>
                <w:color w:val="auto"/>
              </w:rPr>
            </w:pPr>
            <w:r>
              <w:rPr>
                <w:rFonts w:ascii="Arial" w:cs="Arial" w:eastAsia="Arial" w:hAnsi="Arial"/>
                <w:sz w:val="13"/>
                <w:szCs w:val="13"/>
                <w:color w:val="auto"/>
              </w:rPr>
              <w:t>of incorporation or organization)</w:t>
            </w:r>
          </w:p>
        </w:tc>
        <w:tc>
          <w:tcPr>
            <w:tcW w:w="660" w:type="dxa"/>
            <w:vAlign w:val="bottom"/>
          </w:tcPr>
          <w:p>
            <w:pPr>
              <w:spacing w:after="0"/>
              <w:rPr>
                <w:sz w:val="13"/>
                <w:szCs w:val="13"/>
                <w:color w:val="auto"/>
              </w:rPr>
            </w:pPr>
          </w:p>
        </w:tc>
        <w:tc>
          <w:tcPr>
            <w:tcW w:w="2960" w:type="dxa"/>
            <w:vAlign w:val="bottom"/>
            <w:gridSpan w:val="2"/>
          </w:tcPr>
          <w:p>
            <w:pPr>
              <w:jc w:val="center"/>
              <w:ind w:left="1637"/>
              <w:spacing w:after="0"/>
              <w:rPr>
                <w:sz w:val="20"/>
                <w:szCs w:val="20"/>
                <w:color w:val="auto"/>
              </w:rPr>
            </w:pPr>
            <w:r>
              <w:rPr>
                <w:rFonts w:ascii="Arial" w:cs="Arial" w:eastAsia="Arial" w:hAnsi="Arial"/>
                <w:sz w:val="13"/>
                <w:szCs w:val="13"/>
                <w:color w:val="auto"/>
                <w:w w:val="92"/>
              </w:rPr>
              <w:t>Identification Number)</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38 Sidney Street, Suite 200</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Cambridge, Massachusetts 02139</w:t>
            </w:r>
          </w:p>
        </w:tc>
      </w:tr>
      <w:tr>
        <w:trPr>
          <w:trHeight w:val="139"/>
        </w:trPr>
        <w:tc>
          <w:tcPr>
            <w:tcW w:w="1940" w:type="dxa"/>
            <w:vAlign w:val="bottom"/>
          </w:tcPr>
          <w:p>
            <w:pPr>
              <w:spacing w:after="0"/>
              <w:rPr>
                <w:sz w:val="12"/>
                <w:szCs w:val="12"/>
                <w:color w:val="auto"/>
              </w:rPr>
            </w:pPr>
          </w:p>
        </w:tc>
        <w:tc>
          <w:tcPr>
            <w:tcW w:w="3260" w:type="dxa"/>
            <w:vAlign w:val="bottom"/>
            <w:gridSpan w:val="2"/>
          </w:tcPr>
          <w:p>
            <w:pPr>
              <w:jc w:val="center"/>
              <w:ind w:left="577"/>
              <w:spacing w:after="0" w:line="139" w:lineRule="exact"/>
              <w:rPr>
                <w:sz w:val="20"/>
                <w:szCs w:val="20"/>
                <w:color w:val="auto"/>
              </w:rPr>
            </w:pPr>
            <w:r>
              <w:rPr>
                <w:rFonts w:ascii="Arial" w:cs="Arial" w:eastAsia="Arial" w:hAnsi="Arial"/>
                <w:sz w:val="13"/>
                <w:szCs w:val="13"/>
                <w:b w:val="1"/>
                <w:bCs w:val="1"/>
                <w:color w:val="auto"/>
                <w:w w:val="87"/>
              </w:rPr>
              <w:t>(617) 374-7580</w:t>
            </w:r>
          </w:p>
        </w:tc>
        <w:tc>
          <w:tcPr>
            <w:tcW w:w="360" w:type="dxa"/>
            <w:vAlign w:val="bottom"/>
          </w:tcPr>
          <w:p>
            <w:pPr>
              <w:spacing w:after="0"/>
              <w:rPr>
                <w:sz w:val="12"/>
                <w:szCs w:val="12"/>
                <w:color w:val="auto"/>
              </w:rPr>
            </w:pP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17"/>
              <w:spacing w:after="0" w:line="135" w:lineRule="exact"/>
              <w:rPr>
                <w:sz w:val="20"/>
                <w:szCs w:val="20"/>
                <w:color w:val="auto"/>
              </w:rPr>
            </w:pPr>
            <w:r>
              <w:rPr>
                <w:rFonts w:ascii="Arial" w:cs="Arial" w:eastAsia="Arial" w:hAnsi="Arial"/>
                <w:sz w:val="13"/>
                <w:szCs w:val="13"/>
                <w:color w:val="auto"/>
                <w:w w:val="88"/>
              </w:rPr>
              <w:t>(Address, Including Zip Code, and Telephone Number,</w:t>
            </w:r>
          </w:p>
        </w:tc>
      </w:tr>
      <w:tr>
        <w:trPr>
          <w:trHeight w:val="160"/>
        </w:trPr>
        <w:tc>
          <w:tcPr>
            <w:tcW w:w="1940" w:type="dxa"/>
            <w:vAlign w:val="bottom"/>
          </w:tcPr>
          <w:p>
            <w:pPr>
              <w:spacing w:after="0"/>
              <w:rPr>
                <w:sz w:val="13"/>
                <w:szCs w:val="13"/>
                <w:color w:val="auto"/>
              </w:rPr>
            </w:pPr>
          </w:p>
        </w:tc>
        <w:tc>
          <w:tcPr>
            <w:tcW w:w="3620" w:type="dxa"/>
            <w:vAlign w:val="bottom"/>
            <w:gridSpan w:val="3"/>
          </w:tcPr>
          <w:p>
            <w:pPr>
              <w:jc w:val="center"/>
              <w:ind w:left="237"/>
              <w:spacing w:after="0"/>
              <w:rPr>
                <w:sz w:val="20"/>
                <w:szCs w:val="20"/>
                <w:color w:val="auto"/>
              </w:rPr>
            </w:pPr>
            <w:r>
              <w:rPr>
                <w:rFonts w:ascii="Arial" w:cs="Arial" w:eastAsia="Arial" w:hAnsi="Arial"/>
                <w:sz w:val="13"/>
                <w:szCs w:val="13"/>
                <w:color w:val="auto"/>
                <w:w w:val="89"/>
              </w:rPr>
              <w:t>Including Area Code, of Registrant’s Principal Executive Offices)</w:t>
            </w:r>
          </w:p>
        </w:tc>
      </w:tr>
      <w:tr>
        <w:trPr>
          <w:trHeight w:val="104"/>
        </w:trPr>
        <w:tc>
          <w:tcPr>
            <w:tcW w:w="1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265"/>
        </w:trPr>
        <w:tc>
          <w:tcPr>
            <w:tcW w:w="1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Jeffrey W. Albers</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President and Chief Executive Officer</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Blueprint Medicines Corporation</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38 Sidney Street, Suite 200</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Cambridge, Massachusetts 02139</w:t>
            </w:r>
          </w:p>
        </w:tc>
      </w:tr>
      <w:tr>
        <w:trPr>
          <w:trHeight w:val="139"/>
        </w:trPr>
        <w:tc>
          <w:tcPr>
            <w:tcW w:w="1940" w:type="dxa"/>
            <w:vAlign w:val="bottom"/>
          </w:tcPr>
          <w:p>
            <w:pPr>
              <w:spacing w:after="0"/>
              <w:rPr>
                <w:sz w:val="12"/>
                <w:szCs w:val="12"/>
                <w:color w:val="auto"/>
              </w:rPr>
            </w:pPr>
          </w:p>
        </w:tc>
        <w:tc>
          <w:tcPr>
            <w:tcW w:w="3260" w:type="dxa"/>
            <w:vAlign w:val="bottom"/>
            <w:gridSpan w:val="2"/>
          </w:tcPr>
          <w:p>
            <w:pPr>
              <w:jc w:val="center"/>
              <w:ind w:left="577"/>
              <w:spacing w:after="0" w:line="139" w:lineRule="exact"/>
              <w:rPr>
                <w:sz w:val="20"/>
                <w:szCs w:val="20"/>
                <w:color w:val="auto"/>
              </w:rPr>
            </w:pPr>
            <w:r>
              <w:rPr>
                <w:rFonts w:ascii="Arial" w:cs="Arial" w:eastAsia="Arial" w:hAnsi="Arial"/>
                <w:sz w:val="13"/>
                <w:szCs w:val="13"/>
                <w:b w:val="1"/>
                <w:bCs w:val="1"/>
                <w:color w:val="auto"/>
                <w:w w:val="87"/>
              </w:rPr>
              <w:t>(617) 374-7580</w:t>
            </w:r>
          </w:p>
        </w:tc>
        <w:tc>
          <w:tcPr>
            <w:tcW w:w="360" w:type="dxa"/>
            <w:vAlign w:val="bottom"/>
          </w:tcPr>
          <w:p>
            <w:pPr>
              <w:spacing w:after="0"/>
              <w:rPr>
                <w:sz w:val="12"/>
                <w:szCs w:val="12"/>
                <w:color w:val="auto"/>
              </w:rPr>
            </w:pP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17"/>
              <w:spacing w:after="0" w:line="135" w:lineRule="exact"/>
              <w:rPr>
                <w:sz w:val="20"/>
                <w:szCs w:val="20"/>
                <w:color w:val="auto"/>
              </w:rPr>
            </w:pPr>
            <w:r>
              <w:rPr>
                <w:rFonts w:ascii="Arial" w:cs="Arial" w:eastAsia="Arial" w:hAnsi="Arial"/>
                <w:sz w:val="13"/>
                <w:szCs w:val="13"/>
                <w:color w:val="auto"/>
                <w:w w:val="87"/>
              </w:rPr>
              <w:t>(Name, Address, Including Zip Code, and Telephone Number,</w:t>
            </w:r>
          </w:p>
        </w:tc>
      </w:tr>
      <w:tr>
        <w:trPr>
          <w:trHeight w:val="16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color w:val="auto"/>
                <w:w w:val="90"/>
              </w:rPr>
              <w:t>Including Area Code, of Agent for Service)</w:t>
            </w:r>
          </w:p>
        </w:tc>
      </w:tr>
      <w:tr>
        <w:trPr>
          <w:trHeight w:val="97"/>
        </w:trPr>
        <w:tc>
          <w:tcPr>
            <w:tcW w:w="1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r>
      <w:tr>
        <w:trPr>
          <w:trHeight w:val="288"/>
        </w:trPr>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i w:val="1"/>
                <w:iCs w:val="1"/>
                <w:color w:val="auto"/>
                <w:w w:val="90"/>
              </w:rPr>
              <w:t>Copy to:</w:t>
            </w:r>
          </w:p>
        </w:tc>
      </w:tr>
      <w:tr>
        <w:trPr>
          <w:trHeight w:val="146"/>
        </w:trPr>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6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88"/>
              </w:rPr>
              <w:t>Kingsley L. Taft</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Danielle M. Lauzon</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100 Northern Avenue</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Boston, Massachusetts 02210</w:t>
            </w:r>
          </w:p>
        </w:tc>
      </w:tr>
      <w:tr>
        <w:trPr>
          <w:trHeight w:val="164"/>
        </w:trPr>
        <w:tc>
          <w:tcPr>
            <w:tcW w:w="1940" w:type="dxa"/>
            <w:vAlign w:val="bottom"/>
          </w:tcPr>
          <w:p>
            <w:pPr>
              <w:spacing w:after="0"/>
              <w:rPr>
                <w:sz w:val="14"/>
                <w:szCs w:val="14"/>
                <w:color w:val="auto"/>
              </w:rPr>
            </w:pPr>
          </w:p>
        </w:tc>
        <w:tc>
          <w:tcPr>
            <w:tcW w:w="3260" w:type="dxa"/>
            <w:vAlign w:val="bottom"/>
            <w:gridSpan w:val="2"/>
          </w:tcPr>
          <w:p>
            <w:pPr>
              <w:jc w:val="center"/>
              <w:ind w:left="577"/>
              <w:spacing w:after="0"/>
              <w:rPr>
                <w:sz w:val="20"/>
                <w:szCs w:val="20"/>
                <w:color w:val="auto"/>
              </w:rPr>
            </w:pPr>
            <w:r>
              <w:rPr>
                <w:rFonts w:ascii="Arial" w:cs="Arial" w:eastAsia="Arial" w:hAnsi="Arial"/>
                <w:sz w:val="13"/>
                <w:szCs w:val="13"/>
                <w:b w:val="1"/>
                <w:bCs w:val="1"/>
                <w:color w:val="auto"/>
                <w:w w:val="87"/>
              </w:rPr>
              <w:t>(617) 570-1000</w:t>
            </w:r>
          </w:p>
        </w:tc>
        <w:tc>
          <w:tcPr>
            <w:tcW w:w="360" w:type="dxa"/>
            <w:vAlign w:val="bottom"/>
          </w:tcPr>
          <w:p>
            <w:pPr>
              <w:spacing w:after="0"/>
              <w:rPr>
                <w:sz w:val="14"/>
                <w:szCs w:val="14"/>
                <w:color w:val="auto"/>
              </w:rPr>
            </w:pPr>
          </w:p>
        </w:tc>
      </w:tr>
    </w:tbl>
    <w:p>
      <w:pPr>
        <w:spacing w:after="0" w:line="11"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this registration statement becomes effective.</w:t>
      </w:r>
    </w:p>
    <w:p>
      <w:pPr>
        <w:spacing w:after="0" w:line="1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ind w:left="20" w:right="60" w:firstLine="324"/>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60" w:firstLine="324"/>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20" w:right="340"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 w:right="40" w:firstLine="324"/>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60" w:firstLine="324"/>
        <w:spacing w:after="0" w:line="161"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left="20" w:right="180" w:firstLine="324"/>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94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680" w:type="dxa"/>
            <w:vAlign w:val="bottom"/>
          </w:tcPr>
          <w:p>
            <w:pPr>
              <w:spacing w:after="0"/>
              <w:rPr>
                <w:sz w:val="13"/>
                <w:szCs w:val="13"/>
                <w:color w:val="auto"/>
              </w:rPr>
            </w:pPr>
          </w:p>
        </w:tc>
        <w:tc>
          <w:tcPr>
            <w:tcW w:w="1660" w:type="dxa"/>
            <w:vAlign w:val="bottom"/>
            <w:gridSpan w:val="2"/>
          </w:tcPr>
          <w:p>
            <w:pPr>
              <w:ind w:left="780"/>
              <w:spacing w:after="0"/>
              <w:rPr>
                <w:sz w:val="20"/>
                <w:szCs w:val="20"/>
                <w:color w:val="auto"/>
              </w:rPr>
            </w:pPr>
            <w:r>
              <w:rPr>
                <w:rFonts w:ascii="Arial" w:cs="Arial" w:eastAsia="Arial" w:hAnsi="Arial"/>
                <w:sz w:val="13"/>
                <w:szCs w:val="13"/>
                <w:color w:val="auto"/>
                <w:w w:val="92"/>
              </w:rPr>
              <w:t>Accelerated filer</w:t>
            </w:r>
          </w:p>
        </w:tc>
        <w:tc>
          <w:tcPr>
            <w:tcW w:w="148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gridSpan w:val="2"/>
          </w:tcPr>
          <w:p>
            <w:pPr>
              <w:jc w:val="center"/>
              <w:ind w:right="1006"/>
              <w:spacing w:after="0" w:line="150" w:lineRule="exact"/>
              <w:rPr>
                <w:sz w:val="20"/>
                <w:szCs w:val="20"/>
                <w:color w:val="auto"/>
              </w:rPr>
            </w:pPr>
            <w:r>
              <w:rPr>
                <w:rFonts w:ascii="Arial" w:cs="Arial" w:eastAsia="Arial" w:hAnsi="Arial"/>
                <w:sz w:val="13"/>
                <w:szCs w:val="13"/>
                <w:color w:val="auto"/>
                <w:w w:val="90"/>
              </w:rPr>
              <w:t xml:space="preserve">Non-accelerated filer </w:t>
            </w:r>
            <w:r>
              <w:rPr>
                <w:rFonts w:ascii="MS PGothic" w:cs="MS PGothic" w:eastAsia="MS PGothic" w:hAnsi="MS PGothic"/>
                <w:sz w:val="13"/>
                <w:szCs w:val="13"/>
                <w:color w:val="auto"/>
                <w:w w:val="90"/>
              </w:rPr>
              <w:t>☐</w:t>
            </w:r>
          </w:p>
        </w:tc>
        <w:tc>
          <w:tcPr>
            <w:tcW w:w="2020" w:type="dxa"/>
            <w:vAlign w:val="bottom"/>
          </w:tcPr>
          <w:p>
            <w:pPr>
              <w:ind w:left="400"/>
              <w:spacing w:after="0" w:line="150" w:lineRule="exact"/>
              <w:rPr>
                <w:sz w:val="20"/>
                <w:szCs w:val="20"/>
                <w:color w:val="auto"/>
              </w:rPr>
            </w:pPr>
            <w:r>
              <w:rPr>
                <w:rFonts w:ascii="Arial" w:cs="Arial" w:eastAsia="Arial" w:hAnsi="Arial"/>
                <w:sz w:val="13"/>
                <w:szCs w:val="13"/>
                <w:color w:val="auto"/>
                <w:w w:val="93"/>
              </w:rPr>
              <w:t xml:space="preserve">Smaller reporting company </w:t>
            </w:r>
            <w:r>
              <w:rPr>
                <w:rFonts w:ascii="MS PGothic" w:cs="MS PGothic" w:eastAsia="MS PGothic" w:hAnsi="MS PGothic"/>
                <w:sz w:val="13"/>
                <w:szCs w:val="13"/>
                <w:color w:val="auto"/>
                <w:w w:val="93"/>
              </w:rPr>
              <w:t>☐</w:t>
            </w:r>
          </w:p>
        </w:tc>
      </w:tr>
      <w:tr>
        <w:trPr>
          <w:trHeight w:val="135"/>
        </w:trPr>
        <w:tc>
          <w:tcPr>
            <w:tcW w:w="1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5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(Do not check if a smaller</w:t>
            </w:r>
          </w:p>
        </w:tc>
        <w:tc>
          <w:tcPr>
            <w:tcW w:w="2020" w:type="dxa"/>
            <w:vAlign w:val="bottom"/>
          </w:tcPr>
          <w:p>
            <w:pPr>
              <w:spacing w:after="0"/>
              <w:rPr>
                <w:sz w:val="11"/>
                <w:szCs w:val="11"/>
                <w:color w:val="auto"/>
              </w:rPr>
            </w:pPr>
          </w:p>
        </w:tc>
      </w:tr>
      <w:tr>
        <w:trPr>
          <w:trHeight w:val="160"/>
        </w:trPr>
        <w:tc>
          <w:tcPr>
            <w:tcW w:w="1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80" w:type="dxa"/>
            <w:vAlign w:val="bottom"/>
            <w:gridSpan w:val="2"/>
          </w:tcPr>
          <w:p>
            <w:pPr>
              <w:jc w:val="center"/>
              <w:ind w:right="1006"/>
              <w:spacing w:after="0"/>
              <w:rPr>
                <w:sz w:val="20"/>
                <w:szCs w:val="20"/>
                <w:color w:val="auto"/>
              </w:rPr>
            </w:pPr>
            <w:r>
              <w:rPr>
                <w:rFonts w:ascii="Arial" w:cs="Arial" w:eastAsia="Arial" w:hAnsi="Arial"/>
                <w:sz w:val="13"/>
                <w:szCs w:val="13"/>
                <w:color w:val="auto"/>
                <w:w w:val="89"/>
              </w:rPr>
              <w:t>reporting company)</w:t>
            </w:r>
          </w:p>
        </w:tc>
        <w:tc>
          <w:tcPr>
            <w:tcW w:w="2020" w:type="dxa"/>
            <w:vAlign w:val="bottom"/>
          </w:tcPr>
          <w:p>
            <w:pPr>
              <w:spacing w:after="0"/>
              <w:rPr>
                <w:sz w:val="13"/>
                <w:szCs w:val="13"/>
                <w:color w:val="auto"/>
              </w:rPr>
            </w:pPr>
          </w:p>
        </w:tc>
      </w:tr>
      <w:tr>
        <w:trPr>
          <w:trHeight w:val="239"/>
        </w:trPr>
        <w:tc>
          <w:tcPr>
            <w:tcW w:w="1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CALCULATION OF REGISTRATION FEE</w:t>
            </w:r>
          </w:p>
        </w:tc>
        <w:tc>
          <w:tcPr>
            <w:tcW w:w="2020" w:type="dxa"/>
            <w:vAlign w:val="bottom"/>
            <w:tcBorders>
              <w:bottom w:val="single" w:sz="8" w:color="auto"/>
            </w:tcBorders>
          </w:tcPr>
          <w:p>
            <w:pPr>
              <w:spacing w:after="0"/>
              <w:rPr>
                <w:sz w:val="20"/>
                <w:szCs w:val="20"/>
                <w:color w:val="auto"/>
              </w:rPr>
            </w:pPr>
          </w:p>
        </w:tc>
      </w:tr>
      <w:tr>
        <w:trPr>
          <w:trHeight w:val="112"/>
        </w:trPr>
        <w:tc>
          <w:tcPr>
            <w:tcW w:w="1940" w:type="dxa"/>
            <w:vAlign w:val="bottom"/>
            <w:tcBorders>
              <w:right w:val="single" w:sz="8" w:color="auto"/>
            </w:tcBorders>
          </w:tcPr>
          <w:p>
            <w:pPr>
              <w:ind w:left="420"/>
              <w:spacing w:after="0" w:line="112" w:lineRule="exact"/>
              <w:rPr>
                <w:sz w:val="20"/>
                <w:szCs w:val="20"/>
                <w:color w:val="auto"/>
              </w:rPr>
            </w:pPr>
            <w:r>
              <w:rPr>
                <w:rFonts w:ascii="Arial" w:cs="Arial" w:eastAsia="Arial" w:hAnsi="Arial"/>
                <w:sz w:val="11"/>
                <w:szCs w:val="11"/>
                <w:color w:val="auto"/>
              </w:rPr>
              <w:t>Title of each class of</w:t>
            </w:r>
          </w:p>
        </w:tc>
        <w:tc>
          <w:tcPr>
            <w:tcW w:w="6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jc w:val="center"/>
              <w:spacing w:after="0" w:line="112" w:lineRule="exact"/>
              <w:rPr>
                <w:sz w:val="20"/>
                <w:szCs w:val="20"/>
                <w:color w:val="auto"/>
              </w:rPr>
            </w:pPr>
            <w:r>
              <w:rPr>
                <w:rFonts w:ascii="Arial" w:cs="Arial" w:eastAsia="Arial" w:hAnsi="Arial"/>
                <w:sz w:val="11"/>
                <w:szCs w:val="11"/>
                <w:color w:val="auto"/>
                <w:w w:val="89"/>
              </w:rPr>
              <w:t>Proposed Maximum Offering</w:t>
            </w:r>
          </w:p>
        </w:tc>
        <w:tc>
          <w:tcPr>
            <w:tcW w:w="4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jc w:val="center"/>
              <w:ind w:left="46"/>
              <w:spacing w:after="0" w:line="112" w:lineRule="exact"/>
              <w:rPr>
                <w:sz w:val="20"/>
                <w:szCs w:val="20"/>
                <w:color w:val="auto"/>
              </w:rPr>
            </w:pPr>
            <w:r>
              <w:rPr>
                <w:rFonts w:ascii="Arial" w:cs="Arial" w:eastAsia="Arial" w:hAnsi="Arial"/>
                <w:sz w:val="11"/>
                <w:szCs w:val="11"/>
                <w:color w:val="auto"/>
                <w:w w:val="88"/>
              </w:rPr>
              <w:t>Proposed Maximum Aggregate</w:t>
            </w:r>
          </w:p>
        </w:tc>
        <w:tc>
          <w:tcPr>
            <w:tcW w:w="2020" w:type="dxa"/>
            <w:vAlign w:val="bottom"/>
          </w:tcPr>
          <w:p>
            <w:pPr>
              <w:spacing w:after="0"/>
              <w:rPr>
                <w:sz w:val="9"/>
                <w:szCs w:val="9"/>
                <w:color w:val="auto"/>
              </w:rPr>
            </w:pPr>
          </w:p>
        </w:tc>
      </w:tr>
      <w:tr>
        <w:trPr>
          <w:trHeight w:val="131"/>
        </w:trPr>
        <w:tc>
          <w:tcPr>
            <w:tcW w:w="19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1"/>
                <w:szCs w:val="11"/>
                <w:color w:val="auto"/>
              </w:rPr>
              <w:t>securities to be registered</w:t>
            </w:r>
          </w:p>
        </w:tc>
        <w:tc>
          <w:tcPr>
            <w:tcW w:w="1920" w:type="dxa"/>
            <w:vAlign w:val="bottom"/>
            <w:tcBorders>
              <w:bottom w:val="single" w:sz="8" w:color="auto"/>
              <w:right w:val="single" w:sz="8" w:color="auto"/>
            </w:tcBorders>
            <w:gridSpan w:val="2"/>
          </w:tcPr>
          <w:p>
            <w:pPr>
              <w:ind w:left="320"/>
              <w:spacing w:after="0"/>
              <w:rPr>
                <w:sz w:val="20"/>
                <w:szCs w:val="20"/>
                <w:color w:val="auto"/>
              </w:rPr>
            </w:pPr>
            <w:r>
              <w:rPr>
                <w:rFonts w:ascii="Arial" w:cs="Arial" w:eastAsia="Arial" w:hAnsi="Arial"/>
                <w:sz w:val="11"/>
                <w:szCs w:val="11"/>
                <w:color w:val="auto"/>
              </w:rPr>
              <w:t>Amount to be Registered (1)(2)</w:t>
            </w: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Price Per Unit (1)(2)</w:t>
            </w:r>
          </w:p>
        </w:tc>
        <w:tc>
          <w:tcPr>
            <w:tcW w:w="46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color w:val="auto"/>
                <w:w w:val="92"/>
              </w:rPr>
              <w:t>Offering Price (1)(2)</w:t>
            </w:r>
          </w:p>
        </w:tc>
        <w:tc>
          <w:tcPr>
            <w:tcW w:w="202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Amount of Registration Fee (3)</w:t>
            </w:r>
          </w:p>
        </w:tc>
      </w:tr>
      <w:tr>
        <w:trPr>
          <w:trHeight w:val="105"/>
        </w:trPr>
        <w:tc>
          <w:tcPr>
            <w:tcW w:w="1940" w:type="dxa"/>
            <w:vAlign w:val="bottom"/>
            <w:tcBorders>
              <w:right w:val="single" w:sz="8" w:color="auto"/>
            </w:tcBorders>
          </w:tcPr>
          <w:p>
            <w:pPr>
              <w:ind w:left="140"/>
              <w:spacing w:after="0" w:line="105" w:lineRule="exact"/>
              <w:rPr>
                <w:sz w:val="20"/>
                <w:szCs w:val="20"/>
                <w:color w:val="auto"/>
              </w:rPr>
            </w:pPr>
            <w:r>
              <w:rPr>
                <w:rFonts w:ascii="Arial" w:cs="Arial" w:eastAsia="Arial" w:hAnsi="Arial"/>
                <w:sz w:val="11"/>
                <w:szCs w:val="11"/>
                <w:color w:val="auto"/>
              </w:rPr>
              <w:t>Common Stock, par value $0.001</w:t>
            </w:r>
          </w:p>
        </w:tc>
        <w:tc>
          <w:tcPr>
            <w:tcW w:w="6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2020" w:type="dxa"/>
            <w:vAlign w:val="bottom"/>
          </w:tcPr>
          <w:p>
            <w:pPr>
              <w:spacing w:after="0"/>
              <w:rPr>
                <w:sz w:val="9"/>
                <w:szCs w:val="9"/>
                <w:color w:val="auto"/>
              </w:rPr>
            </w:pPr>
          </w:p>
        </w:tc>
      </w:tr>
      <w:tr>
        <w:trPr>
          <w:trHeight w:val="131"/>
        </w:trPr>
        <w:tc>
          <w:tcPr>
            <w:tcW w:w="1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1"/>
                <w:szCs w:val="11"/>
                <w:color w:val="auto"/>
              </w:rPr>
              <w:t>per share</w:t>
            </w:r>
          </w:p>
        </w:tc>
        <w:tc>
          <w:tcPr>
            <w:tcW w:w="680" w:type="dxa"/>
            <w:vAlign w:val="bottom"/>
            <w:tcBorders>
              <w:bottom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Preferred Stock</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Debt Securities</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Depositary Shares (4)</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Purchase Contracts</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Purchase Units</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1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Warrants</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22"/>
        </w:trPr>
        <w:tc>
          <w:tcPr>
            <w:tcW w:w="1940" w:type="dxa"/>
            <w:vAlign w:val="bottom"/>
            <w:tcBorders>
              <w:bottom w:val="single" w:sz="8" w:color="auto"/>
              <w:right w:val="single" w:sz="8" w:color="auto"/>
            </w:tcBorders>
          </w:tcPr>
          <w:p>
            <w:pPr>
              <w:ind w:left="400"/>
              <w:spacing w:after="0" w:line="115" w:lineRule="exact"/>
              <w:rPr>
                <w:sz w:val="20"/>
                <w:szCs w:val="20"/>
                <w:color w:val="auto"/>
              </w:rPr>
            </w:pPr>
            <w:r>
              <w:rPr>
                <w:rFonts w:ascii="Arial" w:cs="Arial" w:eastAsia="Arial" w:hAnsi="Arial"/>
                <w:sz w:val="11"/>
                <w:szCs w:val="11"/>
                <w:color w:val="auto"/>
              </w:rPr>
              <w:t>Total (5)</w:t>
            </w: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20" w:type="dxa"/>
            <w:vAlign w:val="bottom"/>
          </w:tcPr>
          <w:p>
            <w:pPr>
              <w:spacing w:after="0"/>
              <w:rPr>
                <w:sz w:val="9"/>
                <w:szCs w:val="9"/>
                <w:color w:val="auto"/>
              </w:rPr>
            </w:pPr>
          </w:p>
        </w:tc>
      </w:tr>
    </w:tbl>
    <w:p>
      <w:pPr>
        <w:spacing w:after="0" w:line="94" w:lineRule="exact"/>
        <w:rPr>
          <w:sz w:val="24"/>
          <w:szCs w:val="24"/>
          <w:color w:val="auto"/>
        </w:rPr>
      </w:pPr>
    </w:p>
    <w:p>
      <w:pPr>
        <w:ind w:left="540" w:hanging="205"/>
        <w:spacing w:after="0" w:line="275"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1"/>
          <w:szCs w:val="11"/>
          <w:color w:val="auto"/>
        </w:rPr>
      </w:pPr>
    </w:p>
    <w:p>
      <w:pPr>
        <w:ind w:left="700" w:hanging="365"/>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Not applicable pursuant to General Instruction II.E of Form S-3 under the Securities Act.</w:t>
      </w:r>
    </w:p>
    <w:p>
      <w:pPr>
        <w:spacing w:after="0" w:line="26" w:lineRule="exact"/>
        <w:rPr>
          <w:rFonts w:ascii="Arial" w:cs="Arial" w:eastAsia="Arial" w:hAnsi="Arial"/>
          <w:sz w:val="13"/>
          <w:szCs w:val="13"/>
          <w:color w:val="auto"/>
        </w:rPr>
      </w:pPr>
    </w:p>
    <w:p>
      <w:pPr>
        <w:ind w:left="540" w:right="140" w:hanging="205"/>
        <w:spacing w:after="0" w:line="23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Rules 456(b) and 457(r) under the Securities Act, the registrant is deferring payment of all registration fees and will pay the registration fees subsequently in advance or on a “pay-as-you-go” basis.</w:t>
      </w:r>
    </w:p>
    <w:p>
      <w:pPr>
        <w:spacing w:after="0" w:line="15" w:lineRule="exact"/>
        <w:rPr>
          <w:rFonts w:ascii="Arial" w:cs="Arial" w:eastAsia="Arial" w:hAnsi="Arial"/>
          <w:sz w:val="13"/>
          <w:szCs w:val="13"/>
          <w:color w:val="auto"/>
        </w:rPr>
      </w:pPr>
    </w:p>
    <w:p>
      <w:pPr>
        <w:ind w:left="540" w:hanging="205"/>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Each depositary share will be issued under a deposit agreement, will represent an interest in a fractional share or multiple shares of preferred stock and will be evidenced by a depositary receipt.</w:t>
      </w:r>
    </w:p>
    <w:p>
      <w:pPr>
        <w:spacing w:after="0" w:line="49" w:lineRule="exact"/>
        <w:rPr>
          <w:rFonts w:ascii="Arial" w:cs="Arial" w:eastAsia="Arial" w:hAnsi="Arial"/>
          <w:sz w:val="11"/>
          <w:szCs w:val="11"/>
          <w:color w:val="auto"/>
        </w:rPr>
      </w:pPr>
    </w:p>
    <w:p>
      <w:pPr>
        <w:ind w:left="640" w:hanging="305"/>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securities registered hereunder may be sold separately or in a combination with other securities registered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40" w:top="233"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74295</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66" w:lineRule="exact"/>
        <w:rPr>
          <w:sz w:val="20"/>
          <w:szCs w:val="20"/>
          <w:color w:val="auto"/>
        </w:rPr>
      </w:pPr>
    </w:p>
    <w:p>
      <w:pPr>
        <w:ind w:right="99" w:firstLine="6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53" w:lineRule="exact"/>
        <w:rPr>
          <w:sz w:val="20"/>
          <w:szCs w:val="20"/>
          <w:color w:val="auto"/>
        </w:rPr>
      </w:pPr>
    </w:p>
    <w:p>
      <w:pPr>
        <w:jc w:val="both"/>
        <w:ind w:right="159" w:firstLine="648"/>
        <w:spacing w:after="0" w:line="312" w:lineRule="auto"/>
        <w:rPr>
          <w:sz w:val="20"/>
          <w:szCs w:val="20"/>
          <w:color w:val="auto"/>
        </w:rPr>
      </w:pPr>
      <w:r>
        <w:rPr>
          <w:rFonts w:ascii="Arial" w:cs="Arial" w:eastAsia="Arial" w:hAnsi="Arial"/>
          <w:sz w:val="16"/>
          <w:szCs w:val="16"/>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135255</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96" w:lineRule="exact"/>
        <w:rPr>
          <w:sz w:val="20"/>
          <w:szCs w:val="20"/>
          <w:color w:val="auto"/>
        </w:rPr>
      </w:pPr>
    </w:p>
    <w:p>
      <w:pPr>
        <w:jc w:val="both"/>
        <w:ind w:right="419" w:firstLine="648"/>
        <w:spacing w:after="0" w:line="289" w:lineRule="auto"/>
        <w:rPr>
          <w:sz w:val="20"/>
          <w:szCs w:val="20"/>
          <w:color w:val="auto"/>
        </w:rPr>
      </w:pPr>
      <w:r>
        <w:rPr>
          <w:rFonts w:ascii="Arial" w:cs="Arial" w:eastAsia="Arial" w:hAnsi="Arial"/>
          <w:sz w:val="17"/>
          <w:szCs w:val="17"/>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43180</wp:posOffset>
            </wp:positionV>
            <wp:extent cx="1431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2" w:lineRule="exact"/>
        <w:rPr>
          <w:sz w:val="20"/>
          <w:szCs w:val="20"/>
          <w:color w:val="auto"/>
        </w:rPr>
      </w:pPr>
    </w:p>
    <w:p>
      <w:pPr>
        <w:ind w:right="39"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106045</wp:posOffset>
            </wp:positionV>
            <wp:extent cx="1431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200" w:type="dxa"/>
            <w:vAlign w:val="bottom"/>
            <w:gridSpan w:val="19"/>
          </w:tcPr>
          <w:p>
            <w:pPr>
              <w:spacing w:after="0"/>
              <w:rPr>
                <w:sz w:val="20"/>
                <w:szCs w:val="20"/>
                <w:color w:val="auto"/>
              </w:rPr>
            </w:pPr>
            <w:r>
              <w:rPr>
                <w:rFonts w:ascii="Arial" w:cs="Arial" w:eastAsia="Arial" w:hAnsi="Arial"/>
                <w:sz w:val="18"/>
                <w:szCs w:val="18"/>
                <w:color w:val="0563C1"/>
              </w:rPr>
              <w:t>Table of Contents</w:t>
            </w:r>
          </w:p>
        </w:tc>
        <w:tc>
          <w:tcPr>
            <w:tcW w:w="1860" w:type="dxa"/>
            <w:vAlign w:val="bottom"/>
          </w:tcPr>
          <w:p>
            <w:pPr>
              <w:spacing w:after="0"/>
              <w:rPr>
                <w:sz w:val="17"/>
                <w:szCs w:val="17"/>
                <w:color w:val="auto"/>
              </w:rPr>
            </w:pPr>
          </w:p>
        </w:tc>
      </w:tr>
      <w:tr>
        <w:trPr>
          <w:trHeight w:val="777"/>
        </w:trPr>
        <w:tc>
          <w:tcPr>
            <w:tcW w:w="7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4"/>
                <w:szCs w:val="24"/>
                <w:color w:val="auto"/>
              </w:rPr>
            </w:pPr>
          </w:p>
        </w:tc>
      </w:tr>
      <w:tr>
        <w:trPr>
          <w:trHeight w:val="351"/>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496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5940" w:type="dxa"/>
            <w:vAlign w:val="bottom"/>
            <w:gridSpan w:val="1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38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WHERE YOU CAN FIND MORE INFORMATION</w:t>
              </w:r>
            </w:hyperlink>
          </w:p>
        </w:tc>
        <w:tc>
          <w:tcPr>
            <w:tcW w:w="338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INCORPORATION BY REFERENCE</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4260" w:type="dxa"/>
            <w:vAlign w:val="bottom"/>
            <w:gridSpan w:val="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BLUEPRINT MEDICINES CORPORATION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502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CONSOLIDATED RATIOS OF EARNINGS TO FIXED CHARGES</w:t>
              </w:r>
            </w:hyperlink>
          </w:p>
        </w:tc>
        <w:tc>
          <w:tcPr>
            <w:tcW w:w="218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DILUTION</w:t>
              </w:r>
            </w:hyperlink>
          </w:p>
        </w:tc>
        <w:tc>
          <w:tcPr>
            <w:tcW w:w="5620" w:type="dxa"/>
            <w:vAlign w:val="bottom"/>
            <w:gridSpan w:val="1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DESCRIPTION OF CAPITAL STOCK</w:t>
              </w:r>
            </w:hyperlink>
          </w:p>
        </w:tc>
        <w:tc>
          <w:tcPr>
            <w:tcW w:w="432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DEBT SECURITIES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DEPOSITARY SHARES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DESCRIPTION OF PURCHASE CONTRACTS AND PURCHASE UNITS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540" w:type="dxa"/>
            <w:vAlign w:val="bottom"/>
            <w:tcBorders>
              <w:top w:val="single" w:sz="8" w:color="0000EE"/>
            </w:tcBorders>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DESCRIPTION OF WARRANTS</w:t>
              </w:r>
            </w:hyperlink>
          </w:p>
        </w:tc>
        <w:tc>
          <w:tcPr>
            <w:tcW w:w="1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FORMS OF SECURITIES</w:t>
              </w:r>
            </w:hyperlink>
          </w:p>
        </w:tc>
        <w:tc>
          <w:tcPr>
            <w:tcW w:w="520" w:type="dxa"/>
            <w:vAlign w:val="bottom"/>
            <w:tcBorders>
              <w:top w:val="single" w:sz="8" w:color="0000EE"/>
            </w:tcBorders>
            <w:gridSpan w:val="3"/>
          </w:tcPr>
          <w:p>
            <w:pPr>
              <w:spacing w:after="0"/>
              <w:rPr>
                <w:sz w:val="24"/>
                <w:szCs w:val="24"/>
                <w:color w:val="auto"/>
              </w:rPr>
            </w:pPr>
          </w:p>
        </w:tc>
        <w:tc>
          <w:tcPr>
            <w:tcW w:w="4720" w:type="dxa"/>
            <w:vAlign w:val="bottom"/>
            <w:gridSpan w:val="9"/>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PLAN OF DISTRIBUTION</w:t>
              </w:r>
            </w:hyperlink>
          </w:p>
        </w:tc>
        <w:tc>
          <w:tcPr>
            <w:tcW w:w="5140" w:type="dxa"/>
            <w:vAlign w:val="bottom"/>
            <w:gridSpan w:val="1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LEGAL MATTERS</w:t>
              </w:r>
            </w:hyperlink>
          </w:p>
        </w:tc>
        <w:tc>
          <w:tcPr>
            <w:tcW w:w="5740" w:type="dxa"/>
            <w:vAlign w:val="bottom"/>
            <w:gridSpan w:val="1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027"/>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1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3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1"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9" w:firstLine="636"/>
        <w:spacing w:after="0" w:line="297"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18" w:lineRule="exact"/>
        <w:rPr>
          <w:sz w:val="20"/>
          <w:szCs w:val="20"/>
          <w:color w:val="auto"/>
        </w:rPr>
      </w:pPr>
    </w:p>
    <w:p>
      <w:pPr>
        <w:ind w:right="159" w:firstLine="636"/>
        <w:spacing w:after="0" w:line="264"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15" w:lineRule="exact"/>
        <w:rPr>
          <w:sz w:val="20"/>
          <w:szCs w:val="20"/>
          <w:color w:val="auto"/>
        </w:rPr>
      </w:pPr>
    </w:p>
    <w:p>
      <w:pPr>
        <w:ind w:left="1060" w:hanging="8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184" w:lineRule="exact"/>
        <w:rPr>
          <w:rFonts w:ascii="Arial" w:cs="Arial" w:eastAsia="Arial" w:hAnsi="Arial"/>
          <w:sz w:val="18"/>
          <w:szCs w:val="18"/>
          <w:color w:val="auto"/>
        </w:rPr>
      </w:pPr>
    </w:p>
    <w:p>
      <w:pPr>
        <w:ind w:left="1060" w:right="20" w:hanging="85"/>
        <w:spacing w:after="0" w:line="31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106" w:lineRule="exact"/>
        <w:rPr>
          <w:rFonts w:ascii="Arial" w:cs="Arial" w:eastAsia="Arial" w:hAnsi="Arial"/>
          <w:sz w:val="16"/>
          <w:szCs w:val="16"/>
          <w:color w:val="auto"/>
        </w:rPr>
      </w:pPr>
    </w:p>
    <w:p>
      <w:pPr>
        <w:ind w:left="1060" w:right="120" w:hanging="85"/>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on April 27, 2015, including any amendments or reports filed for the purpose of updating such description.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may request a copy of these filings, at no cost, by contacting us, either orally or in writing, at the following: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ir@blueprintmedicines.com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4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principal executive offices are located at 38 Sidney Street, Suite 200, Cambridge, Massachusetts 02139, and our telephone number is (617) 714-6674.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37"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jc w:val="center"/>
        <w:ind w:left="6460"/>
        <w:spacing w:after="0"/>
        <w:tabs>
          <w:tab w:leader="none" w:pos="280" w:val="left"/>
          <w:tab w:leader="none" w:pos="280" w:val="left"/>
          <w:tab w:leader="none" w:pos="2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-130810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 w:lineRule="exact"/>
        <w:rPr>
          <w:sz w:val="20"/>
          <w:szCs w:val="20"/>
          <w:color w:val="auto"/>
        </w:rPr>
      </w:pPr>
    </w:p>
    <w:p>
      <w:pPr>
        <w:spacing w:after="0"/>
        <w:tabs>
          <w:tab w:leader="none" w:pos="6620" w:val="left"/>
          <w:tab w:leader="none" w:pos="7260" w:val="left"/>
          <w:tab w:leader="none" w:pos="7920" w:val="left"/>
          <w:tab w:leader="none" w:pos="856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69404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4045" cy="146050"/>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4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99" w:firstLine="648"/>
        <w:spacing w:after="0" w:line="286" w:lineRule="auto"/>
        <w:rPr>
          <w:sz w:val="20"/>
          <w:szCs w:val="20"/>
          <w:color w:val="auto"/>
        </w:rPr>
      </w:pPr>
      <w:r>
        <w:rPr>
          <w:rFonts w:ascii="Arial" w:cs="Arial" w:eastAsia="Arial" w:hAnsi="Arial"/>
          <w:sz w:val="17"/>
          <w:szCs w:val="17"/>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125" w:lineRule="exact"/>
        <w:rPr>
          <w:sz w:val="20"/>
          <w:szCs w:val="20"/>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184" w:lineRule="exact"/>
        <w:rPr>
          <w:rFonts w:ascii="Arial" w:cs="Arial" w:eastAsia="Arial" w:hAnsi="Arial"/>
          <w:sz w:val="18"/>
          <w:szCs w:val="18"/>
          <w:color w:val="auto"/>
        </w:rPr>
      </w:pPr>
    </w:p>
    <w:p>
      <w:pPr>
        <w:ind w:left="1060" w:right="19" w:hanging="85"/>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increase in such net tangible book value per share attributable to the cash payments made by the purchasers in the offering; and</w:t>
      </w:r>
    </w:p>
    <w:p>
      <w:pPr>
        <w:spacing w:after="0" w:line="129" w:lineRule="exact"/>
        <w:rPr>
          <w:rFonts w:ascii="Arial" w:cs="Arial" w:eastAsia="Arial" w:hAnsi="Arial"/>
          <w:sz w:val="18"/>
          <w:szCs w:val="18"/>
          <w:color w:val="auto"/>
        </w:rPr>
      </w:pPr>
    </w:p>
    <w:p>
      <w:pPr>
        <w:ind w:left="1060" w:right="799" w:hanging="85"/>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1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one vote for each share held on all matters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upon by stockholders.</w:t>
      </w:r>
    </w:p>
    <w:p>
      <w:pPr>
        <w:spacing w:after="0" w:line="1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common stock, after any preferences of holders of any preferred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when and if declared by the board of directors out of legally available funds.</w:t>
      </w:r>
    </w:p>
    <w:p>
      <w:pPr>
        <w:spacing w:after="0" w:line="11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If we are liquidated or dissolved, the holders of the common stock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the common stock have no right to convert the stock into any other security, have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3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NASDAQ Global Select Market. </w:t>
      </w:r>
      <w:r>
        <w:rPr>
          <w:rFonts w:ascii="Arial" w:cs="Arial" w:eastAsia="Arial" w:hAnsi="Arial"/>
          <w:sz w:val="18"/>
          <w:szCs w:val="18"/>
          <w:color w:val="auto"/>
        </w:rPr>
        <w:t>Our common stock is listed on The NASDAQ Global Select Market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symbol “BPMC.”</w:t>
      </w:r>
    </w:p>
    <w:p>
      <w:pPr>
        <w:spacing w:after="0" w:line="11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Computershare Trust Company, N.A. is the transfer agent and registrar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154" w:lineRule="exact"/>
        <w:rPr>
          <w:sz w:val="20"/>
          <w:szCs w:val="20"/>
          <w:color w:val="auto"/>
        </w:rPr>
      </w:pPr>
    </w:p>
    <w:p>
      <w:pPr>
        <w:ind w:left="1060" w:hanging="85"/>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84" w:lineRule="exact"/>
        <w:rPr>
          <w:rFonts w:ascii="Arial" w:cs="Arial" w:eastAsia="Arial" w:hAnsi="Arial"/>
          <w:sz w:val="18"/>
          <w:szCs w:val="18"/>
          <w:color w:val="auto"/>
        </w:rPr>
      </w:pPr>
    </w:p>
    <w:p>
      <w:pPr>
        <w:ind w:left="1060" w:hanging="85"/>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40" w:lineRule="exact"/>
        <w:rPr>
          <w:rFonts w:ascii="Arial" w:cs="Arial" w:eastAsia="Arial" w:hAnsi="Arial"/>
          <w:sz w:val="18"/>
          <w:szCs w:val="18"/>
          <w:color w:val="auto"/>
        </w:rPr>
      </w:pPr>
    </w:p>
    <w:p>
      <w:pPr>
        <w:ind w:left="1140" w:hanging="1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84" w:lineRule="exact"/>
        <w:rPr>
          <w:rFonts w:ascii="Arial" w:cs="Arial" w:eastAsia="Arial" w:hAnsi="Arial"/>
          <w:sz w:val="18"/>
          <w:szCs w:val="18"/>
          <w:color w:val="auto"/>
        </w:rPr>
      </w:pPr>
    </w:p>
    <w:p>
      <w:pPr>
        <w:ind w:left="1060" w:right="280" w:hanging="85"/>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other than the currency of the United States, the currency or currencies including composite currencies in which the preferred stock is denominated and/or in which payments will or may be payable;</w:t>
      </w:r>
    </w:p>
    <w:p>
      <w:pPr>
        <w:spacing w:after="0" w:line="83" w:lineRule="exact"/>
        <w:rPr>
          <w:rFonts w:ascii="Arial" w:cs="Arial" w:eastAsia="Arial" w:hAnsi="Arial"/>
          <w:sz w:val="16"/>
          <w:szCs w:val="16"/>
          <w:color w:val="auto"/>
        </w:rPr>
      </w:pPr>
    </w:p>
    <w:p>
      <w:pPr>
        <w:ind w:left="1220" w:hanging="2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we have elected to offer depositary shares as described under “Description of Depositary Shares;” and</w:t>
      </w:r>
    </w:p>
    <w:p>
      <w:pPr>
        <w:spacing w:after="0" w:line="207" w:lineRule="exact"/>
        <w:rPr>
          <w:rFonts w:ascii="Arial" w:cs="Arial" w:eastAsia="Arial" w:hAnsi="Arial"/>
          <w:sz w:val="16"/>
          <w:szCs w:val="16"/>
          <w:color w:val="auto"/>
        </w:rPr>
      </w:pPr>
    </w:p>
    <w:p>
      <w:pPr>
        <w:ind w:left="1060" w:hanging="85"/>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4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provided in the applicable prospectus supplement, the preferred stock will,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rights and rights upon our liquidation, dissolution or winding up of our affairs, rank:</w:t>
      </w:r>
    </w:p>
    <w:p>
      <w:pPr>
        <w:spacing w:after="0" w:line="143" w:lineRule="exact"/>
        <w:rPr>
          <w:sz w:val="20"/>
          <w:szCs w:val="20"/>
          <w:color w:val="auto"/>
        </w:rPr>
      </w:pPr>
    </w:p>
    <w:p>
      <w:pPr>
        <w:ind w:left="1060" w:right="200" w:hanging="85"/>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29" w:lineRule="exact"/>
        <w:rPr>
          <w:rFonts w:ascii="Arial" w:cs="Arial" w:eastAsia="Arial" w:hAnsi="Arial"/>
          <w:sz w:val="18"/>
          <w:szCs w:val="18"/>
          <w:color w:val="auto"/>
        </w:rPr>
      </w:pPr>
    </w:p>
    <w:p>
      <w:pPr>
        <w:ind w:left="1060" w:right="420" w:hanging="85"/>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60" w:right="140" w:hanging="85"/>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8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preferred stock of each series will be entitled to receive, when, as and if declared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5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If so provided in the applicable prospectus supplement, the preferred stock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redemption or redemption at our option, as a whole or in part, in each case upon the terms, at the times and at the redemption prices set forth in such prospectus supplement.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19" w:firstLine="648"/>
        <w:spacing w:after="0" w:line="287"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32" w:lineRule="exact"/>
        <w:rPr>
          <w:sz w:val="20"/>
          <w:szCs w:val="20"/>
          <w:color w:val="auto"/>
        </w:rPr>
      </w:pPr>
    </w:p>
    <w:p>
      <w:pPr>
        <w:ind w:left="1060" w:right="79" w:hanging="85"/>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40" w:lineRule="exact"/>
        <w:rPr>
          <w:rFonts w:ascii="Arial" w:cs="Arial" w:eastAsia="Arial" w:hAnsi="Arial"/>
          <w:sz w:val="18"/>
          <w:szCs w:val="18"/>
          <w:color w:val="auto"/>
        </w:rPr>
      </w:pPr>
    </w:p>
    <w:p>
      <w:pPr>
        <w:ind w:left="1060" w:right="459" w:hanging="85"/>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98" w:lineRule="exact"/>
        <w:rPr>
          <w:sz w:val="20"/>
          <w:szCs w:val="20"/>
          <w:color w:val="auto"/>
        </w:rPr>
      </w:pPr>
    </w:p>
    <w:p>
      <w:pPr>
        <w:ind w:left="1060" w:right="139" w:hanging="85"/>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06" w:lineRule="exact"/>
        <w:rPr>
          <w:rFonts w:ascii="Arial" w:cs="Arial" w:eastAsia="Arial" w:hAnsi="Arial"/>
          <w:sz w:val="16"/>
          <w:szCs w:val="16"/>
          <w:color w:val="auto"/>
        </w:rPr>
      </w:pPr>
    </w:p>
    <w:p>
      <w:pPr>
        <w:ind w:left="1060" w:right="379" w:hanging="85"/>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1" w:lineRule="exact"/>
        <w:rPr>
          <w:sz w:val="20"/>
          <w:szCs w:val="20"/>
          <w:color w:val="auto"/>
        </w:rPr>
      </w:pPr>
    </w:p>
    <w:p>
      <w:pPr>
        <w:ind w:right="119" w:firstLine="648"/>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46" w:lineRule="exact"/>
        <w:rPr>
          <w:sz w:val="20"/>
          <w:szCs w:val="20"/>
          <w:color w:val="auto"/>
        </w:rPr>
      </w:pPr>
    </w:p>
    <w:p>
      <w:pPr>
        <w:ind w:right="59" w:firstLine="648"/>
        <w:spacing w:after="0" w:line="279" w:lineRule="auto"/>
        <w:rPr>
          <w:sz w:val="20"/>
          <w:szCs w:val="20"/>
          <w:color w:val="auto"/>
        </w:rPr>
      </w:pPr>
      <w:r>
        <w:rPr>
          <w:rFonts w:ascii="Arial" w:cs="Arial" w:eastAsia="Arial" w:hAnsi="Arial"/>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31"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54" w:lineRule="exact"/>
        <w:rPr>
          <w:sz w:val="20"/>
          <w:szCs w:val="20"/>
          <w:color w:val="auto"/>
        </w:rPr>
      </w:pPr>
    </w:p>
    <w:p>
      <w:pPr>
        <w:ind w:left="1280" w:hanging="305"/>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84" w:lineRule="exact"/>
        <w:rPr>
          <w:rFonts w:ascii="Arial" w:cs="Arial" w:eastAsia="Arial" w:hAnsi="Arial"/>
          <w:sz w:val="18"/>
          <w:szCs w:val="18"/>
          <w:color w:val="auto"/>
        </w:rPr>
      </w:pPr>
    </w:p>
    <w:p>
      <w:pPr>
        <w:ind w:left="1280" w:hanging="305"/>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84" w:lineRule="exact"/>
        <w:rPr>
          <w:rFonts w:ascii="Arial" w:cs="Arial" w:eastAsia="Arial" w:hAnsi="Arial"/>
          <w:sz w:val="18"/>
          <w:szCs w:val="18"/>
          <w:color w:val="auto"/>
        </w:rPr>
      </w:pPr>
    </w:p>
    <w:p>
      <w:pPr>
        <w:ind w:left="1060" w:right="639" w:hanging="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060" w:hanging="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84" w:lineRule="exact"/>
        <w:rPr>
          <w:rFonts w:ascii="Arial" w:cs="Arial" w:eastAsia="Arial" w:hAnsi="Arial"/>
          <w:sz w:val="18"/>
          <w:szCs w:val="18"/>
          <w:color w:val="auto"/>
        </w:rPr>
      </w:pPr>
    </w:p>
    <w:p>
      <w:pPr>
        <w:ind w:left="1060" w:right="200" w:hanging="85"/>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16"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21"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applicable prospectus supplement.</w:t>
      </w:r>
    </w:p>
    <w:p>
      <w:pPr>
        <w:spacing w:after="0" w:line="116"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7" w:lineRule="exact"/>
        <w:rPr>
          <w:sz w:val="20"/>
          <w:szCs w:val="20"/>
          <w:color w:val="auto"/>
        </w:rPr>
      </w:pPr>
    </w:p>
    <w:p>
      <w:pPr>
        <w:ind w:right="260" w:firstLine="648"/>
        <w:spacing w:after="0"/>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The terms and conditions, if any, upon which any series of preferred stock is convertible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24" w:lineRule="exact"/>
        <w:rPr>
          <w:sz w:val="20"/>
          <w:szCs w:val="20"/>
          <w:color w:val="auto"/>
        </w:rPr>
      </w:pPr>
    </w:p>
    <w:p>
      <w:pPr>
        <w:ind w:right="620" w:firstLine="648"/>
        <w:spacing w:after="0" w:line="246"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preferred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148"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The holders of at least a majority of our registrable shares may require us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on a Form S-1 or Form S-3, if available, at our expense with respect to the resale of their registrable shares, and we are required to use our best efforts to effect the registration.</w:t>
      </w:r>
    </w:p>
    <w:p>
      <w:pPr>
        <w:spacing w:after="0" w:line="111" w:lineRule="exact"/>
        <w:rPr>
          <w:sz w:val="20"/>
          <w:szCs w:val="20"/>
          <w:color w:val="auto"/>
        </w:rPr>
      </w:pPr>
    </w:p>
    <w:p>
      <w:pPr>
        <w:jc w:val="both"/>
        <w:ind w:right="180" w:firstLine="648"/>
        <w:spacing w:after="0" w:line="231"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for our own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21"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of our Certificate of Incorporation and Bylaws and Delaware Law That May Have Anti-takeover Effects</w:t>
      </w:r>
    </w:p>
    <w:p>
      <w:pPr>
        <w:spacing w:after="0" w:line="171"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6"/>
          <w:szCs w:val="16"/>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w:t>
      </w:r>
      <w:r>
        <w:rPr>
          <w:rFonts w:ascii="MS PGothic" w:cs="MS PGothic" w:eastAsia="MS PGothic" w:hAnsi="MS PGothic"/>
          <w:sz w:val="16"/>
          <w:szCs w:val="16"/>
          <w:color w:val="auto"/>
        </w:rPr>
        <w:t>‑</w:t>
      </w:r>
      <w:r>
        <w:rPr>
          <w:rFonts w:ascii="Arial" w:cs="Arial" w:eastAsia="Arial" w:hAnsi="Arial"/>
          <w:sz w:val="16"/>
          <w:szCs w:val="16"/>
          <w:color w:val="auto"/>
        </w:rPr>
        <w:t>negotiated takeover attempts. These provisions include the items described below.</w:t>
      </w:r>
    </w:p>
    <w:p>
      <w:pPr>
        <w:spacing w:after="0" w:line="122" w:lineRule="exact"/>
        <w:rPr>
          <w:sz w:val="20"/>
          <w:szCs w:val="20"/>
          <w:color w:val="auto"/>
        </w:rPr>
      </w:pPr>
    </w:p>
    <w:p>
      <w:pPr>
        <w:ind w:right="20" w:firstLine="648"/>
        <w:spacing w:after="0"/>
        <w:rPr>
          <w:sz w:val="20"/>
          <w:szCs w:val="20"/>
          <w:color w:val="auto"/>
        </w:rPr>
      </w:pPr>
      <w:r>
        <w:rPr>
          <w:rFonts w:ascii="Arial" w:cs="Arial" w:eastAsia="Arial" w:hAnsi="Arial"/>
          <w:sz w:val="17"/>
          <w:szCs w:val="17"/>
          <w:i w:val="1"/>
          <w:iCs w:val="1"/>
          <w:color w:val="auto"/>
        </w:rPr>
        <w:t xml:space="preserve">Board Composition and Filling Vacancies. </w:t>
      </w:r>
      <w:r>
        <w:rPr>
          <w:rFonts w:ascii="Arial" w:cs="Arial" w:eastAsia="Arial" w:hAnsi="Arial"/>
          <w:sz w:val="17"/>
          <w:szCs w:val="17"/>
          <w:color w:val="auto"/>
        </w:rPr>
        <w:t>In accordance with our certificate of incorporation, our board is divided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2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certificate of incorporation provides that all stockholder actions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taken by a vote of the stockholders at an annual or special meeting, and that stockholders may not take any action by written consent in lieu of a meeting.</w:t>
      </w:r>
    </w:p>
    <w:p>
      <w:pPr>
        <w:spacing w:after="0" w:line="121" w:lineRule="exact"/>
        <w:rPr>
          <w:sz w:val="20"/>
          <w:szCs w:val="20"/>
          <w:color w:val="auto"/>
        </w:rPr>
      </w:pPr>
    </w:p>
    <w:p>
      <w:pPr>
        <w:ind w:right="100" w:firstLine="648"/>
        <w:spacing w:after="0" w:line="246" w:lineRule="auto"/>
        <w:rPr>
          <w:sz w:val="20"/>
          <w:szCs w:val="20"/>
          <w:color w:val="auto"/>
        </w:rPr>
      </w:pPr>
      <w:r>
        <w:rPr>
          <w:rFonts w:ascii="Arial" w:cs="Arial" w:eastAsia="Arial" w:hAnsi="Arial"/>
          <w:sz w:val="17"/>
          <w:szCs w:val="17"/>
          <w:i w:val="1"/>
          <w:iCs w:val="1"/>
          <w:color w:val="auto"/>
        </w:rPr>
        <w:t xml:space="preserve">Meetings of Stockholders. </w:t>
      </w:r>
      <w:r>
        <w:rPr>
          <w:rFonts w:ascii="Arial" w:cs="Arial" w:eastAsia="Arial" w:hAnsi="Arial"/>
          <w:sz w:val="17"/>
          <w:szCs w:val="17"/>
          <w:color w:val="auto"/>
        </w:rPr>
        <w:t>Our bylaws provide that only a majority of the members of our board of directors then in</w:t>
      </w:r>
      <w:r>
        <w:rPr>
          <w:rFonts w:ascii="Arial" w:cs="Arial" w:eastAsia="Arial" w:hAnsi="Arial"/>
          <w:sz w:val="17"/>
          <w:szCs w:val="17"/>
          <w:i w:val="1"/>
          <w:iCs w:val="1"/>
          <w:color w:val="auto"/>
        </w:rPr>
        <w:t xml:space="preserve"> </w:t>
      </w:r>
      <w:r>
        <w:rPr>
          <w:rFonts w:ascii="Arial" w:cs="Arial" w:eastAsia="Arial" w:hAnsi="Arial"/>
          <w:sz w:val="17"/>
          <w:szCs w:val="17"/>
          <w:color w:val="auto"/>
        </w:rPr>
        <w:t>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1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3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recommends that the stockholders approve the amendment, by the affirmative vote of the majority of the outstanding shares entitled to vote on the amendment, in each case voting together as a single class.</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i w:val="1"/>
          <w:iCs w:val="1"/>
          <w:color w:val="auto"/>
        </w:rPr>
        <w:t xml:space="preserve">Blank Check Preferred Stock. </w:t>
      </w:r>
      <w:r>
        <w:rPr>
          <w:rFonts w:ascii="Arial" w:cs="Arial" w:eastAsia="Arial" w:hAnsi="Arial"/>
          <w:sz w:val="17"/>
          <w:szCs w:val="17"/>
          <w:color w:val="auto"/>
        </w:rPr>
        <w:t>Our certificate of incorporation provides for 5,000,000 authorized shares of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i w:val="1"/>
          <w:iCs w:val="1"/>
          <w:color w:val="auto"/>
        </w:rPr>
        <w:t xml:space="preserve">Section 203 of the Delaware General Corporation Law. </w:t>
      </w:r>
      <w:r>
        <w:rPr>
          <w:rFonts w:ascii="Arial" w:cs="Arial" w:eastAsia="Arial" w:hAnsi="Arial"/>
          <w:sz w:val="17"/>
          <w:szCs w:val="17"/>
          <w:color w:val="auto"/>
        </w:rPr>
        <w:t>We are subject to the provisions of Section 203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40" w:lineRule="exact"/>
        <w:rPr>
          <w:sz w:val="20"/>
          <w:szCs w:val="20"/>
          <w:color w:val="auto"/>
        </w:rPr>
      </w:pPr>
    </w:p>
    <w:p>
      <w:pPr>
        <w:ind w:left="1060" w:right="200" w:hanging="85"/>
        <w:spacing w:after="0" w:line="308"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06" w:lineRule="exact"/>
        <w:rPr>
          <w:rFonts w:ascii="Arial" w:cs="Arial" w:eastAsia="Arial" w:hAnsi="Arial"/>
          <w:sz w:val="17"/>
          <w:szCs w:val="17"/>
          <w:color w:val="auto"/>
        </w:rPr>
      </w:pPr>
    </w:p>
    <w:p>
      <w:pPr>
        <w:ind w:left="1060" w:right="80" w:hanging="85"/>
        <w:spacing w:after="0" w:line="30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13" w:lineRule="exact"/>
        <w:rPr>
          <w:rFonts w:ascii="Arial" w:cs="Arial" w:eastAsia="Arial" w:hAnsi="Arial"/>
          <w:sz w:val="16"/>
          <w:szCs w:val="16"/>
          <w:color w:val="auto"/>
        </w:rPr>
      </w:pPr>
    </w:p>
    <w:p>
      <w:pPr>
        <w:ind w:left="1060" w:right="100" w:hanging="85"/>
        <w:spacing w:after="0" w:line="220" w:lineRule="exact"/>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outstanding voting stock that is not owned by the interested stockholder.</w:t>
      </w:r>
    </w:p>
    <w:p>
      <w:pPr>
        <w:spacing w:after="0" w:line="15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Exclusive Jurisdiction of Certain Actions</w:t>
      </w:r>
      <w:r>
        <w:rPr>
          <w:rFonts w:ascii="Arial" w:cs="Arial" w:eastAsia="Arial" w:hAnsi="Arial"/>
          <w:sz w:val="18"/>
          <w:szCs w:val="18"/>
          <w:color w:val="auto"/>
        </w:rPr>
        <w:t>. Our certificate of incorporation requires,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4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w:t>
      </w:r>
    </w:p>
    <w:p>
      <w:pPr>
        <w:spacing w:after="0" w:line="185" w:lineRule="exact"/>
        <w:rPr>
          <w:sz w:val="20"/>
          <w:szCs w:val="20"/>
          <w:color w:val="auto"/>
        </w:rPr>
      </w:pPr>
    </w:p>
    <w:p>
      <w:pPr>
        <w:ind w:left="1100" w:hanging="12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84" w:lineRule="exact"/>
        <w:rPr>
          <w:rFonts w:ascii="Arial" w:cs="Arial" w:eastAsia="Arial" w:hAnsi="Arial"/>
          <w:sz w:val="18"/>
          <w:szCs w:val="18"/>
          <w:color w:val="auto"/>
        </w:rPr>
      </w:pPr>
    </w:p>
    <w:p>
      <w:pPr>
        <w:ind w:left="1060" w:right="360" w:hanging="85"/>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us to reopen a series to issue additional debt securities without the consent of the holders of the debt securities of such series; and</w:t>
      </w:r>
    </w:p>
    <w:p>
      <w:pPr>
        <w:spacing w:after="0" w:line="129" w:lineRule="exact"/>
        <w:rPr>
          <w:rFonts w:ascii="Arial" w:cs="Arial" w:eastAsia="Arial" w:hAnsi="Arial"/>
          <w:sz w:val="18"/>
          <w:szCs w:val="18"/>
          <w:color w:val="auto"/>
        </w:rPr>
      </w:pPr>
    </w:p>
    <w:p>
      <w:pPr>
        <w:ind w:left="1060" w:right="460" w:hanging="85"/>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85" w:lineRule="exact"/>
        <w:rPr>
          <w:sz w:val="20"/>
          <w:szCs w:val="20"/>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84" w:lineRule="exact"/>
        <w:rPr>
          <w:rFonts w:ascii="Arial" w:cs="Arial" w:eastAsia="Arial" w:hAnsi="Arial"/>
          <w:sz w:val="18"/>
          <w:szCs w:val="18"/>
          <w:color w:val="auto"/>
        </w:rPr>
      </w:pPr>
    </w:p>
    <w:p>
      <w:pPr>
        <w:jc w:val="both"/>
        <w:ind w:left="1060" w:right="80" w:hanging="85"/>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40" w:lineRule="exact"/>
        <w:rPr>
          <w:rFonts w:ascii="Arial" w:cs="Arial" w:eastAsia="Arial" w:hAnsi="Arial"/>
          <w:sz w:val="18"/>
          <w:szCs w:val="18"/>
          <w:color w:val="auto"/>
        </w:rPr>
      </w:pPr>
    </w:p>
    <w:p>
      <w:pPr>
        <w:ind w:left="1060" w:right="20" w:hanging="85"/>
        <w:spacing w:after="0" w:line="25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147" w:lineRule="exact"/>
        <w:rPr>
          <w:rFonts w:ascii="Arial" w:cs="Arial" w:eastAsia="Arial" w:hAnsi="Arial"/>
          <w:sz w:val="18"/>
          <w:szCs w:val="18"/>
          <w:color w:val="auto"/>
        </w:rPr>
      </w:pPr>
    </w:p>
    <w:p>
      <w:pPr>
        <w:ind w:left="1060" w:right="60" w:hanging="85"/>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40" w:lineRule="exact"/>
        <w:rPr>
          <w:rFonts w:ascii="Arial" w:cs="Arial" w:eastAsia="Arial" w:hAnsi="Arial"/>
          <w:sz w:val="18"/>
          <w:szCs w:val="18"/>
          <w:color w:val="auto"/>
        </w:rPr>
      </w:pPr>
    </w:p>
    <w:p>
      <w:pPr>
        <w:ind w:left="1060" w:right="100" w:hanging="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29" w:lineRule="exact"/>
        <w:rPr>
          <w:rFonts w:ascii="Arial" w:cs="Arial" w:eastAsia="Arial" w:hAnsi="Arial"/>
          <w:sz w:val="18"/>
          <w:szCs w:val="18"/>
          <w:color w:val="auto"/>
        </w:rPr>
      </w:pPr>
    </w:p>
    <w:p>
      <w:pPr>
        <w:ind w:left="1060" w:hanging="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basis upon which interest will be calculated if other than that of a 360-day year of twelve 30-day months;</w:t>
      </w:r>
    </w:p>
    <w:p>
      <w:pPr>
        <w:spacing w:after="0" w:line="207" w:lineRule="exact"/>
        <w:rPr>
          <w:rFonts w:ascii="Arial" w:cs="Arial" w:eastAsia="Arial" w:hAnsi="Arial"/>
          <w:sz w:val="16"/>
          <w:szCs w:val="16"/>
          <w:color w:val="auto"/>
        </w:rPr>
      </w:pPr>
    </w:p>
    <w:p>
      <w:pPr>
        <w:ind w:left="1060" w:right="40" w:hanging="85"/>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40" w:lineRule="exact"/>
        <w:rPr>
          <w:rFonts w:ascii="Arial" w:cs="Arial" w:eastAsia="Arial" w:hAnsi="Arial"/>
          <w:sz w:val="18"/>
          <w:szCs w:val="18"/>
          <w:color w:val="auto"/>
        </w:rPr>
      </w:pPr>
    </w:p>
    <w:p>
      <w:pPr>
        <w:ind w:left="1060" w:right="160" w:hanging="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84" w:lineRule="exact"/>
        <w:rPr>
          <w:rFonts w:ascii="Arial" w:cs="Arial" w:eastAsia="Arial" w:hAnsi="Arial"/>
          <w:sz w:val="18"/>
          <w:szCs w:val="18"/>
          <w:color w:val="auto"/>
        </w:rPr>
      </w:pPr>
    </w:p>
    <w:p>
      <w:pPr>
        <w:ind w:left="1060" w:right="220" w:hanging="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84" w:lineRule="exact"/>
        <w:rPr>
          <w:rFonts w:ascii="Arial" w:cs="Arial" w:eastAsia="Arial" w:hAnsi="Arial"/>
          <w:sz w:val="18"/>
          <w:szCs w:val="18"/>
          <w:color w:val="auto"/>
        </w:rPr>
      </w:pPr>
    </w:p>
    <w:p>
      <w:pPr>
        <w:ind w:left="1060" w:right="360" w:hanging="85"/>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60" w:hanging="85"/>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46" w:lineRule="exact"/>
        <w:rPr>
          <w:rFonts w:ascii="Arial" w:cs="Arial" w:eastAsia="Arial" w:hAnsi="Arial"/>
          <w:sz w:val="18"/>
          <w:szCs w:val="18"/>
          <w:color w:val="auto"/>
        </w:rPr>
      </w:pPr>
    </w:p>
    <w:p>
      <w:pPr>
        <w:ind w:left="1060" w:right="20" w:hanging="85"/>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06" w:lineRule="exact"/>
        <w:rPr>
          <w:rFonts w:ascii="Arial" w:cs="Arial" w:eastAsia="Arial" w:hAnsi="Arial"/>
          <w:sz w:val="16"/>
          <w:szCs w:val="16"/>
          <w:color w:val="auto"/>
        </w:rPr>
      </w:pPr>
    </w:p>
    <w:p>
      <w:pPr>
        <w:ind w:left="1060" w:right="60" w:hanging="85"/>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40" w:lineRule="exact"/>
        <w:rPr>
          <w:rFonts w:ascii="Arial" w:cs="Arial" w:eastAsia="Arial" w:hAnsi="Arial"/>
          <w:sz w:val="18"/>
          <w:szCs w:val="18"/>
          <w:color w:val="auto"/>
        </w:rPr>
      </w:pPr>
    </w:p>
    <w:p>
      <w:pPr>
        <w:ind w:left="1060" w:right="20" w:hanging="85"/>
        <w:spacing w:after="0" w:line="25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47" w:lineRule="exact"/>
        <w:rPr>
          <w:rFonts w:ascii="Arial" w:cs="Arial" w:eastAsia="Arial" w:hAnsi="Arial"/>
          <w:sz w:val="18"/>
          <w:szCs w:val="18"/>
          <w:color w:val="auto"/>
        </w:rPr>
      </w:pPr>
    </w:p>
    <w:p>
      <w:pPr>
        <w:ind w:left="1060" w:right="60" w:hanging="85"/>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40" w:lineRule="exact"/>
        <w:rPr>
          <w:rFonts w:ascii="Arial" w:cs="Arial" w:eastAsia="Arial" w:hAnsi="Arial"/>
          <w:sz w:val="18"/>
          <w:szCs w:val="18"/>
          <w:color w:val="auto"/>
        </w:rPr>
      </w:pPr>
    </w:p>
    <w:p>
      <w:pPr>
        <w:ind w:left="1060" w:right="120" w:hanging="85"/>
        <w:spacing w:after="0" w:line="30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3" w:lineRule="exact"/>
        <w:rPr>
          <w:rFonts w:ascii="Arial" w:cs="Arial" w:eastAsia="Arial" w:hAnsi="Arial"/>
          <w:sz w:val="16"/>
          <w:szCs w:val="16"/>
          <w:color w:val="auto"/>
        </w:rPr>
      </w:pPr>
    </w:p>
    <w:p>
      <w:pPr>
        <w:ind w:left="1060" w:right="46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29" w:lineRule="exact"/>
        <w:rPr>
          <w:rFonts w:ascii="Arial" w:cs="Arial" w:eastAsia="Arial" w:hAnsi="Arial"/>
          <w:sz w:val="18"/>
          <w:szCs w:val="18"/>
          <w:color w:val="auto"/>
        </w:rPr>
      </w:pPr>
    </w:p>
    <w:p>
      <w:pPr>
        <w:ind w:left="1060" w:right="8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29" w:lineRule="exact"/>
        <w:rPr>
          <w:rFonts w:ascii="Arial" w:cs="Arial" w:eastAsia="Arial" w:hAnsi="Arial"/>
          <w:sz w:val="18"/>
          <w:szCs w:val="18"/>
          <w:color w:val="auto"/>
        </w:rPr>
      </w:pPr>
    </w:p>
    <w:p>
      <w:pPr>
        <w:ind w:left="1060" w:right="14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129" w:lineRule="exact"/>
        <w:rPr>
          <w:rFonts w:ascii="Arial" w:cs="Arial" w:eastAsia="Arial" w:hAnsi="Arial"/>
          <w:sz w:val="18"/>
          <w:szCs w:val="18"/>
          <w:color w:val="auto"/>
        </w:rPr>
      </w:pPr>
    </w:p>
    <w:p>
      <w:pPr>
        <w:ind w:left="1060" w:right="80" w:hanging="85"/>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40" w:lineRule="exact"/>
        <w:rPr>
          <w:rFonts w:ascii="Arial" w:cs="Arial" w:eastAsia="Arial" w:hAnsi="Arial"/>
          <w:sz w:val="18"/>
          <w:szCs w:val="18"/>
          <w:color w:val="auto"/>
        </w:rPr>
      </w:pPr>
    </w:p>
    <w:p>
      <w:pPr>
        <w:ind w:left="1060" w:right="100" w:hanging="85"/>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40" w:lineRule="exact"/>
        <w:rPr>
          <w:rFonts w:ascii="Arial" w:cs="Arial" w:eastAsia="Arial" w:hAnsi="Arial"/>
          <w:sz w:val="18"/>
          <w:szCs w:val="18"/>
          <w:color w:val="auto"/>
        </w:rPr>
      </w:pPr>
    </w:p>
    <w:p>
      <w:pPr>
        <w:ind w:left="1060" w:right="40" w:hanging="85"/>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46" w:lineRule="exact"/>
        <w:rPr>
          <w:rFonts w:ascii="Arial" w:cs="Arial" w:eastAsia="Arial" w:hAnsi="Arial"/>
          <w:sz w:val="18"/>
          <w:szCs w:val="18"/>
          <w:color w:val="auto"/>
        </w:rPr>
      </w:pPr>
    </w:p>
    <w:p>
      <w:pPr>
        <w:ind w:left="1060" w:right="14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060" w:right="60" w:hanging="85"/>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40" w:lineRule="exact"/>
        <w:rPr>
          <w:rFonts w:ascii="Arial" w:cs="Arial" w:eastAsia="Arial" w:hAnsi="Arial"/>
          <w:sz w:val="18"/>
          <w:szCs w:val="18"/>
          <w:color w:val="auto"/>
        </w:rPr>
      </w:pPr>
    </w:p>
    <w:p>
      <w:pPr>
        <w:ind w:left="1060" w:right="220" w:hanging="85"/>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applicable trustee and the nature of any material relationship with us or any of our affiliates, and the percentage of debt securities of the class necessary to require the trustee to take action;</w:t>
      </w:r>
    </w:p>
    <w:p>
      <w:pPr>
        <w:spacing w:after="0" w:line="83" w:lineRule="exact"/>
        <w:rPr>
          <w:rFonts w:ascii="Arial" w:cs="Arial" w:eastAsia="Arial" w:hAnsi="Arial"/>
          <w:sz w:val="16"/>
          <w:szCs w:val="16"/>
          <w:color w:val="auto"/>
        </w:rPr>
      </w:pPr>
    </w:p>
    <w:p>
      <w:pPr>
        <w:ind w:left="1060" w:right="20" w:hanging="85"/>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40" w:lineRule="exact"/>
        <w:rPr>
          <w:rFonts w:ascii="Arial" w:cs="Arial" w:eastAsia="Arial" w:hAnsi="Arial"/>
          <w:sz w:val="18"/>
          <w:szCs w:val="18"/>
          <w:color w:val="auto"/>
        </w:rPr>
      </w:pPr>
    </w:p>
    <w:p>
      <w:pPr>
        <w:ind w:left="1180" w:hanging="205"/>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terms of such debt securities not inconsistent with the provisions of the applicable indenture.</w:t>
      </w:r>
    </w:p>
    <w:p>
      <w:pPr>
        <w:spacing w:after="0" w:line="196" w:lineRule="exact"/>
        <w:rPr>
          <w:sz w:val="20"/>
          <w:szCs w:val="20"/>
          <w:color w:val="auto"/>
        </w:rPr>
      </w:pPr>
    </w:p>
    <w:p>
      <w:pPr>
        <w:ind w:right="460" w:firstLine="690"/>
        <w:spacing w:after="0" w:line="302"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14"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27" w:lineRule="exact"/>
        <w:rPr>
          <w:sz w:val="20"/>
          <w:szCs w:val="20"/>
          <w:color w:val="auto"/>
        </w:rPr>
      </w:pPr>
    </w:p>
    <w:p>
      <w:pPr>
        <w:jc w:val="both"/>
        <w:ind w:right="360" w:firstLine="648"/>
        <w:spacing w:after="0" w:line="291" w:lineRule="auto"/>
        <w:rPr>
          <w:sz w:val="20"/>
          <w:szCs w:val="20"/>
          <w:color w:val="auto"/>
        </w:rPr>
      </w:pPr>
      <w:r>
        <w:rPr>
          <w:rFonts w:ascii="Arial" w:cs="Arial" w:eastAsia="Arial" w:hAnsi="Arial"/>
          <w:sz w:val="16"/>
          <w:szCs w:val="16"/>
          <w:color w:val="auto"/>
        </w:rPr>
        <w:t>Except as described under “—Merger, Consolidation or Sale of Assets” or as may be set forth in any prospectus supplement, the debt securities will not contain any provisions that (i) would limit our ability to incur indebtedness or</w:t>
      </w:r>
    </w:p>
    <w:p>
      <w:pPr>
        <w:ind w:firstLine="3"/>
        <w:spacing w:after="0" w:line="271"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3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3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Unless otherwise provided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3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8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43" w:lineRule="exact"/>
        <w:rPr>
          <w:sz w:val="20"/>
          <w:szCs w:val="20"/>
          <w:color w:val="auto"/>
        </w:rPr>
      </w:pPr>
    </w:p>
    <w:p>
      <w:pPr>
        <w:ind w:right="79" w:firstLine="648"/>
        <w:spacing w:after="0" w:line="342" w:lineRule="auto"/>
        <w:rPr>
          <w:sz w:val="20"/>
          <w:szCs w:val="20"/>
          <w:color w:val="auto"/>
        </w:rPr>
      </w:pPr>
      <w:r>
        <w:rPr>
          <w:rFonts w:ascii="Arial" w:cs="Arial" w:eastAsia="Arial" w:hAnsi="Arial"/>
          <w:sz w:val="16"/>
          <w:szCs w:val="16"/>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83" w:lineRule="exact"/>
        <w:rPr>
          <w:sz w:val="20"/>
          <w:szCs w:val="20"/>
          <w:color w:val="auto"/>
        </w:rPr>
      </w:pPr>
    </w:p>
    <w:p>
      <w:pPr>
        <w:ind w:left="1060" w:right="119" w:hanging="85"/>
        <w:spacing w:after="0" w:line="28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25" w:lineRule="exact"/>
        <w:rPr>
          <w:rFonts w:ascii="Arial" w:cs="Arial" w:eastAsia="Arial" w:hAnsi="Arial"/>
          <w:sz w:val="17"/>
          <w:szCs w:val="17"/>
          <w:color w:val="auto"/>
        </w:rPr>
      </w:pPr>
    </w:p>
    <w:p>
      <w:pPr>
        <w:ind w:left="1060" w:right="119" w:hanging="85"/>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30" w:lineRule="exact"/>
        <w:rPr>
          <w:sz w:val="20"/>
          <w:szCs w:val="20"/>
          <w:color w:val="auto"/>
        </w:rPr>
      </w:pPr>
    </w:p>
    <w:p>
      <w:pPr>
        <w:ind w:right="39" w:firstLine="648"/>
        <w:spacing w:after="0" w:line="290" w:lineRule="auto"/>
        <w:rPr>
          <w:sz w:val="20"/>
          <w:szCs w:val="20"/>
          <w:color w:val="auto"/>
        </w:rPr>
      </w:pPr>
      <w:r>
        <w:rPr>
          <w:rFonts w:ascii="Arial" w:cs="Arial" w:eastAsia="Arial" w:hAnsi="Arial"/>
          <w:sz w:val="16"/>
          <w:szCs w:val="16"/>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trustee, will be required to:</w:t>
      </w:r>
    </w:p>
    <w:p>
      <w:pPr>
        <w:spacing w:after="0" w:line="198" w:lineRule="exact"/>
        <w:rPr>
          <w:sz w:val="20"/>
          <w:szCs w:val="20"/>
          <w:color w:val="auto"/>
        </w:rPr>
      </w:pPr>
    </w:p>
    <w:p>
      <w:pPr>
        <w:jc w:val="both"/>
        <w:ind w:left="1060" w:right="19" w:hanging="85"/>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40" w:lineRule="exact"/>
        <w:rPr>
          <w:rFonts w:ascii="Arial" w:cs="Arial" w:eastAsia="Arial" w:hAnsi="Arial"/>
          <w:sz w:val="18"/>
          <w:szCs w:val="18"/>
          <w:color w:val="auto"/>
        </w:rPr>
      </w:pPr>
    </w:p>
    <w:p>
      <w:pPr>
        <w:ind w:left="1060" w:right="139" w:hanging="85"/>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security, or portion thereof, so selected for redemption, in whole or in part, except the unredeemed portion of any debt security being redeemed in part; and</w:t>
      </w:r>
    </w:p>
    <w:p>
      <w:pPr>
        <w:spacing w:after="0" w:line="106" w:lineRule="exact"/>
        <w:rPr>
          <w:rFonts w:ascii="Arial" w:cs="Arial" w:eastAsia="Arial" w:hAnsi="Arial"/>
          <w:sz w:val="17"/>
          <w:szCs w:val="17"/>
          <w:color w:val="auto"/>
        </w:rPr>
      </w:pPr>
    </w:p>
    <w:p>
      <w:pPr>
        <w:ind w:left="1060" w:right="359" w:hanging="85"/>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that has been surrendered for repayment at the option of the holder, except the portion, if any, of such debt security not to be so repaid.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indentures provide that we may, without the consent of the holders of any outstanding debt securities,</w:t>
      </w:r>
    </w:p>
    <w:p>
      <w:pPr>
        <w:spacing w:after="0" w:line="35" w:lineRule="exact"/>
        <w:rPr>
          <w:sz w:val="20"/>
          <w:szCs w:val="20"/>
          <w:color w:val="auto"/>
        </w:rPr>
      </w:pPr>
    </w:p>
    <w:p>
      <w:pPr>
        <w:ind w:right="399" w:firstLine="3"/>
        <w:spacing w:after="0" w:line="261"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with, (ii) sell, lease or convey all or substantially all of our assets to, or (iii) merge with or into, any other entity provided that:</w:t>
      </w:r>
    </w:p>
    <w:p>
      <w:pPr>
        <w:spacing w:after="0" w:line="143" w:lineRule="exact"/>
        <w:rPr>
          <w:rFonts w:ascii="Arial" w:cs="Arial" w:eastAsia="Arial" w:hAnsi="Arial"/>
          <w:sz w:val="18"/>
          <w:szCs w:val="18"/>
          <w:color w:val="auto"/>
        </w:rPr>
      </w:pPr>
    </w:p>
    <w:p>
      <w:pPr>
        <w:jc w:val="both"/>
        <w:ind w:left="1060" w:right="119" w:hanging="85"/>
        <w:spacing w:after="0" w:line="312" w:lineRule="auto"/>
        <w:tabs>
          <w:tab w:leader="none" w:pos="10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06" w:lineRule="exact"/>
        <w:rPr>
          <w:rFonts w:ascii="Arial" w:cs="Arial" w:eastAsia="Arial" w:hAnsi="Arial"/>
          <w:sz w:val="16"/>
          <w:szCs w:val="16"/>
          <w:color w:val="auto"/>
        </w:rPr>
      </w:pPr>
    </w:p>
    <w:p>
      <w:pPr>
        <w:ind w:left="1060" w:right="19" w:hanging="85"/>
        <w:spacing w:after="0" w:line="342" w:lineRule="auto"/>
        <w:tabs>
          <w:tab w:leader="none" w:pos="10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after giving effect to the transaction, there is no event of default under the indentures and no event which, after notice or the lapse of time, or both, would become such an event of default, occurs and continues; and</w:t>
      </w:r>
    </w:p>
    <w:p>
      <w:pPr>
        <w:spacing w:after="0" w:line="83" w:lineRule="exact"/>
        <w:rPr>
          <w:rFonts w:ascii="Arial" w:cs="Arial" w:eastAsia="Arial" w:hAnsi="Arial"/>
          <w:sz w:val="16"/>
          <w:szCs w:val="16"/>
          <w:color w:val="auto"/>
        </w:rPr>
      </w:pPr>
    </w:p>
    <w:p>
      <w:pPr>
        <w:ind w:left="1060" w:hanging="85"/>
        <w:spacing w:after="0"/>
        <w:tabs>
          <w:tab w:leader="none" w:pos="10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officers’ certificate and legal opinion covering such conditions are delivered to each applicable trustee.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to be done all 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6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Payment of taxes and other claims</w:t>
      </w:r>
      <w:r>
        <w:rPr>
          <w:rFonts w:ascii="Arial" w:cs="Arial" w:eastAsia="Arial" w:hAnsi="Arial"/>
          <w:sz w:val="17"/>
          <w:szCs w:val="17"/>
          <w:color w:val="auto"/>
        </w:rPr>
        <w:t>. The indentures require us to pay, discharge or cause to be paid or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they become delinquent (i) all 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3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i w:val="1"/>
          <w:iCs w:val="1"/>
          <w:color w:val="auto"/>
        </w:rPr>
        <w:t>Provision of financial information</w:t>
      </w:r>
      <w:r>
        <w:rPr>
          <w:rFonts w:ascii="Arial" w:cs="Arial" w:eastAsia="Arial" w:hAnsi="Arial"/>
          <w:sz w:val="16"/>
          <w:szCs w:val="16"/>
          <w:color w:val="auto"/>
        </w:rPr>
        <w:t>. The indentures require us to (i) within 15 days of each of the respective dates by</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are required 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w:t>
      </w:r>
    </w:p>
    <w:p>
      <w:pPr>
        <w:spacing w:after="0" w:line="3" w:lineRule="exact"/>
        <w:rPr>
          <w:sz w:val="20"/>
          <w:szCs w:val="20"/>
          <w:color w:val="auto"/>
        </w:rPr>
      </w:pPr>
    </w:p>
    <w:p>
      <w:pPr>
        <w:ind w:right="320" w:firstLine="3"/>
        <w:spacing w:after="0" w:line="261"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above, and (iv) supply, promptly upon written request and payment of the reasonable cost of duplication and delivery, copies of such documents to any prospective holder.</w:t>
      </w:r>
    </w:p>
    <w:p>
      <w:pPr>
        <w:spacing w:after="0" w:line="1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Additional covenants</w:t>
      </w:r>
      <w:r>
        <w:rPr>
          <w:rFonts w:ascii="Arial" w:cs="Arial" w:eastAsia="Arial" w:hAnsi="Arial"/>
          <w:sz w:val="18"/>
          <w:szCs w:val="18"/>
          <w:color w:val="auto"/>
        </w:rPr>
        <w:t>. The applicable prospectus supplement will set forth any additional covenants relating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30" w:lineRule="exact"/>
        <w:rPr>
          <w:sz w:val="20"/>
          <w:szCs w:val="20"/>
          <w:color w:val="auto"/>
        </w:rPr>
      </w:pPr>
    </w:p>
    <w:p>
      <w:pPr>
        <w:ind w:left="1060" w:hanging="85"/>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in the payment of any installment of interest on any debt security of such series continuing for 30 days;</w:t>
      </w:r>
    </w:p>
    <w:p>
      <w:pPr>
        <w:spacing w:after="0" w:line="207" w:lineRule="exact"/>
        <w:rPr>
          <w:rFonts w:ascii="Arial" w:cs="Arial" w:eastAsia="Arial" w:hAnsi="Arial"/>
          <w:sz w:val="16"/>
          <w:szCs w:val="16"/>
          <w:color w:val="auto"/>
        </w:rPr>
      </w:pPr>
    </w:p>
    <w:p>
      <w:pPr>
        <w:ind w:left="1060" w:right="240" w:hanging="8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29" w:lineRule="exact"/>
        <w:rPr>
          <w:rFonts w:ascii="Arial" w:cs="Arial" w:eastAsia="Arial" w:hAnsi="Arial"/>
          <w:sz w:val="18"/>
          <w:szCs w:val="18"/>
          <w:color w:val="auto"/>
        </w:rPr>
      </w:pPr>
    </w:p>
    <w:p>
      <w:pPr>
        <w:ind w:left="1060" w:right="180" w:hanging="8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129" w:lineRule="exact"/>
        <w:rPr>
          <w:rFonts w:ascii="Arial" w:cs="Arial" w:eastAsia="Arial" w:hAnsi="Arial"/>
          <w:sz w:val="18"/>
          <w:szCs w:val="18"/>
          <w:color w:val="auto"/>
        </w:rPr>
      </w:pPr>
    </w:p>
    <w:p>
      <w:pPr>
        <w:ind w:left="1060" w:right="180" w:hanging="85"/>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46" w:lineRule="exact"/>
        <w:rPr>
          <w:rFonts w:ascii="Arial" w:cs="Arial" w:eastAsia="Arial" w:hAnsi="Arial"/>
          <w:sz w:val="18"/>
          <w:szCs w:val="18"/>
          <w:color w:val="auto"/>
        </w:rPr>
      </w:pPr>
    </w:p>
    <w:p>
      <w:pPr>
        <w:ind w:left="1060" w:hanging="85"/>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4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w:t>
      </w:r>
    </w:p>
    <w:p>
      <w:pPr>
        <w:ind w:right="200"/>
        <w:spacing w:after="0" w:line="323" w:lineRule="auto"/>
        <w:rPr>
          <w:sz w:val="20"/>
          <w:szCs w:val="20"/>
          <w:color w:val="auto"/>
        </w:rPr>
      </w:pPr>
      <w:r>
        <w:rPr>
          <w:rFonts w:ascii="Arial" w:cs="Arial" w:eastAsia="Arial" w:hAnsi="Arial"/>
          <w:sz w:val="16"/>
          <w:szCs w:val="16"/>
          <w:color w:val="auto"/>
        </w:rPr>
        <w:t>30 days after notice to the issuing company specifying such default. Such notice shall be given to us by the trustee, or to us and the trustee by the holders of at least 10% in principal amount of the outstanding debt securities of that series.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written notice shall specify such default and require us to cause such indebtedness to be discharged or cause such acceleration to be rescinded or annulled and shall state that such notice is a “Notice of Default” under such indenture;</w:t>
      </w:r>
    </w:p>
    <w:p>
      <w:pPr>
        <w:spacing w:after="0" w:line="106" w:lineRule="exact"/>
        <w:rPr>
          <w:sz w:val="20"/>
          <w:szCs w:val="20"/>
          <w:color w:val="auto"/>
        </w:rPr>
      </w:pPr>
    </w:p>
    <w:p>
      <w:pPr>
        <w:ind w:left="1060" w:right="120" w:hanging="85"/>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or any significant subsidiary of ours; and</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1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4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26" w:lineRule="exact"/>
        <w:rPr>
          <w:sz w:val="20"/>
          <w:szCs w:val="20"/>
          <w:color w:val="auto"/>
        </w:rPr>
      </w:pPr>
    </w:p>
    <w:p>
      <w:pPr>
        <w:ind w:left="1060" w:right="260" w:hanging="85"/>
        <w:spacing w:after="0" w:line="28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25" w:lineRule="exact"/>
        <w:rPr>
          <w:rFonts w:ascii="Arial" w:cs="Arial" w:eastAsia="Arial" w:hAnsi="Arial"/>
          <w:sz w:val="17"/>
          <w:szCs w:val="17"/>
          <w:color w:val="auto"/>
        </w:rPr>
      </w:pPr>
    </w:p>
    <w:p>
      <w:pPr>
        <w:ind w:left="1060" w:right="240" w:hanging="85"/>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3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41" w:lineRule="exact"/>
        <w:rPr>
          <w:sz w:val="20"/>
          <w:szCs w:val="20"/>
          <w:color w:val="auto"/>
        </w:rPr>
      </w:pPr>
    </w:p>
    <w:p>
      <w:pPr>
        <w:ind w:left="1060" w:hanging="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84" w:lineRule="exact"/>
        <w:rPr>
          <w:rFonts w:ascii="Arial" w:cs="Arial" w:eastAsia="Arial" w:hAnsi="Arial"/>
          <w:sz w:val="18"/>
          <w:szCs w:val="18"/>
          <w:color w:val="auto"/>
        </w:rPr>
      </w:pPr>
    </w:p>
    <w:p>
      <w:pPr>
        <w:ind w:left="1060" w:right="40" w:hanging="85"/>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respect of a covenant or provision contained in the applicable indenture that cannot be modified or amended without the consent of the holders of the outstanding debt security that is affected by the default; or</w:t>
      </w:r>
    </w:p>
    <w:p>
      <w:pPr>
        <w:spacing w:after="0" w:line="83" w:lineRule="exact"/>
        <w:rPr>
          <w:rFonts w:ascii="Arial" w:cs="Arial" w:eastAsia="Arial" w:hAnsi="Arial"/>
          <w:sz w:val="16"/>
          <w:szCs w:val="16"/>
          <w:color w:val="auto"/>
        </w:rPr>
      </w:pPr>
    </w:p>
    <w:p>
      <w:pPr>
        <w:ind w:left="1060" w:right="360" w:hanging="85"/>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130" w:lineRule="exact"/>
        <w:rPr>
          <w:sz w:val="20"/>
          <w:szCs w:val="20"/>
          <w:color w:val="auto"/>
        </w:rPr>
      </w:pPr>
    </w:p>
    <w:p>
      <w:pPr>
        <w:ind w:right="20" w:firstLine="690"/>
        <w:spacing w:after="0" w:line="276" w:lineRule="auto"/>
        <w:rPr>
          <w:sz w:val="20"/>
          <w:szCs w:val="20"/>
          <w:color w:val="auto"/>
        </w:rPr>
      </w:pPr>
      <w:r>
        <w:rPr>
          <w:rFonts w:ascii="Arial" w:cs="Arial" w:eastAsia="Arial" w:hAnsi="Arial"/>
          <w:sz w:val="17"/>
          <w:szCs w:val="17"/>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37" w:lineRule="exact"/>
        <w:rPr>
          <w:sz w:val="20"/>
          <w:szCs w:val="20"/>
          <w:color w:val="auto"/>
        </w:rPr>
      </w:pPr>
    </w:p>
    <w:p>
      <w:pPr>
        <w:ind w:left="1120" w:hanging="14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18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18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46" w:lineRule="exact"/>
        <w:rPr>
          <w:sz w:val="20"/>
          <w:szCs w:val="20"/>
          <w:color w:val="auto"/>
        </w:rPr>
      </w:pPr>
    </w:p>
    <w:p>
      <w:pPr>
        <w:ind w:left="1060" w:hanging="85"/>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129" w:lineRule="exact"/>
        <w:rPr>
          <w:rFonts w:ascii="Arial" w:cs="Arial" w:eastAsia="Arial" w:hAnsi="Arial"/>
          <w:sz w:val="18"/>
          <w:szCs w:val="18"/>
          <w:color w:val="auto"/>
        </w:rPr>
      </w:pPr>
    </w:p>
    <w:p>
      <w:pPr>
        <w:ind w:left="1060" w:right="440" w:hanging="85"/>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29" w:lineRule="exact"/>
        <w:rPr>
          <w:rFonts w:ascii="Arial" w:cs="Arial" w:eastAsia="Arial" w:hAnsi="Arial"/>
          <w:sz w:val="18"/>
          <w:szCs w:val="18"/>
          <w:color w:val="auto"/>
        </w:rPr>
      </w:pPr>
    </w:p>
    <w:p>
      <w:pPr>
        <w:ind w:left="1060" w:right="80" w:hanging="85"/>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40" w:lineRule="exact"/>
        <w:rPr>
          <w:rFonts w:ascii="Arial" w:cs="Arial" w:eastAsia="Arial" w:hAnsi="Arial"/>
          <w:sz w:val="18"/>
          <w:szCs w:val="18"/>
          <w:color w:val="auto"/>
        </w:rPr>
      </w:pPr>
    </w:p>
    <w:p>
      <w:pPr>
        <w:ind w:left="1060" w:right="340" w:hanging="85"/>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129" w:lineRule="exact"/>
        <w:rPr>
          <w:rFonts w:ascii="Arial" w:cs="Arial" w:eastAsia="Arial" w:hAnsi="Arial"/>
          <w:sz w:val="18"/>
          <w:szCs w:val="18"/>
          <w:color w:val="auto"/>
        </w:rPr>
      </w:pPr>
    </w:p>
    <w:p>
      <w:pPr>
        <w:ind w:left="1060" w:right="580" w:hanging="85"/>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29" w:lineRule="exact"/>
        <w:rPr>
          <w:rFonts w:ascii="Arial" w:cs="Arial" w:eastAsia="Arial" w:hAnsi="Arial"/>
          <w:sz w:val="18"/>
          <w:szCs w:val="18"/>
          <w:color w:val="auto"/>
        </w:rPr>
      </w:pPr>
    </w:p>
    <w:p>
      <w:pPr>
        <w:ind w:left="1060" w:right="40" w:hanging="85"/>
        <w:spacing w:after="0" w:line="259"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46" w:lineRule="exact"/>
        <w:rPr>
          <w:rFonts w:ascii="Arial" w:cs="Arial" w:eastAsia="Arial" w:hAnsi="Arial"/>
          <w:sz w:val="18"/>
          <w:szCs w:val="18"/>
          <w:color w:val="auto"/>
        </w:rPr>
      </w:pPr>
    </w:p>
    <w:p>
      <w:pPr>
        <w:ind w:left="1060" w:right="80" w:hanging="85"/>
        <w:spacing w:after="0" w:line="31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0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30" w:lineRule="exact"/>
        <w:rPr>
          <w:sz w:val="20"/>
          <w:szCs w:val="20"/>
          <w:color w:val="auto"/>
        </w:rPr>
      </w:pPr>
    </w:p>
    <w:p>
      <w:pPr>
        <w:ind w:left="1060" w:hanging="85"/>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84" w:lineRule="exact"/>
        <w:rPr>
          <w:rFonts w:ascii="Arial" w:cs="Arial" w:eastAsia="Arial" w:hAnsi="Arial"/>
          <w:sz w:val="18"/>
          <w:szCs w:val="18"/>
          <w:color w:val="auto"/>
        </w:rPr>
      </w:pPr>
    </w:p>
    <w:p>
      <w:pPr>
        <w:ind w:left="1060" w:right="160" w:hanging="85"/>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84" w:lineRule="exact"/>
        <w:rPr>
          <w:rFonts w:ascii="Arial" w:cs="Arial" w:eastAsia="Arial" w:hAnsi="Arial"/>
          <w:sz w:val="18"/>
          <w:szCs w:val="18"/>
          <w:color w:val="auto"/>
        </w:rPr>
      </w:pPr>
    </w:p>
    <w:p>
      <w:pPr>
        <w:ind w:left="1060" w:right="80" w:hanging="85"/>
        <w:spacing w:after="0" w:line="30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13" w:lineRule="exact"/>
        <w:rPr>
          <w:rFonts w:ascii="Arial" w:cs="Arial" w:eastAsia="Arial" w:hAnsi="Arial"/>
          <w:sz w:val="16"/>
          <w:szCs w:val="16"/>
          <w:color w:val="auto"/>
        </w:rPr>
      </w:pPr>
    </w:p>
    <w:p>
      <w:pPr>
        <w:ind w:left="1060" w:right="180" w:hanging="85"/>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40" w:lineRule="exact"/>
        <w:rPr>
          <w:rFonts w:ascii="Arial" w:cs="Arial" w:eastAsia="Arial" w:hAnsi="Arial"/>
          <w:sz w:val="18"/>
          <w:szCs w:val="18"/>
          <w:color w:val="auto"/>
        </w:rPr>
      </w:pPr>
    </w:p>
    <w:p>
      <w:pPr>
        <w:ind w:left="1200" w:hanging="225"/>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84" w:lineRule="exact"/>
        <w:rPr>
          <w:rFonts w:ascii="Arial" w:cs="Arial" w:eastAsia="Arial" w:hAnsi="Arial"/>
          <w:sz w:val="18"/>
          <w:szCs w:val="18"/>
          <w:color w:val="auto"/>
        </w:rPr>
      </w:pPr>
    </w:p>
    <w:p>
      <w:pPr>
        <w:ind w:left="1060" w:right="60" w:hanging="85"/>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29" w:lineRule="exact"/>
        <w:rPr>
          <w:rFonts w:ascii="Arial" w:cs="Arial" w:eastAsia="Arial" w:hAnsi="Arial"/>
          <w:sz w:val="18"/>
          <w:szCs w:val="18"/>
          <w:color w:val="auto"/>
        </w:rPr>
      </w:pPr>
    </w:p>
    <w:p>
      <w:pPr>
        <w:ind w:left="1060" w:right="260" w:hanging="85"/>
        <w:spacing w:after="0" w:line="34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cure any ambiguity, defect or inconsistency in an indenture, provided that such action shall not adversely affect the interests of holders of debt securities of any series issued under such indenture; and</w:t>
      </w:r>
    </w:p>
    <w:p>
      <w:pPr>
        <w:spacing w:after="0" w:line="83" w:lineRule="exact"/>
        <w:rPr>
          <w:rFonts w:ascii="Arial" w:cs="Arial" w:eastAsia="Arial" w:hAnsi="Arial"/>
          <w:sz w:val="16"/>
          <w:szCs w:val="16"/>
          <w:color w:val="auto"/>
        </w:rPr>
      </w:pPr>
    </w:p>
    <w:p>
      <w:pPr>
        <w:ind w:left="1060" w:right="220" w:hanging="85"/>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1" w:lineRule="exact"/>
        <w:rPr>
          <w:sz w:val="20"/>
          <w:szCs w:val="20"/>
          <w:color w:val="auto"/>
        </w:rPr>
      </w:pPr>
    </w:p>
    <w:p>
      <w:pPr>
        <w:ind w:left="1060" w:right="160" w:hanging="85"/>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40" w:lineRule="exact"/>
        <w:rPr>
          <w:rFonts w:ascii="Arial" w:cs="Arial" w:eastAsia="Arial" w:hAnsi="Arial"/>
          <w:sz w:val="18"/>
          <w:szCs w:val="18"/>
          <w:color w:val="auto"/>
        </w:rPr>
      </w:pPr>
    </w:p>
    <w:p>
      <w:pPr>
        <w:ind w:left="1060" w:hanging="85"/>
        <w:spacing w:after="0" w:line="30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13" w:lineRule="exact"/>
        <w:rPr>
          <w:rFonts w:ascii="Arial" w:cs="Arial" w:eastAsia="Arial" w:hAnsi="Arial"/>
          <w:sz w:val="16"/>
          <w:szCs w:val="16"/>
          <w:color w:val="auto"/>
        </w:rPr>
      </w:pPr>
    </w:p>
    <w:p>
      <w:pPr>
        <w:ind w:left="1060" w:right="400" w:hanging="85"/>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060" w:right="120" w:hanging="85"/>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3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indentures contain provisions for convening meetings of the holders of debt securities of a series. A meeting will be permitted to be called at any time by the applicable trustee, and also, upon request, by us or the holders of at least</w:t>
      </w:r>
    </w:p>
    <w:p>
      <w:pPr>
        <w:spacing w:after="0" w:line="292" w:lineRule="auto"/>
        <w:rPr>
          <w:sz w:val="20"/>
          <w:szCs w:val="20"/>
          <w:color w:val="auto"/>
        </w:rPr>
      </w:pPr>
      <w:r>
        <w:rPr>
          <w:rFonts w:ascii="Arial" w:cs="Arial" w:eastAsia="Arial" w:hAnsi="Arial"/>
          <w:sz w:val="16"/>
          <w:szCs w:val="16"/>
          <w:color w:val="auto"/>
        </w:rPr>
        <w:t>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2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6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5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14" w:lineRule="exact"/>
        <w:rPr>
          <w:sz w:val="20"/>
          <w:szCs w:val="20"/>
          <w:color w:val="auto"/>
        </w:rPr>
      </w:pPr>
    </w:p>
    <w:p>
      <w:pPr>
        <w:ind w:left="1080" w:hanging="105"/>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84" w:lineRule="exact"/>
        <w:rPr>
          <w:rFonts w:ascii="Arial" w:cs="Arial" w:eastAsia="Arial" w:hAnsi="Arial"/>
          <w:sz w:val="18"/>
          <w:szCs w:val="18"/>
          <w:color w:val="auto"/>
        </w:rPr>
      </w:pPr>
    </w:p>
    <w:p>
      <w:pPr>
        <w:ind w:left="1060" w:right="40" w:hanging="85"/>
        <w:spacing w:after="0" w:line="25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3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4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14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43" w:lineRule="exact"/>
        <w:rPr>
          <w:sz w:val="20"/>
          <w:szCs w:val="20"/>
          <w:color w:val="auto"/>
        </w:rPr>
      </w:pPr>
    </w:p>
    <w:p>
      <w:pPr>
        <w:ind w:left="1060" w:hanging="85"/>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either (i) all securities of such series have already been delivered to the applicable trustee for cancellation; or</w:t>
      </w:r>
    </w:p>
    <w:p>
      <w:pPr>
        <w:spacing w:after="0" w:line="46" w:lineRule="exact"/>
        <w:rPr>
          <w:rFonts w:ascii="Arial" w:cs="Arial" w:eastAsia="Arial" w:hAnsi="Arial"/>
          <w:sz w:val="16"/>
          <w:szCs w:val="16"/>
          <w:color w:val="auto"/>
        </w:rPr>
      </w:pPr>
    </w:p>
    <w:p>
      <w:pPr>
        <w:ind w:left="1320" w:hanging="264"/>
        <w:spacing w:after="0"/>
        <w:tabs>
          <w:tab w:leader="none" w:pos="13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securities of such series have not already been delivered to the applicable trustee for cancellation but</w:t>
      </w:r>
    </w:p>
    <w:p>
      <w:pPr>
        <w:spacing w:after="0" w:line="32" w:lineRule="exact"/>
        <w:rPr>
          <w:rFonts w:ascii="Arial" w:cs="Arial" w:eastAsia="Arial" w:hAnsi="Arial"/>
          <w:sz w:val="16"/>
          <w:szCs w:val="16"/>
          <w:color w:val="auto"/>
        </w:rPr>
      </w:pPr>
    </w:p>
    <w:p>
      <w:pPr>
        <w:ind w:left="1060" w:hanging="4"/>
        <w:spacing w:after="0" w:line="290" w:lineRule="auto"/>
        <w:tabs>
          <w:tab w:leader="none" w:pos="13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23" w:lineRule="exact"/>
        <w:rPr>
          <w:rFonts w:ascii="Arial" w:cs="Arial" w:eastAsia="Arial" w:hAnsi="Arial"/>
          <w:sz w:val="16"/>
          <w:szCs w:val="16"/>
          <w:color w:val="auto"/>
        </w:rPr>
      </w:pPr>
    </w:p>
    <w:p>
      <w:pPr>
        <w:ind w:left="1100" w:hanging="125"/>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84" w:lineRule="exact"/>
        <w:rPr>
          <w:rFonts w:ascii="Arial" w:cs="Arial" w:eastAsia="Arial" w:hAnsi="Arial"/>
          <w:sz w:val="18"/>
          <w:szCs w:val="18"/>
          <w:color w:val="auto"/>
        </w:rPr>
      </w:pPr>
    </w:p>
    <w:p>
      <w:pPr>
        <w:ind w:left="1060" w:right="120" w:hanging="85"/>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37" w:lineRule="exact"/>
        <w:rPr>
          <w:sz w:val="20"/>
          <w:szCs w:val="20"/>
          <w:color w:val="auto"/>
        </w:rPr>
      </w:pPr>
    </w:p>
    <w:p>
      <w:pPr>
        <w:ind w:left="1060" w:hanging="85"/>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84" w:lineRule="exact"/>
        <w:rPr>
          <w:rFonts w:ascii="Arial" w:cs="Arial" w:eastAsia="Arial" w:hAnsi="Arial"/>
          <w:sz w:val="18"/>
          <w:szCs w:val="18"/>
          <w:color w:val="auto"/>
        </w:rPr>
      </w:pPr>
    </w:p>
    <w:p>
      <w:pPr>
        <w:ind w:left="1060" w:right="140" w:hanging="85"/>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4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98" w:lineRule="exact"/>
        <w:rPr>
          <w:sz w:val="20"/>
          <w:szCs w:val="20"/>
          <w:color w:val="auto"/>
        </w:rPr>
      </w:pPr>
    </w:p>
    <w:p>
      <w:pPr>
        <w:jc w:val="both"/>
        <w:ind w:left="1060" w:right="320" w:hanging="85"/>
        <w:spacing w:after="0" w:line="342"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83" w:lineRule="exact"/>
        <w:rPr>
          <w:rFonts w:ascii="Arial" w:cs="Arial" w:eastAsia="Arial" w:hAnsi="Arial"/>
          <w:sz w:val="16"/>
          <w:szCs w:val="16"/>
          <w:color w:val="auto"/>
        </w:rPr>
      </w:pPr>
    </w:p>
    <w:p>
      <w:pPr>
        <w:ind w:left="1060" w:hanging="85"/>
        <w:spacing w:after="0" w:line="288"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29"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85" w:lineRule="exact"/>
        <w:rPr>
          <w:sz w:val="20"/>
          <w:szCs w:val="20"/>
          <w:color w:val="auto"/>
        </w:rPr>
      </w:pPr>
    </w:p>
    <w:p>
      <w:pPr>
        <w:ind w:left="1060" w:right="280" w:hanging="85"/>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40" w:lineRule="exact"/>
        <w:rPr>
          <w:rFonts w:ascii="Arial" w:cs="Arial" w:eastAsia="Arial" w:hAnsi="Arial"/>
          <w:sz w:val="18"/>
          <w:szCs w:val="18"/>
          <w:color w:val="auto"/>
        </w:rPr>
      </w:pPr>
    </w:p>
    <w:p>
      <w:pPr>
        <w:ind w:left="1060" w:right="80" w:hanging="85"/>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129" w:lineRule="exact"/>
        <w:rPr>
          <w:rFonts w:ascii="Arial" w:cs="Arial" w:eastAsia="Arial" w:hAnsi="Arial"/>
          <w:sz w:val="18"/>
          <w:szCs w:val="18"/>
          <w:color w:val="auto"/>
        </w:rPr>
      </w:pPr>
    </w:p>
    <w:p>
      <w:pPr>
        <w:ind w:left="1060" w:right="160" w:hanging="85"/>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13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5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firstLine="636"/>
        <w:spacing w:after="0" w:line="272" w:lineRule="auto"/>
        <w:rPr>
          <w:sz w:val="20"/>
          <w:szCs w:val="20"/>
          <w:color w:val="auto"/>
        </w:rPr>
      </w:pPr>
      <w:r>
        <w:rPr>
          <w:rFonts w:ascii="Arial" w:cs="Arial" w:eastAsia="Arial" w:hAnsi="Arial"/>
          <w:sz w:val="17"/>
          <w:szCs w:val="17"/>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1" w:lineRule="exact"/>
        <w:rPr>
          <w:sz w:val="20"/>
          <w:szCs w:val="20"/>
          <w:color w:val="auto"/>
        </w:rPr>
      </w:pPr>
    </w:p>
    <w:p>
      <w:pPr>
        <w:ind w:right="320" w:firstLine="636"/>
        <w:spacing w:after="0" w:line="340" w:lineRule="auto"/>
        <w:rPr>
          <w:sz w:val="20"/>
          <w:szCs w:val="20"/>
          <w:color w:val="auto"/>
        </w:rPr>
      </w:pPr>
      <w:r>
        <w:rPr>
          <w:rFonts w:ascii="Arial" w:cs="Arial" w:eastAsia="Arial" w:hAnsi="Arial"/>
          <w:sz w:val="15"/>
          <w:szCs w:val="15"/>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91" w:lineRule="exact"/>
        <w:rPr>
          <w:sz w:val="20"/>
          <w:szCs w:val="20"/>
          <w:color w:val="auto"/>
        </w:rPr>
      </w:pPr>
    </w:p>
    <w:p>
      <w:pPr>
        <w:jc w:val="both"/>
        <w:ind w:right="80" w:firstLine="636"/>
        <w:spacing w:after="0" w:line="264"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41" w:lineRule="exact"/>
        <w:rPr>
          <w:sz w:val="20"/>
          <w:szCs w:val="20"/>
          <w:color w:val="auto"/>
        </w:rPr>
      </w:pPr>
    </w:p>
    <w:p>
      <w:pPr>
        <w:ind w:right="100" w:firstLine="636"/>
        <w:spacing w:after="0" w:line="264" w:lineRule="auto"/>
        <w:rPr>
          <w:sz w:val="20"/>
          <w:szCs w:val="20"/>
          <w:color w:val="auto"/>
        </w:rPr>
      </w:pPr>
      <w:r>
        <w:rPr>
          <w:rFonts w:ascii="Arial" w:cs="Arial" w:eastAsia="Arial" w:hAnsi="Arial"/>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89" w:lineRule="exact"/>
        <w:rPr>
          <w:sz w:val="20"/>
          <w:szCs w:val="20"/>
          <w:color w:val="auto"/>
        </w:rPr>
      </w:pPr>
    </w:p>
    <w:p>
      <w:pPr>
        <w:ind w:right="180" w:firstLine="63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6" w:lineRule="exact"/>
        <w:rPr>
          <w:sz w:val="20"/>
          <w:szCs w:val="20"/>
          <w:color w:val="auto"/>
        </w:rPr>
      </w:pPr>
    </w:p>
    <w:p>
      <w:pPr>
        <w:ind w:firstLine="636"/>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89" w:lineRule="exact"/>
        <w:rPr>
          <w:sz w:val="20"/>
          <w:szCs w:val="20"/>
          <w:color w:val="auto"/>
        </w:rPr>
      </w:pPr>
    </w:p>
    <w:p>
      <w:pPr>
        <w:ind w:right="160" w:firstLine="636"/>
        <w:spacing w:after="0" w:line="259"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02" w:lineRule="exact"/>
        <w:rPr>
          <w:sz w:val="20"/>
          <w:szCs w:val="20"/>
          <w:color w:val="auto"/>
        </w:rPr>
      </w:pPr>
    </w:p>
    <w:p>
      <w:pPr>
        <w:ind w:right="100" w:firstLine="636"/>
        <w:spacing w:after="0" w:line="289"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89" w:lineRule="exact"/>
        <w:rPr>
          <w:sz w:val="20"/>
          <w:szCs w:val="20"/>
          <w:color w:val="auto"/>
        </w:rPr>
      </w:pPr>
    </w:p>
    <w:p>
      <w:pPr>
        <w:ind w:right="119" w:firstLine="636"/>
        <w:spacing w:after="0" w:line="271" w:lineRule="auto"/>
        <w:rPr>
          <w:sz w:val="20"/>
          <w:szCs w:val="20"/>
          <w:color w:val="auto"/>
        </w:rPr>
      </w:pPr>
      <w:r>
        <w:rPr>
          <w:rFonts w:ascii="Arial" w:cs="Arial" w:eastAsia="Arial" w:hAnsi="Arial"/>
          <w:sz w:val="17"/>
          <w:szCs w:val="17"/>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52" w:lineRule="exact"/>
        <w:rPr>
          <w:sz w:val="20"/>
          <w:szCs w:val="20"/>
          <w:color w:val="auto"/>
        </w:rPr>
      </w:pPr>
    </w:p>
    <w:p>
      <w:pPr>
        <w:ind w:right="139" w:firstLine="636"/>
        <w:spacing w:after="0" w:line="279" w:lineRule="auto"/>
        <w:rPr>
          <w:sz w:val="20"/>
          <w:szCs w:val="20"/>
          <w:color w:val="auto"/>
        </w:rPr>
      </w:pPr>
      <w:r>
        <w:rPr>
          <w:rFonts w:ascii="Arial" w:cs="Arial" w:eastAsia="Arial" w:hAnsi="Arial"/>
          <w:sz w:val="17"/>
          <w:szCs w:val="17"/>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189" w:lineRule="exact"/>
        <w:rPr>
          <w:sz w:val="20"/>
          <w:szCs w:val="20"/>
          <w:color w:val="auto"/>
        </w:rPr>
      </w:pPr>
    </w:p>
    <w:p>
      <w:pPr>
        <w:ind w:right="19" w:firstLine="636"/>
        <w:spacing w:after="0" w:line="270"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89" w:lineRule="exact"/>
        <w:rPr>
          <w:sz w:val="20"/>
          <w:szCs w:val="20"/>
          <w:color w:val="auto"/>
        </w:rPr>
      </w:pPr>
    </w:p>
    <w:p>
      <w:pPr>
        <w:ind w:right="19" w:firstLine="636"/>
        <w:spacing w:after="0" w:line="271" w:lineRule="auto"/>
        <w:rPr>
          <w:sz w:val="20"/>
          <w:szCs w:val="20"/>
          <w:color w:val="auto"/>
        </w:rPr>
      </w:pPr>
      <w:r>
        <w:rPr>
          <w:rFonts w:ascii="Arial" w:cs="Arial" w:eastAsia="Arial" w:hAnsi="Arial"/>
          <w:sz w:val="17"/>
          <w:szCs w:val="17"/>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02" w:lineRule="exact"/>
        <w:rPr>
          <w:sz w:val="20"/>
          <w:szCs w:val="20"/>
          <w:color w:val="auto"/>
        </w:rPr>
      </w:pPr>
    </w:p>
    <w:p>
      <w:pPr>
        <w:ind w:right="79" w:firstLine="636"/>
        <w:spacing w:after="0" w:line="25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148" w:lineRule="exact"/>
        <w:rPr>
          <w:sz w:val="20"/>
          <w:szCs w:val="20"/>
          <w:color w:val="auto"/>
        </w:rPr>
      </w:pPr>
    </w:p>
    <w:p>
      <w:pPr>
        <w:ind w:left="1100" w:hanging="12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84" w:lineRule="exact"/>
        <w:rPr>
          <w:rFonts w:ascii="Arial" w:cs="Arial" w:eastAsia="Arial" w:hAnsi="Arial"/>
          <w:sz w:val="18"/>
          <w:szCs w:val="18"/>
          <w:color w:val="auto"/>
        </w:rPr>
      </w:pPr>
    </w:p>
    <w:p>
      <w:pPr>
        <w:ind w:left="1060" w:right="799" w:hanging="85"/>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89" w:lineRule="exact"/>
        <w:rPr>
          <w:sz w:val="20"/>
          <w:szCs w:val="20"/>
          <w:color w:val="auto"/>
        </w:rPr>
      </w:pPr>
    </w:p>
    <w:p>
      <w:pPr>
        <w:ind w:right="60" w:firstLine="636"/>
        <w:spacing w:after="0" w:line="297"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89" w:lineRule="exact"/>
        <w:rPr>
          <w:sz w:val="20"/>
          <w:szCs w:val="20"/>
          <w:color w:val="auto"/>
        </w:rPr>
      </w:pPr>
    </w:p>
    <w:p>
      <w:pPr>
        <w:ind w:firstLine="636"/>
        <w:spacing w:after="0" w:line="276"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02" w:lineRule="exact"/>
        <w:rPr>
          <w:sz w:val="20"/>
          <w:szCs w:val="20"/>
          <w:color w:val="auto"/>
        </w:rPr>
      </w:pPr>
    </w:p>
    <w:p>
      <w:pPr>
        <w:ind w:right="20" w:firstLine="636"/>
        <w:spacing w:after="0" w:line="291" w:lineRule="auto"/>
        <w:rPr>
          <w:sz w:val="20"/>
          <w:szCs w:val="20"/>
          <w:color w:val="auto"/>
        </w:rPr>
      </w:pPr>
      <w:r>
        <w:rPr>
          <w:rFonts w:ascii="Arial" w:cs="Arial" w:eastAsia="Arial" w:hAnsi="Arial"/>
          <w:sz w:val="16"/>
          <w:szCs w:val="16"/>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29" w:lineRule="exact"/>
        <w:rPr>
          <w:sz w:val="20"/>
          <w:szCs w:val="20"/>
          <w:color w:val="auto"/>
        </w:rPr>
      </w:pPr>
    </w:p>
    <w:p>
      <w:pPr>
        <w:ind w:right="19" w:firstLine="636"/>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41" w:lineRule="exact"/>
        <w:rPr>
          <w:sz w:val="20"/>
          <w:szCs w:val="20"/>
          <w:color w:val="auto"/>
        </w:rPr>
      </w:pPr>
    </w:p>
    <w:p>
      <w:pPr>
        <w:ind w:right="59" w:firstLine="636"/>
        <w:spacing w:after="0" w:line="312" w:lineRule="auto"/>
        <w:rPr>
          <w:sz w:val="20"/>
          <w:szCs w:val="20"/>
          <w:color w:val="auto"/>
        </w:rPr>
      </w:pPr>
      <w:r>
        <w:rPr>
          <w:rFonts w:ascii="Arial" w:cs="Arial" w:eastAsia="Arial" w:hAnsi="Arial"/>
          <w:sz w:val="16"/>
          <w:szCs w:val="16"/>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20" w:lineRule="exact"/>
        <w:rPr>
          <w:sz w:val="20"/>
          <w:szCs w:val="20"/>
          <w:color w:val="auto"/>
        </w:rPr>
      </w:pPr>
    </w:p>
    <w:p>
      <w:pPr>
        <w:ind w:right="699" w:firstLine="636"/>
        <w:spacing w:after="0" w:line="277"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80" w:firstLine="636"/>
        <w:spacing w:after="0" w:line="273" w:lineRule="auto"/>
        <w:rPr>
          <w:sz w:val="20"/>
          <w:szCs w:val="20"/>
          <w:color w:val="auto"/>
        </w:rPr>
      </w:pPr>
      <w:r>
        <w:rPr>
          <w:rFonts w:ascii="Arial" w:cs="Arial" w:eastAsia="Arial" w:hAnsi="Arial"/>
          <w:sz w:val="17"/>
          <w:szCs w:val="17"/>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38" w:lineRule="exact"/>
        <w:rPr>
          <w:sz w:val="20"/>
          <w:szCs w:val="20"/>
          <w:color w:val="auto"/>
        </w:rPr>
      </w:pPr>
    </w:p>
    <w:p>
      <w:pPr>
        <w:ind w:left="1060" w:hanging="85"/>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specific designation and aggregate number of, and the offering price at which we will issue, the warrants;</w:t>
      </w:r>
    </w:p>
    <w:p>
      <w:pPr>
        <w:spacing w:after="0" w:line="207" w:lineRule="exact"/>
        <w:rPr>
          <w:rFonts w:ascii="Arial" w:cs="Arial" w:eastAsia="Arial" w:hAnsi="Arial"/>
          <w:sz w:val="16"/>
          <w:szCs w:val="16"/>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84" w:lineRule="exact"/>
        <w:rPr>
          <w:rFonts w:ascii="Arial" w:cs="Arial" w:eastAsia="Arial" w:hAnsi="Arial"/>
          <w:sz w:val="18"/>
          <w:szCs w:val="18"/>
          <w:color w:val="auto"/>
        </w:rPr>
      </w:pPr>
    </w:p>
    <w:p>
      <w:pPr>
        <w:jc w:val="both"/>
        <w:ind w:left="1060" w:hanging="85"/>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0"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84" w:lineRule="exact"/>
        <w:rPr>
          <w:rFonts w:ascii="Arial" w:cs="Arial" w:eastAsia="Arial" w:hAnsi="Arial"/>
          <w:sz w:val="18"/>
          <w:szCs w:val="18"/>
          <w:color w:val="auto"/>
        </w:rPr>
      </w:pPr>
    </w:p>
    <w:p>
      <w:pPr>
        <w:ind w:left="1060" w:right="240" w:hanging="85"/>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40" w:lineRule="exact"/>
        <w:rPr>
          <w:rFonts w:ascii="Arial" w:cs="Arial" w:eastAsia="Arial" w:hAnsi="Arial"/>
          <w:sz w:val="18"/>
          <w:szCs w:val="18"/>
          <w:color w:val="auto"/>
        </w:rPr>
      </w:pPr>
    </w:p>
    <w:p>
      <w:pPr>
        <w:ind w:left="1100" w:hanging="125"/>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84" w:lineRule="exact"/>
        <w:rPr>
          <w:rFonts w:ascii="Arial" w:cs="Arial" w:eastAsia="Arial" w:hAnsi="Arial"/>
          <w:sz w:val="18"/>
          <w:szCs w:val="18"/>
          <w:color w:val="auto"/>
        </w:rPr>
      </w:pPr>
    </w:p>
    <w:p>
      <w:pPr>
        <w:ind w:left="1060" w:right="300" w:hanging="85"/>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29" w:lineRule="exact"/>
        <w:rPr>
          <w:rFonts w:ascii="Arial" w:cs="Arial" w:eastAsia="Arial" w:hAnsi="Arial"/>
          <w:sz w:val="18"/>
          <w:szCs w:val="18"/>
          <w:color w:val="auto"/>
        </w:rPr>
      </w:pPr>
    </w:p>
    <w:p>
      <w:pPr>
        <w:ind w:left="1060" w:right="80" w:hanging="85"/>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29"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84" w:lineRule="exact"/>
        <w:rPr>
          <w:rFonts w:ascii="Arial" w:cs="Arial" w:eastAsia="Arial" w:hAnsi="Arial"/>
          <w:sz w:val="18"/>
          <w:szCs w:val="18"/>
          <w:color w:val="auto"/>
        </w:rPr>
      </w:pPr>
    </w:p>
    <w:p>
      <w:pPr>
        <w:ind w:left="1060" w:right="120" w:hanging="85"/>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129" w:lineRule="exact"/>
        <w:rPr>
          <w:rFonts w:ascii="Arial" w:cs="Arial" w:eastAsia="Arial" w:hAnsi="Arial"/>
          <w:sz w:val="18"/>
          <w:szCs w:val="18"/>
          <w:color w:val="auto"/>
        </w:rPr>
      </w:pPr>
    </w:p>
    <w:p>
      <w:pPr>
        <w:ind w:left="1060" w:right="300" w:hanging="85"/>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applicable, the designation and terms of the debt securities, common stock, preferred stock or depositary shares with which the warrants are issued and, the number of warrants issued with each security;</w:t>
      </w:r>
    </w:p>
    <w:p>
      <w:pPr>
        <w:spacing w:after="0" w:line="83" w:lineRule="exact"/>
        <w:rPr>
          <w:rFonts w:ascii="Arial" w:cs="Arial" w:eastAsia="Arial" w:hAnsi="Arial"/>
          <w:sz w:val="16"/>
          <w:szCs w:val="16"/>
          <w:color w:val="auto"/>
        </w:rPr>
      </w:pPr>
    </w:p>
    <w:p>
      <w:pPr>
        <w:ind w:left="1060" w:right="20" w:hanging="85"/>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29" w:lineRule="exact"/>
        <w:rPr>
          <w:rFonts w:ascii="Arial" w:cs="Arial" w:eastAsia="Arial" w:hAnsi="Arial"/>
          <w:sz w:val="18"/>
          <w:szCs w:val="18"/>
          <w:color w:val="auto"/>
        </w:rPr>
      </w:pPr>
    </w:p>
    <w:p>
      <w:pPr>
        <w:ind w:left="1060" w:right="220" w:hanging="85"/>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number of shares of common stock, the number of shares of preferred stock or the number of depositary shares purchasable upon exercise of a warrant and the price at which those shares may be purchased;</w:t>
      </w:r>
    </w:p>
    <w:p>
      <w:pPr>
        <w:spacing w:after="0" w:line="83" w:lineRule="exact"/>
        <w:rPr>
          <w:rFonts w:ascii="Arial" w:cs="Arial" w:eastAsia="Arial" w:hAnsi="Arial"/>
          <w:sz w:val="16"/>
          <w:szCs w:val="16"/>
          <w:color w:val="auto"/>
        </w:rPr>
      </w:pPr>
    </w:p>
    <w:p>
      <w:pPr>
        <w:ind w:left="1060" w:hanging="85"/>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warrants that may be exercised at any one time;</w:t>
      </w:r>
    </w:p>
    <w:p>
      <w:pPr>
        <w:spacing w:after="0" w:line="196" w:lineRule="exact"/>
        <w:rPr>
          <w:rFonts w:ascii="Arial" w:cs="Arial" w:eastAsia="Arial" w:hAnsi="Arial"/>
          <w:sz w:val="17"/>
          <w:szCs w:val="17"/>
          <w:color w:val="auto"/>
        </w:rPr>
      </w:pPr>
    </w:p>
    <w:p>
      <w:pPr>
        <w:ind w:left="1100" w:hanging="125"/>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84" w:lineRule="exact"/>
        <w:rPr>
          <w:rFonts w:ascii="Arial" w:cs="Arial" w:eastAsia="Arial" w:hAnsi="Arial"/>
          <w:sz w:val="18"/>
          <w:szCs w:val="18"/>
          <w:color w:val="auto"/>
        </w:rPr>
      </w:pPr>
    </w:p>
    <w:p>
      <w:pPr>
        <w:ind w:left="1060" w:right="260" w:hanging="85"/>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29" w:lineRule="exact"/>
        <w:rPr>
          <w:rFonts w:ascii="Arial" w:cs="Arial" w:eastAsia="Arial" w:hAnsi="Arial"/>
          <w:sz w:val="18"/>
          <w:szCs w:val="18"/>
          <w:color w:val="auto"/>
        </w:rPr>
      </w:pPr>
    </w:p>
    <w:p>
      <w:pPr>
        <w:ind w:left="1160" w:hanging="185"/>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060" w:right="219" w:hanging="85"/>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firstLine="636"/>
        <w:spacing w:after="0" w:line="288"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02" w:lineRule="exact"/>
        <w:rPr>
          <w:sz w:val="20"/>
          <w:szCs w:val="20"/>
          <w:color w:val="auto"/>
        </w:rPr>
      </w:pPr>
    </w:p>
    <w:p>
      <w:pPr>
        <w:ind w:right="20" w:firstLine="636"/>
        <w:spacing w:after="0" w:line="254" w:lineRule="auto"/>
        <w:rPr>
          <w:sz w:val="20"/>
          <w:szCs w:val="20"/>
          <w:color w:val="auto"/>
        </w:rPr>
      </w:pPr>
      <w:r>
        <w:rPr>
          <w:rFonts w:ascii="Arial" w:cs="Arial" w:eastAsia="Arial" w:hAnsi="Arial"/>
          <w:sz w:val="18"/>
          <w:szCs w:val="18"/>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52" w:lineRule="exact"/>
        <w:rPr>
          <w:sz w:val="20"/>
          <w:szCs w:val="20"/>
          <w:color w:val="auto"/>
        </w:rPr>
      </w:pPr>
    </w:p>
    <w:p>
      <w:pPr>
        <w:ind w:right="340" w:firstLine="636"/>
        <w:spacing w:after="0" w:line="286" w:lineRule="auto"/>
        <w:rPr>
          <w:sz w:val="20"/>
          <w:szCs w:val="20"/>
          <w:color w:val="auto"/>
        </w:rPr>
      </w:pPr>
      <w:r>
        <w:rPr>
          <w:rFonts w:ascii="Arial" w:cs="Arial" w:eastAsia="Arial" w:hAnsi="Arial"/>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25" w:lineRule="exact"/>
        <w:rPr>
          <w:sz w:val="20"/>
          <w:szCs w:val="20"/>
          <w:color w:val="auto"/>
        </w:rPr>
      </w:pPr>
    </w:p>
    <w:p>
      <w:pPr>
        <w:ind w:firstLine="636"/>
        <w:spacing w:after="0" w:line="270"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51" w:lineRule="exact"/>
        <w:rPr>
          <w:sz w:val="20"/>
          <w:szCs w:val="20"/>
          <w:color w:val="auto"/>
        </w:rPr>
      </w:pPr>
    </w:p>
    <w:p>
      <w:pPr>
        <w:ind w:firstLine="636"/>
        <w:spacing w:after="0" w:line="284"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 purchase contract, purchase unit agreement or warrant</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give or take that action, and the participants would authorize beneficial owners owning through them to give or take that action or would otherwise act upon the instructions of beneficial owners holding through them.</w:t>
      </w:r>
    </w:p>
    <w:p>
      <w:pPr>
        <w:spacing w:after="0" w:line="130" w:lineRule="exact"/>
        <w:rPr>
          <w:sz w:val="20"/>
          <w:szCs w:val="20"/>
          <w:color w:val="auto"/>
        </w:rPr>
      </w:pPr>
    </w:p>
    <w:p>
      <w:pPr>
        <w:ind w:firstLine="636"/>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0" w:lineRule="exact"/>
        <w:rPr>
          <w:sz w:val="20"/>
          <w:szCs w:val="20"/>
          <w:color w:val="auto"/>
        </w:rPr>
      </w:pPr>
    </w:p>
    <w:p>
      <w:pPr>
        <w:ind w:right="80" w:firstLine="636"/>
        <w:spacing w:after="0" w:line="291" w:lineRule="auto"/>
        <w:rPr>
          <w:sz w:val="20"/>
          <w:szCs w:val="20"/>
          <w:color w:val="auto"/>
        </w:rPr>
      </w:pPr>
      <w:r>
        <w:rPr>
          <w:rFonts w:ascii="Arial" w:cs="Arial" w:eastAsia="Arial" w:hAnsi="Arial"/>
          <w:sz w:val="16"/>
          <w:szCs w:val="16"/>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27"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securities:</w:t>
      </w:r>
    </w:p>
    <w:p>
      <w:pPr>
        <w:spacing w:after="0" w:line="185" w:lineRule="exact"/>
        <w:rPr>
          <w:sz w:val="20"/>
          <w:szCs w:val="20"/>
          <w:color w:val="auto"/>
        </w:rPr>
      </w:pPr>
    </w:p>
    <w:p>
      <w:pPr>
        <w:ind w:left="1120" w:hanging="14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84" w:lineRule="exact"/>
        <w:rPr>
          <w:rFonts w:ascii="Arial" w:cs="Arial" w:eastAsia="Arial" w:hAnsi="Arial"/>
          <w:sz w:val="18"/>
          <w:szCs w:val="18"/>
          <w:color w:val="auto"/>
        </w:rPr>
      </w:pPr>
    </w:p>
    <w:p>
      <w:pPr>
        <w:ind w:left="1360" w:hanging="385"/>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184" w:lineRule="exact"/>
        <w:rPr>
          <w:rFonts w:ascii="Arial" w:cs="Arial" w:eastAsia="Arial" w:hAnsi="Arial"/>
          <w:sz w:val="18"/>
          <w:szCs w:val="18"/>
          <w:color w:val="auto"/>
        </w:rPr>
      </w:pPr>
    </w:p>
    <w:p>
      <w:pPr>
        <w:ind w:left="1060" w:right="120" w:hanging="85"/>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40" w:lineRule="exact"/>
        <w:rPr>
          <w:rFonts w:ascii="Arial" w:cs="Arial" w:eastAsia="Arial" w:hAnsi="Arial"/>
          <w:sz w:val="18"/>
          <w:szCs w:val="18"/>
          <w:color w:val="auto"/>
        </w:rPr>
      </w:pPr>
    </w:p>
    <w:p>
      <w:pPr>
        <w:jc w:val="both"/>
        <w:ind w:left="1060" w:right="160" w:hanging="85"/>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40" w:lineRule="exact"/>
        <w:rPr>
          <w:rFonts w:ascii="Arial" w:cs="Arial" w:eastAsia="Arial" w:hAnsi="Arial"/>
          <w:sz w:val="18"/>
          <w:szCs w:val="18"/>
          <w:color w:val="auto"/>
        </w:rPr>
      </w:pPr>
    </w:p>
    <w:p>
      <w:pPr>
        <w:ind w:left="1100" w:hanging="125"/>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85" w:lineRule="exact"/>
        <w:rPr>
          <w:sz w:val="20"/>
          <w:szCs w:val="20"/>
          <w:color w:val="auto"/>
        </w:rPr>
      </w:pPr>
    </w:p>
    <w:p>
      <w:pPr>
        <w:ind w:right="520" w:firstLine="636"/>
        <w:spacing w:after="0" w:line="277"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143" w:lineRule="exact"/>
        <w:rPr>
          <w:sz w:val="20"/>
          <w:szCs w:val="20"/>
          <w:color w:val="auto"/>
        </w:rPr>
      </w:pPr>
    </w:p>
    <w:p>
      <w:pPr>
        <w:ind w:right="160" w:firstLine="636"/>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85" w:lineRule="exact"/>
        <w:rPr>
          <w:sz w:val="20"/>
          <w:szCs w:val="20"/>
          <w:color w:val="auto"/>
        </w:rPr>
      </w:pPr>
    </w:p>
    <w:p>
      <w:pPr>
        <w:ind w:left="1080" w:hanging="105"/>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84" w:lineRule="exact"/>
        <w:rPr>
          <w:rFonts w:ascii="Arial" w:cs="Arial" w:eastAsia="Arial" w:hAnsi="Arial"/>
          <w:sz w:val="18"/>
          <w:szCs w:val="18"/>
          <w:color w:val="auto"/>
        </w:rPr>
      </w:pPr>
    </w:p>
    <w:p>
      <w:pPr>
        <w:ind w:left="1280" w:hanging="305"/>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prospectus supplement will describe the method of distribution of the securities and any applicable restrictions.</w:t>
      </w:r>
    </w:p>
    <w:p>
      <w:pPr>
        <w:spacing w:after="0" w:line="221" w:lineRule="exact"/>
        <w:rPr>
          <w:sz w:val="20"/>
          <w:szCs w:val="20"/>
          <w:color w:val="auto"/>
        </w:rPr>
      </w:pPr>
    </w:p>
    <w:p>
      <w:pPr>
        <w:ind w:right="60" w:firstLine="636"/>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30" w:lineRule="exact"/>
        <w:rPr>
          <w:sz w:val="20"/>
          <w:szCs w:val="20"/>
          <w:color w:val="auto"/>
        </w:rPr>
      </w:pPr>
    </w:p>
    <w:p>
      <w:pPr>
        <w:ind w:left="1140" w:hanging="1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any exchanges on which the securities will be listed.</w:t>
      </w:r>
    </w:p>
    <w:p>
      <w:pPr>
        <w:spacing w:after="0" w:line="185" w:lineRule="exact"/>
        <w:rPr>
          <w:sz w:val="20"/>
          <w:szCs w:val="20"/>
          <w:color w:val="auto"/>
        </w:rPr>
      </w:pPr>
    </w:p>
    <w:p>
      <w:pPr>
        <w:ind w:right="60" w:firstLine="636"/>
        <w:spacing w:after="0" w:line="259"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6" w:lineRule="exact"/>
        <w:rPr>
          <w:sz w:val="20"/>
          <w:szCs w:val="20"/>
          <w:color w:val="auto"/>
        </w:rPr>
      </w:pPr>
    </w:p>
    <w:p>
      <w:pPr>
        <w:ind w:right="300" w:firstLine="636"/>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54" w:lineRule="exact"/>
        <w:rPr>
          <w:sz w:val="20"/>
          <w:szCs w:val="20"/>
          <w:color w:val="auto"/>
        </w:rPr>
      </w:pPr>
    </w:p>
    <w:p>
      <w:pPr>
        <w:ind w:right="20" w:firstLine="636"/>
        <w:spacing w:after="0" w:line="279"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31"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1"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52" w:lineRule="exact"/>
        <w:rPr>
          <w:sz w:val="20"/>
          <w:szCs w:val="20"/>
          <w:color w:val="auto"/>
        </w:rPr>
      </w:pPr>
    </w:p>
    <w:p>
      <w:pPr>
        <w:ind w:left="1060" w:right="180" w:hanging="85"/>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29" w:lineRule="exact"/>
        <w:rPr>
          <w:rFonts w:ascii="Arial" w:cs="Arial" w:eastAsia="Arial" w:hAnsi="Arial"/>
          <w:sz w:val="18"/>
          <w:szCs w:val="18"/>
          <w:color w:val="auto"/>
        </w:rPr>
      </w:pPr>
    </w:p>
    <w:p>
      <w:pPr>
        <w:ind w:left="1060" w:right="80" w:hanging="85"/>
        <w:spacing w:after="0" w:line="259"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6" w:lineRule="exact"/>
        <w:rPr>
          <w:sz w:val="20"/>
          <w:szCs w:val="20"/>
          <w:color w:val="auto"/>
        </w:rPr>
      </w:pPr>
    </w:p>
    <w:p>
      <w:pPr>
        <w:jc w:val="both"/>
        <w:ind w:right="260" w:firstLine="636"/>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41" w:lineRule="exact"/>
        <w:rPr>
          <w:sz w:val="20"/>
          <w:szCs w:val="20"/>
          <w:color w:val="auto"/>
        </w:rPr>
      </w:pPr>
    </w:p>
    <w:p>
      <w:pPr>
        <w:ind w:right="140" w:firstLine="636"/>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9" w:lineRule="exact"/>
        <w:rPr>
          <w:sz w:val="20"/>
          <w:szCs w:val="20"/>
          <w:color w:val="auto"/>
        </w:rPr>
      </w:pPr>
    </w:p>
    <w:p>
      <w:pPr>
        <w:ind w:right="360" w:firstLine="636"/>
        <w:spacing w:after="0" w:line="381" w:lineRule="auto"/>
        <w:rPr>
          <w:sz w:val="20"/>
          <w:szCs w:val="20"/>
          <w:color w:val="auto"/>
        </w:rPr>
      </w:pPr>
      <w:r>
        <w:rPr>
          <w:rFonts w:ascii="Arial" w:cs="Arial" w:eastAsia="Arial" w:hAnsi="Arial"/>
          <w:sz w:val="15"/>
          <w:szCs w:val="15"/>
          <w:color w:val="auto"/>
        </w:rPr>
        <w:t>Under Rule 15c6-1 of the Exchange Act, trades in the secondary market generally are required to settle in three business days, unless the parties to any such trade expressly agree otherwise. The applicable prospectus supplement may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right="19"/>
        <w:spacing w:after="0" w:line="257" w:lineRule="auto"/>
        <w:rPr>
          <w:sz w:val="20"/>
          <w:szCs w:val="20"/>
          <w:color w:val="auto"/>
        </w:rPr>
      </w:pPr>
      <w:r>
        <w:rPr>
          <w:rFonts w:ascii="Arial" w:cs="Arial" w:eastAsia="Arial" w:hAnsi="Arial"/>
          <w:sz w:val="18"/>
          <w:szCs w:val="18"/>
          <w:color w:val="auto"/>
        </w:rPr>
        <w:t>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48" w:lineRule="exact"/>
        <w:rPr>
          <w:sz w:val="20"/>
          <w:szCs w:val="20"/>
          <w:color w:val="auto"/>
        </w:rPr>
      </w:pPr>
    </w:p>
    <w:p>
      <w:pPr>
        <w:ind w:right="219" w:firstLine="636"/>
        <w:spacing w:after="0" w:line="264"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54" w:lineRule="exact"/>
        <w:rPr>
          <w:sz w:val="20"/>
          <w:szCs w:val="20"/>
          <w:color w:val="auto"/>
        </w:rPr>
      </w:pPr>
    </w:p>
    <w:p>
      <w:pPr>
        <w:ind w:right="59" w:firstLine="636"/>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39" w:firstLine="636"/>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79" w:firstLine="636"/>
        <w:spacing w:after="0" w:line="25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374650</wp:posOffset>
            </wp:positionV>
            <wp:extent cx="1431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91440</wp:posOffset>
            </wp:positionV>
            <wp:extent cx="1431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883285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Printing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7"/>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  Deferred in reliance upon Rules 456(b) and 457(r) under the Securities Act.</w:t>
      </w:r>
    </w:p>
    <w:p>
      <w:pPr>
        <w:spacing w:after="0" w:line="23" w:lineRule="exact"/>
        <w:rPr>
          <w:sz w:val="20"/>
          <w:szCs w:val="20"/>
          <w:color w:val="auto"/>
        </w:rPr>
      </w:pPr>
    </w:p>
    <w:p>
      <w:pPr>
        <w:ind w:left="220" w:hanging="215"/>
        <w:spacing w:after="0" w:line="261" w:lineRule="auto"/>
        <w:rPr>
          <w:sz w:val="20"/>
          <w:szCs w:val="20"/>
          <w:color w:val="auto"/>
        </w:rPr>
      </w:pPr>
      <w:r>
        <w:rPr>
          <w:rFonts w:ascii="Arial" w:cs="Arial" w:eastAsia="Arial" w:hAnsi="Arial"/>
          <w:sz w:val="18"/>
          <w:szCs w:val="18"/>
          <w:color w:val="auto"/>
        </w:rPr>
        <w:t>(2)These fees and expenses are calculated based on the securities offered and the number of issuances and distributions of the offered securities and, accordingly, cannot be estimated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102(b)(7) of the Delaware General Corporation Law (“DGCL”) provides, in general, that the certificate of incorporation may contain a provision eliminating or limiting the personal liability of a director to the corporation or its shareholders for monetary damages for breach of fiduciary duty as a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Registrant’s amended and restated certificate of incorporation (“certificate of incorporation”) provides that no director of the Registrant shall be personally liable to the Registrant or its stockholders for monetary damages for any breach of fiduciary duty as a director, except for liability (1) for any breach of the director’s duty of loyalty to the Registrant or its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the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 The certificate of incorporation further provides that any repeal or modification of such article by the Registrant’s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5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Registrant’s amended and restated bylaws (“bylaws”) provide that the Registrant will indemnify each of its directors and officers and, in the discretion of the Registrant’s board of directors, certain employees, to the fullest extent permitted by the DGCL as the same may be amended (except that in the case of amendment, only to the extent that the amendment permits the Registrant to provide broader indemnification rights than the DGCL permitted the Registrant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the Registrant’s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the Registrant and, with respect to any criminal proceeding, had no reasonable cause to believe his or her conduct was unlawful. Article V of the bylaws further provides for the advancement of expenses to each of the Registrant’s directors and, in the discretion of the board of directors, to certain officers and employees.</w:t>
      </w:r>
    </w:p>
    <w:p>
      <w:pPr>
        <w:spacing w:after="0" w:line="1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bylaws provide that the right of each of the Registrant’s directors and officers to indemnification and advancement of expenses shall be a contract right and shall not be exclusive of any other right now possessed or hereafter acquired under any statute, provision of the certificate of incorporation or bylaws, agreement, vote of stockholders or otherwise. Furthermore, Article V of the bylaws authorizes the Registrant to provide insurance for its directors, officers and employees, against any liability, whether or not the Registrant would have the power to indemnify such person against such liability under the DGCL or the provisions of Article V of the bylaws.</w:t>
      </w:r>
    </w:p>
    <w:p>
      <w:pPr>
        <w:spacing w:after="0" w:line="13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In general, these agreements provide that the Registrant will indemnify each of its directors and executive officers to the fullest extent permitted by law and the certificate of incorporation and bylaws.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Registrant also maintain a general liability insurance policy, which covers certain liabilities of its directors and officers arising out of claims based on acts or omissions in their capacities as directors or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which appears elsewhere herein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120" w:right="660" w:hanging="469"/>
        <w:spacing w:after="0" w:line="246"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8" w:lineRule="exact"/>
        <w:rPr>
          <w:rFonts w:ascii="Arial" w:cs="Arial" w:eastAsia="Arial" w:hAnsi="Arial"/>
          <w:sz w:val="18"/>
          <w:szCs w:val="18"/>
          <w:color w:val="auto"/>
        </w:rPr>
      </w:pPr>
    </w:p>
    <w:p>
      <w:pPr>
        <w:ind w:left="1780" w:right="320" w:hanging="481"/>
        <w:spacing w:after="0" w:line="246" w:lineRule="auto"/>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 of 1933”);</w:t>
      </w:r>
    </w:p>
    <w:p>
      <w:pPr>
        <w:spacing w:after="0" w:line="88" w:lineRule="exact"/>
        <w:rPr>
          <w:rFonts w:ascii="Arial" w:cs="Arial" w:eastAsia="Arial" w:hAnsi="Arial"/>
          <w:sz w:val="18"/>
          <w:szCs w:val="18"/>
          <w:color w:val="auto"/>
        </w:rPr>
      </w:pPr>
    </w:p>
    <w:p>
      <w:pPr>
        <w:ind w:left="1820" w:right="40" w:hanging="521"/>
        <w:spacing w:after="0" w:line="237" w:lineRule="auto"/>
        <w:tabs>
          <w:tab w:leader="none" w:pos="1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5" w:lineRule="exact"/>
        <w:rPr>
          <w:rFonts w:ascii="Arial" w:cs="Arial" w:eastAsia="Arial" w:hAnsi="Arial"/>
          <w:sz w:val="17"/>
          <w:szCs w:val="17"/>
          <w:color w:val="auto"/>
        </w:rPr>
      </w:pPr>
    </w:p>
    <w:p>
      <w:pPr>
        <w:ind w:left="1860" w:right="60" w:hanging="561"/>
        <w:spacing w:after="0" w:line="235" w:lineRule="auto"/>
        <w:tabs>
          <w:tab w:leader="none" w:pos="1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9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7" w:lineRule="exact"/>
        <w:rPr>
          <w:sz w:val="20"/>
          <w:szCs w:val="20"/>
          <w:color w:val="auto"/>
        </w:rPr>
      </w:pPr>
    </w:p>
    <w:p>
      <w:pPr>
        <w:ind w:left="1120" w:right="220" w:hanging="469"/>
        <w:spacing w:after="0" w:line="276"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67" w:lineRule="exact"/>
        <w:rPr>
          <w:rFonts w:ascii="Arial" w:cs="Arial" w:eastAsia="Arial" w:hAnsi="Arial"/>
          <w:sz w:val="16"/>
          <w:szCs w:val="16"/>
          <w:color w:val="auto"/>
        </w:rPr>
      </w:pPr>
    </w:p>
    <w:p>
      <w:pPr>
        <w:ind w:left="1120" w:right="260" w:hanging="469"/>
        <w:spacing w:after="0" w:line="246"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8" w:lineRule="exact"/>
        <w:rPr>
          <w:rFonts w:ascii="Arial" w:cs="Arial" w:eastAsia="Arial" w:hAnsi="Arial"/>
          <w:sz w:val="18"/>
          <w:szCs w:val="18"/>
          <w:color w:val="auto"/>
        </w:rPr>
      </w:pPr>
    </w:p>
    <w:p>
      <w:pPr>
        <w:ind w:left="1160" w:hanging="50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780" w:right="140" w:hanging="481"/>
        <w:spacing w:after="0" w:line="235" w:lineRule="auto"/>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Arial" w:cs="Arial" w:eastAsia="Arial" w:hAnsi="Arial"/>
          <w:sz w:val="18"/>
          <w:szCs w:val="18"/>
          <w:color w:val="auto"/>
        </w:rPr>
      </w:pPr>
    </w:p>
    <w:p>
      <w:pPr>
        <w:ind w:left="1820" w:right="40" w:hanging="521"/>
        <w:spacing w:after="0" w:line="257" w:lineRule="auto"/>
        <w:tabs>
          <w:tab w:leader="none" w:pos="1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ind w:left="1820"/>
        <w:spacing w:after="0" w:line="234" w:lineRule="auto"/>
        <w:rPr>
          <w:rFonts w:ascii="Arial" w:cs="Arial" w:eastAsia="Arial" w:hAnsi="Arial"/>
          <w:sz w:val="16"/>
          <w:szCs w:val="16"/>
          <w:color w:val="auto"/>
        </w:rPr>
      </w:pPr>
      <w:r>
        <w:rPr>
          <w:rFonts w:ascii="Arial" w:cs="Arial" w:eastAsia="Arial" w:hAnsi="Arial"/>
          <w:sz w:val="17"/>
          <w:szCs w:val="17"/>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36" w:lineRule="exact"/>
        <w:rPr>
          <w:sz w:val="20"/>
          <w:szCs w:val="20"/>
          <w:color w:val="auto"/>
        </w:rPr>
      </w:pPr>
    </w:p>
    <w:p>
      <w:pPr>
        <w:ind w:left="1940" w:right="100"/>
        <w:spacing w:after="0" w:line="235" w:lineRule="auto"/>
        <w:rPr>
          <w:sz w:val="20"/>
          <w:szCs w:val="20"/>
          <w:color w:val="auto"/>
        </w:rPr>
      </w:pPr>
      <w:r>
        <w:rPr>
          <w:rFonts w:ascii="Arial" w:cs="Arial" w:eastAsia="Arial" w:hAnsi="Arial"/>
          <w:sz w:val="18"/>
          <w:szCs w:val="18"/>
          <w:color w:val="auto"/>
        </w:rPr>
        <w:t>effective date, supersede or modify any statement that was made in the registration statement or prospectus that was part of the registration statement or made in any such document immediately prior to such effective date.</w:t>
      </w:r>
    </w:p>
    <w:p>
      <w:pPr>
        <w:spacing w:after="0" w:line="94" w:lineRule="exact"/>
        <w:rPr>
          <w:sz w:val="20"/>
          <w:szCs w:val="20"/>
          <w:color w:val="auto"/>
        </w:rPr>
      </w:pPr>
    </w:p>
    <w:p>
      <w:pPr>
        <w:ind w:left="1120" w:hanging="469"/>
        <w:spacing w:after="0"/>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Arial" w:cs="Arial" w:eastAsia="Arial" w:hAnsi="Arial"/>
          <w:sz w:val="17"/>
          <w:szCs w:val="17"/>
          <w:color w:val="auto"/>
        </w:rPr>
      </w:pPr>
    </w:p>
    <w:p>
      <w:pPr>
        <w:ind w:left="1780" w:right="460" w:hanging="481"/>
        <w:spacing w:after="0" w:line="246"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8" w:lineRule="exact"/>
        <w:rPr>
          <w:rFonts w:ascii="Arial" w:cs="Arial" w:eastAsia="Arial" w:hAnsi="Arial"/>
          <w:sz w:val="18"/>
          <w:szCs w:val="18"/>
          <w:color w:val="auto"/>
        </w:rPr>
      </w:pPr>
    </w:p>
    <w:p>
      <w:pPr>
        <w:ind w:left="1820" w:right="380" w:hanging="521"/>
        <w:spacing w:after="0" w:line="246" w:lineRule="auto"/>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8" w:lineRule="exact"/>
        <w:rPr>
          <w:rFonts w:ascii="Arial" w:cs="Arial" w:eastAsia="Arial" w:hAnsi="Arial"/>
          <w:sz w:val="18"/>
          <w:szCs w:val="18"/>
          <w:color w:val="auto"/>
        </w:rPr>
      </w:pPr>
    </w:p>
    <w:p>
      <w:pPr>
        <w:ind w:left="1860" w:right="480" w:hanging="561"/>
        <w:spacing w:after="0" w:line="235"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Arial" w:cs="Arial" w:eastAsia="Arial" w:hAnsi="Arial"/>
          <w:sz w:val="18"/>
          <w:szCs w:val="18"/>
          <w:color w:val="auto"/>
        </w:rPr>
      </w:pPr>
    </w:p>
    <w:p>
      <w:pPr>
        <w:ind w:left="1860" w:right="100" w:hanging="561"/>
        <w:spacing w:after="0" w:line="246"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8" w:lineRule="exact"/>
        <w:rPr>
          <w:rFonts w:ascii="Arial" w:cs="Arial" w:eastAsia="Arial" w:hAnsi="Arial"/>
          <w:sz w:val="18"/>
          <w:szCs w:val="18"/>
          <w:color w:val="auto"/>
        </w:rPr>
      </w:pPr>
    </w:p>
    <w:p>
      <w:pPr>
        <w:ind w:left="1120" w:right="20" w:hanging="469"/>
        <w:spacing w:after="0" w:line="22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94" w:lineRule="exact"/>
        <w:rPr>
          <w:rFonts w:ascii="Arial" w:cs="Arial" w:eastAsia="Arial" w:hAnsi="Arial"/>
          <w:sz w:val="18"/>
          <w:szCs w:val="18"/>
          <w:color w:val="auto"/>
        </w:rPr>
      </w:pPr>
    </w:p>
    <w:p>
      <w:pPr>
        <w:ind w:left="1220" w:hanging="569"/>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17" w:lineRule="exact"/>
        <w:rPr>
          <w:rFonts w:ascii="Arial" w:cs="Arial" w:eastAsia="Arial" w:hAnsi="Arial"/>
          <w:sz w:val="18"/>
          <w:szCs w:val="18"/>
          <w:color w:val="auto"/>
        </w:rPr>
      </w:pPr>
    </w:p>
    <w:p>
      <w:pPr>
        <w:ind w:left="1780" w:hanging="481"/>
        <w:spacing w:after="0" w:line="231"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94" w:lineRule="exact"/>
        <w:rPr>
          <w:rFonts w:ascii="Arial" w:cs="Arial" w:eastAsia="Arial" w:hAnsi="Arial"/>
          <w:sz w:val="18"/>
          <w:szCs w:val="18"/>
          <w:color w:val="auto"/>
        </w:rPr>
      </w:pPr>
    </w:p>
    <w:p>
      <w:pPr>
        <w:ind w:left="1820" w:right="80" w:hanging="521"/>
        <w:spacing w:after="0" w:line="235" w:lineRule="auto"/>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left="1120" w:right="20" w:hanging="469"/>
        <w:spacing w:after="0" w:line="253" w:lineRule="auto"/>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84" w:lineRule="exact"/>
        <w:rPr>
          <w:sz w:val="20"/>
          <w:szCs w:val="20"/>
          <w:color w:val="auto"/>
        </w:rPr>
      </w:pPr>
    </w:p>
    <w:p>
      <w:pPr>
        <w:ind w:firstLine="636"/>
        <w:spacing w:after="0" w:line="23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City of Cambridge, Commonwealth of Massachusetts, on this 9</w:t>
      </w:r>
      <w:r>
        <w:rPr>
          <w:rFonts w:ascii="Arial" w:cs="Arial" w:eastAsia="Arial" w:hAnsi="Arial"/>
          <w:sz w:val="8"/>
          <w:szCs w:val="8"/>
          <w:color w:val="auto"/>
        </w:rPr>
        <w:t>th</w:t>
      </w:r>
      <w:r>
        <w:rPr>
          <w:rFonts w:ascii="Arial" w:cs="Arial" w:eastAsia="Arial" w:hAnsi="Arial"/>
          <w:sz w:val="18"/>
          <w:szCs w:val="18"/>
          <w:color w:val="auto"/>
        </w:rPr>
        <w:t xml:space="preserve"> day of March, 2017.</w:t>
      </w:r>
    </w:p>
    <w:p>
      <w:pPr>
        <w:spacing w:after="0" w:line="19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BLUEPRINT MEDICINES CORPORATION</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6350</wp:posOffset>
            </wp:positionV>
            <wp:extent cx="2752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720"/>
        <w:spacing w:after="0" w:line="232" w:lineRule="auto"/>
        <w:rPr>
          <w:sz w:val="20"/>
          <w:szCs w:val="20"/>
          <w:color w:val="auto"/>
        </w:rPr>
      </w:pPr>
      <w:r>
        <w:rPr>
          <w:rFonts w:ascii="Arial" w:cs="Arial" w:eastAsia="Arial" w:hAnsi="Arial"/>
          <w:sz w:val="18"/>
          <w:szCs w:val="18"/>
          <w:color w:val="auto"/>
        </w:rPr>
        <w:t>Jeffrey W. Albers</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94" w:lineRule="exact"/>
        <w:rPr>
          <w:sz w:val="20"/>
          <w:szCs w:val="20"/>
          <w:color w:val="auto"/>
        </w:rPr>
      </w:pPr>
    </w:p>
    <w:p>
      <w:pPr>
        <w:ind w:right="60" w:firstLine="636"/>
        <w:spacing w:after="0" w:line="269"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48" w:lineRule="exact"/>
        <w:rPr>
          <w:sz w:val="20"/>
          <w:szCs w:val="20"/>
          <w:color w:val="auto"/>
        </w:rPr>
      </w:pPr>
    </w:p>
    <w:p>
      <w:pPr>
        <w:ind w:right="80" w:firstLine="63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Vice President of Finance</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61"/>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II-5</w:t>
            </w:r>
          </w:p>
        </w:tc>
        <w:tc>
          <w:tcPr>
            <w:tcW w:w="1760" w:type="dxa"/>
            <w:vAlign w:val="bottom"/>
          </w:tcPr>
          <w:p>
            <w:pPr>
              <w:spacing w:after="0"/>
              <w:rPr>
                <w:sz w:val="24"/>
                <w:szCs w:val="24"/>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3760" w:type="dxa"/>
            <w:vAlign w:val="bottom"/>
            <w:gridSpan w:val="2"/>
          </w:tcPr>
          <w:p>
            <w:pPr>
              <w:ind w:left="1100"/>
              <w:spacing w:after="0"/>
              <w:rPr>
                <w:sz w:val="20"/>
                <w:szCs w:val="20"/>
                <w:color w:val="auto"/>
              </w:rPr>
            </w:pPr>
            <w:r>
              <w:rPr>
                <w:rFonts w:ascii="Arial" w:cs="Arial" w:eastAsia="Arial" w:hAnsi="Arial"/>
                <w:sz w:val="14"/>
                <w:szCs w:val="14"/>
                <w:b w:val="1"/>
                <w:bCs w:val="1"/>
                <w:color w:val="auto"/>
              </w:rPr>
              <w:t>Description of Exhibit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Exhibit Number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3.1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Fifth Amended and Restated Certificate of</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 w:type="dxa"/>
            <w:vAlign w:val="bottom"/>
          </w:tcPr>
          <w:p>
            <w:pPr>
              <w:spacing w:after="0"/>
              <w:rPr>
                <w:sz w:val="24"/>
                <w:szCs w:val="24"/>
                <w:color w:val="auto"/>
              </w:rPr>
            </w:pPr>
          </w:p>
        </w:tc>
        <w:tc>
          <w:tcPr>
            <w:tcW w:w="112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37359</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Incorporation of the Registrant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6"/>
              </w:rPr>
              <w:t>Amended and Restated Bylaws of the Registrant</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gridSpan w:val="2"/>
          </w:tcPr>
          <w:p>
            <w:pPr>
              <w:jc w:val="center"/>
              <w:ind w:left="119"/>
              <w:spacing w:after="0"/>
              <w:rPr>
                <w:sz w:val="20"/>
                <w:szCs w:val="20"/>
                <w:color w:val="auto"/>
              </w:rPr>
            </w:pPr>
            <w:r>
              <w:rPr>
                <w:rFonts w:ascii="Arial" w:cs="Arial" w:eastAsia="Arial" w:hAnsi="Arial"/>
                <w:sz w:val="18"/>
                <w:szCs w:val="18"/>
                <w:color w:val="auto"/>
                <w:w w:val="90"/>
              </w:rPr>
              <w:t>001-37359</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5"/>
              </w:rPr>
              <w:t>Second Amended and Restated Investors’ Rights</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 w:type="dxa"/>
            <w:vAlign w:val="bottom"/>
          </w:tcPr>
          <w:p>
            <w:pPr>
              <w:spacing w:after="0"/>
              <w:rPr>
                <w:sz w:val="24"/>
                <w:szCs w:val="24"/>
                <w:color w:val="auto"/>
              </w:rPr>
            </w:pPr>
          </w:p>
        </w:tc>
        <w:tc>
          <w:tcPr>
            <w:tcW w:w="1120" w:type="dxa"/>
            <w:vAlign w:val="bottom"/>
            <w:gridSpan w:val="2"/>
          </w:tcPr>
          <w:p>
            <w:pPr>
              <w:jc w:val="center"/>
              <w:ind w:right="20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202938</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Agreement, dated as of November 7, 2014, by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4"/>
              </w:rPr>
              <w:t>and among the Registrant and the Investors listed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therein</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Senior Indenture (including Form of</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Senior Note)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4.3</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Form of Subordinated Indenture (including Form</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of Subordinated Note)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4.4</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Deposit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4.5</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Warrant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4.6</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Purchase Contract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4.7</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Unit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5.1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Opinion of Goodwin Procter LLP</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12.1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Calculation of Consolidated Ratios of Earnings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to Fixed Charges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 independent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registered public accounting firm for the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Registrant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23.2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Consent of Goodwin Procter LLP (included in</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Exhibit 5.1)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24.1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Powers of Attorney (included in the signature</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pages to the Registration Statement)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25.1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the Trust Indenture Act of 1939, as amended, of</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Trustee under the Senior Indenture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gridSpan w:val="2"/>
          </w:tcPr>
          <w:p>
            <w:pPr>
              <w:spacing w:after="0"/>
              <w:rPr>
                <w:sz w:val="20"/>
                <w:szCs w:val="20"/>
                <w:color w:val="auto"/>
              </w:rPr>
            </w:pPr>
            <w:r>
              <w:rPr>
                <w:rFonts w:ascii="Arial" w:cs="Arial" w:eastAsia="Arial" w:hAnsi="Arial"/>
                <w:sz w:val="18"/>
                <w:szCs w:val="18"/>
                <w:color w:val="auto"/>
              </w:rPr>
              <w:t>25.2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the Trust Indenture Act of 1939, as amended, of</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Trustee under the Subordinated Indenture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4400" w:right="2280" w:hanging="4397"/>
        <w:spacing w:after="0" w:line="762"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as amended.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jc w:val="right"/>
        <w:ind w:right="139"/>
        <w:spacing w:after="0"/>
        <w:rPr>
          <w:sz w:val="20"/>
          <w:szCs w:val="20"/>
          <w:color w:val="auto"/>
        </w:rPr>
      </w:pPr>
      <w:r>
        <w:rPr>
          <w:rFonts w:ascii="Arial" w:cs="Arial" w:eastAsia="Arial" w:hAnsi="Arial"/>
          <w:sz w:val="18"/>
          <w:szCs w:val="18"/>
          <w:b w:val="1"/>
          <w:bCs w:val="1"/>
          <w:color w:val="auto"/>
        </w:rPr>
        <w:t>Exhibit 4.2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BLUEPRINT MEDICINES CORPORATION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Dated as of __________, 20__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950595</wp:posOffset>
            </wp:positionV>
            <wp:extent cx="55486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8040" w:type="dxa"/>
            <w:vAlign w:val="bottom"/>
          </w:tcPr>
          <w:p>
            <w:pPr>
              <w:ind w:left="212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9960" w:type="dxa"/>
            <w:vAlign w:val="bottom"/>
            <w:gridSpan w:val="2"/>
            <w:vMerge w:val="restart"/>
          </w:tcPr>
          <w:p>
            <w:pPr>
              <w:spacing w:after="0"/>
              <w:rPr>
                <w:sz w:val="20"/>
                <w:szCs w:val="20"/>
                <w:color w:val="auto"/>
              </w:rPr>
            </w:pPr>
            <w:r>
              <w:rPr>
                <w:rFonts w:ascii="Arial" w:cs="Arial" w:eastAsia="Arial" w:hAnsi="Arial"/>
                <w:sz w:val="22"/>
                <w:szCs w:val="22"/>
                <w:color w:val="auto"/>
              </w:rPr>
              <w:t>ARTICLE ONE - DEFINITIONS AND OTHER PROVISIONS OF GENERAL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15"/>
        </w:trPr>
        <w:tc>
          <w:tcPr>
            <w:tcW w:w="9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APPLICATION</w:t>
            </w:r>
          </w:p>
        </w:tc>
        <w:tc>
          <w:tcPr>
            <w:tcW w:w="8040" w:type="dxa"/>
            <w:vAlign w:val="bottom"/>
          </w:tcPr>
          <w:p>
            <w:pPr>
              <w:spacing w:after="0"/>
              <w:rPr>
                <w:sz w:val="21"/>
                <w:szCs w:val="21"/>
                <w:color w:val="auto"/>
              </w:rPr>
            </w:pP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101.</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Definitions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102.  Compliance Certificates and Opinions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103.  Form of Documents Delivered to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104.</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Acts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105.  Notices, etc., to Trustee and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106.  Notice to Holders; Waiver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107.  Counterparts; Effect of Headings and Table of Contents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108.  Successors and Assigns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109.</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Severability Clause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  Benefits of Indenture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111.</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Governing Law</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112.</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Legal Holidays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113.  Limited Liability; Immunity of Stockholders, Directors, Officers and Agents of the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Company</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114.  Conflict with Trust Indenture Act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TWO - SECURITIES FORMS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201.  Forms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202.  Form of Trustee’s Certificate of Authentication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203.  Securities Issuable in Global Form</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THREE - THE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301.  Amount Unlimited; Issuable in Series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302.</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Denominations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303.  Execution, Authentication, Delivery and Dating</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304.</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Temporary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305.  Registration, Registration of Transfer, Conversion and Exchange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306.  Mutilated, Destroyed, Lost and Stolen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307.  Payment of Interest; Interest Rights Preserved</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308.  Persons Deemed Owners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309.</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Cancellation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310.  Computation of Interest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311.</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CUSIP Numbers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FOUR - SATISFACTION AND DISCHARGE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401.  Satisfaction and Discharge of Indenture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402.  Application of Trust Funds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FIVE - REMEDIES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5"/>
        </w:trPr>
        <w:tc>
          <w:tcPr>
            <w:tcW w:w="1920" w:type="dxa"/>
            <w:vAlign w:val="bottom"/>
          </w:tcPr>
          <w:p>
            <w:pPr>
              <w:ind w:left="500"/>
              <w:spacing w:after="0"/>
              <w:rPr>
                <w:sz w:val="20"/>
                <w:szCs w:val="20"/>
                <w:color w:val="auto"/>
              </w:rPr>
            </w:pPr>
            <w:r>
              <w:rPr>
                <w:rFonts w:ascii="Arial" w:cs="Arial" w:eastAsia="Arial" w:hAnsi="Arial"/>
                <w:sz w:val="22"/>
                <w:szCs w:val="22"/>
                <w:color w:val="auto"/>
                <w:w w:val="95"/>
              </w:rPr>
              <w:t>SECTION 501.</w:t>
            </w:r>
          </w:p>
        </w:tc>
        <w:tc>
          <w:tcPr>
            <w:tcW w:w="8040" w:type="dxa"/>
            <w:vAlign w:val="bottom"/>
          </w:tcPr>
          <w:p>
            <w:pPr>
              <w:ind w:left="100"/>
              <w:spacing w:after="0"/>
              <w:rPr>
                <w:sz w:val="20"/>
                <w:szCs w:val="20"/>
                <w:color w:val="auto"/>
              </w:rPr>
            </w:pPr>
            <w:r>
              <w:rPr>
                <w:rFonts w:ascii="Arial" w:cs="Arial" w:eastAsia="Arial" w:hAnsi="Arial"/>
                <w:sz w:val="22"/>
                <w:szCs w:val="22"/>
                <w:color w:val="auto"/>
              </w:rPr>
              <w:t>Events of Default</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55" w:right="7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3"/>
        </w:trPr>
        <w:tc>
          <w:tcPr>
            <w:tcW w:w="9920" w:type="dxa"/>
            <w:vAlign w:val="bottom"/>
          </w:tcPr>
          <w:p>
            <w:pPr>
              <w:ind w:left="500"/>
              <w:spacing w:after="0"/>
              <w:rPr>
                <w:sz w:val="20"/>
                <w:szCs w:val="20"/>
                <w:color w:val="auto"/>
              </w:rPr>
            </w:pPr>
            <w:r>
              <w:rPr>
                <w:rFonts w:ascii="Arial" w:cs="Arial" w:eastAsia="Arial" w:hAnsi="Arial"/>
                <w:sz w:val="22"/>
                <w:szCs w:val="22"/>
                <w:color w:val="auto"/>
              </w:rPr>
              <w:t>SECTION 502.  Acceleration of Maturity; Rescission and Annulment</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503.  Collection of Indebtedness and Suits for Enforcement by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504.  Trustee May File Proofs of Claim</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505.  Trustee May Enforce Claims Without Possession of Securities or Coupons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506.  Application of Money Collected</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507.  Limitation on Suits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w w:val="93"/>
              </w:rPr>
              <w:t>SECTION 508.  Unconditional Right of Holders to Receive Principal, Premium or Make-Whole Amount,</w:t>
            </w:r>
          </w:p>
        </w:tc>
        <w:tc>
          <w:tcPr>
            <w:tcW w:w="420" w:type="dxa"/>
            <w:vAlign w:val="bottom"/>
          </w:tcPr>
          <w:p>
            <w:pPr>
              <w:spacing w:after="0"/>
              <w:rPr>
                <w:sz w:val="21"/>
                <w:szCs w:val="21"/>
                <w:color w:val="auto"/>
              </w:rPr>
            </w:pPr>
          </w:p>
        </w:tc>
      </w:tr>
      <w:tr>
        <w:trPr>
          <w:trHeight w:val="243"/>
        </w:trPr>
        <w:tc>
          <w:tcPr>
            <w:tcW w:w="9920" w:type="dxa"/>
            <w:vAlign w:val="bottom"/>
          </w:tcPr>
          <w:p>
            <w:pPr>
              <w:ind w:left="2020"/>
              <w:spacing w:after="0" w:line="243" w:lineRule="exact"/>
              <w:rPr>
                <w:sz w:val="20"/>
                <w:szCs w:val="20"/>
                <w:color w:val="auto"/>
              </w:rPr>
            </w:pPr>
            <w:r>
              <w:rPr>
                <w:rFonts w:ascii="Arial" w:cs="Arial" w:eastAsia="Arial" w:hAnsi="Arial"/>
                <w:sz w:val="22"/>
                <w:szCs w:val="22"/>
                <w:color w:val="auto"/>
              </w:rPr>
              <w:t>if any, and Interest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509.  Restoration of Rights and Remedies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510.  Rights and Remedies Cumulative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511.  Delay or Omission Not Waiver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512.  Control by Holders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513.  Waiver of Past Defaults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514.  Waiver of Usury, Stay or Extension Laws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515.  Undertaking for Costs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SIX - THE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601.  Notice of Defaults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602.  Certain Rights of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603.  Not Responsible for Recitals or Issuance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604.  May Hold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605.  Money Held in Trust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606.  Compensation and Reimbursement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607.  Corporate Trustee Required; Eligibility; Conflicting Interests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608.  Resignation and Removal; Appointment of Successor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609.  Acceptance of Appointment by Successor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610.  Merger, Conversion, Consolidation or Succession to Business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611.  Appointment of Authenticating Agent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612.  Certain Duties and Responsibilities of the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SEVEN - HOLDERS’ LISTS AND REPORTS BY TRUSTEE AND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701.  Disclosure of Names and Addresses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702.  Reports by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703.  Reports by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704.  Company to Furnish Trustee Names and Addresses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EIGHT - CONSOLIDATION, MERGER, SALE, LEASE OR CONVEYANCE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801.  Consolidations and Mergers of Company and Sales, Leases and Conveyances Permitted</w:t>
            </w:r>
          </w:p>
        </w:tc>
        <w:tc>
          <w:tcPr>
            <w:tcW w:w="420" w:type="dxa"/>
            <w:vAlign w:val="bottom"/>
          </w:tcPr>
          <w:p>
            <w:pPr>
              <w:spacing w:after="0"/>
              <w:rPr>
                <w:sz w:val="21"/>
                <w:szCs w:val="21"/>
                <w:color w:val="auto"/>
              </w:rPr>
            </w:pPr>
          </w:p>
        </w:tc>
      </w:tr>
      <w:tr>
        <w:trPr>
          <w:trHeight w:val="275"/>
        </w:trPr>
        <w:tc>
          <w:tcPr>
            <w:tcW w:w="9920" w:type="dxa"/>
            <w:vAlign w:val="bottom"/>
          </w:tcPr>
          <w:p>
            <w:pPr>
              <w:ind w:left="2020"/>
              <w:spacing w:after="0"/>
              <w:rPr>
                <w:sz w:val="20"/>
                <w:szCs w:val="20"/>
                <w:color w:val="auto"/>
              </w:rPr>
            </w:pPr>
            <w:r>
              <w:rPr>
                <w:rFonts w:ascii="Arial" w:cs="Arial" w:eastAsia="Arial" w:hAnsi="Arial"/>
                <w:sz w:val="22"/>
                <w:szCs w:val="22"/>
                <w:color w:val="auto"/>
              </w:rPr>
              <w:t>Subject to Certain Conditions</w:t>
            </w:r>
          </w:p>
        </w:tc>
        <w:tc>
          <w:tcPr>
            <w:tcW w:w="420" w:type="dxa"/>
            <w:vAlign w:val="bottom"/>
          </w:tcPr>
          <w:p>
            <w:pPr>
              <w:jc w:val="right"/>
              <w:spacing w:after="0"/>
              <w:rPr>
                <w:sz w:val="20"/>
                <w:szCs w:val="20"/>
                <w:color w:val="auto"/>
              </w:rPr>
            </w:pPr>
            <w:r>
              <w:rPr>
                <w:rFonts w:ascii="Arial" w:cs="Arial" w:eastAsia="Arial" w:hAnsi="Arial"/>
                <w:sz w:val="22"/>
                <w:szCs w:val="22"/>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92" w:right="7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1980" w:type="dxa"/>
            <w:vAlign w:val="bottom"/>
          </w:tcPr>
          <w:p>
            <w:pPr>
              <w:ind w:left="500"/>
              <w:spacing w:after="0"/>
              <w:rPr>
                <w:sz w:val="20"/>
                <w:szCs w:val="20"/>
                <w:color w:val="auto"/>
              </w:rPr>
            </w:pPr>
            <w:r>
              <w:rPr>
                <w:rFonts w:ascii="Arial" w:cs="Arial" w:eastAsia="Arial" w:hAnsi="Arial"/>
                <w:sz w:val="22"/>
                <w:szCs w:val="22"/>
                <w:color w:val="auto"/>
                <w:w w:val="99"/>
              </w:rPr>
              <w:t>SECTION 802.</w:t>
            </w:r>
          </w:p>
        </w:tc>
        <w:tc>
          <w:tcPr>
            <w:tcW w:w="7420" w:type="dxa"/>
            <w:vAlign w:val="bottom"/>
          </w:tcPr>
          <w:p>
            <w:pPr>
              <w:ind w:left="40"/>
              <w:spacing w:after="0"/>
              <w:rPr>
                <w:sz w:val="20"/>
                <w:szCs w:val="20"/>
                <w:color w:val="auto"/>
              </w:rPr>
            </w:pPr>
            <w:r>
              <w:rPr>
                <w:rFonts w:ascii="Arial" w:cs="Arial" w:eastAsia="Arial" w:hAnsi="Arial"/>
                <w:sz w:val="22"/>
                <w:szCs w:val="22"/>
                <w:color w:val="auto"/>
              </w:rPr>
              <w:t>Rights and Duties of Successor Corporation</w:t>
            </w:r>
          </w:p>
        </w:tc>
        <w:tc>
          <w:tcPr>
            <w:tcW w:w="9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803.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Officers’ Certificate and Opinion of Counsel</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NINE -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901.</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Supplemental Indentures Without Consent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Supplemental Indentures with Consent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Execution of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904.</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Effect of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905.</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Conformity with Trust Indenture Act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906.</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Reference in Securities to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TEN - COVENANTS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1001.</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Payment of Principal, Premium or Make-Whole Amount, if any; and Interest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Maintenance of Office or Agency</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Money for Securities Payments to Be Held in Trust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1004.</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Existence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1005.</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Maintenance of Properties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1006.</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Insurance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1007.</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Payment of Taxes and Other Claims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1008.</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Statement as to Compliance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1009. Waiver of Certain Covenants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ELEVEN - REDEMPTION OF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1102. Election to Redeem; Notice to Trustee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1103. Selection by Trustee of Securities to Be Redeemed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1104. Notice of Redemption</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1105. Deposit of Redemption Price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1106. Securities Payable on Redemption Date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1107. Securities Redeemed in Part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TWELVE - SINKING FUNDS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1201.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1202.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1203.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Redemption of Securities for Sinking Fund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THIRTEEN - REPAYMENT AT THE OPTION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1301.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1302.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Repayment of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1303.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Exercise of Option</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1304. When Securities Presented for Repayment Become Due and Payable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75"/>
        </w:trPr>
        <w:tc>
          <w:tcPr>
            <w:tcW w:w="1980" w:type="dxa"/>
            <w:vAlign w:val="bottom"/>
          </w:tcPr>
          <w:p>
            <w:pPr>
              <w:ind w:left="500"/>
              <w:spacing w:after="0"/>
              <w:rPr>
                <w:sz w:val="20"/>
                <w:szCs w:val="20"/>
                <w:color w:val="auto"/>
              </w:rPr>
            </w:pPr>
            <w:r>
              <w:rPr>
                <w:rFonts w:ascii="Arial" w:cs="Arial" w:eastAsia="Arial" w:hAnsi="Arial"/>
                <w:sz w:val="22"/>
                <w:szCs w:val="22"/>
                <w:color w:val="auto"/>
                <w:w w:val="91"/>
              </w:rPr>
              <w:t>SECTION 1305.</w:t>
            </w:r>
          </w:p>
        </w:tc>
        <w:tc>
          <w:tcPr>
            <w:tcW w:w="7420" w:type="dxa"/>
            <w:vAlign w:val="bottom"/>
          </w:tcPr>
          <w:p>
            <w:pPr>
              <w:ind w:left="40"/>
              <w:spacing w:after="0"/>
              <w:rPr>
                <w:sz w:val="20"/>
                <w:szCs w:val="20"/>
                <w:color w:val="auto"/>
              </w:rPr>
            </w:pPr>
            <w:r>
              <w:rPr>
                <w:rFonts w:ascii="Arial" w:cs="Arial" w:eastAsia="Arial" w:hAnsi="Arial"/>
                <w:sz w:val="22"/>
                <w:szCs w:val="22"/>
                <w:color w:val="auto"/>
              </w:rPr>
              <w:t>Securities Repaid in Part</w:t>
            </w:r>
          </w:p>
        </w:tc>
        <w:tc>
          <w:tcPr>
            <w:tcW w:w="94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92" w:right="7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9720" w:type="dxa"/>
            <w:vAlign w:val="bottom"/>
          </w:tcPr>
          <w:p>
            <w:pPr>
              <w:spacing w:after="0"/>
              <w:rPr>
                <w:sz w:val="20"/>
                <w:szCs w:val="20"/>
                <w:color w:val="auto"/>
              </w:rPr>
            </w:pPr>
            <w:r>
              <w:rPr>
                <w:rFonts w:ascii="Arial" w:cs="Arial" w:eastAsia="Arial" w:hAnsi="Arial"/>
                <w:sz w:val="22"/>
                <w:szCs w:val="22"/>
                <w:color w:val="auto"/>
              </w:rPr>
              <w:t>ARTICLE FOURTEEN - DEFEASANCE AND COVENANT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1401. Applicability of Article; Company’s Option to Effect Defeasance or Covenant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2020"/>
              <w:spacing w:after="0" w:line="243" w:lineRule="exact"/>
              <w:rPr>
                <w:sz w:val="20"/>
                <w:szCs w:val="20"/>
                <w:color w:val="auto"/>
              </w:rPr>
            </w:pPr>
            <w:r>
              <w:rPr>
                <w:rFonts w:ascii="Arial" w:cs="Arial" w:eastAsia="Arial" w:hAnsi="Arial"/>
                <w:sz w:val="22"/>
                <w:szCs w:val="22"/>
                <w:color w:val="auto"/>
              </w:rPr>
              <w:t>Defeasance</w:t>
            </w:r>
          </w:p>
        </w:tc>
        <w:tc>
          <w:tcPr>
            <w:tcW w:w="620" w:type="dxa"/>
            <w:vAlign w:val="bottom"/>
          </w:tcPr>
          <w:p>
            <w:pPr>
              <w:spacing w:after="0"/>
              <w:rPr>
                <w:sz w:val="21"/>
                <w:szCs w:val="21"/>
                <w:color w:val="auto"/>
              </w:rPr>
            </w:pP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1402. Defeasance and Discharge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1403. Covenant Defeasance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1404. Conditions to Defeasance or Covenant Defeasance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1405. Deposited Money and Government Obligations to Be Held in Trust; Other</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720" w:type="dxa"/>
            <w:vAlign w:val="bottom"/>
          </w:tcPr>
          <w:p>
            <w:pPr>
              <w:ind w:left="2020"/>
              <w:spacing w:after="0" w:line="243" w:lineRule="exact"/>
              <w:rPr>
                <w:sz w:val="20"/>
                <w:szCs w:val="20"/>
                <w:color w:val="auto"/>
              </w:rPr>
            </w:pPr>
            <w:r>
              <w:rPr>
                <w:rFonts w:ascii="Arial" w:cs="Arial" w:eastAsia="Arial" w:hAnsi="Arial"/>
                <w:sz w:val="22"/>
                <w:szCs w:val="22"/>
                <w:color w:val="auto"/>
              </w:rPr>
              <w:t>Miscellaneous Provisions</w:t>
            </w:r>
          </w:p>
        </w:tc>
        <w:tc>
          <w:tcPr>
            <w:tcW w:w="620" w:type="dxa"/>
            <w:vAlign w:val="bottom"/>
          </w:tcPr>
          <w:p>
            <w:pPr>
              <w:spacing w:after="0"/>
              <w:rPr>
                <w:sz w:val="21"/>
                <w:szCs w:val="21"/>
                <w:color w:val="auto"/>
              </w:rPr>
            </w:pPr>
          </w:p>
        </w:tc>
      </w:tr>
      <w:tr>
        <w:trPr>
          <w:trHeight w:val="243"/>
        </w:trPr>
        <w:tc>
          <w:tcPr>
            <w:tcW w:w="9720" w:type="dxa"/>
            <w:vAlign w:val="bottom"/>
          </w:tcPr>
          <w:p>
            <w:pPr>
              <w:spacing w:after="0" w:line="243" w:lineRule="exact"/>
              <w:rPr>
                <w:sz w:val="20"/>
                <w:szCs w:val="20"/>
                <w:color w:val="auto"/>
              </w:rPr>
            </w:pPr>
            <w:r>
              <w:rPr>
                <w:rFonts w:ascii="Arial" w:cs="Arial" w:eastAsia="Arial" w:hAnsi="Arial"/>
                <w:sz w:val="22"/>
                <w:szCs w:val="22"/>
                <w:color w:val="auto"/>
              </w:rPr>
              <w:t>ARTICLE FIFTEEN - MEETINGS OF HOLDERS OF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1501. Purposes for Which Meetings May Be Called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1502. Call, Notice and Place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1503. Persons Entitled to Vote at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1504. Quorum; Action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1505. Determination of Voting Rights; Conduct and Adjournment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1506. Counting Votes and Recording Action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spacing w:after="0" w:line="243" w:lineRule="exact"/>
              <w:rPr>
                <w:sz w:val="20"/>
                <w:szCs w:val="20"/>
                <w:color w:val="auto"/>
              </w:rPr>
            </w:pPr>
            <w:r>
              <w:rPr>
                <w:rFonts w:ascii="Arial" w:cs="Arial" w:eastAsia="Arial" w:hAnsi="Arial"/>
                <w:sz w:val="22"/>
                <w:szCs w:val="22"/>
                <w:color w:val="auto"/>
              </w:rPr>
              <w:t>ARTICLE SIXTEEN - CONVERSION OF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1601. Applicability of Article; Conversion Privilege and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1602. Exercise of Conversion Privilege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1603. Fractions of Shares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1604. Adjustment of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1605. Notice of Adjustments of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1606. Notice of Certain Corporate Action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1607. Company to Reserve Common Stock</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1608. Taxes on Conversion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1609. Covenants as to Common Stock</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1610. Cancellation of Converted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w w:val="94"/>
              </w:rPr>
              <w:t>SECTION 1611. Provisions in Case of Consolidation, Merger or Sale of Assets; Special Distributions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1612. Trustee Adjustment Disclaimer; Company Determination Final</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1613. When No Adjustment Required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75"/>
        </w:trPr>
        <w:tc>
          <w:tcPr>
            <w:tcW w:w="9720" w:type="dxa"/>
            <w:vAlign w:val="bottom"/>
          </w:tcPr>
          <w:p>
            <w:pPr>
              <w:ind w:left="500"/>
              <w:spacing w:after="0"/>
              <w:rPr>
                <w:sz w:val="20"/>
                <w:szCs w:val="20"/>
                <w:color w:val="auto"/>
              </w:rPr>
            </w:pPr>
            <w:r>
              <w:rPr>
                <w:rFonts w:ascii="Arial" w:cs="Arial" w:eastAsia="Arial" w:hAnsi="Arial"/>
                <w:sz w:val="22"/>
                <w:szCs w:val="22"/>
                <w:color w:val="auto"/>
              </w:rPr>
              <w:t>SECTION 1614. Equivalent Adjustments</w:t>
            </w:r>
          </w:p>
        </w:tc>
        <w:tc>
          <w:tcPr>
            <w:tcW w:w="620" w:type="dxa"/>
            <w:vAlign w:val="bottom"/>
          </w:tcPr>
          <w:p>
            <w:pPr>
              <w:jc w:val="right"/>
              <w:spacing w:after="0"/>
              <w:rPr>
                <w:sz w:val="20"/>
                <w:szCs w:val="20"/>
                <w:color w:val="auto"/>
              </w:rPr>
            </w:pPr>
            <w:r>
              <w:rPr>
                <w:rFonts w:ascii="Arial" w:cs="Arial" w:eastAsia="Arial" w:hAnsi="Arial"/>
                <w:sz w:val="22"/>
                <w:szCs w:val="22"/>
                <w:color w:val="auto"/>
              </w:rPr>
              <w:t>84</w:t>
            </w: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92" w:right="7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Reconciliation and tie between the Trust Indenture Act of 1939, as amended (the “Trust Indenture Act” 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60" w:type="dxa"/>
            <w:vAlign w:val="bottom"/>
            <w:gridSpan w:val="3"/>
          </w:tcPr>
          <w:p>
            <w:pPr>
              <w:ind w:left="20"/>
              <w:spacing w:after="0"/>
              <w:rPr>
                <w:sz w:val="20"/>
                <w:szCs w:val="20"/>
                <w:color w:val="auto"/>
              </w:rPr>
            </w:pPr>
            <w:r>
              <w:rPr>
                <w:rFonts w:ascii="Arial" w:cs="Arial" w:eastAsia="Arial" w:hAnsi="Arial"/>
                <w:sz w:val="22"/>
                <w:szCs w:val="22"/>
                <w:color w:val="auto"/>
              </w:rPr>
              <w:t>“TIA”) and the Indenture, dated as of __________, 20__.</w:t>
            </w:r>
          </w:p>
        </w:tc>
        <w:tc>
          <w:tcPr>
            <w:tcW w:w="4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04"/>
        </w:trPr>
        <w:tc>
          <w:tcPr>
            <w:tcW w:w="6060" w:type="dxa"/>
            <w:vAlign w:val="bottom"/>
            <w:gridSpan w:val="3"/>
          </w:tcPr>
          <w:p>
            <w:pPr>
              <w:ind w:left="20"/>
              <w:spacing w:after="0"/>
              <w:rPr>
                <w:sz w:val="20"/>
                <w:szCs w:val="20"/>
                <w:color w:val="auto"/>
              </w:rPr>
            </w:pPr>
            <w:r>
              <w:rPr>
                <w:rFonts w:ascii="Arial" w:cs="Arial" w:eastAsia="Arial" w:hAnsi="Arial"/>
                <w:sz w:val="22"/>
                <w:szCs w:val="22"/>
                <w:b w:val="1"/>
                <w:bCs w:val="1"/>
                <w:color w:val="auto"/>
              </w:rPr>
              <w:t>Trust Indenture</w:t>
            </w: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1"/>
        </w:trPr>
        <w:tc>
          <w:tcPr>
            <w:tcW w:w="6060" w:type="dxa"/>
            <w:vAlign w:val="bottom"/>
            <w:gridSpan w:val="3"/>
          </w:tcPr>
          <w:p>
            <w:pPr>
              <w:ind w:left="20"/>
              <w:spacing w:after="0"/>
              <w:rPr>
                <w:sz w:val="20"/>
                <w:szCs w:val="20"/>
                <w:color w:val="auto"/>
              </w:rPr>
            </w:pPr>
            <w:r>
              <w:rPr>
                <w:rFonts w:ascii="Arial" w:cs="Arial" w:eastAsia="Arial" w:hAnsi="Arial"/>
                <w:sz w:val="22"/>
                <w:szCs w:val="22"/>
                <w:b w:val="1"/>
                <w:bCs w:val="1"/>
                <w:color w:val="auto"/>
              </w:rPr>
              <w:t>Act Section</w:t>
            </w:r>
          </w:p>
        </w:tc>
        <w:tc>
          <w:tcPr>
            <w:tcW w:w="4340" w:type="dxa"/>
            <w:vAlign w:val="bottom"/>
            <w:gridSpan w:val="2"/>
          </w:tcPr>
          <w:p>
            <w:pPr>
              <w:ind w:left="1320"/>
              <w:spacing w:after="0"/>
              <w:rPr>
                <w:sz w:val="20"/>
                <w:szCs w:val="20"/>
                <w:color w:val="auto"/>
              </w:rPr>
            </w:pPr>
            <w:r>
              <w:rPr>
                <w:rFonts w:ascii="Arial" w:cs="Arial" w:eastAsia="Arial" w:hAnsi="Arial"/>
                <w:sz w:val="22"/>
                <w:szCs w:val="22"/>
                <w:b w:val="1"/>
                <w:bCs w:val="1"/>
                <w:color w:val="auto"/>
              </w:rPr>
              <w:t>Indenture Section</w:t>
            </w:r>
          </w:p>
        </w:tc>
      </w:tr>
      <w:tr>
        <w:trPr>
          <w:trHeight w:val="237"/>
        </w:trPr>
        <w:tc>
          <w:tcPr>
            <w:tcW w:w="5720" w:type="dxa"/>
            <w:vAlign w:val="bottom"/>
            <w:tcBorders>
              <w:top w:val="single" w:sz="8" w:color="auto"/>
            </w:tcBorders>
            <w:gridSpan w:val="2"/>
            <w:shd w:val="clear" w:color="auto" w:fill="CCEEFF"/>
          </w:tcPr>
          <w:p>
            <w:pPr>
              <w:ind w:left="20"/>
              <w:spacing w:after="0" w:line="237" w:lineRule="exact"/>
              <w:rPr>
                <w:sz w:val="20"/>
                <w:szCs w:val="20"/>
                <w:color w:val="auto"/>
              </w:rPr>
            </w:pPr>
            <w:r>
              <w:rPr>
                <w:rFonts w:ascii="Arial" w:cs="Arial" w:eastAsia="Arial" w:hAnsi="Arial"/>
                <w:sz w:val="22"/>
                <w:szCs w:val="22"/>
                <w:color w:val="auto"/>
              </w:rPr>
              <w:t>§ 310(a)(1)</w:t>
            </w:r>
          </w:p>
        </w:tc>
        <w:tc>
          <w:tcPr>
            <w:tcW w:w="34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auto"/>
            </w:tcBorders>
            <w:shd w:val="clear" w:color="auto" w:fill="CCEEFF"/>
          </w:tcPr>
          <w:p>
            <w:pPr>
              <w:jc w:val="center"/>
              <w:spacing w:after="0" w:line="237" w:lineRule="exact"/>
              <w:rPr>
                <w:sz w:val="20"/>
                <w:szCs w:val="20"/>
                <w:color w:val="auto"/>
              </w:rPr>
            </w:pPr>
            <w:r>
              <w:rPr>
                <w:rFonts w:ascii="Arial" w:cs="Arial" w:eastAsia="Arial" w:hAnsi="Arial"/>
                <w:sz w:val="22"/>
                <w:szCs w:val="22"/>
                <w:color w:val="auto"/>
                <w:w w:val="87"/>
              </w:rPr>
              <w:t>607</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607</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(b)</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8"/>
              </w:rPr>
              <w:t>607, 608</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 312(c)</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701</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313(a)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702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(c)</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702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314(a)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703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(a)(4)</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9"/>
              </w:rPr>
              <w:t>1008</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(c)(1)</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(c)(2)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(e)</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 315(b)</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601</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316(a) (last sentence)</w:t>
            </w:r>
          </w:p>
        </w:tc>
        <w:tc>
          <w:tcPr>
            <w:tcW w:w="4340" w:type="dxa"/>
            <w:vAlign w:val="bottom"/>
            <w:gridSpan w:val="2"/>
            <w:shd w:val="clear" w:color="auto" w:fill="CCEEFF"/>
          </w:tcPr>
          <w:p>
            <w:pPr>
              <w:jc w:val="center"/>
              <w:ind w:right="60"/>
              <w:spacing w:after="0" w:line="243" w:lineRule="exact"/>
              <w:rPr>
                <w:sz w:val="20"/>
                <w:szCs w:val="20"/>
                <w:color w:val="auto"/>
              </w:rPr>
            </w:pPr>
            <w:r>
              <w:rPr>
                <w:rFonts w:ascii="Arial" w:cs="Arial" w:eastAsia="Arial" w:hAnsi="Arial"/>
                <w:sz w:val="22"/>
                <w:szCs w:val="22"/>
                <w:color w:val="auto"/>
                <w:w w:val="93"/>
              </w:rPr>
              <w:t>101(“Outstanding”)</w:t>
            </w: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(a)(1)(A)</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8"/>
              </w:rPr>
              <w:t>502, 512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(a)(1)(B)</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513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(b)</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508</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317(a)(1)</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503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504</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318(a)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111</w:t>
            </w:r>
          </w:p>
        </w:tc>
        <w:tc>
          <w:tcPr>
            <w:tcW w:w="60" w:type="dxa"/>
            <w:vAlign w:val="bottom"/>
            <w:shd w:val="clear" w:color="auto" w:fill="CCEEFF"/>
          </w:tcPr>
          <w:p>
            <w:pPr>
              <w:spacing w:after="0"/>
              <w:rPr>
                <w:sz w:val="21"/>
                <w:szCs w:val="21"/>
                <w:color w:val="auto"/>
              </w:rPr>
            </w:pPr>
          </w:p>
        </w:tc>
      </w:tr>
      <w:tr>
        <w:trPr>
          <w:trHeight w:val="275"/>
        </w:trPr>
        <w:tc>
          <w:tcPr>
            <w:tcW w:w="6060" w:type="dxa"/>
            <w:vAlign w:val="bottom"/>
            <w:gridSpan w:val="3"/>
          </w:tcPr>
          <w:p>
            <w:pPr>
              <w:ind w:left="20"/>
              <w:spacing w:after="0"/>
              <w:rPr>
                <w:sz w:val="20"/>
                <w:szCs w:val="20"/>
                <w:color w:val="auto"/>
              </w:rPr>
            </w:pPr>
            <w:r>
              <w:rPr>
                <w:rFonts w:ascii="Arial" w:cs="Arial" w:eastAsia="Arial" w:hAnsi="Arial"/>
                <w:sz w:val="22"/>
                <w:szCs w:val="22"/>
                <w:color w:val="auto"/>
              </w:rPr>
              <w:t>(c)</w:t>
            </w:r>
          </w:p>
        </w:tc>
        <w:tc>
          <w:tcPr>
            <w:tcW w:w="4280" w:type="dxa"/>
            <w:vAlign w:val="bottom"/>
          </w:tcPr>
          <w:p>
            <w:pPr>
              <w:jc w:val="center"/>
              <w:spacing w:after="0"/>
              <w:rPr>
                <w:sz w:val="20"/>
                <w:szCs w:val="20"/>
                <w:color w:val="auto"/>
              </w:rPr>
            </w:pPr>
            <w:r>
              <w:rPr>
                <w:rFonts w:ascii="Arial" w:cs="Arial" w:eastAsia="Arial" w:hAnsi="Arial"/>
                <w:sz w:val="22"/>
                <w:szCs w:val="22"/>
                <w:color w:val="auto"/>
                <w:w w:val="87"/>
              </w:rPr>
              <w:t>111</w:t>
            </w:r>
          </w:p>
        </w:tc>
        <w:tc>
          <w:tcPr>
            <w:tcW w:w="60" w:type="dxa"/>
            <w:vAlign w:val="bottom"/>
          </w:tcPr>
          <w:p>
            <w:pPr>
              <w:spacing w:after="0"/>
              <w:rPr>
                <w:sz w:val="23"/>
                <w:szCs w:val="23"/>
                <w:color w:val="auto"/>
              </w:rPr>
            </w:pPr>
          </w:p>
        </w:tc>
      </w:tr>
      <w:tr>
        <w:trPr>
          <w:trHeight w:val="77"/>
        </w:trPr>
        <w:tc>
          <w:tcPr>
            <w:tcW w:w="262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1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 This reconciliation and tie shall not, for any purpose, be deemed to be a part of the Indenture.</w:t>
      </w:r>
    </w:p>
    <w:p>
      <w:pPr>
        <w:spacing w:after="0" w:line="206" w:lineRule="exact"/>
        <w:rPr>
          <w:sz w:val="20"/>
          <w:szCs w:val="20"/>
          <w:color w:val="auto"/>
        </w:rPr>
      </w:pPr>
    </w:p>
    <w:p>
      <w:pPr>
        <w:ind w:left="20" w:right="480" w:firstLine="648"/>
        <w:spacing w:after="0"/>
        <w:rPr>
          <w:sz w:val="20"/>
          <w:szCs w:val="20"/>
          <w:color w:val="auto"/>
        </w:rPr>
      </w:pPr>
      <w:r>
        <w:rPr>
          <w:rFonts w:ascii="Arial" w:cs="Arial" w:eastAsia="Arial" w:hAnsi="Arial"/>
          <w:sz w:val="22"/>
          <w:szCs w:val="22"/>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361" w:right="759" w:bottom="1440" w:gutter="0" w:footer="0" w:header="0"/>
        </w:sectPr>
      </w:pPr>
    </w:p>
    <w:bookmarkStart w:id="56" w:name="page57"/>
    <w:bookmarkEnd w:id="56"/>
    <w:p>
      <w:pPr>
        <w:ind w:left="640"/>
        <w:spacing w:after="0"/>
        <w:rPr>
          <w:sz w:val="20"/>
          <w:szCs w:val="20"/>
          <w:color w:val="auto"/>
        </w:rPr>
      </w:pPr>
      <w:r>
        <w:rPr>
          <w:rFonts w:ascii="Arial" w:cs="Arial" w:eastAsia="Arial" w:hAnsi="Arial"/>
          <w:sz w:val="21"/>
          <w:szCs w:val="21"/>
          <w:color w:val="auto"/>
        </w:rPr>
        <w:t>INDENTURE, dated as of __________, 20___, between BLUEPRINT MEDICINES CORPORATION, a</w:t>
      </w:r>
    </w:p>
    <w:p>
      <w:pPr>
        <w:spacing w:after="0" w:line="20"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corporation organized under the laws of the State of Delaware (hereinafter called the “Company”), having its principal office at [_________], and [___________], as Trustee hereunder (hereinafter called the “Trustee”), having a Corporate</w:t>
      </w:r>
    </w:p>
    <w:p>
      <w:pPr>
        <w:spacing w:after="0"/>
        <w:rPr>
          <w:sz w:val="20"/>
          <w:szCs w:val="20"/>
          <w:color w:val="auto"/>
        </w:rPr>
      </w:pPr>
      <w:r>
        <w:rPr>
          <w:rFonts w:ascii="Arial" w:cs="Arial" w:eastAsia="Arial" w:hAnsi="Arial"/>
          <w:sz w:val="22"/>
          <w:szCs w:val="22"/>
          <w:color w:val="auto"/>
        </w:rPr>
        <w:t>Trust Office at [____________________].</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 OF THE COMPANY</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86" w:lineRule="exact"/>
        <w:rPr>
          <w:sz w:val="20"/>
          <w:szCs w:val="20"/>
          <w:color w:val="auto"/>
        </w:rPr>
      </w:pPr>
    </w:p>
    <w:p>
      <w:pPr>
        <w:ind w:right="960" w:firstLine="648"/>
        <w:spacing w:after="0" w:line="251" w:lineRule="auto"/>
        <w:rPr>
          <w:sz w:val="20"/>
          <w:szCs w:val="20"/>
          <w:color w:val="auto"/>
        </w:rPr>
      </w:pPr>
      <w:r>
        <w:rPr>
          <w:rFonts w:ascii="Arial" w:cs="Arial" w:eastAsia="Arial" w:hAnsi="Arial"/>
          <w:sz w:val="22"/>
          <w:szCs w:val="22"/>
          <w:color w:val="auto"/>
        </w:rPr>
        <w:t>All things necessary to make this Indenture a valid and legally binding agreement of the Company, in accordance with its terms, have been done.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NOW, THEREFORE, THIS INDENTURE WITNESSETH:</w:t>
      </w:r>
    </w:p>
    <w:p>
      <w:pPr>
        <w:spacing w:after="0" w:line="206"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ARTICLE ONE - DEFINITIONS AND OTHER PROVISIONS OF GENERAL APPLICATION</w:t>
      </w:r>
    </w:p>
    <w:p>
      <w:pPr>
        <w:spacing w:after="0" w:line="206"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all purposes of this Indenture, except as otherwise expressly provided or unless the context otherwise requires:</w:t>
      </w:r>
    </w:p>
    <w:p>
      <w:pPr>
        <w:spacing w:after="0" w:line="173" w:lineRule="exact"/>
        <w:rPr>
          <w:sz w:val="20"/>
          <w:szCs w:val="20"/>
          <w:color w:val="auto"/>
        </w:rPr>
      </w:pPr>
    </w:p>
    <w:p>
      <w:pPr>
        <w:ind w:left="640" w:right="120" w:firstLine="648"/>
        <w:spacing w:after="0" w:line="251" w:lineRule="auto"/>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173" w:lineRule="exact"/>
        <w:rPr>
          <w:rFonts w:ascii="Arial" w:cs="Arial" w:eastAsia="Arial" w:hAnsi="Arial"/>
          <w:sz w:val="22"/>
          <w:szCs w:val="22"/>
          <w:color w:val="auto"/>
        </w:rPr>
      </w:pPr>
    </w:p>
    <w:p>
      <w:pPr>
        <w:jc w:val="both"/>
        <w:ind w:left="640" w:right="160" w:firstLine="648"/>
        <w:spacing w:after="0" w:line="251" w:lineRule="exact"/>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other terms used herein which are defined in the TIA, either directly or by reference therein, have the meanings assigned to them therein, and the terms “cash transactions” and “self</w:t>
      </w:r>
      <w:r>
        <w:rPr>
          <w:rFonts w:ascii="MS PGothic" w:cs="MS PGothic" w:eastAsia="MS PGothic" w:hAnsi="MS PGothic"/>
          <w:sz w:val="22"/>
          <w:szCs w:val="22"/>
          <w:color w:val="auto"/>
        </w:rPr>
        <w:t>‑</w:t>
      </w:r>
      <w:r>
        <w:rPr>
          <w:rFonts w:ascii="Arial" w:cs="Arial" w:eastAsia="Arial" w:hAnsi="Arial"/>
          <w:sz w:val="22"/>
          <w:szCs w:val="22"/>
          <w:color w:val="auto"/>
        </w:rPr>
        <w:t>liquidating paper,” as used in TIA Section 311, shall have the meanings assigned to them in the rules of the Commission adopted under the TIA;</w:t>
      </w:r>
    </w:p>
    <w:p>
      <w:pPr>
        <w:spacing w:after="0" w:line="185" w:lineRule="exact"/>
        <w:rPr>
          <w:rFonts w:ascii="Arial" w:cs="Arial" w:eastAsia="Arial" w:hAnsi="Arial"/>
          <w:sz w:val="22"/>
          <w:szCs w:val="22"/>
          <w:color w:val="auto"/>
        </w:rPr>
      </w:pPr>
    </w:p>
    <w:p>
      <w:pPr>
        <w:ind w:left="640" w:right="720" w:firstLine="648"/>
        <w:spacing w:after="0" w:line="251" w:lineRule="auto"/>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accounting terms not otherwise defined herein have the meanings assigned to them in accordance with GAAP;</w:t>
      </w:r>
    </w:p>
    <w:p>
      <w:pPr>
        <w:spacing w:after="0" w:line="173" w:lineRule="exact"/>
        <w:rPr>
          <w:rFonts w:ascii="Arial" w:cs="Arial" w:eastAsia="Arial" w:hAnsi="Arial"/>
          <w:sz w:val="22"/>
          <w:szCs w:val="22"/>
          <w:color w:val="auto"/>
        </w:rPr>
      </w:pPr>
    </w:p>
    <w:p>
      <w:pPr>
        <w:ind w:left="640" w:firstLine="648"/>
        <w:spacing w:after="0" w:line="251" w:lineRule="auto"/>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reference to an “Article” or a “Section” refers to an Article or Section, as the case may be, of this Indenture; and</w:t>
      </w:r>
    </w:p>
    <w:p>
      <w:pPr>
        <w:spacing w:after="0" w:line="173" w:lineRule="exact"/>
        <w:rPr>
          <w:rFonts w:ascii="Arial" w:cs="Arial" w:eastAsia="Arial" w:hAnsi="Arial"/>
          <w:sz w:val="22"/>
          <w:szCs w:val="22"/>
          <w:color w:val="auto"/>
        </w:rPr>
      </w:pPr>
    </w:p>
    <w:p>
      <w:pPr>
        <w:ind w:left="640" w:right="420" w:firstLine="648"/>
        <w:spacing w:after="0" w:line="251" w:lineRule="auto"/>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57" w:name="page58"/>
    <w:bookmarkEnd w:id="57"/>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when used with respect to any Holder, has the meaning specified in Section 104.</w:t>
      </w:r>
    </w:p>
    <w:p>
      <w:pPr>
        <w:spacing w:after="0" w:line="206"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9"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means any Person authorized by the Trustee pursuant to Section 611 hereof to act on behalf of the Trustee to authenticate Securities of one or more Series.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Authorized Newspaper</w:t>
      </w:r>
      <w:r>
        <w:rPr>
          <w:rFonts w:ascii="Arial" w:cs="Arial" w:eastAsia="Arial" w:hAnsi="Arial"/>
          <w:sz w:val="19"/>
          <w:szCs w:val="19"/>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Bearer Security</w:t>
      </w:r>
      <w:r>
        <w:rPr>
          <w:rFonts w:ascii="Arial" w:cs="Arial" w:eastAsia="Arial" w:hAnsi="Arial"/>
          <w:sz w:val="19"/>
          <w:szCs w:val="19"/>
          <w:color w:val="auto"/>
        </w:rPr>
        <w:t>” means any Security established pursuant to Section 201 which is payable to the bearer.</w:t>
      </w:r>
    </w:p>
    <w:p>
      <w:pPr>
        <w:spacing w:after="0" w:line="241"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67"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Resolution</w:t>
      </w:r>
      <w:r>
        <w:rPr>
          <w:rFonts w:ascii="Arial" w:cs="Arial" w:eastAsia="Arial" w:hAnsi="Arial"/>
          <w:sz w:val="21"/>
          <w:szCs w:val="21"/>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8"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8" w:lineRule="exact"/>
        <w:rPr>
          <w:sz w:val="20"/>
          <w:szCs w:val="20"/>
          <w:color w:val="auto"/>
        </w:rPr>
      </w:pPr>
    </w:p>
    <w:p>
      <w:pPr>
        <w:ind w:right="7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capital stock (including preferred stock), shares, interests, participations or other ownership interests (however designated) of such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58" w:name="page59"/>
    <w:bookmarkEnd w:id="58"/>
    <w:p>
      <w:pPr>
        <w:ind w:right="460"/>
        <w:spacing w:after="0" w:line="251" w:lineRule="auto"/>
        <w:rPr>
          <w:sz w:val="20"/>
          <w:szCs w:val="20"/>
          <w:color w:val="auto"/>
        </w:rPr>
      </w:pPr>
      <w:r>
        <w:rPr>
          <w:rFonts w:ascii="Arial" w:cs="Arial" w:eastAsia="Arial" w:hAnsi="Arial"/>
          <w:sz w:val="22"/>
          <w:szCs w:val="22"/>
          <w:color w:val="auto"/>
        </w:rPr>
        <w:t>Person and any rights (other than debt securities convertible into or exchangeable for corporate stock), warrants or options to purchase any thereof.</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means Clearstream Banking Luxembourg, société anonyme, or its successor.</w:t>
      </w:r>
    </w:p>
    <w:p>
      <w:pPr>
        <w:spacing w:after="0" w:line="206" w:lineRule="exact"/>
        <w:rPr>
          <w:sz w:val="20"/>
          <w:szCs w:val="20"/>
          <w:color w:val="auto"/>
        </w:rPr>
      </w:pPr>
    </w:p>
    <w:p>
      <w:pPr>
        <w:ind w:right="6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Price</w:t>
      </w:r>
      <w:r>
        <w:rPr>
          <w:rFonts w:ascii="Arial" w:cs="Arial" w:eastAsia="Arial" w:hAnsi="Arial"/>
          <w:sz w:val="22"/>
          <w:szCs w:val="22"/>
          <w:color w:val="auto"/>
        </w:rPr>
        <w:t>” means the closing price of a share of Common Stock of the Company as reported on the NASDAQ Global Select Market.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the regulations thereunder.</w:t>
      </w:r>
    </w:p>
    <w:p>
      <w:pPr>
        <w:spacing w:after="0" w:line="20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Commission</w:t>
      </w:r>
      <w:r>
        <w:rPr>
          <w:rFonts w:ascii="Arial" w:cs="Arial" w:eastAsia="Arial" w:hAnsi="Arial"/>
          <w:sz w:val="19"/>
          <w:szCs w:val="19"/>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Depository</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with respect to any Person, all shares of capital stock issued by such Person other than Preferred Stock.</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86"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Request</w:t>
      </w:r>
      <w:r>
        <w:rPr>
          <w:rFonts w:ascii="Arial" w:cs="Arial" w:eastAsia="Arial" w:hAnsi="Arial"/>
          <w:sz w:val="19"/>
          <w:szCs w:val="19"/>
          <w:color w:val="auto"/>
        </w:rPr>
        <w:t>” and “</w:t>
      </w:r>
      <w:r>
        <w:rPr>
          <w:rFonts w:ascii="Arial" w:cs="Arial" w:eastAsia="Arial" w:hAnsi="Arial"/>
          <w:sz w:val="19"/>
          <w:szCs w:val="19"/>
          <w:u w:val="single" w:color="auto"/>
          <w:color w:val="auto"/>
        </w:rPr>
        <w:t>Company Order</w:t>
      </w:r>
      <w:r>
        <w:rPr>
          <w:rFonts w:ascii="Arial" w:cs="Arial" w:eastAsia="Arial" w:hAnsi="Arial"/>
          <w:sz w:val="19"/>
          <w:szCs w:val="19"/>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Person</w:t>
      </w:r>
      <w:r>
        <w:rPr>
          <w:rFonts w:ascii="Arial" w:cs="Arial" w:eastAsia="Arial" w:hAnsi="Arial"/>
          <w:sz w:val="22"/>
          <w:szCs w:val="22"/>
          <w:color w:val="auto"/>
        </w:rPr>
        <w:t>” has the meaning specified in Section 1611.</w:t>
      </w:r>
    </w:p>
    <w:p>
      <w:pPr>
        <w:spacing w:after="0" w:line="20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Event</w:t>
      </w:r>
      <w:r>
        <w:rPr>
          <w:rFonts w:ascii="Arial" w:cs="Arial" w:eastAsia="Arial" w:hAnsi="Arial"/>
          <w:sz w:val="21"/>
          <w:szCs w:val="21"/>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Price</w:t>
      </w:r>
      <w:r>
        <w:rPr>
          <w:rFonts w:ascii="Arial" w:cs="Arial" w:eastAsia="Arial" w:hAnsi="Arial"/>
          <w:sz w:val="22"/>
          <w:szCs w:val="22"/>
          <w:color w:val="auto"/>
        </w:rPr>
        <w:t>” has the meaning specified in Section 1601.</w:t>
      </w:r>
    </w:p>
    <w:p>
      <w:pPr>
        <w:spacing w:after="0" w:line="206" w:lineRule="exact"/>
        <w:rPr>
          <w:sz w:val="20"/>
          <w:szCs w:val="20"/>
          <w:color w:val="auto"/>
        </w:rPr>
      </w:pPr>
    </w:p>
    <w:p>
      <w:pPr>
        <w:jc w:val="both"/>
        <w:ind w:right="4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office of the Trustee at which, at any particular time, its corporate trust business shall be principally administered, which office at the date hereof is located at [____________________].</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includes corporations, associations, companies and business trusts.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59" w:name="page60"/>
    <w:bookmarkEnd w:id="59"/>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coupon</w:t>
      </w:r>
      <w:r>
        <w:rPr>
          <w:rFonts w:ascii="Arial" w:cs="Arial" w:eastAsia="Arial" w:hAnsi="Arial"/>
          <w:sz w:val="22"/>
          <w:szCs w:val="22"/>
          <w:color w:val="auto"/>
        </w:rPr>
        <w:t>” means any interest coupon appertaining to a Bearer Security.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Defeasance</w:t>
      </w:r>
      <w:r>
        <w:rPr>
          <w:rFonts w:ascii="Arial" w:cs="Arial" w:eastAsia="Arial" w:hAnsi="Arial"/>
          <w:sz w:val="22"/>
          <w:szCs w:val="22"/>
          <w:color w:val="auto"/>
        </w:rPr>
        <w:t>” has the meaning specified in Section 1403.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Custodian</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Defaulted Interest</w:t>
      </w:r>
      <w:r>
        <w:rPr>
          <w:rFonts w:ascii="Arial" w:cs="Arial" w:eastAsia="Arial" w:hAnsi="Arial"/>
          <w:sz w:val="22"/>
          <w:szCs w:val="22"/>
          <w:color w:val="auto"/>
        </w:rPr>
        <w:t>” has the meaning specified in Section 307.</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w:t>
      </w:r>
      <w:r>
        <w:rPr>
          <w:rFonts w:ascii="Arial" w:cs="Arial" w:eastAsia="Arial" w:hAnsi="Arial"/>
          <w:sz w:val="22"/>
          <w:szCs w:val="22"/>
          <w:color w:val="auto"/>
        </w:rPr>
        <w:t>” has the meaning specified in Section 1402.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Record Date</w:t>
      </w:r>
      <w:r>
        <w:rPr>
          <w:rFonts w:ascii="Arial" w:cs="Arial" w:eastAsia="Arial" w:hAnsi="Arial"/>
          <w:sz w:val="22"/>
          <w:szCs w:val="22"/>
          <w:color w:val="auto"/>
        </w:rPr>
        <w:t>” has the meaning specified in Section 1611.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w:t>
      </w:r>
      <w:r>
        <w:rPr>
          <w:rFonts w:ascii="Arial" w:cs="Arial" w:eastAsia="Arial" w:hAnsi="Arial"/>
          <w:sz w:val="21"/>
          <w:szCs w:val="21"/>
          <w:color w:val="auto"/>
        </w:rPr>
        <w:t>” or the sign “</w:t>
      </w:r>
      <w:r>
        <w:rPr>
          <w:rFonts w:ascii="Arial" w:cs="Arial" w:eastAsia="Arial" w:hAnsi="Arial"/>
          <w:sz w:val="21"/>
          <w:szCs w:val="21"/>
          <w:u w:val="single" w:color="auto"/>
          <w:color w:val="auto"/>
        </w:rPr>
        <w:t>$</w:t>
      </w:r>
      <w:r>
        <w:rPr>
          <w:rFonts w:ascii="Arial" w:cs="Arial" w:eastAsia="Arial" w:hAnsi="Arial"/>
          <w:sz w:val="21"/>
          <w:szCs w:val="21"/>
          <w:color w:val="auto"/>
        </w:rPr>
        <w:t>” means a dollar or other equivalent unit in such coin or currency of the United States of America as at the time of payment is legal tender for the payment of public and private debts.</w:t>
      </w:r>
    </w:p>
    <w:p>
      <w:pPr>
        <w:spacing w:after="0" w:line="151"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and any successor to DTC in its capacity as depository for any Securities.</w:t>
      </w:r>
    </w:p>
    <w:p>
      <w:pPr>
        <w:spacing w:after="0" w:line="173"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ECU</w:t>
      </w:r>
      <w:r>
        <w:rPr>
          <w:rFonts w:ascii="Arial" w:cs="Arial" w:eastAsia="Arial" w:hAnsi="Arial"/>
          <w:sz w:val="22"/>
          <w:szCs w:val="22"/>
          <w:color w:val="auto"/>
        </w:rPr>
        <w:t>” means the European Currency Unit as defined and revised from time to time by the Council of the European Communities.</w:t>
      </w:r>
    </w:p>
    <w:p>
      <w:pPr>
        <w:spacing w:after="0" w:line="173"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Morgan Guaranty Trust Company of New York, Brussels office, or its successor, as operator of the Euroclear System.</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Communities</w:t>
      </w:r>
      <w:r>
        <w:rPr>
          <w:rFonts w:ascii="Arial" w:cs="Arial" w:eastAsia="Arial" w:hAnsi="Arial"/>
          <w:sz w:val="22"/>
          <w:szCs w:val="22"/>
          <w:color w:val="auto"/>
        </w:rPr>
        <w:t>” means the European Economic Community, the European Coal and Steel Community and the European Atomic Energy Community.</w:t>
      </w:r>
    </w:p>
    <w:p>
      <w:pPr>
        <w:spacing w:after="0" w:line="173" w:lineRule="exact"/>
        <w:rPr>
          <w:sz w:val="20"/>
          <w:szCs w:val="20"/>
          <w:color w:val="auto"/>
        </w:rPr>
      </w:pPr>
    </w:p>
    <w:p>
      <w:pPr>
        <w:ind w:right="9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Monetary System</w:t>
      </w:r>
      <w:r>
        <w:rPr>
          <w:rFonts w:ascii="Arial" w:cs="Arial" w:eastAsia="Arial" w:hAnsi="Arial"/>
          <w:sz w:val="22"/>
          <w:szCs w:val="22"/>
          <w:color w:val="auto"/>
        </w:rPr>
        <w:t>” means the European Monetary System established by the Resolution of December 5, 1978 of the Council of the European Communities.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specified in Article Five.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means the Securities Exchange Act of 1934, as amended, as in force at the date as of which this Indenture was executed;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Exchange Act is amended after such date, “Exchange Act” means to the extent required by any such amendment, the Exchange Act as so amended.</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60" w:name="page61"/>
    <w:bookmarkEnd w:id="60"/>
    <w:p>
      <w:pPr>
        <w:ind w:right="4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except as otherwise provided herein, generally accepted accounting principles, as in effect from time to time, as used in the United States applied on a consistent basis.</w:t>
      </w:r>
    </w:p>
    <w:p>
      <w:pPr>
        <w:spacing w:after="0" w:line="17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w:t>
      </w:r>
      <w:r>
        <w:rPr>
          <w:rFonts w:ascii="Arial" w:cs="Arial" w:eastAsia="Arial" w:hAnsi="Arial"/>
          <w:sz w:val="22"/>
          <w:szCs w:val="22"/>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86"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 Obligations</w:t>
      </w:r>
      <w:r>
        <w:rPr>
          <w:rFonts w:ascii="Arial" w:cs="Arial" w:eastAsia="Arial" w:hAnsi="Arial"/>
          <w:sz w:val="21"/>
          <w:szCs w:val="21"/>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200" w:lineRule="exact"/>
        <w:rPr>
          <w:sz w:val="20"/>
          <w:szCs w:val="20"/>
          <w:color w:val="auto"/>
        </w:rPr>
      </w:pPr>
    </w:p>
    <w:p>
      <w:pPr>
        <w:spacing w:after="0" w:line="209" w:lineRule="exact"/>
        <w:rPr>
          <w:sz w:val="20"/>
          <w:szCs w:val="20"/>
          <w:color w:val="auto"/>
        </w:rPr>
      </w:pPr>
    </w:p>
    <w:p>
      <w:pPr>
        <w:ind w:right="3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Indexed Security</w:t>
      </w:r>
      <w:r>
        <w:rPr>
          <w:rFonts w:ascii="Arial" w:cs="Arial" w:eastAsia="Arial" w:hAnsi="Arial"/>
          <w:sz w:val="21"/>
          <w:szCs w:val="21"/>
          <w:color w:val="auto"/>
        </w:rPr>
        <w:t>” means a Security the terms of which provide that the principal amount thereof payable at Stated Maturity may be more or less than the principal face amount thereof at original issuance.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1" w:name="page62"/>
    <w:bookmarkEnd w:id="61"/>
    <w:p>
      <w:pPr>
        <w:ind w:righ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when used with respect to an Original Issue Discount Security which by its terms bears interest only after Maturity, shall mean interest payable after Maturity.</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when used with respect to any Security, means the Stated Maturity of an installment of interest on such Security.</w:t>
      </w:r>
    </w:p>
    <w:p>
      <w:pPr>
        <w:spacing w:after="0" w:line="173"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Make-Whole Amount</w:t>
      </w:r>
      <w:r>
        <w:rPr>
          <w:rFonts w:ascii="Arial" w:cs="Arial" w:eastAsia="Arial" w:hAnsi="Arial"/>
          <w:sz w:val="21"/>
          <w:szCs w:val="21"/>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 of the Distribution</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w:t>
      </w:r>
      <w:r>
        <w:rPr>
          <w:rFonts w:ascii="Arial" w:cs="Arial" w:eastAsia="Arial" w:hAnsi="Arial"/>
          <w:sz w:val="19"/>
          <w:szCs w:val="19"/>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48"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of counsel, who may be counsel for the Company or who may be an employee of or other counsel for the Company.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Issue Discount Security</w:t>
      </w:r>
      <w:r>
        <w:rPr>
          <w:rFonts w:ascii="Arial" w:cs="Arial" w:eastAsia="Arial" w:hAnsi="Arial"/>
          <w:sz w:val="22"/>
          <w:szCs w:val="22"/>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6" w:lineRule="exact"/>
        <w:rPr>
          <w:sz w:val="20"/>
          <w:szCs w:val="20"/>
          <w:color w:val="auto"/>
        </w:rPr>
      </w:pPr>
    </w:p>
    <w:p>
      <w:pPr>
        <w:ind w:right="5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w:t>
      </w:r>
      <w:r>
        <w:rPr>
          <w:rFonts w:ascii="Arial" w:cs="Arial" w:eastAsia="Arial" w:hAnsi="Arial"/>
          <w:sz w:val="22"/>
          <w:szCs w:val="22"/>
          <w:color w:val="auto"/>
        </w:rPr>
        <w:t xml:space="preserve">,” when used with respect to Securities, means, as of the date of determination, all Securities theretofore authenticated and delivered under this Indenture, </w:t>
      </w:r>
      <w:r>
        <w:rPr>
          <w:rFonts w:ascii="Arial" w:cs="Arial" w:eastAsia="Arial" w:hAnsi="Arial"/>
          <w:sz w:val="22"/>
          <w:szCs w:val="22"/>
          <w:u w:val="single" w:color="auto"/>
          <w:color w:val="auto"/>
        </w:rPr>
        <w:t>except</w:t>
      </w:r>
      <w:r>
        <w:rPr>
          <w:rFonts w:ascii="Arial" w:cs="Arial" w:eastAsia="Arial" w:hAnsi="Arial"/>
          <w:sz w:val="22"/>
          <w:szCs w:val="22"/>
          <w:color w:val="auto"/>
        </w:rPr>
        <w:t>:</w:t>
      </w:r>
    </w:p>
    <w:p>
      <w:pPr>
        <w:spacing w:after="0" w:line="173" w:lineRule="exact"/>
        <w:rPr>
          <w:sz w:val="20"/>
          <w:szCs w:val="20"/>
          <w:color w:val="auto"/>
        </w:rPr>
      </w:pPr>
    </w:p>
    <w:p>
      <w:pPr>
        <w:ind w:left="2580" w:hanging="644"/>
        <w:spacing w:after="0"/>
        <w:tabs>
          <w:tab w:leader="none" w:pos="25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Securities theretofore canceled by the Trustee or delivered to the Trustee for cancellation;</w:t>
      </w:r>
    </w:p>
    <w:p>
      <w:pPr>
        <w:spacing w:after="0" w:line="240" w:lineRule="exact"/>
        <w:rPr>
          <w:rFonts w:ascii="Arial" w:cs="Arial" w:eastAsia="Arial" w:hAnsi="Arial"/>
          <w:sz w:val="19"/>
          <w:szCs w:val="19"/>
          <w:color w:val="auto"/>
        </w:rPr>
      </w:pPr>
    </w:p>
    <w:p>
      <w:pPr>
        <w:jc w:val="both"/>
        <w:ind w:left="1280" w:firstLine="656"/>
        <w:spacing w:after="0"/>
        <w:tabs>
          <w:tab w:leader="none" w:pos="257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Securities, or portions thereof, for whose payment or redemption (including repayment at the option of the Holder) money in the necessary amount has been theretofore deposited with the Trustee or any Paying Agent (other than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62" w:name="page63"/>
    <w:bookmarkEnd w:id="62"/>
    <w:p>
      <w:pPr>
        <w:ind w:left="1280" w:right="100"/>
        <w:spacing w:after="0" w:line="287" w:lineRule="auto"/>
        <w:rPr>
          <w:sz w:val="20"/>
          <w:szCs w:val="20"/>
          <w:color w:val="auto"/>
        </w:rPr>
      </w:pPr>
      <w:r>
        <w:rPr>
          <w:rFonts w:ascii="Arial" w:cs="Arial" w:eastAsia="Arial" w:hAnsi="Arial"/>
          <w:sz w:val="19"/>
          <w:szCs w:val="19"/>
          <w:color w:val="auto"/>
        </w:rPr>
        <w:t xml:space="preserve">the Company) in trust or set aside and segregated in trust by the Company (if the Company shall act as its own Paying Agent) for the Holders of such Securities and any coupons appertaining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Securities are to be redeemed, notice of such redemption has been duly given pursuant to this Indenture or provision therefor satisfactory to the Trustee has been made;</w:t>
      </w:r>
    </w:p>
    <w:p>
      <w:pPr>
        <w:spacing w:after="0" w:line="143" w:lineRule="exact"/>
        <w:rPr>
          <w:sz w:val="20"/>
          <w:szCs w:val="20"/>
          <w:color w:val="auto"/>
        </w:rPr>
      </w:pPr>
    </w:p>
    <w:p>
      <w:pPr>
        <w:ind w:left="1280" w:right="540" w:firstLine="656"/>
        <w:spacing w:after="0"/>
        <w:tabs>
          <w:tab w:leader="none" w:pos="263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Securities, except to the extent provided in Sections 1402 and 1403, with respect to which the Company has effected Defeasance and/or Covenant Defeasance as provided in Article Fourteen; and</w:t>
      </w:r>
    </w:p>
    <w:p>
      <w:pPr>
        <w:spacing w:after="0" w:line="186" w:lineRule="exact"/>
        <w:rPr>
          <w:rFonts w:ascii="Arial" w:cs="Arial" w:eastAsia="Arial" w:hAnsi="Arial"/>
          <w:sz w:val="22"/>
          <w:szCs w:val="22"/>
          <w:color w:val="auto"/>
        </w:rPr>
      </w:pPr>
    </w:p>
    <w:p>
      <w:pPr>
        <w:ind w:left="1280" w:right="120" w:firstLine="656"/>
        <w:spacing w:after="0" w:line="236" w:lineRule="auto"/>
        <w:tabs>
          <w:tab w:leader="none" w:pos="26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3" w:name="page64"/>
    <w:bookmarkEnd w:id="63"/>
    <w:p>
      <w:pPr>
        <w:ind w:right="2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Paying Agent</w:t>
      </w:r>
      <w:r>
        <w:rPr>
          <w:rFonts w:ascii="Arial" w:cs="Arial" w:eastAsia="Arial" w:hAnsi="Arial"/>
          <w:sz w:val="21"/>
          <w:szCs w:val="21"/>
          <w:color w:val="auto"/>
        </w:rPr>
        <w:t>” means any Person authorized by the Company to pay the principal of (and premium or Make-Whole Amount, if any) or interest on any Securities or coupons on behalf of the Company.</w:t>
      </w:r>
    </w:p>
    <w:p>
      <w:pPr>
        <w:spacing w:after="0" w:line="151"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joint venture, association, joint</w:t>
      </w:r>
      <w:r>
        <w:rPr>
          <w:rFonts w:ascii="MS PGothic" w:cs="MS PGothic" w:eastAsia="MS PGothic" w:hAnsi="MS PGothic"/>
          <w:sz w:val="22"/>
          <w:szCs w:val="22"/>
          <w:color w:val="auto"/>
        </w:rPr>
        <w:t>‑</w:t>
      </w:r>
      <w:r>
        <w:rPr>
          <w:rFonts w:ascii="Arial" w:cs="Arial" w:eastAsia="Arial" w:hAnsi="Arial"/>
          <w:sz w:val="22"/>
          <w:szCs w:val="22"/>
          <w:color w:val="auto"/>
        </w:rPr>
        <w:t>stock company, trust, unincorporated organization or government or any agency or political subdivision thereof, or any other entity or organization.</w:t>
      </w:r>
    </w:p>
    <w:p>
      <w:pPr>
        <w:spacing w:after="0" w:line="18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Place of Payment</w:t>
      </w:r>
      <w:r>
        <w:rPr>
          <w:rFonts w:ascii="Arial" w:cs="Arial" w:eastAsia="Arial" w:hAnsi="Arial"/>
          <w:sz w:val="22"/>
          <w:szCs w:val="22"/>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86"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Predecessor Security</w:t>
      </w:r>
      <w:r>
        <w:rPr>
          <w:rFonts w:ascii="Arial" w:cs="Arial" w:eastAsia="Arial" w:hAnsi="Arial"/>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34"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when used with respect to any Security to be redeemed, in whole or in part, means the date fixed for such redemption by or pursuant to this Indenture.</w:t>
      </w:r>
    </w:p>
    <w:p>
      <w:pPr>
        <w:spacing w:after="0" w:line="17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Price</w:t>
      </w:r>
      <w:r>
        <w:rPr>
          <w:rFonts w:ascii="Arial" w:cs="Arial" w:eastAsia="Arial" w:hAnsi="Arial"/>
          <w:sz w:val="22"/>
          <w:szCs w:val="22"/>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Security</w:t>
      </w:r>
      <w:r>
        <w:rPr>
          <w:rFonts w:ascii="Arial" w:cs="Arial" w:eastAsia="Arial" w:hAnsi="Arial"/>
          <w:sz w:val="22"/>
          <w:szCs w:val="22"/>
          <w:color w:val="auto"/>
        </w:rPr>
        <w:t>” shall mean any Security which is registered in the Security Register.</w:t>
      </w:r>
    </w:p>
    <w:p>
      <w:pPr>
        <w:spacing w:after="0" w:line="206"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for the interest payable on any Interest Payment Date on the Registered Securities of or within any series means the date specified for that purpose as contemplated by Section 301, whether or not a Business Day.</w:t>
      </w:r>
    </w:p>
    <w:p>
      <w:pPr>
        <w:spacing w:after="0" w:line="186"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Date</w:t>
      </w:r>
      <w:r>
        <w:rPr>
          <w:rFonts w:ascii="Arial" w:cs="Arial" w:eastAsia="Arial" w:hAnsi="Arial"/>
          <w:sz w:val="22"/>
          <w:szCs w:val="22"/>
          <w:color w:val="auto"/>
        </w:rPr>
        <w:t>” means, when used with respect to any Security to be repaid at the option of the Holder, the date fixed for such repayment by or pursuant to this Indenture.</w:t>
      </w:r>
    </w:p>
    <w:p>
      <w:pPr>
        <w:spacing w:after="0" w:line="173"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Price</w:t>
      </w:r>
      <w:r>
        <w:rPr>
          <w:rFonts w:ascii="Arial" w:cs="Arial" w:eastAsia="Arial" w:hAnsi="Arial"/>
          <w:sz w:val="22"/>
          <w:szCs w:val="22"/>
          <w:color w:val="auto"/>
        </w:rPr>
        <w:t>” means, when used with respect to any Security to be repaid at the option of the Holder, the price at which it is to be repaid by or pursuant to this Indenture.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4" w:name="page65"/>
    <w:bookmarkEnd w:id="64"/>
    <w:p>
      <w:pPr>
        <w:ind w:right="8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Record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8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w:t>
      </w:r>
      <w:r>
        <w:rPr>
          <w:rFonts w:ascii="Arial" w:cs="Arial" w:eastAsia="Arial" w:hAnsi="Arial"/>
          <w:sz w:val="21"/>
          <w:szCs w:val="21"/>
          <w:color w:val="auto"/>
        </w:rPr>
        <w:t>” and “</w:t>
      </w:r>
      <w:r>
        <w:rPr>
          <w:rFonts w:ascii="Arial" w:cs="Arial" w:eastAsia="Arial" w:hAnsi="Arial"/>
          <w:sz w:val="21"/>
          <w:szCs w:val="21"/>
          <w:u w:val="single" w:color="auto"/>
          <w:color w:val="auto"/>
        </w:rPr>
        <w:t>Securities</w:t>
      </w:r>
      <w:r>
        <w:rPr>
          <w:rFonts w:ascii="Arial" w:cs="Arial" w:eastAsia="Arial" w:hAnsi="Arial"/>
          <w:sz w:val="21"/>
          <w:szCs w:val="21"/>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Register</w:t>
      </w:r>
      <w:r>
        <w:rPr>
          <w:rFonts w:ascii="Arial" w:cs="Arial" w:eastAsia="Arial" w:hAnsi="Arial"/>
          <w:sz w:val="22"/>
          <w:szCs w:val="22"/>
          <w:color w:val="auto"/>
        </w:rPr>
        <w:t>” and “</w:t>
      </w:r>
      <w:r>
        <w:rPr>
          <w:rFonts w:ascii="Arial" w:cs="Arial" w:eastAsia="Arial" w:hAnsi="Arial"/>
          <w:sz w:val="22"/>
          <w:szCs w:val="22"/>
          <w:u w:val="single" w:color="auto"/>
          <w:color w:val="auto"/>
        </w:rPr>
        <w:t>Security Registrar</w:t>
      </w:r>
      <w:r>
        <w:rPr>
          <w:rFonts w:ascii="Arial" w:cs="Arial" w:eastAsia="Arial" w:hAnsi="Arial"/>
          <w:sz w:val="22"/>
          <w:szCs w:val="22"/>
          <w:color w:val="auto"/>
        </w:rPr>
        <w:t>” have the respective meanings specified in Section 305.</w:t>
      </w:r>
    </w:p>
    <w:p>
      <w:pPr>
        <w:spacing w:after="0" w:line="206"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Series</w:t>
      </w:r>
      <w:r>
        <w:rPr>
          <w:rFonts w:ascii="Arial" w:cs="Arial" w:eastAsia="Arial" w:hAnsi="Arial"/>
          <w:sz w:val="22"/>
          <w:szCs w:val="22"/>
          <w:color w:val="auto"/>
        </w:rPr>
        <w:t>” of Securities means all securities denoted as part of the same series authorized by or pursuant to a particular Board Resolution.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Term Rights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means any Subsidiary which is a “significant subsidiary” (as defined in Article I, Rule 1</w:t>
      </w:r>
      <w:r>
        <w:rPr>
          <w:rFonts w:ascii="MS PGothic" w:cs="MS PGothic" w:eastAsia="MS PGothic" w:hAnsi="MS PGothic"/>
          <w:sz w:val="21"/>
          <w:szCs w:val="21"/>
          <w:color w:val="auto"/>
        </w:rPr>
        <w:t>‑</w:t>
      </w:r>
      <w:r>
        <w:rPr>
          <w:rFonts w:ascii="Arial" w:cs="Arial" w:eastAsia="Arial" w:hAnsi="Arial"/>
          <w:sz w:val="21"/>
          <w:szCs w:val="21"/>
          <w:color w:val="auto"/>
        </w:rPr>
        <w:t>02 of Regulation S</w:t>
      </w:r>
      <w:r>
        <w:rPr>
          <w:rFonts w:ascii="MS PGothic" w:cs="MS PGothic" w:eastAsia="MS PGothic" w:hAnsi="MS PGothic"/>
          <w:sz w:val="21"/>
          <w:szCs w:val="21"/>
          <w:color w:val="auto"/>
        </w:rPr>
        <w:t>‑</w:t>
      </w:r>
      <w:r>
        <w:rPr>
          <w:rFonts w:ascii="Arial" w:cs="Arial" w:eastAsia="Arial" w:hAnsi="Arial"/>
          <w:sz w:val="21"/>
          <w:szCs w:val="21"/>
          <w:color w:val="auto"/>
        </w:rPr>
        <w:t>X, promulgated under the Securities Act of 1933, as amended) of the Company.</w:t>
      </w:r>
    </w:p>
    <w:p>
      <w:pPr>
        <w:spacing w:after="0" w:line="18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Record Date</w:t>
      </w:r>
      <w:r>
        <w:rPr>
          <w:rFonts w:ascii="Arial" w:cs="Arial" w:eastAsia="Arial" w:hAnsi="Arial"/>
          <w:sz w:val="22"/>
          <w:szCs w:val="22"/>
          <w:color w:val="auto"/>
        </w:rPr>
        <w:t>” for the payment of any Defaulted Interest on the Registered Securities of or within any series means a date fixed by the Company pursuant to Section 307.</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Maturity</w:t>
      </w:r>
      <w:r>
        <w:rPr>
          <w:rFonts w:ascii="Arial" w:cs="Arial" w:eastAsia="Arial" w:hAnsi="Arial"/>
          <w:sz w:val="19"/>
          <w:szCs w:val="19"/>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3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5" w:name="page66"/>
    <w:bookmarkEnd w:id="65"/>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any day on which the NASDAQ Global Select Market is open for business.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Indenture Act</w:t>
      </w:r>
      <w:r>
        <w:rPr>
          <w:rFonts w:ascii="Arial" w:cs="Arial" w:eastAsia="Arial" w:hAnsi="Arial"/>
          <w:sz w:val="22"/>
          <w:szCs w:val="22"/>
          <w:color w:val="auto"/>
        </w:rPr>
        <w:t>” or “</w:t>
      </w:r>
      <w:r>
        <w:rPr>
          <w:rFonts w:ascii="Arial" w:cs="Arial" w:eastAsia="Arial" w:hAnsi="Arial"/>
          <w:sz w:val="22"/>
          <w:szCs w:val="22"/>
          <w:u w:val="single" w:color="auto"/>
          <w:color w:val="auto"/>
        </w:rPr>
        <w:t>TIA</w:t>
      </w:r>
      <w:r>
        <w:rPr>
          <w:rFonts w:ascii="Arial" w:cs="Arial" w:eastAsia="Arial" w:hAnsi="Arial"/>
          <w:sz w:val="22"/>
          <w:szCs w:val="22"/>
          <w:color w:val="auto"/>
        </w:rPr>
        <w:t xml:space="preserve"> ” means the Trust Indenture Act of 1939, as amended and as in force at the date as of which this Indenture was executed, except as provided in Section 905.</w:t>
      </w:r>
    </w:p>
    <w:p>
      <w:pPr>
        <w:spacing w:after="0" w:line="17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at any time there is more than one such Person, “Trustee” as used with respect to the Securities of any series shall mean only the Trustee with respect to Securities of that series.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Distribution</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8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 Person</w:t>
      </w:r>
      <w:r>
        <w:rPr>
          <w:rFonts w:ascii="Arial" w:cs="Arial" w:eastAsia="Arial" w:hAnsi="Arial"/>
          <w:sz w:val="22"/>
          <w:szCs w:val="22"/>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Yield to Maturity</w:t>
      </w:r>
      <w:r>
        <w:rPr>
          <w:rFonts w:ascii="Arial" w:cs="Arial" w:eastAsia="Arial" w:hAnsi="Arial"/>
          <w:sz w:val="22"/>
          <w:szCs w:val="22"/>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6"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Compliance Certificates and Opinions</w:t>
      </w:r>
      <w:r>
        <w:rPr>
          <w:rFonts w:ascii="Arial" w:cs="Arial" w:eastAsia="Arial" w:hAnsi="Arial"/>
          <w:sz w:val="19"/>
          <w:szCs w:val="19"/>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Every certificate or opinion with respect to compliance with a condition or covenant provided for in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Indenture (including certificates delivered pursuant to Section 1008) shall include: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6" w:name="page67"/>
    <w:bookmarkEnd w:id="66"/>
    <w:p>
      <w:pPr>
        <w:ind w:left="640" w:right="400" w:firstLine="648"/>
        <w:spacing w:after="0" w:line="251" w:lineRule="auto"/>
        <w:tabs>
          <w:tab w:leader="none" w:pos="19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condition or covenant and the definitions herein relating thereto;</w:t>
      </w:r>
    </w:p>
    <w:p>
      <w:pPr>
        <w:spacing w:after="0" w:line="173" w:lineRule="exact"/>
        <w:rPr>
          <w:rFonts w:ascii="Arial" w:cs="Arial" w:eastAsia="Arial" w:hAnsi="Arial"/>
          <w:sz w:val="22"/>
          <w:szCs w:val="22"/>
          <w:color w:val="auto"/>
        </w:rPr>
      </w:pPr>
    </w:p>
    <w:p>
      <w:pPr>
        <w:ind w:left="640" w:right="280" w:firstLine="648"/>
        <w:spacing w:after="0" w:line="251" w:lineRule="auto"/>
        <w:tabs>
          <w:tab w:leader="none" w:pos="19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3" w:lineRule="exact"/>
        <w:rPr>
          <w:rFonts w:ascii="Arial" w:cs="Arial" w:eastAsia="Arial" w:hAnsi="Arial"/>
          <w:sz w:val="22"/>
          <w:szCs w:val="22"/>
          <w:color w:val="auto"/>
        </w:rPr>
      </w:pPr>
    </w:p>
    <w:p>
      <w:pPr>
        <w:ind w:left="640" w:firstLine="648"/>
        <w:spacing w:after="0"/>
        <w:tabs>
          <w:tab w:leader="none" w:pos="19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86" w:lineRule="exact"/>
        <w:rPr>
          <w:rFonts w:ascii="Arial" w:cs="Arial" w:eastAsia="Arial" w:hAnsi="Arial"/>
          <w:sz w:val="22"/>
          <w:szCs w:val="22"/>
          <w:color w:val="auto"/>
        </w:rPr>
      </w:pPr>
    </w:p>
    <w:p>
      <w:pPr>
        <w:ind w:left="640" w:right="120" w:firstLine="648"/>
        <w:spacing w:after="0" w:line="251" w:lineRule="auto"/>
        <w:tabs>
          <w:tab w:leader="none" w:pos="19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individual, such condition or covenant has been complied with.</w:t>
      </w:r>
    </w:p>
    <w:p>
      <w:pPr>
        <w:spacing w:after="0" w:line="17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Form of Documents Delivered to Trustee</w:t>
      </w:r>
      <w:r>
        <w:rPr>
          <w:rFonts w:ascii="Arial" w:cs="Arial" w:eastAsia="Arial" w:hAnsi="Arial"/>
          <w:sz w:val="19"/>
          <w:szCs w:val="19"/>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8"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1"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Acts of Holders</w:t>
      </w:r>
      <w:r>
        <w:rPr>
          <w:rFonts w:ascii="Arial" w:cs="Arial" w:eastAsia="Arial" w:hAnsi="Arial"/>
          <w:sz w:val="19"/>
          <w:szCs w:val="19"/>
          <w:color w:val="auto"/>
        </w:rPr>
        <w:t>.</w:t>
      </w:r>
    </w:p>
    <w:p>
      <w:pPr>
        <w:spacing w:after="0" w:line="206" w:lineRule="exact"/>
        <w:rPr>
          <w:sz w:val="20"/>
          <w:szCs w:val="20"/>
          <w:color w:val="auto"/>
        </w:rPr>
      </w:pPr>
    </w:p>
    <w:p>
      <w:pPr>
        <w:ind w:right="20" w:firstLine="1288"/>
        <w:spacing w:after="0" w:line="275" w:lineRule="auto"/>
        <w:tabs>
          <w:tab w:leader="none" w:pos="1902"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7" w:name="page68"/>
    <w:bookmarkEnd w:id="67"/>
    <w:p>
      <w:pPr>
        <w:ind w:right="80"/>
        <w:spacing w:after="0" w:line="274" w:lineRule="auto"/>
        <w:rPr>
          <w:sz w:val="20"/>
          <w:szCs w:val="20"/>
          <w:color w:val="auto"/>
        </w:rPr>
      </w:pPr>
      <w:r>
        <w:rPr>
          <w:rFonts w:ascii="Arial" w:cs="Arial" w:eastAsia="Arial" w:hAnsi="Arial"/>
          <w:sz w:val="19"/>
          <w:szCs w:val="19"/>
          <w:color w:val="auto"/>
        </w:rPr>
        <w:t>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59" w:lineRule="exact"/>
        <w:rPr>
          <w:sz w:val="20"/>
          <w:szCs w:val="20"/>
          <w:color w:val="auto"/>
        </w:rPr>
      </w:pPr>
    </w:p>
    <w:p>
      <w:pPr>
        <w:ind w:right="20" w:firstLine="1288"/>
        <w:spacing w:after="0" w:line="247" w:lineRule="auto"/>
        <w:tabs>
          <w:tab w:leader="none" w:pos="1923"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78" w:lineRule="exact"/>
        <w:rPr>
          <w:rFonts w:ascii="Arial" w:cs="Arial" w:eastAsia="Arial" w:hAnsi="Arial"/>
          <w:sz w:val="21"/>
          <w:szCs w:val="21"/>
          <w:color w:val="auto"/>
        </w:rPr>
      </w:pPr>
    </w:p>
    <w:p>
      <w:pPr>
        <w:ind w:firstLine="1288"/>
        <w:spacing w:after="0"/>
        <w:tabs>
          <w:tab w:leader="none" w:pos="191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86" w:lineRule="exact"/>
        <w:rPr>
          <w:rFonts w:ascii="Arial" w:cs="Arial" w:eastAsia="Arial" w:hAnsi="Arial"/>
          <w:sz w:val="22"/>
          <w:szCs w:val="22"/>
          <w:color w:val="auto"/>
        </w:rPr>
      </w:pPr>
    </w:p>
    <w:p>
      <w:pPr>
        <w:ind w:firstLine="1288"/>
        <w:spacing w:after="0" w:line="273" w:lineRule="auto"/>
        <w:tabs>
          <w:tab w:leader="none" w:pos="1923"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1" w:lineRule="exact"/>
        <w:rPr>
          <w:rFonts w:ascii="Arial" w:cs="Arial" w:eastAsia="Arial" w:hAnsi="Arial"/>
          <w:sz w:val="19"/>
          <w:szCs w:val="19"/>
          <w:color w:val="auto"/>
        </w:rPr>
      </w:pPr>
    </w:p>
    <w:p>
      <w:pPr>
        <w:ind w:right="120" w:firstLine="1288"/>
        <w:spacing w:after="0" w:line="271" w:lineRule="auto"/>
        <w:tabs>
          <w:tab w:leader="none" w:pos="1914"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w:t>
      </w:r>
    </w:p>
    <w:p>
      <w:pPr>
        <w:spacing w:after="0" w:line="3" w:lineRule="exact"/>
        <w:rPr>
          <w:rFonts w:ascii="Arial" w:cs="Arial" w:eastAsia="Arial" w:hAnsi="Arial"/>
          <w:sz w:val="19"/>
          <w:szCs w:val="19"/>
          <w:color w:val="auto"/>
        </w:rPr>
      </w:pPr>
    </w:p>
    <w:p>
      <w:pPr>
        <w:ind w:right="540"/>
        <w:spacing w:after="0" w:line="237" w:lineRule="auto"/>
        <w:rPr>
          <w:rFonts w:ascii="Arial" w:cs="Arial" w:eastAsia="Arial" w:hAnsi="Arial"/>
          <w:sz w:val="19"/>
          <w:szCs w:val="19"/>
          <w:color w:val="auto"/>
        </w:rPr>
      </w:pPr>
      <w:r>
        <w:rPr>
          <w:rFonts w:ascii="Arial" w:cs="Arial" w:eastAsia="Arial" w:hAnsi="Arial"/>
          <w:sz w:val="22"/>
          <w:szCs w:val="22"/>
          <w:color w:val="auto"/>
        </w:rPr>
        <w:t>so. Notwithstanding TIA Section 316(c), such record date shall be the record date specified in or pursuant to such Board Resolution, which shall be a date not earlier than the date 30 days prior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68" w:name="page69"/>
    <w:bookmarkEnd w:id="68"/>
    <w:p>
      <w:pPr>
        <w:ind w:right="120"/>
        <w:spacing w:after="0" w:line="245" w:lineRule="auto"/>
        <w:rPr>
          <w:sz w:val="20"/>
          <w:szCs w:val="20"/>
          <w:color w:val="auto"/>
        </w:rPr>
      </w:pPr>
      <w:r>
        <w:rPr>
          <w:rFonts w:ascii="Arial" w:cs="Arial" w:eastAsia="Arial" w:hAnsi="Arial"/>
          <w:sz w:val="21"/>
          <w:szCs w:val="21"/>
          <w:color w:val="auto"/>
        </w:rPr>
        <w:t xml:space="preserve">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85" w:lineRule="exact"/>
        <w:rPr>
          <w:sz w:val="20"/>
          <w:szCs w:val="20"/>
          <w:color w:val="auto"/>
        </w:rPr>
      </w:pPr>
    </w:p>
    <w:p>
      <w:pPr>
        <w:ind w:right="140" w:firstLine="1288"/>
        <w:spacing w:after="0" w:line="235" w:lineRule="auto"/>
        <w:tabs>
          <w:tab w:leader="none" w:pos="1879"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8"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Notices, etc., to Trustee and Company</w:t>
      </w:r>
      <w:r>
        <w:rPr>
          <w:rFonts w:ascii="Arial" w:cs="Arial" w:eastAsia="Arial" w:hAnsi="Arial"/>
          <w:sz w:val="22"/>
          <w:szCs w:val="22"/>
          <w:color w:val="auto"/>
        </w:rPr>
        <w:t>. Any request, demand, authorization, direction, notice, consent, waiver or Act of Holders or other document provided or permitted by this Indenture to be made upon, given or furnished to, or filed with,</w:t>
      </w:r>
    </w:p>
    <w:p>
      <w:pPr>
        <w:spacing w:after="0" w:line="186" w:lineRule="exact"/>
        <w:rPr>
          <w:sz w:val="20"/>
          <w:szCs w:val="20"/>
          <w:color w:val="auto"/>
        </w:rPr>
      </w:pPr>
    </w:p>
    <w:p>
      <w:pPr>
        <w:ind w:left="640" w:right="220" w:firstLine="648"/>
        <w:spacing w:after="0" w:line="297" w:lineRule="auto"/>
        <w:tabs>
          <w:tab w:leader="none" w:pos="19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Trustee by any Holder or by the Company shall be sufficient for every purpose hereunder if made, given, furnished or filed in writing to or with the Trustee at [_________________________] or at any other address previously furnished in writing to the Company by the Trustee, Attention: [__________]; or</w:t>
      </w:r>
    </w:p>
    <w:p>
      <w:pPr>
        <w:spacing w:after="0" w:line="134" w:lineRule="exact"/>
        <w:rPr>
          <w:rFonts w:ascii="Arial" w:cs="Arial" w:eastAsia="Arial" w:hAnsi="Arial"/>
          <w:sz w:val="19"/>
          <w:szCs w:val="19"/>
          <w:color w:val="auto"/>
        </w:rPr>
      </w:pPr>
    </w:p>
    <w:p>
      <w:pPr>
        <w:ind w:left="640" w:right="20" w:firstLine="648"/>
        <w:spacing w:after="0" w:line="287" w:lineRule="auto"/>
        <w:tabs>
          <w:tab w:leader="none" w:pos="19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143" w:lineRule="exact"/>
        <w:rPr>
          <w:rFonts w:ascii="Arial" w:cs="Arial" w:eastAsia="Arial" w:hAnsi="Arial"/>
          <w:sz w:val="19"/>
          <w:szCs w:val="19"/>
          <w:color w:val="auto"/>
        </w:rPr>
      </w:pPr>
    </w:p>
    <w:p>
      <w:pPr>
        <w:jc w:val="both"/>
        <w:ind w:left="640" w:right="320" w:firstLine="648"/>
        <w:spacing w:after="0" w:line="252" w:lineRule="auto"/>
        <w:tabs>
          <w:tab w:leader="none" w:pos="1918" w:val="left"/>
        </w:tabs>
        <w:numPr>
          <w:ilvl w:val="0"/>
          <w:numId w:val="55"/>
        </w:numPr>
        <w:rPr>
          <w:rFonts w:ascii="Arial" w:cs="Arial" w:eastAsia="Arial" w:hAnsi="Arial"/>
          <w:sz w:val="21"/>
          <w:szCs w:val="21"/>
          <w:color w:val="auto"/>
        </w:rPr>
      </w:pPr>
      <w:r>
        <w:rPr>
          <w:rFonts w:ascii="Arial" w:cs="Arial" w:eastAsia="Arial" w:hAnsi="Arial"/>
          <w:sz w:val="21"/>
          <w:szCs w:val="21"/>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74" w:lineRule="exact"/>
        <w:rPr>
          <w:sz w:val="20"/>
          <w:szCs w:val="20"/>
          <w:color w:val="auto"/>
        </w:rPr>
      </w:pPr>
    </w:p>
    <w:p>
      <w:pPr>
        <w:ind w:firstLine="648"/>
        <w:spacing w:after="0" w:line="248" w:lineRule="exact"/>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Notice to Holders; Waiver</w:t>
      </w:r>
      <w:r>
        <w:rPr>
          <w:rFonts w:ascii="Arial" w:cs="Arial" w:eastAsia="Arial" w:hAnsi="Arial"/>
          <w:sz w:val="21"/>
          <w:szCs w:val="21"/>
          <w:color w:val="auto"/>
        </w:rPr>
        <w:t>. Where this Indenture provides for notice of any event to Holders of Registered Securities by the Company or the Trustee, such notice shall be sufficiently given (unless otherwise herein expressly provided) if in writing and mailed, first</w:t>
      </w:r>
      <w:r>
        <w:rPr>
          <w:rFonts w:ascii="MS PGothic" w:cs="MS PGothic" w:eastAsia="MS PGothic" w:hAnsi="MS PGothic"/>
          <w:sz w:val="21"/>
          <w:szCs w:val="21"/>
          <w:color w:val="auto"/>
        </w:rPr>
        <w:t>‑</w:t>
      </w:r>
      <w:r>
        <w:rPr>
          <w:rFonts w:ascii="Arial" w:cs="Arial" w:eastAsia="Arial" w:hAnsi="Arial"/>
          <w:sz w:val="21"/>
          <w:szCs w:val="21"/>
          <w:color w:val="auto"/>
        </w:rPr>
        <w: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9" w:name="page70"/>
    <w:bookmarkEnd w:id="69"/>
    <w:p>
      <w:pPr>
        <w:ind w:right="220"/>
        <w:spacing w:after="0" w:line="297" w:lineRule="auto"/>
        <w:rPr>
          <w:sz w:val="20"/>
          <w:szCs w:val="20"/>
          <w:color w:val="auto"/>
        </w:rPr>
      </w:pPr>
      <w:r>
        <w:rPr>
          <w:rFonts w:ascii="Arial" w:cs="Arial" w:eastAsia="Arial" w:hAnsi="Arial"/>
          <w:sz w:val="19"/>
          <w:szCs w:val="19"/>
          <w:color w:val="auto"/>
        </w:rPr>
        <w:t>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34"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5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53" w:lineRule="exact"/>
        <w:rPr>
          <w:sz w:val="20"/>
          <w:szCs w:val="20"/>
          <w:color w:val="auto"/>
        </w:rPr>
      </w:pPr>
    </w:p>
    <w:p>
      <w:pPr>
        <w:jc w:val="both"/>
        <w:ind w:right="660" w:firstLine="648"/>
        <w:spacing w:after="0"/>
        <w:rPr>
          <w:sz w:val="20"/>
          <w:szCs w:val="20"/>
          <w:color w:val="auto"/>
        </w:rPr>
      </w:pPr>
      <w:r>
        <w:rPr>
          <w:rFonts w:ascii="Arial" w:cs="Arial" w:eastAsia="Arial" w:hAnsi="Arial"/>
          <w:sz w:val="22"/>
          <w:szCs w:val="2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ind w:right="380" w:firstLine="648"/>
        <w:spacing w:after="0" w:line="276" w:lineRule="auto"/>
        <w:rPr>
          <w:sz w:val="20"/>
          <w:szCs w:val="20"/>
          <w:color w:val="auto"/>
        </w:rPr>
      </w:pPr>
      <w:r>
        <w:rPr>
          <w:rFonts w:ascii="Arial" w:cs="Arial" w:eastAsia="Arial" w:hAnsi="Arial"/>
          <w:sz w:val="19"/>
          <w:szCs w:val="19"/>
          <w:color w:val="auto"/>
        </w:rPr>
        <w:t>Where this Indenture provides for notice in any manner, such notice may be waived in writing by the Person entitled to receive such notice, either before or after the event, and such waiver shall be the equivalent of such</w:t>
      </w:r>
    </w:p>
    <w:p>
      <w:pPr>
        <w:spacing w:after="0" w:line="2" w:lineRule="exact"/>
        <w:rPr>
          <w:sz w:val="20"/>
          <w:szCs w:val="20"/>
          <w:color w:val="auto"/>
        </w:rPr>
      </w:pPr>
    </w:p>
    <w:p>
      <w:pPr>
        <w:jc w:val="both"/>
        <w:ind w:right="40"/>
        <w:spacing w:after="0" w:line="237" w:lineRule="auto"/>
        <w:rPr>
          <w:sz w:val="20"/>
          <w:szCs w:val="20"/>
          <w:color w:val="auto"/>
        </w:rPr>
      </w:pPr>
      <w:r>
        <w:rPr>
          <w:rFonts w:ascii="Arial" w:cs="Arial" w:eastAsia="Arial" w:hAnsi="Arial"/>
          <w:sz w:val="22"/>
          <w:szCs w:val="22"/>
          <w:color w:val="auto"/>
        </w:rPr>
        <w:t>notice. Waivers of notice by Holders shall be filed with the Trustee, but such filing shall not be a condition precedent to the validity of any action taken in reliance upon such waiver.</w:t>
      </w:r>
    </w:p>
    <w:p>
      <w:pPr>
        <w:spacing w:after="0" w:line="185"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Counterparts; Effect of Headings and Table of Contents</w:t>
      </w:r>
      <w:r>
        <w:rPr>
          <w:rFonts w:ascii="Arial" w:cs="Arial" w:eastAsia="Arial" w:hAnsi="Arial"/>
          <w:sz w:val="21"/>
          <w:szCs w:val="21"/>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4"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in this Indenture by the Company shall bind its successors and assigns, whether so expressed or not.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0" w:name="page71"/>
    <w:bookmarkEnd w:id="70"/>
    <w:p>
      <w:pPr>
        <w:ind w:right="140" w:firstLine="648"/>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Severability Clause</w:t>
      </w:r>
      <w:r>
        <w:rPr>
          <w:rFonts w:ascii="Arial" w:cs="Arial" w:eastAsia="Arial" w:hAnsi="Arial"/>
          <w:sz w:val="22"/>
          <w:szCs w:val="22"/>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Benefits of Indenture</w:t>
      </w:r>
      <w:r>
        <w:rPr>
          <w:rFonts w:ascii="Arial" w:cs="Arial" w:eastAsia="Arial" w:hAnsi="Arial"/>
          <w:sz w:val="22"/>
          <w:szCs w:val="22"/>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3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Legal Holidays</w:t>
      </w:r>
      <w:r>
        <w:rPr>
          <w:rFonts w:ascii="Arial" w:cs="Arial" w:eastAsia="Arial" w:hAnsi="Arial"/>
          <w:sz w:val="19"/>
          <w:szCs w:val="19"/>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2"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u w:val="single" w:color="auto"/>
          <w:color w:val="auto"/>
        </w:rPr>
        <w:t>Limited Liability; Immunity of Stockholders, Directors, Officers and Agents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w:t>
      </w:r>
      <w:r>
        <w:rPr>
          <w:rFonts w:ascii="Arial" w:cs="Arial" w:eastAsia="Arial" w:hAnsi="Arial"/>
          <w:sz w:val="21"/>
          <w:szCs w:val="21"/>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1" w:name="page72"/>
    <w:bookmarkEnd w:id="71"/>
    <w:p>
      <w:pPr>
        <w:ind w:right="160"/>
        <w:spacing w:after="0" w:line="251" w:lineRule="auto"/>
        <w:rPr>
          <w:sz w:val="20"/>
          <w:szCs w:val="20"/>
          <w:color w:val="auto"/>
        </w:rPr>
      </w:pPr>
      <w:r>
        <w:rPr>
          <w:rFonts w:ascii="Arial" w:cs="Arial" w:eastAsia="Arial" w:hAnsi="Arial"/>
          <w:sz w:val="22"/>
          <w:szCs w:val="22"/>
          <w:color w:val="auto"/>
        </w:rPr>
        <w:t>waived and released by the acceptance of the Securities by the Holders and as part of the consideration for the issue of the Securities.</w:t>
      </w:r>
    </w:p>
    <w:p>
      <w:pPr>
        <w:spacing w:after="0" w:line="173"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u w:val="single" w:color="auto"/>
          <w:color w:val="auto"/>
        </w:rPr>
        <w:t>Conflict with Trust Indenture Act</w:t>
      </w:r>
      <w:r>
        <w:rPr>
          <w:rFonts w:ascii="Arial" w:cs="Arial" w:eastAsia="Arial" w:hAnsi="Arial"/>
          <w:sz w:val="21"/>
          <w:szCs w:val="21"/>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TWO - SECURITIES FORMS</w:t>
      </w:r>
    </w:p>
    <w:p>
      <w:pPr>
        <w:spacing w:after="0" w:line="206"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Forms of Securities</w:t>
      </w:r>
      <w:r>
        <w:rPr>
          <w:rFonts w:ascii="Arial" w:cs="Arial" w:eastAsia="Arial" w:hAnsi="Arial"/>
          <w:sz w:val="21"/>
          <w:szCs w:val="21"/>
          <w:color w:val="auto"/>
        </w:rPr>
        <w:t xml:space="preserve">. The Registered Securities, if any, of each series and the Bearer Securities, if any, of each series and related coupons shall be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2"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Unless otherwise specified as contemplated by Section 301, Bearer Securities shall have interest coupons attached.</w:t>
      </w:r>
    </w:p>
    <w:p>
      <w:pPr>
        <w:spacing w:after="0" w:line="173" w:lineRule="exact"/>
        <w:rPr>
          <w:sz w:val="20"/>
          <w:szCs w:val="20"/>
          <w:color w:val="auto"/>
        </w:rPr>
      </w:pPr>
    </w:p>
    <w:p>
      <w:pPr>
        <w:ind w:right="420" w:firstLine="648"/>
        <w:spacing w:after="0" w:line="252" w:lineRule="auto"/>
        <w:rPr>
          <w:sz w:val="20"/>
          <w:szCs w:val="20"/>
          <w:color w:val="auto"/>
        </w:rPr>
      </w:pPr>
      <w:r>
        <w:rPr>
          <w:rFonts w:ascii="Arial" w:cs="Arial" w:eastAsia="Arial" w:hAnsi="Arial"/>
          <w:sz w:val="21"/>
          <w:szCs w:val="21"/>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4" w:lineRule="exact"/>
        <w:rPr>
          <w:sz w:val="20"/>
          <w:szCs w:val="20"/>
          <w:color w:val="auto"/>
        </w:rPr>
      </w:pPr>
    </w:p>
    <w:p>
      <w:pPr>
        <w:ind w:right="620" w:firstLine="648"/>
        <w:spacing w:after="0" w:line="251"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Form of Trustee’s Certificate of Authentication</w:t>
      </w:r>
      <w:r>
        <w:rPr>
          <w:rFonts w:ascii="Arial" w:cs="Arial" w:eastAsia="Arial" w:hAnsi="Arial"/>
          <w:sz w:val="22"/>
          <w:szCs w:val="22"/>
          <w:color w:val="auto"/>
        </w:rPr>
        <w:t>. Subject to Section 611, the Trustee’s certificate of authentication shall be in substantially the following form:</w:t>
      </w:r>
    </w:p>
    <w:p>
      <w:pPr>
        <w:spacing w:after="0" w:line="173"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This is one of the Securities of the series designated therein referred to in the within</w:t>
      </w:r>
      <w:r>
        <w:rPr>
          <w:rFonts w:ascii="MS PGothic" w:cs="MS PGothic" w:eastAsia="MS PGothic" w:hAnsi="MS PGothic"/>
          <w:sz w:val="19"/>
          <w:szCs w:val="19"/>
          <w:color w:val="auto"/>
        </w:rPr>
        <w:t>‑</w:t>
      </w:r>
      <w:r>
        <w:rPr>
          <w:rFonts w:ascii="Arial" w:cs="Arial" w:eastAsia="Arial" w:hAnsi="Arial"/>
          <w:sz w:val="19"/>
          <w:szCs w:val="19"/>
          <w:color w:val="auto"/>
        </w:rPr>
        <w:t xml:space="preserve"> mentioned Indenture.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20" w:type="dxa"/>
            <w:vAlign w:val="bottom"/>
            <w:gridSpan w:val="4"/>
          </w:tcPr>
          <w:p>
            <w:pPr>
              <w:ind w:left="3120"/>
              <w:spacing w:after="0"/>
              <w:rPr>
                <w:sz w:val="20"/>
                <w:szCs w:val="20"/>
                <w:color w:val="auto"/>
              </w:rPr>
            </w:pPr>
            <w:r>
              <w:rPr>
                <w:rFonts w:ascii="Arial" w:cs="Arial" w:eastAsia="Arial" w:hAnsi="Arial"/>
                <w:sz w:val="22"/>
                <w:szCs w:val="22"/>
                <w:color w:val="auto"/>
              </w:rPr>
              <w:t>[__________],</w:t>
            </w:r>
          </w:p>
        </w:tc>
      </w:tr>
      <w:tr>
        <w:trPr>
          <w:trHeight w:val="275"/>
        </w:trPr>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20" w:type="dxa"/>
            <w:vAlign w:val="bottom"/>
            <w:gridSpan w:val="2"/>
          </w:tcPr>
          <w:p>
            <w:pPr>
              <w:ind w:left="220"/>
              <w:spacing w:after="0"/>
              <w:rPr>
                <w:sz w:val="20"/>
                <w:szCs w:val="20"/>
                <w:color w:val="auto"/>
              </w:rPr>
            </w:pPr>
            <w:r>
              <w:rPr>
                <w:rFonts w:ascii="Arial" w:cs="Arial" w:eastAsia="Arial" w:hAnsi="Arial"/>
                <w:sz w:val="22"/>
                <w:szCs w:val="22"/>
                <w:color w:val="auto"/>
              </w:rPr>
              <w:t>as Trustee</w:t>
            </w:r>
          </w:p>
        </w:tc>
      </w:tr>
      <w:tr>
        <w:trPr>
          <w:trHeight w:val="476"/>
        </w:trPr>
        <w:tc>
          <w:tcPr>
            <w:tcW w:w="760" w:type="dxa"/>
            <w:vAlign w:val="bottom"/>
          </w:tcPr>
          <w:p>
            <w:pPr>
              <w:spacing w:after="0"/>
              <w:rPr>
                <w:sz w:val="20"/>
                <w:szCs w:val="20"/>
                <w:color w:val="auto"/>
              </w:rPr>
            </w:pPr>
            <w:r>
              <w:rPr>
                <w:rFonts w:ascii="Arial" w:cs="Arial" w:eastAsia="Arial" w:hAnsi="Arial"/>
                <w:sz w:val="22"/>
                <w:szCs w:val="22"/>
                <w:color w:val="auto"/>
              </w:rPr>
              <w:t>Dated:</w:t>
            </w:r>
          </w:p>
        </w:tc>
        <w:tc>
          <w:tcPr>
            <w:tcW w:w="1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spacing w:after="0"/>
              <w:rPr>
                <w:sz w:val="24"/>
                <w:szCs w:val="24"/>
                <w:color w:val="auto"/>
              </w:rPr>
            </w:pPr>
          </w:p>
        </w:tc>
      </w:tr>
      <w:tr>
        <w:trPr>
          <w:trHeight w:val="202"/>
        </w:trPr>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20" w:type="dxa"/>
            <w:vAlign w:val="bottom"/>
            <w:gridSpan w:val="2"/>
          </w:tcPr>
          <w:p>
            <w:pPr>
              <w:ind w:left="120"/>
              <w:spacing w:after="0" w:line="202" w:lineRule="exact"/>
              <w:rPr>
                <w:sz w:val="20"/>
                <w:szCs w:val="20"/>
                <w:color w:val="auto"/>
              </w:rPr>
            </w:pPr>
            <w:r>
              <w:rPr>
                <w:rFonts w:ascii="Arial" w:cs="Arial" w:eastAsia="Arial" w:hAnsi="Arial"/>
                <w:sz w:val="22"/>
                <w:szCs w:val="22"/>
                <w:color w:val="auto"/>
              </w:rPr>
              <w:t>Authorized Signatory</w:t>
            </w:r>
          </w:p>
        </w:tc>
      </w:tr>
      <w:tr>
        <w:trPr>
          <w:trHeight w:val="224"/>
        </w:trPr>
        <w:tc>
          <w:tcPr>
            <w:tcW w:w="2360" w:type="dxa"/>
            <w:vAlign w:val="bottom"/>
            <w:gridSpan w:val="2"/>
          </w:tcPr>
          <w:p>
            <w:pPr>
              <w:ind w:left="640"/>
              <w:spacing w:after="0" w:line="224" w:lineRule="exact"/>
              <w:rPr>
                <w:sz w:val="20"/>
                <w:szCs w:val="20"/>
                <w:color w:val="auto"/>
              </w:rPr>
            </w:pPr>
            <w:r>
              <w:rPr>
                <w:rFonts w:ascii="Arial" w:cs="Arial" w:eastAsia="Arial" w:hAnsi="Arial"/>
                <w:sz w:val="22"/>
                <w:szCs w:val="22"/>
                <w:color w:val="auto"/>
              </w:rPr>
              <w:t>SECTION 203.</w:t>
            </w:r>
          </w:p>
        </w:tc>
        <w:tc>
          <w:tcPr>
            <w:tcW w:w="8020" w:type="dxa"/>
            <w:vAlign w:val="bottom"/>
            <w:gridSpan w:val="4"/>
          </w:tcPr>
          <w:p>
            <w:pPr>
              <w:spacing w:after="0" w:line="224" w:lineRule="exact"/>
              <w:rPr>
                <w:sz w:val="20"/>
                <w:szCs w:val="20"/>
                <w:color w:val="auto"/>
              </w:rPr>
            </w:pPr>
            <w:r>
              <w:rPr>
                <w:rFonts w:ascii="Arial" w:cs="Arial" w:eastAsia="Arial" w:hAnsi="Arial"/>
                <w:sz w:val="22"/>
                <w:szCs w:val="22"/>
                <w:color w:val="auto"/>
                <w:w w:val="94"/>
              </w:rPr>
              <w:t>Securities Issuable in Global Form. If Securities of or within a series are issuable in the</w:t>
            </w:r>
          </w:p>
        </w:tc>
      </w:tr>
      <w:tr>
        <w:trPr>
          <w:trHeight w:val="20"/>
        </w:trPr>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form of one or more Global Securities, then, notwithstanding clause (8)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2" w:name="page73"/>
    <w:bookmarkEnd w:id="72"/>
    <w:p>
      <w:pPr>
        <w:spacing w:after="0" w:line="272" w:lineRule="auto"/>
        <w:rPr>
          <w:sz w:val="20"/>
          <w:szCs w:val="20"/>
          <w:color w:val="auto"/>
        </w:rPr>
      </w:pPr>
      <w:r>
        <w:rPr>
          <w:rFonts w:ascii="Arial" w:cs="Arial" w:eastAsia="Arial" w:hAnsi="Arial"/>
          <w:sz w:val="19"/>
          <w:szCs w:val="19"/>
          <w:color w:val="auto"/>
        </w:rPr>
        <w:t>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57"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9" w:lineRule="exact"/>
        <w:rPr>
          <w:sz w:val="20"/>
          <w:szCs w:val="20"/>
          <w:color w:val="auto"/>
        </w:rPr>
      </w:pPr>
    </w:p>
    <w:p>
      <w:pPr>
        <w:ind w:right="480" w:firstLine="648"/>
        <w:spacing w:after="0"/>
        <w:rPr>
          <w:sz w:val="20"/>
          <w:szCs w:val="20"/>
          <w:color w:val="auto"/>
        </w:rPr>
      </w:pPr>
      <w:r>
        <w:rPr>
          <w:rFonts w:ascii="Arial" w:cs="Arial" w:eastAsia="Arial" w:hAnsi="Arial"/>
          <w:sz w:val="22"/>
          <w:szCs w:val="22"/>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8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Any Global Security authenticated and delivered hereunder shall bear a legend in substantially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ARTICLE THREE - THE SECURITIES</w:t>
      </w:r>
    </w:p>
    <w:p>
      <w:pPr>
        <w:spacing w:after="0" w:line="206"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Amount Unlimited; Issuable in Series</w:t>
      </w:r>
      <w:r>
        <w:rPr>
          <w:rFonts w:ascii="Arial" w:cs="Arial" w:eastAsia="Arial" w:hAnsi="Arial"/>
          <w:sz w:val="22"/>
          <w:szCs w:val="22"/>
          <w:color w:val="auto"/>
        </w:rPr>
        <w:t>. The aggregate principal amount of Securities which may be authenticated and delivered under this Indenture is unlimited.</w:t>
      </w:r>
    </w:p>
    <w:p>
      <w:pPr>
        <w:spacing w:after="0" w:line="173" w:lineRule="exact"/>
        <w:rPr>
          <w:sz w:val="20"/>
          <w:szCs w:val="20"/>
          <w:color w:val="auto"/>
        </w:rPr>
      </w:pPr>
    </w:p>
    <w:p>
      <w:pPr>
        <w:ind w:right="500" w:firstLine="648"/>
        <w:spacing w:after="0" w:line="287" w:lineRule="auto"/>
        <w:rPr>
          <w:sz w:val="20"/>
          <w:szCs w:val="20"/>
          <w:color w:val="auto"/>
        </w:rPr>
      </w:pPr>
      <w:r>
        <w:rPr>
          <w:rFonts w:ascii="Arial" w:cs="Arial" w:eastAsia="Arial" w:hAnsi="Arial"/>
          <w:sz w:val="19"/>
          <w:szCs w:val="19"/>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3" w:lineRule="exact"/>
        <w:rPr>
          <w:sz w:val="20"/>
          <w:szCs w:val="20"/>
          <w:color w:val="auto"/>
        </w:rPr>
      </w:pPr>
    </w:p>
    <w:p>
      <w:pPr>
        <w:ind w:left="640" w:right="180" w:firstLine="648"/>
        <w:spacing w:after="0" w:line="251" w:lineRule="auto"/>
        <w:tabs>
          <w:tab w:leader="none" w:pos="19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title of the Securities of the series, including “CUSIP” numbers (which shall distinguish the Securities of such series from all other series of Securities);</w:t>
      </w:r>
    </w:p>
    <w:p>
      <w:pPr>
        <w:spacing w:after="0" w:line="173" w:lineRule="exact"/>
        <w:rPr>
          <w:rFonts w:ascii="Arial" w:cs="Arial" w:eastAsia="Arial" w:hAnsi="Arial"/>
          <w:sz w:val="22"/>
          <w:szCs w:val="22"/>
          <w:color w:val="auto"/>
        </w:rPr>
      </w:pPr>
    </w:p>
    <w:p>
      <w:pPr>
        <w:ind w:left="640" w:right="120" w:firstLine="648"/>
        <w:spacing w:after="0" w:line="236" w:lineRule="auto"/>
        <w:tabs>
          <w:tab w:leader="none" w:pos="190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87" w:lineRule="exact"/>
        <w:rPr>
          <w:rFonts w:ascii="Arial" w:cs="Arial" w:eastAsia="Arial" w:hAnsi="Arial"/>
          <w:sz w:val="22"/>
          <w:szCs w:val="22"/>
          <w:color w:val="auto"/>
        </w:rPr>
      </w:pPr>
    </w:p>
    <w:p>
      <w:pPr>
        <w:ind w:left="640" w:right="20" w:firstLine="648"/>
        <w:spacing w:after="0" w:line="236" w:lineRule="auto"/>
        <w:tabs>
          <w:tab w:leader="none" w:pos="19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87" w:lineRule="exact"/>
        <w:rPr>
          <w:rFonts w:ascii="Arial" w:cs="Arial" w:eastAsia="Arial" w:hAnsi="Arial"/>
          <w:sz w:val="22"/>
          <w:szCs w:val="22"/>
          <w:color w:val="auto"/>
        </w:rPr>
      </w:pPr>
    </w:p>
    <w:p>
      <w:pPr>
        <w:ind w:left="640" w:right="40" w:firstLine="648"/>
        <w:spacing w:after="0"/>
        <w:tabs>
          <w:tab w:leader="none" w:pos="1918"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86" w:lineRule="exact"/>
        <w:rPr>
          <w:rFonts w:ascii="Arial" w:cs="Arial" w:eastAsia="Arial" w:hAnsi="Arial"/>
          <w:sz w:val="22"/>
          <w:szCs w:val="22"/>
          <w:color w:val="auto"/>
        </w:rPr>
      </w:pPr>
    </w:p>
    <w:p>
      <w:pPr>
        <w:ind w:left="640" w:right="420" w:firstLine="648"/>
        <w:spacing w:after="0" w:line="251" w:lineRule="auto"/>
        <w:tabs>
          <w:tab w:leader="none" w:pos="19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on which the principal of such Securities will be payable;</w:t>
      </w:r>
    </w:p>
    <w:p>
      <w:pPr>
        <w:spacing w:after="0" w:line="173" w:lineRule="exact"/>
        <w:rPr>
          <w:rFonts w:ascii="Arial" w:cs="Arial" w:eastAsia="Arial" w:hAnsi="Arial"/>
          <w:sz w:val="22"/>
          <w:szCs w:val="22"/>
          <w:color w:val="auto"/>
        </w:rPr>
      </w:pPr>
    </w:p>
    <w:p>
      <w:pPr>
        <w:ind w:left="640" w:right="40" w:firstLine="648"/>
        <w:spacing w:after="0" w:line="251" w:lineRule="auto"/>
        <w:tabs>
          <w:tab w:leader="none" w:pos="19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rate or rates (which may be fixed or variable), or the method by which such rate or rates shall be determined, at which such Securities will bear interest, if any;</w:t>
      </w:r>
    </w:p>
    <w:p>
      <w:pPr>
        <w:spacing w:after="0" w:line="173" w:lineRule="exact"/>
        <w:rPr>
          <w:rFonts w:ascii="Arial" w:cs="Arial" w:eastAsia="Arial" w:hAnsi="Arial"/>
          <w:sz w:val="22"/>
          <w:szCs w:val="22"/>
          <w:color w:val="auto"/>
        </w:rPr>
      </w:pPr>
    </w:p>
    <w:p>
      <w:pPr>
        <w:ind w:left="640" w:firstLine="648"/>
        <w:spacing w:after="0" w:line="236" w:lineRule="auto"/>
        <w:tabs>
          <w:tab w:leader="none" w:pos="19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7" w:lineRule="exact"/>
        <w:rPr>
          <w:rFonts w:ascii="Arial" w:cs="Arial" w:eastAsia="Arial" w:hAnsi="Arial"/>
          <w:sz w:val="22"/>
          <w:szCs w:val="22"/>
          <w:color w:val="auto"/>
        </w:rPr>
      </w:pPr>
    </w:p>
    <w:p>
      <w:pPr>
        <w:ind w:left="640" w:right="340" w:firstLine="648"/>
        <w:spacing w:after="0" w:line="328" w:lineRule="auto"/>
        <w:tabs>
          <w:tab w:leader="none" w:pos="1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Make-Whole Amount, if any, or method for determining the Make-Whole Amount, if any, payable with respect to such Securities, and the terms upon which such amount, if any, will be payable;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4" w:name="page75"/>
    <w:bookmarkEnd w:id="74"/>
    <w:p>
      <w:pPr>
        <w:ind w:left="-40" w:right="140" w:firstLine="648"/>
        <w:spacing w:after="0" w:line="251" w:lineRule="exact"/>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place or places where the principal of (and premium or Make</w:t>
      </w:r>
      <w:r>
        <w:rPr>
          <w:rFonts w:ascii="MS PGothic" w:cs="MS PGothic" w:eastAsia="MS PGothic" w:hAnsi="MS PGothic"/>
          <w:sz w:val="22"/>
          <w:szCs w:val="22"/>
          <w:color w:val="auto"/>
        </w:rPr>
        <w:t>‑</w:t>
      </w:r>
      <w:r>
        <w:rPr>
          <w:rFonts w:ascii="Arial" w:cs="Arial" w:eastAsia="Arial" w:hAnsi="Arial"/>
          <w:sz w:val="22"/>
          <w:szCs w:val="22"/>
          <w:color w:val="auto"/>
        </w:rPr>
        <w:t>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5" w:lineRule="exact"/>
        <w:rPr>
          <w:rFonts w:ascii="Arial" w:cs="Arial" w:eastAsia="Arial" w:hAnsi="Arial"/>
          <w:sz w:val="22"/>
          <w:szCs w:val="22"/>
          <w:color w:val="auto"/>
        </w:rPr>
      </w:pPr>
    </w:p>
    <w:p>
      <w:pPr>
        <w:jc w:val="both"/>
        <w:ind w:left="-40" w:right="240" w:firstLine="648"/>
        <w:spacing w:after="0"/>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86" w:lineRule="exact"/>
        <w:rPr>
          <w:rFonts w:ascii="Arial" w:cs="Arial" w:eastAsia="Arial" w:hAnsi="Arial"/>
          <w:sz w:val="22"/>
          <w:szCs w:val="22"/>
          <w:color w:val="auto"/>
        </w:rPr>
      </w:pPr>
    </w:p>
    <w:p>
      <w:pPr>
        <w:ind w:left="-40" w:right="200" w:firstLine="648"/>
        <w:spacing w:after="0" w:line="287" w:lineRule="auto"/>
        <w:tabs>
          <w:tab w:leader="none" w:pos="122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43" w:lineRule="exact"/>
        <w:rPr>
          <w:rFonts w:ascii="Arial" w:cs="Arial" w:eastAsia="Arial" w:hAnsi="Arial"/>
          <w:sz w:val="19"/>
          <w:szCs w:val="19"/>
          <w:color w:val="auto"/>
        </w:rPr>
      </w:pPr>
    </w:p>
    <w:p>
      <w:pPr>
        <w:ind w:left="-40" w:right="80" w:firstLine="648"/>
        <w:spacing w:after="0" w:line="252" w:lineRule="auto"/>
        <w:tabs>
          <w:tab w:leader="none" w:pos="1238"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74" w:lineRule="exact"/>
        <w:rPr>
          <w:rFonts w:ascii="Arial" w:cs="Arial" w:eastAsia="Arial" w:hAnsi="Arial"/>
          <w:sz w:val="21"/>
          <w:szCs w:val="21"/>
          <w:color w:val="auto"/>
        </w:rPr>
      </w:pPr>
    </w:p>
    <w:p>
      <w:pPr>
        <w:ind w:left="-40" w:right="80" w:firstLine="648"/>
        <w:spacing w:after="0" w:line="235" w:lineRule="auto"/>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88" w:lineRule="exact"/>
        <w:rPr>
          <w:rFonts w:ascii="Arial" w:cs="Arial" w:eastAsia="Arial" w:hAnsi="Arial"/>
          <w:sz w:val="22"/>
          <w:szCs w:val="22"/>
          <w:color w:val="auto"/>
        </w:rPr>
      </w:pPr>
    </w:p>
    <w:p>
      <w:pPr>
        <w:ind w:left="-40" w:firstLine="648"/>
        <w:spacing w:after="0" w:line="247" w:lineRule="exact"/>
        <w:tabs>
          <w:tab w:leader="none" w:pos="1234" w:val="left"/>
        </w:tabs>
        <w:numPr>
          <w:ilvl w:val="0"/>
          <w:numId w:val="57"/>
        </w:numPr>
        <w:rPr>
          <w:rFonts w:ascii="Arial" w:cs="Arial" w:eastAsia="Arial" w:hAnsi="Arial"/>
          <w:sz w:val="21"/>
          <w:szCs w:val="21"/>
          <w:color w:val="auto"/>
        </w:rPr>
      </w:pPr>
      <w:r>
        <w:rPr>
          <w:rFonts w:ascii="Arial" w:cs="Arial" w:eastAsia="Arial" w:hAnsi="Arial"/>
          <w:sz w:val="21"/>
          <w:szCs w:val="21"/>
          <w:color w:val="auto"/>
        </w:rPr>
        <w:t>Whether the principal of (and premium or Make</w:t>
      </w:r>
      <w:r>
        <w:rPr>
          <w:rFonts w:ascii="MS PGothic" w:cs="MS PGothic" w:eastAsia="MS PGothic" w:hAnsi="MS PGothic"/>
          <w:sz w:val="21"/>
          <w:szCs w:val="21"/>
          <w:color w:val="auto"/>
        </w:rPr>
        <w:t>‑</w:t>
      </w:r>
      <w:r>
        <w:rPr>
          <w:rFonts w:ascii="Arial" w:cs="Arial" w:eastAsia="Arial" w:hAnsi="Arial"/>
          <w:sz w:val="21"/>
          <w:szCs w:val="21"/>
          <w:color w:val="auto"/>
        </w:rPr>
        <w:t>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5" w:lineRule="exact"/>
        <w:rPr>
          <w:rFonts w:ascii="Arial" w:cs="Arial" w:eastAsia="Arial" w:hAnsi="Arial"/>
          <w:sz w:val="21"/>
          <w:szCs w:val="21"/>
          <w:color w:val="auto"/>
        </w:rPr>
      </w:pPr>
    </w:p>
    <w:p>
      <w:pPr>
        <w:ind w:left="-40" w:right="620" w:firstLine="648"/>
        <w:spacing w:after="0" w:line="251" w:lineRule="auto"/>
        <w:tabs>
          <w:tab w:leader="none" w:pos="12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Provisions, if any, granting special rights to the Holders of Securities of the series upon the occurrence of such events as may be specified;</w:t>
      </w:r>
    </w:p>
    <w:p>
      <w:pPr>
        <w:spacing w:after="0" w:line="173" w:lineRule="exact"/>
        <w:rPr>
          <w:rFonts w:ascii="Arial" w:cs="Arial" w:eastAsia="Arial" w:hAnsi="Arial"/>
          <w:sz w:val="22"/>
          <w:szCs w:val="22"/>
          <w:color w:val="auto"/>
        </w:rPr>
      </w:pPr>
    </w:p>
    <w:p>
      <w:pPr>
        <w:ind w:left="-40" w:right="380" w:firstLine="648"/>
        <w:spacing w:after="0"/>
        <w:tabs>
          <w:tab w:leader="none" w:pos="1226"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75" w:name="page76"/>
    <w:bookmarkEnd w:id="75"/>
    <w:p>
      <w:pPr>
        <w:ind w:left="-40" w:right="220" w:firstLine="648"/>
        <w:spacing w:after="0" w:line="258" w:lineRule="auto"/>
        <w:tabs>
          <w:tab w:leader="none" w:pos="1234" w:val="left"/>
        </w:tabs>
        <w:numPr>
          <w:ilvl w:val="0"/>
          <w:numId w:val="58"/>
        </w:numPr>
        <w:rPr>
          <w:rFonts w:ascii="Arial" w:cs="Arial" w:eastAsia="Arial" w:hAnsi="Arial"/>
          <w:sz w:val="21"/>
          <w:szCs w:val="21"/>
          <w:color w:val="auto"/>
        </w:rPr>
      </w:pPr>
      <w:r>
        <w:rPr>
          <w:rFonts w:ascii="Arial" w:cs="Arial" w:eastAsia="Arial" w:hAnsi="Arial"/>
          <w:sz w:val="21"/>
          <w:szCs w:val="21"/>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66" w:lineRule="exact"/>
        <w:rPr>
          <w:rFonts w:ascii="Arial" w:cs="Arial" w:eastAsia="Arial" w:hAnsi="Arial"/>
          <w:sz w:val="21"/>
          <w:szCs w:val="21"/>
          <w:color w:val="auto"/>
        </w:rPr>
      </w:pPr>
    </w:p>
    <w:p>
      <w:pPr>
        <w:ind w:left="-40" w:firstLine="648"/>
        <w:spacing w:after="0" w:line="273" w:lineRule="auto"/>
        <w:tabs>
          <w:tab w:leader="none" w:pos="1234" w:val="left"/>
        </w:tabs>
        <w:numPr>
          <w:ilvl w:val="0"/>
          <w:numId w:val="58"/>
        </w:numPr>
        <w:rPr>
          <w:rFonts w:ascii="Arial" w:cs="Arial" w:eastAsia="Arial" w:hAnsi="Arial"/>
          <w:sz w:val="19"/>
          <w:szCs w:val="19"/>
          <w:color w:val="auto"/>
        </w:rPr>
      </w:pPr>
      <w:r>
        <w:rPr>
          <w:rFonts w:ascii="Arial" w:cs="Arial" w:eastAsia="Arial" w:hAnsi="Arial"/>
          <w:sz w:val="19"/>
          <w:szCs w:val="19"/>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61" w:lineRule="exact"/>
        <w:rPr>
          <w:rFonts w:ascii="Arial" w:cs="Arial" w:eastAsia="Arial" w:hAnsi="Arial"/>
          <w:sz w:val="19"/>
          <w:szCs w:val="19"/>
          <w:color w:val="auto"/>
        </w:rPr>
      </w:pPr>
    </w:p>
    <w:p>
      <w:pPr>
        <w:ind w:left="-40" w:right="240" w:firstLine="648"/>
        <w:spacing w:after="0"/>
        <w:tabs>
          <w:tab w:leader="none" w:pos="12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86" w:lineRule="exact"/>
        <w:rPr>
          <w:rFonts w:ascii="Arial" w:cs="Arial" w:eastAsia="Arial" w:hAnsi="Arial"/>
          <w:sz w:val="22"/>
          <w:szCs w:val="22"/>
          <w:color w:val="auto"/>
        </w:rPr>
      </w:pPr>
    </w:p>
    <w:p>
      <w:pPr>
        <w:ind w:left="-40" w:right="20" w:firstLine="648"/>
        <w:spacing w:after="0" w:line="245" w:lineRule="auto"/>
        <w:tabs>
          <w:tab w:leader="none" w:pos="1234"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each case, that the manner of determining such Person or making such payment shall be acceptable to the Trustee (as not imposing on it any undue administrative burden or risk of liability);</w:t>
      </w:r>
    </w:p>
    <w:p>
      <w:pPr>
        <w:spacing w:after="0" w:line="185" w:lineRule="exact"/>
        <w:rPr>
          <w:rFonts w:ascii="Arial" w:cs="Arial" w:eastAsia="Arial" w:hAnsi="Arial"/>
          <w:sz w:val="21"/>
          <w:szCs w:val="21"/>
          <w:color w:val="auto"/>
        </w:rPr>
      </w:pPr>
    </w:p>
    <w:p>
      <w:pPr>
        <w:ind w:left="-40" w:right="640" w:firstLine="648"/>
        <w:spacing w:after="0" w:line="251" w:lineRule="auto"/>
        <w:tabs>
          <w:tab w:leader="none" w:pos="12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applicability, if any, of the Defeasance and Covenant Defeasance provisions of Article Fourteen hereof to the Securities of the series;</w:t>
      </w:r>
    </w:p>
    <w:p>
      <w:pPr>
        <w:spacing w:after="0" w:line="173" w:lineRule="exact"/>
        <w:rPr>
          <w:rFonts w:ascii="Arial" w:cs="Arial" w:eastAsia="Arial" w:hAnsi="Arial"/>
          <w:sz w:val="22"/>
          <w:szCs w:val="22"/>
          <w:color w:val="auto"/>
        </w:rPr>
      </w:pPr>
    </w:p>
    <w:p>
      <w:pPr>
        <w:ind w:left="-40" w:right="280" w:firstLine="648"/>
        <w:spacing w:after="0" w:line="236" w:lineRule="auto"/>
        <w:tabs>
          <w:tab w:leader="none" w:pos="12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7" w:lineRule="exact"/>
        <w:rPr>
          <w:rFonts w:ascii="Arial" w:cs="Arial" w:eastAsia="Arial" w:hAnsi="Arial"/>
          <w:sz w:val="22"/>
          <w:szCs w:val="22"/>
          <w:color w:val="auto"/>
        </w:rPr>
      </w:pPr>
    </w:p>
    <w:p>
      <w:pPr>
        <w:ind w:left="-40" w:firstLine="648"/>
        <w:spacing w:after="0" w:line="238" w:lineRule="auto"/>
        <w:tabs>
          <w:tab w:leader="none" w:pos="1238"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76" w:name="page77"/>
    <w:bookmarkEnd w:id="76"/>
    <w:p>
      <w:pPr>
        <w:ind w:left="640" w:right="80" w:firstLine="648"/>
        <w:spacing w:after="0"/>
        <w:tabs>
          <w:tab w:leader="none" w:pos="1918"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86" w:lineRule="exact"/>
        <w:rPr>
          <w:rFonts w:ascii="Arial" w:cs="Arial" w:eastAsia="Arial" w:hAnsi="Arial"/>
          <w:sz w:val="22"/>
          <w:szCs w:val="22"/>
          <w:color w:val="auto"/>
        </w:rPr>
      </w:pPr>
    </w:p>
    <w:p>
      <w:pPr>
        <w:ind w:left="1900" w:hanging="612"/>
        <w:spacing w:after="0"/>
        <w:tabs>
          <w:tab w:leader="none" w:pos="19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other terms of the series (which terms shall not be inconsistent with the provisions of this</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188" w:lineRule="exact"/>
        <w:rPr>
          <w:sz w:val="20"/>
          <w:szCs w:val="20"/>
          <w:color w:val="auto"/>
        </w:rPr>
      </w:pPr>
    </w:p>
    <w:p>
      <w:pPr>
        <w:ind w:right="180" w:firstLine="648"/>
        <w:spacing w:after="0" w:line="248" w:lineRule="auto"/>
        <w:rPr>
          <w:sz w:val="20"/>
          <w:szCs w:val="20"/>
          <w:color w:val="auto"/>
        </w:rPr>
      </w:pPr>
      <w:r>
        <w:rPr>
          <w:rFonts w:ascii="Arial" w:cs="Arial" w:eastAsia="Arial" w:hAnsi="Arial"/>
          <w:sz w:val="21"/>
          <w:szCs w:val="21"/>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77"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5" w:lineRule="exact"/>
        <w:rPr>
          <w:sz w:val="20"/>
          <w:szCs w:val="20"/>
          <w:color w:val="auto"/>
        </w:rPr>
      </w:pPr>
    </w:p>
    <w:p>
      <w:pPr>
        <w:ind w:right="200" w:firstLine="648"/>
        <w:spacing w:after="0" w:line="248"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Denominations</w:t>
      </w:r>
      <w:r>
        <w:rPr>
          <w:rFonts w:ascii="Arial" w:cs="Arial" w:eastAsia="Arial" w:hAnsi="Arial"/>
          <w:sz w:val="21"/>
          <w:szCs w:val="21"/>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77"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Execution, Authentication, Delivery and Dating</w:t>
      </w:r>
      <w:r>
        <w:rPr>
          <w:rFonts w:ascii="Arial" w:cs="Arial" w:eastAsia="Arial" w:hAnsi="Arial"/>
          <w:sz w:val="22"/>
          <w:szCs w:val="22"/>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8"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7" w:name="page78"/>
    <w:bookmarkEnd w:id="77"/>
    <w:p>
      <w:pPr>
        <w:ind w:right="20"/>
        <w:spacing w:after="0" w:line="245" w:lineRule="exact"/>
        <w:rPr>
          <w:sz w:val="20"/>
          <w:szCs w:val="20"/>
          <w:color w:val="auto"/>
        </w:rPr>
      </w:pPr>
      <w:r>
        <w:rPr>
          <w:rFonts w:ascii="Arial" w:cs="Arial" w:eastAsia="Arial" w:hAnsi="Arial"/>
          <w:sz w:val="19"/>
          <w:szCs w:val="19"/>
          <w:color w:val="auto"/>
        </w:rPr>
        <w:t xml:space="preserve">Resolution and the Officers’ Certificate or supplemental indenture contemplated by Section 301), and the Trustee in accordance with the Company Order shall authenticate and deliver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its original issuance, no Bearer Security shall be mailed or otherwise delivered to any location in the United States;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51" w:lineRule="exact"/>
        <w:rPr>
          <w:sz w:val="20"/>
          <w:szCs w:val="20"/>
          <w:color w:val="auto"/>
        </w:rPr>
      </w:pPr>
    </w:p>
    <w:p>
      <w:pPr>
        <w:ind w:left="2580" w:hanging="644"/>
        <w:spacing w:after="0"/>
        <w:tabs>
          <w:tab w:leader="none" w:pos="25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 Opinion of Counsel stating that</w:t>
      </w:r>
    </w:p>
    <w:p>
      <w:pPr>
        <w:spacing w:after="0" w:line="206" w:lineRule="exact"/>
        <w:rPr>
          <w:rFonts w:ascii="Arial" w:cs="Arial" w:eastAsia="Arial" w:hAnsi="Arial"/>
          <w:sz w:val="22"/>
          <w:szCs w:val="22"/>
          <w:color w:val="auto"/>
        </w:rPr>
      </w:pPr>
    </w:p>
    <w:p>
      <w:pPr>
        <w:ind w:left="1940" w:right="420" w:firstLine="644"/>
        <w:spacing w:after="0" w:line="251" w:lineRule="auto"/>
        <w:tabs>
          <w:tab w:leader="none" w:pos="3206"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form or forms of such Securities and any coupons have been established in conformity with the provisions of this Indenture;</w:t>
      </w:r>
    </w:p>
    <w:p>
      <w:pPr>
        <w:spacing w:after="0" w:line="173" w:lineRule="exact"/>
        <w:rPr>
          <w:rFonts w:ascii="Arial" w:cs="Arial" w:eastAsia="Arial" w:hAnsi="Arial"/>
          <w:sz w:val="22"/>
          <w:szCs w:val="22"/>
          <w:color w:val="auto"/>
        </w:rPr>
      </w:pPr>
    </w:p>
    <w:p>
      <w:pPr>
        <w:ind w:left="1940" w:right="120" w:firstLine="644"/>
        <w:spacing w:after="0" w:line="251" w:lineRule="auto"/>
        <w:tabs>
          <w:tab w:leader="none" w:pos="3218"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terms of such Securities and any coupons have been established in conformity with the provisions of this Indenture; and</w:t>
      </w:r>
    </w:p>
    <w:p>
      <w:pPr>
        <w:spacing w:after="0" w:line="173" w:lineRule="exact"/>
        <w:rPr>
          <w:rFonts w:ascii="Arial" w:cs="Arial" w:eastAsia="Arial" w:hAnsi="Arial"/>
          <w:sz w:val="22"/>
          <w:szCs w:val="22"/>
          <w:color w:val="auto"/>
        </w:rPr>
      </w:pPr>
    </w:p>
    <w:p>
      <w:pPr>
        <w:ind w:left="1940" w:right="180" w:firstLine="644"/>
        <w:spacing w:after="0" w:line="275" w:lineRule="auto"/>
        <w:tabs>
          <w:tab w:leader="none" w:pos="3206" w:val="left"/>
        </w:tabs>
        <w:numPr>
          <w:ilvl w:val="1"/>
          <w:numId w:val="60"/>
        </w:numPr>
        <w:rPr>
          <w:rFonts w:ascii="Arial" w:cs="Arial" w:eastAsia="Arial" w:hAnsi="Arial"/>
          <w:sz w:val="19"/>
          <w:szCs w:val="19"/>
          <w:color w:val="auto"/>
        </w:rPr>
      </w:pPr>
      <w:r>
        <w:rPr>
          <w:rFonts w:ascii="Arial" w:cs="Arial" w:eastAsia="Arial" w:hAnsi="Arial"/>
          <w:sz w:val="19"/>
          <w:szCs w:val="19"/>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8" w:name="page79"/>
    <w:bookmarkEnd w:id="78"/>
    <w:p>
      <w:pPr>
        <w:ind w:left="1940"/>
        <w:spacing w:after="0"/>
        <w:rPr>
          <w:sz w:val="20"/>
          <w:szCs w:val="20"/>
          <w:color w:val="auto"/>
        </w:rPr>
      </w:pPr>
      <w:r>
        <w:rPr>
          <w:rFonts w:ascii="Arial" w:cs="Arial" w:eastAsia="Arial" w:hAnsi="Arial"/>
          <w:sz w:val="22"/>
          <w:szCs w:val="22"/>
          <w:color w:val="auto"/>
        </w:rPr>
        <w:t>enforcement of creditors’ rights generally and to general equitable principles; and</w:t>
      </w:r>
    </w:p>
    <w:p>
      <w:pPr>
        <w:spacing w:after="0" w:line="206" w:lineRule="exact"/>
        <w:rPr>
          <w:sz w:val="20"/>
          <w:szCs w:val="20"/>
          <w:color w:val="auto"/>
        </w:rPr>
      </w:pPr>
    </w:p>
    <w:p>
      <w:pPr>
        <w:jc w:val="both"/>
        <w:ind w:left="1280" w:right="20" w:firstLine="656"/>
        <w:spacing w:after="0" w:line="238" w:lineRule="auto"/>
        <w:tabs>
          <w:tab w:leader="none" w:pos="25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5"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77"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Each Registered Security shall be dated the date of its authentication and each Bearer Security shall be dated as of the date specified as contemplated by Section 301.</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56"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06" w:lineRule="exact"/>
        <w:rPr>
          <w:sz w:val="20"/>
          <w:szCs w:val="20"/>
          <w:color w:val="auto"/>
        </w:rPr>
      </w:pPr>
    </w:p>
    <w:p>
      <w:pPr>
        <w:ind w:right="160" w:firstLine="1288"/>
        <w:spacing w:after="0" w:line="287" w:lineRule="auto"/>
        <w:tabs>
          <w:tab w:leader="none" w:pos="1914" w:val="left"/>
        </w:tabs>
        <w:numPr>
          <w:ilvl w:val="0"/>
          <w:numId w:val="62"/>
        </w:numPr>
        <w:rPr>
          <w:rFonts w:ascii="Arial" w:cs="Arial" w:eastAsia="Arial" w:hAnsi="Arial"/>
          <w:sz w:val="19"/>
          <w:szCs w:val="19"/>
          <w:color w:val="auto"/>
        </w:rPr>
      </w:pPr>
      <w:r>
        <w:rPr>
          <w:rFonts w:ascii="Arial" w:cs="Arial" w:eastAsia="Arial" w:hAnsi="Arial"/>
          <w:sz w:val="19"/>
          <w:szCs w:val="19"/>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79" w:name="page80"/>
    <w:bookmarkEnd w:id="79"/>
    <w:p>
      <w:pPr>
        <w:ind w:right="40"/>
        <w:spacing w:after="0" w:line="297" w:lineRule="auto"/>
        <w:rPr>
          <w:sz w:val="20"/>
          <w:szCs w:val="20"/>
          <w:color w:val="auto"/>
        </w:rPr>
      </w:pPr>
      <w:r>
        <w:rPr>
          <w:rFonts w:ascii="Arial" w:cs="Arial" w:eastAsia="Arial" w:hAnsi="Arial"/>
          <w:sz w:val="19"/>
          <w:szCs w:val="19"/>
          <w:color w:val="auto"/>
        </w:rPr>
        <w:t>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34" w:lineRule="exact"/>
        <w:rPr>
          <w:sz w:val="20"/>
          <w:szCs w:val="20"/>
          <w:color w:val="auto"/>
        </w:rPr>
      </w:pPr>
    </w:p>
    <w:p>
      <w:pPr>
        <w:ind w:firstLine="648"/>
        <w:spacing w:after="0" w:line="247" w:lineRule="exact"/>
        <w:rPr>
          <w:sz w:val="20"/>
          <w:szCs w:val="20"/>
          <w:color w:val="auto"/>
        </w:rPr>
      </w:pPr>
      <w:r>
        <w:rPr>
          <w:rFonts w:ascii="Arial" w:cs="Arial" w:eastAsia="Arial" w:hAnsi="Arial"/>
          <w:sz w:val="19"/>
          <w:szCs w:val="19"/>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w:t>
      </w:r>
      <w:r>
        <w:rPr>
          <w:rFonts w:ascii="MS PGothic" w:cs="MS PGothic" w:eastAsia="MS PGothic" w:hAnsi="MS PGothic"/>
          <w:sz w:val="19"/>
          <w:szCs w:val="19"/>
          <w:color w:val="auto"/>
        </w:rPr>
        <w:t>‑</w:t>
      </w:r>
      <w:r>
        <w:rPr>
          <w:rFonts w:ascii="Arial" w:cs="Arial" w:eastAsia="Arial" w:hAnsi="Arial"/>
          <w:sz w:val="19"/>
          <w:szCs w:val="19"/>
          <w:color w:val="auto"/>
        </w:rPr>
        <w:t xml:space="preserve">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definitive Bearer Security shall be delivered in exchange for a temporary Registered Security;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9" w:lineRule="exact"/>
        <w:rPr>
          <w:sz w:val="20"/>
          <w:szCs w:val="20"/>
          <w:color w:val="auto"/>
        </w:rPr>
      </w:pPr>
    </w:p>
    <w:p>
      <w:pPr>
        <w:ind w:right="100" w:firstLine="1288"/>
        <w:spacing w:after="0" w:line="247" w:lineRule="auto"/>
        <w:tabs>
          <w:tab w:leader="none" w:pos="1927" w:val="left"/>
        </w:tabs>
        <w:numPr>
          <w:ilvl w:val="0"/>
          <w:numId w:val="63"/>
        </w:numPr>
        <w:rPr>
          <w:rFonts w:ascii="Arial" w:cs="Arial" w:eastAsia="Arial" w:hAnsi="Arial"/>
          <w:sz w:val="21"/>
          <w:szCs w:val="21"/>
          <w:color w:val="auto"/>
        </w:rPr>
      </w:pPr>
      <w:r>
        <w:rPr>
          <w:rFonts w:ascii="Arial" w:cs="Arial" w:eastAsia="Arial" w:hAnsi="Arial"/>
          <w:sz w:val="21"/>
          <w:szCs w:val="21"/>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0" w:name="page81"/>
    <w:bookmarkEnd w:id="80"/>
    <w:p>
      <w:pPr>
        <w:ind w:right="20"/>
        <w:spacing w:after="0" w:line="247" w:lineRule="exact"/>
        <w:rPr>
          <w:sz w:val="20"/>
          <w:szCs w:val="20"/>
          <w:color w:val="auto"/>
        </w:rPr>
      </w:pPr>
      <w:r>
        <w:rPr>
          <w:rFonts w:ascii="Arial" w:cs="Arial" w:eastAsia="Arial" w:hAnsi="Arial"/>
          <w:sz w:val="21"/>
          <w:szCs w:val="21"/>
          <w:color w:val="auto"/>
        </w:rPr>
        <w:t xml:space="preserve">directed by or pursuant to information provided by the Common Depository);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21"/>
          <w:szCs w:val="21"/>
          <w:u w:val="single" w:color="auto"/>
          <w:color w:val="auto"/>
        </w:rPr>
        <w:t>Exhibit B</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2</w:t>
      </w:r>
      <w:r>
        <w:rPr>
          <w:rFonts w:ascii="Arial" w:cs="Arial" w:eastAsia="Arial" w:hAnsi="Arial"/>
          <w:sz w:val="21"/>
          <w:szCs w:val="21"/>
          <w:color w:val="auto"/>
        </w:rPr>
        <w:t xml:space="preserve"> to this Indenture or in such other form as may be established pursuant to Section 301;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definitive Bearer Securities shall be delivered in exchange for a portion of a temporary Global Security only in compliance with the requirements of Section 303.</w:t>
      </w:r>
    </w:p>
    <w:p>
      <w:pPr>
        <w:spacing w:after="0" w:line="185" w:lineRule="exact"/>
        <w:rPr>
          <w:sz w:val="20"/>
          <w:szCs w:val="20"/>
          <w:color w:val="auto"/>
        </w:rPr>
      </w:pPr>
    </w:p>
    <w:p>
      <w:pPr>
        <w:ind w:firstLine="648"/>
        <w:spacing w:after="0" w:line="248" w:lineRule="exact"/>
        <w:rPr>
          <w:sz w:val="20"/>
          <w:szCs w:val="20"/>
          <w:color w:val="auto"/>
        </w:rPr>
      </w:pPr>
      <w:r>
        <w:rPr>
          <w:rFonts w:ascii="Arial" w:cs="Arial" w:eastAsia="Arial" w:hAnsi="Arial"/>
          <w:sz w:val="19"/>
          <w:szCs w:val="19"/>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45" w:lineRule="exact"/>
        <w:rPr>
          <w:sz w:val="20"/>
          <w:szCs w:val="20"/>
          <w:color w:val="auto"/>
        </w:rPr>
      </w:pPr>
      <w:r>
        <w:rPr>
          <w:rFonts w:ascii="Arial" w:cs="Arial" w:eastAsia="Arial" w:hAnsi="Arial"/>
          <w:sz w:val="19"/>
          <w:szCs w:val="19"/>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81" w:name="page82"/>
    <w:bookmarkEnd w:id="81"/>
    <w:p>
      <w:pPr>
        <w:ind w:right="120"/>
        <w:spacing w:after="0" w:line="277" w:lineRule="auto"/>
        <w:rPr>
          <w:sz w:val="20"/>
          <w:szCs w:val="20"/>
          <w:color w:val="auto"/>
        </w:rPr>
      </w:pPr>
      <w:r>
        <w:rPr>
          <w:rFonts w:ascii="Arial" w:cs="Arial" w:eastAsia="Arial" w:hAnsi="Arial"/>
          <w:sz w:val="19"/>
          <w:szCs w:val="19"/>
          <w:color w:val="auto"/>
        </w:rPr>
        <w:t>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8"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Registration, Registration of Transfer, Conversion and Exchange</w:t>
      </w:r>
      <w:r>
        <w:rPr>
          <w:rFonts w:ascii="Arial" w:cs="Arial" w:eastAsia="Arial" w:hAnsi="Arial"/>
          <w:sz w:val="21"/>
          <w:szCs w:val="21"/>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9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48"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82" w:name="page83"/>
    <w:bookmarkEnd w:id="82"/>
    <w:p>
      <w:pPr>
        <w:ind w:right="300"/>
        <w:spacing w:after="0" w:line="251" w:lineRule="auto"/>
        <w:rPr>
          <w:sz w:val="20"/>
          <w:szCs w:val="20"/>
          <w:color w:val="auto"/>
        </w:rPr>
      </w:pPr>
      <w:r>
        <w:rPr>
          <w:rFonts w:ascii="Arial" w:cs="Arial" w:eastAsia="Arial" w:hAnsi="Arial"/>
          <w:sz w:val="22"/>
          <w:szCs w:val="22"/>
          <w:color w:val="auto"/>
        </w:rPr>
        <w:t>Unless otherwise specified with respect to any series of Securities as contemplated by Section 301, Bearer Securities may not be issued in exchange for Registered Securities.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14"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83" w:name="page84"/>
    <w:bookmarkEnd w:id="83"/>
    <w:p>
      <w:pPr>
        <w:spacing w:after="0" w:line="269" w:lineRule="auto"/>
        <w:rPr>
          <w:sz w:val="20"/>
          <w:szCs w:val="20"/>
          <w:color w:val="auto"/>
        </w:rPr>
      </w:pPr>
      <w:r>
        <w:rPr>
          <w:rFonts w:ascii="Arial" w:cs="Arial" w:eastAsia="Arial" w:hAnsi="Arial"/>
          <w:sz w:val="19"/>
          <w:szCs w:val="19"/>
          <w:color w:val="auto"/>
        </w:rPr>
        <w:t xml:space="preserve">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60"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67"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Every Registered Security presented or surrendered for registration of transfer or for conversion, exchange or redemption shall (if so required by the Company or the Security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84" w:name="page85"/>
    <w:bookmarkEnd w:id="84"/>
    <w:p>
      <w:pPr>
        <w:ind w:right="80"/>
        <w:spacing w:after="0" w:line="328" w:lineRule="auto"/>
        <w:rPr>
          <w:sz w:val="20"/>
          <w:szCs w:val="20"/>
          <w:color w:val="auto"/>
        </w:rPr>
      </w:pPr>
      <w:r>
        <w:rPr>
          <w:rFonts w:ascii="Arial" w:cs="Arial" w:eastAsia="Arial" w:hAnsi="Arial"/>
          <w:sz w:val="19"/>
          <w:szCs w:val="19"/>
          <w:color w:val="auto"/>
        </w:rPr>
        <w:t>Registrar) be duly endorsed, or be accompanied by a written instrument of transfer in form satisfactory to the Company and the Security Registrar, duly executed by the Holder thereof or his attorney duly authorized in writing.</w:t>
      </w:r>
    </w:p>
    <w:p>
      <w:pPr>
        <w:spacing w:after="0" w:line="10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4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00" w:lineRule="exact"/>
        <w:rPr>
          <w:sz w:val="20"/>
          <w:szCs w:val="20"/>
          <w:color w:val="auto"/>
        </w:rPr>
      </w:pPr>
    </w:p>
    <w:p>
      <w:pPr>
        <w:spacing w:after="0" w:line="205" w:lineRule="exact"/>
        <w:rPr>
          <w:sz w:val="20"/>
          <w:szCs w:val="20"/>
          <w:color w:val="auto"/>
        </w:rPr>
      </w:pPr>
    </w:p>
    <w:p>
      <w:pPr>
        <w:jc w:val="both"/>
        <w:ind w:right="460" w:firstLine="648"/>
        <w:spacing w:after="0"/>
        <w:rPr>
          <w:sz w:val="20"/>
          <w:szCs w:val="20"/>
          <w:color w:val="auto"/>
        </w:rPr>
      </w:pPr>
      <w:r>
        <w:rPr>
          <w:rFonts w:ascii="Arial" w:cs="Arial" w:eastAsia="Arial" w:hAnsi="Arial"/>
          <w:sz w:val="22"/>
          <w:szCs w:val="22"/>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86"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Mutilated, Destroyed, Lost and Stolen Securities</w:t>
      </w:r>
      <w:r>
        <w:rPr>
          <w:rFonts w:ascii="Arial" w:cs="Arial" w:eastAsia="Arial" w:hAnsi="Arial"/>
          <w:sz w:val="22"/>
          <w:szCs w:val="22"/>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9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5" w:name="page86"/>
    <w:bookmarkEnd w:id="85"/>
    <w:p>
      <w:pPr>
        <w:ind w:right="160"/>
        <w:spacing w:after="0" w:line="252" w:lineRule="auto"/>
        <w:rPr>
          <w:sz w:val="20"/>
          <w:szCs w:val="20"/>
          <w:color w:val="auto"/>
        </w:rPr>
      </w:pPr>
      <w:r>
        <w:rPr>
          <w:rFonts w:ascii="Arial" w:cs="Arial" w:eastAsia="Arial" w:hAnsi="Arial"/>
          <w:sz w:val="21"/>
          <w:szCs w:val="21"/>
          <w:color w:val="auto"/>
        </w:rPr>
        <w:t>(with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4"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200" w:lineRule="exact"/>
        <w:rPr>
          <w:sz w:val="20"/>
          <w:szCs w:val="20"/>
          <w:color w:val="auto"/>
        </w:rPr>
      </w:pPr>
    </w:p>
    <w:p>
      <w:pPr>
        <w:spacing w:after="0" w:line="20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7" w:lineRule="exact"/>
        <w:rPr>
          <w:sz w:val="20"/>
          <w:szCs w:val="20"/>
          <w:color w:val="auto"/>
        </w:rPr>
      </w:pPr>
    </w:p>
    <w:p>
      <w:pPr>
        <w:ind w:right="600" w:firstLine="648"/>
        <w:spacing w:after="0" w:line="328" w:lineRule="auto"/>
        <w:rPr>
          <w:sz w:val="20"/>
          <w:szCs w:val="20"/>
          <w:color w:val="auto"/>
        </w:rPr>
      </w:pPr>
      <w:r>
        <w:rPr>
          <w:rFonts w:ascii="Arial" w:cs="Arial" w:eastAsia="Arial" w:hAnsi="Arial"/>
          <w:sz w:val="19"/>
          <w:szCs w:val="19"/>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0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installment of interest on any Registered Security may at the Company’s option be paid by (i) mailing a check for such interest, payable to or upon the written order of the Person entitled thereto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6" w:name="page87"/>
    <w:bookmarkEnd w:id="86"/>
    <w:p>
      <w:pPr>
        <w:spacing w:after="0" w:line="251" w:lineRule="auto"/>
        <w:rPr>
          <w:sz w:val="20"/>
          <w:szCs w:val="20"/>
          <w:color w:val="auto"/>
        </w:rPr>
      </w:pPr>
      <w:r>
        <w:rPr>
          <w:rFonts w:ascii="Arial" w:cs="Arial" w:eastAsia="Arial" w:hAnsi="Arial"/>
          <w:sz w:val="22"/>
          <w:szCs w:val="22"/>
          <w:color w:val="auto"/>
        </w:rPr>
        <w:t>pursuant to Section 308, to the address of such Person as it appears on the Security Register or (ii) transfer to an account maintained by the payee located inside the United States.</w:t>
      </w:r>
    </w:p>
    <w:p>
      <w:pPr>
        <w:spacing w:after="0" w:line="173"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8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48"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5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48" w:lineRule="exact"/>
        <w:rPr>
          <w:sz w:val="20"/>
          <w:szCs w:val="20"/>
          <w:color w:val="auto"/>
        </w:rPr>
      </w:pPr>
    </w:p>
    <w:p>
      <w:pPr>
        <w:ind w:left="640" w:right="60" w:firstLine="648"/>
        <w:spacing w:after="0" w:line="271" w:lineRule="auto"/>
        <w:tabs>
          <w:tab w:leader="none" w:pos="191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7" w:name="page88"/>
    <w:bookmarkEnd w:id="87"/>
    <w:p>
      <w:pPr>
        <w:ind w:left="640" w:right="20"/>
        <w:spacing w:after="0" w:line="246" w:lineRule="exact"/>
        <w:rPr>
          <w:sz w:val="20"/>
          <w:szCs w:val="20"/>
          <w:color w:val="auto"/>
        </w:rPr>
      </w:pPr>
      <w:r>
        <w:rPr>
          <w:rFonts w:ascii="Arial" w:cs="Arial" w:eastAsia="Arial" w:hAnsi="Arial"/>
          <w:sz w:val="19"/>
          <w:szCs w:val="19"/>
          <w:color w:val="auto"/>
        </w:rPr>
        <w:t>payment. The Trustee shall promptly notify the Company of such Special Record Date and, in the name and at the expense of the Company, shall cause notice of the proposed payment of such Defaulted Interest and the Special Record Date therefor to be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213" w:lineRule="exact"/>
        <w:rPr>
          <w:sz w:val="20"/>
          <w:szCs w:val="20"/>
          <w:color w:val="auto"/>
        </w:rPr>
      </w:pPr>
    </w:p>
    <w:p>
      <w:pPr>
        <w:ind w:left="640" w:right="160" w:firstLine="648"/>
        <w:spacing w:after="0" w:line="282" w:lineRule="auto"/>
        <w:tabs>
          <w:tab w:leader="none" w:pos="1914"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48"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34"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Persons Deemed Owners</w:t>
      </w:r>
      <w:r>
        <w:rPr>
          <w:rFonts w:ascii="Arial" w:cs="Arial" w:eastAsia="Arial" w:hAnsi="Arial"/>
          <w:sz w:val="19"/>
          <w:szCs w:val="19"/>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8" w:name="page89"/>
    <w:bookmarkEnd w:id="88"/>
    <w:p>
      <w:pPr>
        <w:ind w:right="40" w:firstLine="648"/>
        <w:spacing w:after="0" w:line="282" w:lineRule="auto"/>
        <w:rPr>
          <w:sz w:val="20"/>
          <w:szCs w:val="20"/>
          <w:color w:val="auto"/>
        </w:rPr>
      </w:pPr>
      <w:r>
        <w:rPr>
          <w:rFonts w:ascii="Arial" w:cs="Arial" w:eastAsia="Arial" w:hAnsi="Arial"/>
          <w:sz w:val="19"/>
          <w:szCs w:val="19"/>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4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9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48"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Cancellation</w:t>
      </w:r>
      <w:r>
        <w:rPr>
          <w:rFonts w:ascii="Arial" w:cs="Arial" w:eastAsia="Arial" w:hAnsi="Arial"/>
          <w:sz w:val="19"/>
          <w:szCs w:val="19"/>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65"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Computation of Interest</w:t>
      </w:r>
      <w:r>
        <w:rPr>
          <w:rFonts w:ascii="Arial" w:cs="Arial" w:eastAsia="Arial" w:hAnsi="Arial"/>
          <w:sz w:val="22"/>
          <w:szCs w:val="22"/>
          <w:color w:val="auto"/>
        </w:rPr>
        <w:t>. Except as otherwise specified as contemplated by Section 301 with respect to Securities of any series, interest on the Securities of each series shall be computed on the basis of a 360</w:t>
      </w:r>
      <w:r>
        <w:rPr>
          <w:rFonts w:ascii="MS PGothic" w:cs="MS PGothic" w:eastAsia="MS PGothic" w:hAnsi="MS PGothic"/>
          <w:sz w:val="22"/>
          <w:szCs w:val="22"/>
          <w:color w:val="auto"/>
        </w:rPr>
        <w:t>‑</w:t>
      </w:r>
      <w:r>
        <w:rPr>
          <w:rFonts w:ascii="Arial" w:cs="Arial" w:eastAsia="Arial" w:hAnsi="Arial"/>
          <w:sz w:val="22"/>
          <w:szCs w:val="22"/>
          <w:color w:val="auto"/>
        </w:rPr>
        <w:t>day year consisting of twelve 30</w:t>
      </w:r>
      <w:r>
        <w:rPr>
          <w:rFonts w:ascii="MS PGothic" w:cs="MS PGothic" w:eastAsia="MS PGothic" w:hAnsi="MS PGothic"/>
          <w:sz w:val="22"/>
          <w:szCs w:val="22"/>
          <w:color w:val="auto"/>
        </w:rPr>
        <w:t>‑</w:t>
      </w:r>
      <w:r>
        <w:rPr>
          <w:rFonts w:ascii="Arial" w:cs="Arial" w:eastAsia="Arial" w:hAnsi="Arial"/>
          <w:sz w:val="22"/>
          <w:szCs w:val="22"/>
          <w:color w:val="auto"/>
        </w:rPr>
        <w:t>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9" w:name="page90"/>
    <w:bookmarkEnd w:id="89"/>
    <w:p>
      <w:pPr>
        <w:ind w:right="60" w:firstLine="648"/>
        <w:spacing w:after="0" w:line="247"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CUSIP Numbers</w:t>
      </w:r>
      <w:r>
        <w:rPr>
          <w:rFonts w:ascii="Arial" w:cs="Arial" w:eastAsia="Arial" w:hAnsi="Arial"/>
          <w:sz w:val="21"/>
          <w:szCs w:val="21"/>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 - SATISFACTION AND DISCHARGE</w:t>
      </w:r>
    </w:p>
    <w:p>
      <w:pPr>
        <w:spacing w:after="0" w:line="206"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Satisfaction and Discharge of Indenture</w:t>
      </w:r>
      <w:r>
        <w:rPr>
          <w:rFonts w:ascii="Arial" w:cs="Arial" w:eastAsia="Arial" w:hAnsi="Arial"/>
          <w:sz w:val="21"/>
          <w:szCs w:val="21"/>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77" w:lineRule="exact"/>
        <w:rPr>
          <w:sz w:val="20"/>
          <w:szCs w:val="20"/>
          <w:color w:val="auto"/>
        </w:rPr>
      </w:pPr>
    </w:p>
    <w:p>
      <w:pPr>
        <w:ind w:left="1980" w:hanging="692"/>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left="1280" w:right="20" w:firstLine="656"/>
        <w:spacing w:after="0" w:line="273" w:lineRule="auto"/>
        <w:tabs>
          <w:tab w:leader="none" w:pos="2606" w:val="left"/>
        </w:tabs>
        <w:numPr>
          <w:ilvl w:val="1"/>
          <w:numId w:val="66"/>
        </w:numPr>
        <w:rPr>
          <w:rFonts w:ascii="Arial" w:cs="Arial" w:eastAsia="Arial" w:hAnsi="Arial"/>
          <w:sz w:val="19"/>
          <w:szCs w:val="19"/>
          <w:color w:val="auto"/>
        </w:rPr>
      </w:pPr>
      <w:r>
        <w:rPr>
          <w:rFonts w:ascii="Arial" w:cs="Arial" w:eastAsia="Arial" w:hAnsi="Arial"/>
          <w:sz w:val="19"/>
          <w:szCs w:val="19"/>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1" w:lineRule="exact"/>
        <w:rPr>
          <w:rFonts w:ascii="Arial" w:cs="Arial" w:eastAsia="Arial" w:hAnsi="Arial"/>
          <w:sz w:val="19"/>
          <w:szCs w:val="19"/>
          <w:color w:val="auto"/>
        </w:rPr>
      </w:pPr>
    </w:p>
    <w:p>
      <w:pPr>
        <w:ind w:left="1280" w:right="100" w:firstLine="656"/>
        <w:spacing w:after="0" w:line="251" w:lineRule="auto"/>
        <w:tabs>
          <w:tab w:leader="none" w:pos="2594" w:val="left"/>
        </w:tabs>
        <w:numPr>
          <w:ilvl w:val="1"/>
          <w:numId w:val="66"/>
        </w:numPr>
        <w:rPr>
          <w:rFonts w:ascii="Arial" w:cs="Arial" w:eastAsia="Arial" w:hAnsi="Arial"/>
          <w:sz w:val="22"/>
          <w:szCs w:val="22"/>
          <w:color w:val="auto"/>
        </w:rPr>
      </w:pPr>
      <w:r>
        <w:rPr>
          <w:rFonts w:ascii="Arial" w:cs="Arial" w:eastAsia="Arial" w:hAnsi="Arial"/>
          <w:sz w:val="22"/>
          <w:szCs w:val="22"/>
          <w:color w:val="auto"/>
        </w:rPr>
        <w:t>all Securities of such series and, in the case of (i) or (ii) below, any coupons appertaining thereto not theretofore delivered to the Trustee for cancellation</w:t>
      </w:r>
    </w:p>
    <w:p>
      <w:pPr>
        <w:spacing w:after="0" w:line="173" w:lineRule="exact"/>
        <w:rPr>
          <w:sz w:val="20"/>
          <w:szCs w:val="20"/>
          <w:color w:val="auto"/>
        </w:rPr>
      </w:pPr>
    </w:p>
    <w:p>
      <w:pPr>
        <w:ind w:left="2580" w:hanging="644"/>
        <w:spacing w:after="0"/>
        <w:tabs>
          <w:tab w:leader="none" w:pos="25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auto"/>
        </w:rPr>
      </w:pPr>
    </w:p>
    <w:p>
      <w:pPr>
        <w:ind w:left="2580" w:hanging="644"/>
        <w:spacing w:after="0"/>
        <w:tabs>
          <w:tab w:leader="none" w:pos="25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06" w:lineRule="exact"/>
        <w:rPr>
          <w:rFonts w:ascii="Arial" w:cs="Arial" w:eastAsia="Arial" w:hAnsi="Arial"/>
          <w:sz w:val="22"/>
          <w:szCs w:val="22"/>
          <w:color w:val="auto"/>
        </w:rPr>
      </w:pPr>
    </w:p>
    <w:p>
      <w:pPr>
        <w:ind w:left="1280" w:right="80" w:firstLine="656"/>
        <w:spacing w:after="0"/>
        <w:tabs>
          <w:tab w:leader="none" w:pos="2577"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90" w:name="page91"/>
    <w:bookmarkEnd w:id="90"/>
    <w:p>
      <w:pPr>
        <w:ind w:right="120"/>
        <w:spacing w:after="0" w:line="279" w:lineRule="auto"/>
        <w:rPr>
          <w:sz w:val="20"/>
          <w:szCs w:val="20"/>
          <w:color w:val="auto"/>
        </w:rPr>
      </w:pPr>
      <w:r>
        <w:rPr>
          <w:rFonts w:ascii="Arial" w:cs="Arial" w:eastAsia="Arial" w:hAnsi="Arial"/>
          <w:sz w:val="19"/>
          <w:szCs w:val="19"/>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51" w:lineRule="exact"/>
        <w:rPr>
          <w:sz w:val="20"/>
          <w:szCs w:val="20"/>
          <w:color w:val="auto"/>
        </w:rPr>
      </w:pPr>
    </w:p>
    <w:p>
      <w:pPr>
        <w:ind w:left="1980" w:hanging="692"/>
        <w:spacing w:after="0"/>
        <w:tabs>
          <w:tab w:leader="none" w:pos="1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hereunder by the Company;</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left="640" w:right="300" w:firstLine="648"/>
        <w:spacing w:after="0"/>
        <w:tabs>
          <w:tab w:leader="none" w:pos="1972"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8"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Application of Trust Funds</w:t>
      </w:r>
      <w:r>
        <w:rPr>
          <w:rFonts w:ascii="Arial" w:cs="Arial" w:eastAsia="Arial" w:hAnsi="Arial"/>
          <w:sz w:val="21"/>
          <w:szCs w:val="21"/>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FIVE - REMEDIES</w:t>
      </w:r>
    </w:p>
    <w:p>
      <w:pPr>
        <w:spacing w:after="0" w:line="20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Events of Default</w:t>
      </w:r>
      <w:r>
        <w:rPr>
          <w:rFonts w:ascii="Arial" w:cs="Arial" w:eastAsia="Arial" w:hAnsi="Arial"/>
          <w:sz w:val="19"/>
          <w:szCs w:val="19"/>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43" w:lineRule="exact"/>
        <w:rPr>
          <w:sz w:val="20"/>
          <w:szCs w:val="20"/>
          <w:color w:val="auto"/>
        </w:rPr>
      </w:pPr>
    </w:p>
    <w:p>
      <w:pPr>
        <w:ind w:left="640" w:right="220" w:firstLine="648"/>
        <w:spacing w:after="0"/>
        <w:tabs>
          <w:tab w:leader="none" w:pos="19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86" w:lineRule="exact"/>
        <w:rPr>
          <w:rFonts w:ascii="Arial" w:cs="Arial" w:eastAsia="Arial" w:hAnsi="Arial"/>
          <w:sz w:val="22"/>
          <w:szCs w:val="22"/>
          <w:color w:val="auto"/>
        </w:rPr>
      </w:pPr>
    </w:p>
    <w:p>
      <w:pPr>
        <w:ind w:left="640" w:right="160" w:firstLine="648"/>
        <w:spacing w:after="0" w:line="251" w:lineRule="auto"/>
        <w:tabs>
          <w:tab w:leader="none" w:pos="19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default in the payment of the principal of (or premium or Make-Whole Amount, if any, on) any Security of that series when it becomes due and payable at its Maturity;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1" w:name="page92"/>
    <w:bookmarkEnd w:id="91"/>
    <w:p>
      <w:pPr>
        <w:ind w:right="460" w:firstLine="648"/>
        <w:spacing w:after="0" w:line="251" w:lineRule="auto"/>
        <w:tabs>
          <w:tab w:leader="none" w:pos="1332" w:val="left"/>
        </w:tabs>
        <w:numPr>
          <w:ilvl w:val="0"/>
          <w:numId w:val="71"/>
        </w:numPr>
        <w:rPr>
          <w:rFonts w:ascii="Arial" w:cs="Arial" w:eastAsia="Arial" w:hAnsi="Arial"/>
          <w:sz w:val="22"/>
          <w:szCs w:val="22"/>
          <w:color w:val="auto"/>
        </w:rPr>
      </w:pPr>
      <w:r>
        <w:rPr>
          <w:rFonts w:ascii="Arial" w:cs="Arial" w:eastAsia="Arial" w:hAnsi="Arial"/>
          <w:sz w:val="22"/>
          <w:szCs w:val="22"/>
          <w:color w:val="auto"/>
        </w:rPr>
        <w:t>default in the deposit of any sinking fund payment, to the extent applicable to such series of Securities, when and as due by the terms of any Security of that series; or</w:t>
      </w:r>
    </w:p>
    <w:p>
      <w:pPr>
        <w:spacing w:after="0" w:line="173" w:lineRule="exact"/>
        <w:rPr>
          <w:rFonts w:ascii="Arial" w:cs="Arial" w:eastAsia="Arial" w:hAnsi="Arial"/>
          <w:sz w:val="22"/>
          <w:szCs w:val="22"/>
          <w:color w:val="auto"/>
        </w:rPr>
      </w:pPr>
    </w:p>
    <w:p>
      <w:pPr>
        <w:ind w:right="20" w:firstLine="648"/>
        <w:spacing w:after="0" w:line="275" w:lineRule="auto"/>
        <w:tabs>
          <w:tab w:leader="none" w:pos="1332"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8" w:lineRule="exact"/>
        <w:rPr>
          <w:rFonts w:ascii="Arial" w:cs="Arial" w:eastAsia="Arial" w:hAnsi="Arial"/>
          <w:sz w:val="19"/>
          <w:szCs w:val="19"/>
          <w:color w:val="auto"/>
        </w:rPr>
      </w:pPr>
    </w:p>
    <w:p>
      <w:pPr>
        <w:ind w:firstLine="648"/>
        <w:spacing w:after="0" w:line="270" w:lineRule="auto"/>
        <w:tabs>
          <w:tab w:leader="none" w:pos="133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340" w:hanging="692"/>
        <w:spacing w:after="0"/>
        <w:tabs>
          <w:tab w:leader="none" w:pos="1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or any Significant Subsidiary pursuant to or within the meaning of any Bankruptcy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88" w:lineRule="exact"/>
        <w:rPr>
          <w:rFonts w:ascii="Arial" w:cs="Arial" w:eastAsia="Arial" w:hAnsi="Arial"/>
          <w:sz w:val="19"/>
          <w:szCs w:val="19"/>
          <w:color w:val="auto"/>
        </w:rPr>
      </w:pPr>
    </w:p>
    <w:p>
      <w:pPr>
        <w:ind w:left="2020" w:hanging="724"/>
        <w:spacing w:after="0"/>
        <w:tabs>
          <w:tab w:leader="none" w:pos="20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020" w:hanging="724"/>
        <w:spacing w:after="0"/>
        <w:tabs>
          <w:tab w:leader="none" w:pos="20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2020" w:hanging="724"/>
        <w:spacing w:after="0"/>
        <w:tabs>
          <w:tab w:leader="none" w:pos="2020" w:val="left"/>
        </w:tabs>
        <w:numPr>
          <w:ilvl w:val="1"/>
          <w:numId w:val="71"/>
        </w:numPr>
        <w:rPr>
          <w:rFonts w:ascii="Arial" w:cs="Arial" w:eastAsia="Arial" w:hAnsi="Arial"/>
          <w:sz w:val="21"/>
          <w:szCs w:val="21"/>
          <w:color w:val="auto"/>
        </w:rPr>
      </w:pPr>
      <w:r>
        <w:rPr>
          <w:rFonts w:ascii="Arial" w:cs="Arial" w:eastAsia="Arial" w:hAnsi="Arial"/>
          <w:sz w:val="21"/>
          <w:szCs w:val="21"/>
          <w:color w:val="auto"/>
        </w:rPr>
        <w:t>consents to the appointment of a Custodian of it or for all or substantially all of its</w:t>
      </w:r>
    </w:p>
    <w:p>
      <w:pPr>
        <w:spacing w:after="0" w:line="19"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property, or</w:t>
      </w:r>
    </w:p>
    <w:p>
      <w:pPr>
        <w:spacing w:after="0" w:line="188" w:lineRule="exact"/>
        <w:rPr>
          <w:rFonts w:ascii="Arial" w:cs="Arial" w:eastAsia="Arial" w:hAnsi="Arial"/>
          <w:sz w:val="21"/>
          <w:szCs w:val="21"/>
          <w:color w:val="auto"/>
        </w:rPr>
      </w:pPr>
    </w:p>
    <w:p>
      <w:pPr>
        <w:ind w:left="2020" w:hanging="724"/>
        <w:spacing w:after="0"/>
        <w:tabs>
          <w:tab w:leader="none" w:pos="20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00" w:top="361" w:right="779" w:bottom="1440" w:gutter="0" w:footer="0" w:header="0"/>
        </w:sectPr>
      </w:pPr>
    </w:p>
    <w:bookmarkStart w:id="92" w:name="page93"/>
    <w:bookmarkEnd w:id="92"/>
    <w:p>
      <w:pPr>
        <w:ind w:left="1980" w:hanging="692"/>
        <w:spacing w:after="0"/>
        <w:tabs>
          <w:tab w:leader="none" w:pos="19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court of competent jurisdiction enters an order or decree under any Bankruptcy Law that:</w:t>
      </w:r>
    </w:p>
    <w:p>
      <w:pPr>
        <w:spacing w:after="0" w:line="132" w:lineRule="exact"/>
        <w:rPr>
          <w:rFonts w:ascii="Arial" w:cs="Arial" w:eastAsia="Arial" w:hAnsi="Arial"/>
          <w:sz w:val="19"/>
          <w:szCs w:val="19"/>
          <w:color w:val="auto"/>
        </w:rPr>
      </w:pPr>
    </w:p>
    <w:p>
      <w:pPr>
        <w:ind w:left="2660" w:hanging="724"/>
        <w:spacing w:after="0"/>
        <w:tabs>
          <w:tab w:leader="none" w:pos="26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is for relief against the Company or any Significant Subsidiary in an involuntary case,</w:t>
      </w:r>
    </w:p>
    <w:p>
      <w:pPr>
        <w:spacing w:after="0" w:line="240" w:lineRule="exact"/>
        <w:rPr>
          <w:rFonts w:ascii="Arial" w:cs="Arial" w:eastAsia="Arial" w:hAnsi="Arial"/>
          <w:sz w:val="19"/>
          <w:szCs w:val="19"/>
          <w:color w:val="auto"/>
        </w:rPr>
      </w:pPr>
    </w:p>
    <w:p>
      <w:pPr>
        <w:ind w:left="1280" w:right="840" w:firstLine="656"/>
        <w:spacing w:after="0" w:line="251" w:lineRule="auto"/>
        <w:tabs>
          <w:tab w:leader="none" w:pos="2648" w:val="left"/>
        </w:tabs>
        <w:numPr>
          <w:ilvl w:val="1"/>
          <w:numId w:val="72"/>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either of its property, or</w:t>
      </w:r>
    </w:p>
    <w:p>
      <w:pPr>
        <w:spacing w:after="0" w:line="173" w:lineRule="exact"/>
        <w:rPr>
          <w:rFonts w:ascii="Arial" w:cs="Arial" w:eastAsia="Arial" w:hAnsi="Arial"/>
          <w:sz w:val="22"/>
          <w:szCs w:val="22"/>
          <w:color w:val="auto"/>
        </w:rPr>
      </w:pPr>
    </w:p>
    <w:p>
      <w:pPr>
        <w:ind w:left="1280" w:right="380" w:firstLine="656"/>
        <w:spacing w:after="0" w:line="251" w:lineRule="auto"/>
        <w:tabs>
          <w:tab w:leader="none" w:pos="2648" w:val="left"/>
        </w:tabs>
        <w:numPr>
          <w:ilvl w:val="1"/>
          <w:numId w:val="72"/>
        </w:numPr>
        <w:rPr>
          <w:rFonts w:ascii="Arial" w:cs="Arial" w:eastAsia="Arial" w:hAnsi="Arial"/>
          <w:sz w:val="22"/>
          <w:szCs w:val="22"/>
          <w:color w:val="auto"/>
        </w:rPr>
      </w:pPr>
      <w:r>
        <w:rPr>
          <w:rFonts w:ascii="Arial" w:cs="Arial" w:eastAsia="Arial" w:hAnsi="Arial"/>
          <w:sz w:val="22"/>
          <w:szCs w:val="22"/>
          <w:color w:val="auto"/>
        </w:rPr>
        <w:t>orders the liquidation of the Company or any Significant Subsidiary, and the order or decree remains unstayed and in effect for 90 days; or</w:t>
      </w:r>
    </w:p>
    <w:p>
      <w:pPr>
        <w:spacing w:after="0" w:line="173" w:lineRule="exact"/>
        <w:rPr>
          <w:rFonts w:ascii="Arial" w:cs="Arial" w:eastAsia="Arial" w:hAnsi="Arial"/>
          <w:sz w:val="22"/>
          <w:szCs w:val="22"/>
          <w:color w:val="auto"/>
        </w:rPr>
      </w:pPr>
    </w:p>
    <w:p>
      <w:pPr>
        <w:ind w:left="1980" w:hanging="692"/>
        <w:spacing w:after="0"/>
        <w:tabs>
          <w:tab w:leader="none" w:pos="19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other Event of Default provided with respect to Securities of that series.</w:t>
      </w:r>
    </w:p>
    <w:p>
      <w:pPr>
        <w:spacing w:after="0" w:line="206"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86"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53"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43" w:lineRule="exact"/>
        <w:rPr>
          <w:sz w:val="20"/>
          <w:szCs w:val="20"/>
          <w:color w:val="auto"/>
        </w:rPr>
      </w:pPr>
    </w:p>
    <w:p>
      <w:pPr>
        <w:jc w:val="both"/>
        <w:ind w:left="640" w:right="480" w:firstLine="648"/>
        <w:spacing w:after="0" w:line="258" w:lineRule="auto"/>
        <w:tabs>
          <w:tab w:leader="none" w:pos="1972"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6" w:lineRule="exact"/>
        <w:rPr>
          <w:rFonts w:ascii="Arial" w:cs="Arial" w:eastAsia="Arial" w:hAnsi="Arial"/>
          <w:sz w:val="21"/>
          <w:szCs w:val="21"/>
          <w:color w:val="auto"/>
        </w:rPr>
      </w:pPr>
    </w:p>
    <w:p>
      <w:pPr>
        <w:ind w:left="1280" w:right="280" w:firstLine="656"/>
        <w:spacing w:after="0" w:line="251" w:lineRule="auto"/>
        <w:tabs>
          <w:tab w:leader="none" w:pos="26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all overdue installments of interest on all Outstanding Securities of that series and any related coupons,</w:t>
      </w:r>
    </w:p>
    <w:p>
      <w:pPr>
        <w:spacing w:after="0" w:line="173" w:lineRule="exact"/>
        <w:rPr>
          <w:rFonts w:ascii="Arial" w:cs="Arial" w:eastAsia="Arial" w:hAnsi="Arial"/>
          <w:sz w:val="22"/>
          <w:szCs w:val="22"/>
          <w:color w:val="auto"/>
        </w:rPr>
      </w:pPr>
    </w:p>
    <w:p>
      <w:pPr>
        <w:ind w:left="1280" w:right="200" w:firstLine="656"/>
        <w:spacing w:after="0" w:line="297" w:lineRule="auto"/>
        <w:tabs>
          <w:tab w:leader="none" w:pos="2648"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469" w:right="759" w:bottom="1440" w:gutter="0" w:footer="0" w:header="0"/>
        </w:sectPr>
      </w:pPr>
    </w:p>
    <w:bookmarkStart w:id="93" w:name="page94"/>
    <w:bookmarkEnd w:id="93"/>
    <w:p>
      <w:pPr>
        <w:ind w:left="1280" w:firstLine="656"/>
        <w:spacing w:after="0" w:line="251" w:lineRule="auto"/>
        <w:tabs>
          <w:tab w:leader="none" w:pos="2648"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the extent that payment of such interest is lawful, interest upon overdue installments of interest at the rate or rates borne by or provided for in such Securities, and</w:t>
      </w:r>
    </w:p>
    <w:p>
      <w:pPr>
        <w:spacing w:after="0" w:line="173" w:lineRule="exact"/>
        <w:rPr>
          <w:rFonts w:ascii="Arial" w:cs="Arial" w:eastAsia="Arial" w:hAnsi="Arial"/>
          <w:sz w:val="22"/>
          <w:szCs w:val="22"/>
          <w:color w:val="auto"/>
        </w:rPr>
      </w:pPr>
    </w:p>
    <w:p>
      <w:pPr>
        <w:ind w:left="1280" w:right="320" w:firstLine="656"/>
        <w:spacing w:after="0" w:line="328" w:lineRule="auto"/>
        <w:tabs>
          <w:tab w:leader="none" w:pos="266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all sums paid or advanced by the Trustee hereunder and the reasonable compensation, expenses, disbursements and advances of the Trustee, its agents and counsel; and</w:t>
      </w:r>
    </w:p>
    <w:p>
      <w:pPr>
        <w:spacing w:after="0" w:line="105" w:lineRule="exact"/>
        <w:rPr>
          <w:rFonts w:ascii="Arial" w:cs="Arial" w:eastAsia="Arial" w:hAnsi="Arial"/>
          <w:sz w:val="19"/>
          <w:szCs w:val="19"/>
          <w:color w:val="auto"/>
        </w:rPr>
      </w:pPr>
    </w:p>
    <w:p>
      <w:pPr>
        <w:ind w:left="640" w:right="240" w:firstLine="648"/>
        <w:spacing w:after="0" w:line="297" w:lineRule="auto"/>
        <w:tabs>
          <w:tab w:leader="none" w:pos="1972"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06"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Collection of Indebtedness and Suits for Enforcement by Trustee</w:t>
      </w:r>
      <w:r>
        <w:rPr>
          <w:rFonts w:ascii="Arial" w:cs="Arial" w:eastAsia="Arial" w:hAnsi="Arial"/>
          <w:sz w:val="19"/>
          <w:szCs w:val="19"/>
          <w:color w:val="auto"/>
        </w:rPr>
        <w:t>. The Company covenants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 if:</w:t>
      </w:r>
    </w:p>
    <w:p>
      <w:pPr>
        <w:spacing w:after="0" w:line="188" w:lineRule="exact"/>
        <w:rPr>
          <w:sz w:val="20"/>
          <w:szCs w:val="20"/>
          <w:color w:val="auto"/>
        </w:rPr>
      </w:pPr>
    </w:p>
    <w:p>
      <w:pPr>
        <w:jc w:val="both"/>
        <w:ind w:left="640" w:right="260" w:firstLine="648"/>
        <w:spacing w:after="0"/>
        <w:tabs>
          <w:tab w:leader="none" w:pos="1972"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default is made in the payment of any installment of interest on any Security of any series and any related coupon when such interest becomes due and payable and such default continues for a period of 30 days, or</w:t>
      </w:r>
    </w:p>
    <w:p>
      <w:pPr>
        <w:spacing w:after="0" w:line="186" w:lineRule="exact"/>
        <w:rPr>
          <w:rFonts w:ascii="Arial" w:cs="Arial" w:eastAsia="Arial" w:hAnsi="Arial"/>
          <w:sz w:val="22"/>
          <w:szCs w:val="22"/>
          <w:color w:val="auto"/>
        </w:rPr>
      </w:pPr>
    </w:p>
    <w:p>
      <w:pPr>
        <w:ind w:left="640" w:right="180" w:firstLine="648"/>
        <w:spacing w:after="0" w:line="251" w:lineRule="auto"/>
        <w:tabs>
          <w:tab w:leader="none" w:pos="1972"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default is made in the payment of the principal of (or premium or Make-Whole Amount, if any, on) any Security of any series at its Maturity,</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3"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88"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94" w:name="page95"/>
    <w:bookmarkEnd w:id="94"/>
    <w:p>
      <w:pPr>
        <w:ind w:firstLine="648"/>
        <w:spacing w:after="0" w:line="27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53" w:lineRule="exact"/>
        <w:rPr>
          <w:sz w:val="20"/>
          <w:szCs w:val="20"/>
          <w:color w:val="auto"/>
        </w:rPr>
      </w:pPr>
    </w:p>
    <w:p>
      <w:pPr>
        <w:ind w:left="1280" w:right="40" w:firstLine="656"/>
        <w:spacing w:after="0" w:line="279" w:lineRule="auto"/>
        <w:tabs>
          <w:tab w:leader="none" w:pos="25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0" w:lineRule="exact"/>
        <w:rPr>
          <w:rFonts w:ascii="Arial" w:cs="Arial" w:eastAsia="Arial" w:hAnsi="Arial"/>
          <w:sz w:val="19"/>
          <w:szCs w:val="19"/>
          <w:color w:val="auto"/>
        </w:rPr>
      </w:pPr>
    </w:p>
    <w:p>
      <w:pPr>
        <w:ind w:left="1280" w:right="260" w:firstLine="656"/>
        <w:spacing w:after="0" w:line="251" w:lineRule="auto"/>
        <w:tabs>
          <w:tab w:leader="none" w:pos="25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77"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4"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3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Trustee May Enforce Claims Without Possession of Securities or Coupons</w:t>
      </w:r>
      <w:r>
        <w:rPr>
          <w:rFonts w:ascii="Arial" w:cs="Arial" w:eastAsia="Arial" w:hAnsi="Arial"/>
          <w:sz w:val="19"/>
          <w:szCs w:val="19"/>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5" w:name="page96"/>
    <w:bookmarkEnd w:id="95"/>
    <w:p>
      <w:pPr>
        <w:spacing w:after="0"/>
        <w:rPr>
          <w:sz w:val="20"/>
          <w:szCs w:val="20"/>
          <w:color w:val="auto"/>
        </w:rPr>
      </w:pPr>
      <w:r>
        <w:rPr>
          <w:rFonts w:ascii="Arial" w:cs="Arial" w:eastAsia="Arial" w:hAnsi="Arial"/>
          <w:sz w:val="21"/>
          <w:szCs w:val="21"/>
          <w:color w:val="auto"/>
        </w:rPr>
        <w:t>benefit of the Holders of the Securities and coupons in respect of which such judgment has been recovered.</w:t>
      </w:r>
    </w:p>
    <w:p>
      <w:pPr>
        <w:spacing w:after="0" w:line="21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Application of Money Collected</w:t>
      </w:r>
      <w:r>
        <w:rPr>
          <w:rFonts w:ascii="Arial" w:cs="Arial" w:eastAsia="Arial" w:hAnsi="Arial"/>
          <w:sz w:val="22"/>
          <w:szCs w:val="22"/>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FIRST: To the payment of all amounts due the Trustee and any predecessor Trustee under Section 606;</w:t>
      </w: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THIRD: To the payment of the remainder, if any, to the Company.</w:t>
      </w:r>
    </w:p>
    <w:p>
      <w:pPr>
        <w:spacing w:after="0" w:line="206"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Limitation on Suits</w:t>
      </w:r>
      <w:r>
        <w:rPr>
          <w:rFonts w:ascii="Arial" w:cs="Arial" w:eastAsia="Arial" w:hAnsi="Arial"/>
          <w:sz w:val="22"/>
          <w:szCs w:val="22"/>
          <w:color w:val="auto"/>
        </w:rPr>
        <w:t>. No Holder of any Security of any series or any related coupon shall have any right to institute any proceeding, judicial or otherwise, with respect to this Indenture or the Securities, or for the appointment of a receiver or trustee, or for any other remedy hereunder, unless:</w:t>
      </w:r>
    </w:p>
    <w:p>
      <w:pPr>
        <w:spacing w:after="0" w:line="186" w:lineRule="exact"/>
        <w:rPr>
          <w:sz w:val="20"/>
          <w:szCs w:val="20"/>
          <w:color w:val="auto"/>
        </w:rPr>
      </w:pPr>
    </w:p>
    <w:p>
      <w:pPr>
        <w:ind w:left="640" w:right="160" w:firstLine="648"/>
        <w:spacing w:after="0" w:line="251" w:lineRule="auto"/>
        <w:tabs>
          <w:tab w:leader="none" w:pos="1972"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3" w:lineRule="exact"/>
        <w:rPr>
          <w:rFonts w:ascii="Arial" w:cs="Arial" w:eastAsia="Arial" w:hAnsi="Arial"/>
          <w:sz w:val="22"/>
          <w:szCs w:val="22"/>
          <w:color w:val="auto"/>
        </w:rPr>
      </w:pPr>
    </w:p>
    <w:p>
      <w:pPr>
        <w:jc w:val="both"/>
        <w:ind w:left="640" w:right="100" w:firstLine="648"/>
        <w:spacing w:after="0"/>
        <w:tabs>
          <w:tab w:leader="none" w:pos="197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6" w:lineRule="exact"/>
        <w:rPr>
          <w:rFonts w:ascii="Arial" w:cs="Arial" w:eastAsia="Arial" w:hAnsi="Arial"/>
          <w:sz w:val="22"/>
          <w:szCs w:val="22"/>
          <w:color w:val="auto"/>
        </w:rPr>
      </w:pPr>
    </w:p>
    <w:p>
      <w:pPr>
        <w:ind w:left="640" w:right="480" w:firstLine="648"/>
        <w:spacing w:after="0" w:line="328" w:lineRule="auto"/>
        <w:tabs>
          <w:tab w:leader="none" w:pos="1972" w:val="left"/>
        </w:tabs>
        <w:numPr>
          <w:ilvl w:val="0"/>
          <w:numId w:val="78"/>
        </w:numPr>
        <w:rPr>
          <w:rFonts w:ascii="Arial" w:cs="Arial" w:eastAsia="Arial" w:hAnsi="Arial"/>
          <w:sz w:val="19"/>
          <w:szCs w:val="19"/>
          <w:color w:val="auto"/>
        </w:rPr>
      </w:pPr>
      <w:r>
        <w:rPr>
          <w:rFonts w:ascii="Arial" w:cs="Arial" w:eastAsia="Arial" w:hAnsi="Arial"/>
          <w:sz w:val="19"/>
          <w:szCs w:val="19"/>
          <w:color w:val="auto"/>
        </w:rPr>
        <w:t>such Holder or Holders have offered to the Trustee indemnity reasonably satisfactory to the Trustee against the costs, expenses and liabilities to be incurred in compliance with such request;</w:t>
      </w:r>
    </w:p>
    <w:p>
      <w:pPr>
        <w:spacing w:after="0" w:line="105" w:lineRule="exact"/>
        <w:rPr>
          <w:rFonts w:ascii="Arial" w:cs="Arial" w:eastAsia="Arial" w:hAnsi="Arial"/>
          <w:sz w:val="19"/>
          <w:szCs w:val="19"/>
          <w:color w:val="auto"/>
        </w:rPr>
      </w:pPr>
    </w:p>
    <w:p>
      <w:pPr>
        <w:ind w:left="640" w:right="160" w:firstLine="648"/>
        <w:spacing w:after="0" w:line="251" w:lineRule="auto"/>
        <w:tabs>
          <w:tab w:leader="none" w:pos="197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3" w:lineRule="exact"/>
        <w:rPr>
          <w:rFonts w:ascii="Arial" w:cs="Arial" w:eastAsia="Arial" w:hAnsi="Arial"/>
          <w:sz w:val="22"/>
          <w:szCs w:val="22"/>
          <w:color w:val="auto"/>
        </w:rPr>
      </w:pPr>
    </w:p>
    <w:p>
      <w:pPr>
        <w:ind w:left="640" w:right="400" w:firstLine="648"/>
        <w:spacing w:after="0" w:line="259" w:lineRule="exact"/>
        <w:tabs>
          <w:tab w:leader="none" w:pos="1972"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direction inconsistent with such written request has been given to the Trustee during such 60</w:t>
      </w:r>
      <w:r>
        <w:rPr>
          <w:rFonts w:ascii="MS PGothic" w:cs="MS PGothic" w:eastAsia="MS PGothic" w:hAnsi="MS PGothic"/>
          <w:sz w:val="19"/>
          <w:szCs w:val="19"/>
          <w:color w:val="auto"/>
        </w:rPr>
        <w:t>‑</w:t>
      </w:r>
      <w:r>
        <w:rPr>
          <w:rFonts w:ascii="Arial" w:cs="Arial" w:eastAsia="Arial" w:hAnsi="Arial"/>
          <w:sz w:val="19"/>
          <w:szCs w:val="19"/>
          <w:color w:val="auto"/>
        </w:rPr>
        <w:t>day period by the Holders of a majority in principal amount of the Outstanding Securities of that series;</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6" w:name="page97"/>
    <w:bookmarkEnd w:id="96"/>
    <w:p>
      <w:pPr>
        <w:ind w:firstLine="648"/>
        <w:spacing w:after="0" w:line="234"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Unconditional Right of Holders to Receive Principal, Premium or Make-Whole Amount, if</w:t>
      </w:r>
      <w:r>
        <w:rPr>
          <w:rFonts w:ascii="Arial" w:cs="Arial" w:eastAsia="Arial" w:hAnsi="Arial"/>
          <w:sz w:val="22"/>
          <w:szCs w:val="22"/>
          <w:color w:val="auto"/>
        </w:rPr>
        <w:t xml:space="preserve"> </w:t>
      </w:r>
      <w:r>
        <w:rPr>
          <w:rFonts w:ascii="Arial" w:cs="Arial" w:eastAsia="Arial" w:hAnsi="Arial"/>
          <w:sz w:val="22"/>
          <w:szCs w:val="22"/>
          <w:u w:val="single" w:color="auto"/>
          <w:color w:val="auto"/>
        </w:rPr>
        <w:t>any, and Interest</w:t>
      </w:r>
      <w:r>
        <w:rPr>
          <w:rFonts w:ascii="Arial" w:cs="Arial" w:eastAsia="Arial" w:hAnsi="Arial"/>
          <w:sz w:val="22"/>
          <w:szCs w:val="22"/>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91" w:lineRule="exact"/>
        <w:rPr>
          <w:sz w:val="20"/>
          <w:szCs w:val="20"/>
          <w:color w:val="auto"/>
        </w:rPr>
      </w:pPr>
    </w:p>
    <w:p>
      <w:pPr>
        <w:ind w:right="100" w:firstLine="648"/>
        <w:spacing w:after="0" w:line="234"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Restoration of Rights and Remedies</w:t>
      </w:r>
      <w:r>
        <w:rPr>
          <w:rFonts w:ascii="Arial" w:cs="Arial" w:eastAsia="Arial" w:hAnsi="Arial"/>
          <w:sz w:val="22"/>
          <w:szCs w:val="22"/>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3"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Delay or Omission Not Waiver</w:t>
      </w:r>
      <w:r>
        <w:rPr>
          <w:rFonts w:ascii="Arial" w:cs="Arial" w:eastAsia="Arial" w:hAnsi="Arial"/>
          <w:sz w:val="19"/>
          <w:szCs w:val="19"/>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48"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Control by Holders of Securities</w:t>
      </w:r>
      <w:r>
        <w:rPr>
          <w:rFonts w:ascii="Arial" w:cs="Arial" w:eastAsia="Arial" w:hAnsi="Arial"/>
          <w:sz w:val="22"/>
          <w:szCs w:val="22"/>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ind w:left="1980" w:hanging="692"/>
        <w:spacing w:after="0"/>
        <w:tabs>
          <w:tab w:leader="none" w:pos="19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06" w:lineRule="exact"/>
        <w:rPr>
          <w:rFonts w:ascii="Arial" w:cs="Arial" w:eastAsia="Arial" w:hAnsi="Arial"/>
          <w:sz w:val="22"/>
          <w:szCs w:val="22"/>
          <w:color w:val="auto"/>
        </w:rPr>
      </w:pPr>
    </w:p>
    <w:p>
      <w:pPr>
        <w:ind w:left="640" w:right="300" w:firstLine="648"/>
        <w:spacing w:after="0" w:line="251" w:lineRule="auto"/>
        <w:tabs>
          <w:tab w:leader="none" w:pos="197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may take any other action deemed proper by the Trustee which is not inconsistent with such direction, and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97" w:name="page98"/>
    <w:bookmarkEnd w:id="97"/>
    <w:p>
      <w:pPr>
        <w:ind w:left="640" w:right="380" w:firstLine="648"/>
        <w:spacing w:after="0" w:line="251" w:lineRule="auto"/>
        <w:tabs>
          <w:tab w:leader="none" w:pos="197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Trustee need not take any action which might involve it in personal liability or be unduly prejudicial to the Holders of Securities of such series not joining therein.</w:t>
      </w:r>
    </w:p>
    <w:p>
      <w:pPr>
        <w:spacing w:after="0" w:line="173"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Nothing in this Indenture shall impair the right of the Trustee in its discretion to take any action deemed proper by the Trustee and which is not inconsistent with such direction by Holders.</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34" w:lineRule="exact"/>
        <w:rPr>
          <w:sz w:val="20"/>
          <w:szCs w:val="20"/>
          <w:color w:val="auto"/>
        </w:rPr>
      </w:pPr>
    </w:p>
    <w:p>
      <w:pPr>
        <w:ind w:left="640" w:right="300" w:firstLine="648"/>
        <w:spacing w:after="0" w:line="251" w:lineRule="auto"/>
        <w:tabs>
          <w:tab w:leader="none" w:pos="19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the payment of the principal of (or premium or Make-Whole Amount, if any) or interest on any Security of such series or any related coupons, or</w:t>
      </w:r>
    </w:p>
    <w:p>
      <w:pPr>
        <w:spacing w:after="0" w:line="173" w:lineRule="exact"/>
        <w:rPr>
          <w:rFonts w:ascii="Arial" w:cs="Arial" w:eastAsia="Arial" w:hAnsi="Arial"/>
          <w:sz w:val="22"/>
          <w:szCs w:val="22"/>
          <w:color w:val="auto"/>
        </w:rPr>
      </w:pPr>
    </w:p>
    <w:p>
      <w:pPr>
        <w:ind w:left="640" w:right="420" w:firstLine="648"/>
        <w:spacing w:after="0" w:line="328" w:lineRule="auto"/>
        <w:tabs>
          <w:tab w:leader="none" w:pos="1972"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 respect of a covenant or provision hereof which under Article Nine cannot be modified or amended without the consent of the Holder of each Outstanding Security of such series affected; or</w:t>
      </w:r>
    </w:p>
    <w:p>
      <w:pPr>
        <w:spacing w:after="0" w:line="105" w:lineRule="exact"/>
        <w:rPr>
          <w:rFonts w:ascii="Arial" w:cs="Arial" w:eastAsia="Arial" w:hAnsi="Arial"/>
          <w:sz w:val="19"/>
          <w:szCs w:val="19"/>
          <w:color w:val="auto"/>
        </w:rPr>
      </w:pPr>
    </w:p>
    <w:p>
      <w:pPr>
        <w:ind w:left="640" w:right="160" w:firstLine="648"/>
        <w:spacing w:after="0" w:line="251" w:lineRule="auto"/>
        <w:tabs>
          <w:tab w:leader="none" w:pos="19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respect of a covenant or provision hereof for the benefit or protection of the Trustee, without its express written consent.</w:t>
      </w:r>
    </w:p>
    <w:p>
      <w:pPr>
        <w:spacing w:after="0" w:line="173" w:lineRule="exact"/>
        <w:rPr>
          <w:sz w:val="20"/>
          <w:szCs w:val="20"/>
          <w:color w:val="auto"/>
        </w:rPr>
      </w:pPr>
    </w:p>
    <w:p>
      <w:pPr>
        <w:ind w:right="220" w:firstLine="648"/>
        <w:spacing w:after="0" w:line="258" w:lineRule="auto"/>
        <w:rPr>
          <w:sz w:val="20"/>
          <w:szCs w:val="20"/>
          <w:color w:val="auto"/>
        </w:rPr>
      </w:pPr>
      <w:r>
        <w:rPr>
          <w:rFonts w:ascii="Arial" w:cs="Arial" w:eastAsia="Arial" w:hAnsi="Arial"/>
          <w:sz w:val="21"/>
          <w:szCs w:val="21"/>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7"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Waiver of Usury, Stay or Extension Laws</w:t>
      </w:r>
      <w:r>
        <w:rPr>
          <w:rFonts w:ascii="Arial" w:cs="Arial" w:eastAsia="Arial" w:hAnsi="Arial"/>
          <w:sz w:val="21"/>
          <w:szCs w:val="21"/>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8" w:name="page99"/>
    <w:bookmarkEnd w:id="98"/>
    <w:p>
      <w:pPr>
        <w:ind w:right="20"/>
        <w:spacing w:after="0" w:line="328" w:lineRule="auto"/>
        <w:rPr>
          <w:sz w:val="20"/>
          <w:szCs w:val="20"/>
          <w:color w:val="auto"/>
        </w:rPr>
      </w:pPr>
      <w:r>
        <w:rPr>
          <w:rFonts w:ascii="Arial" w:cs="Arial" w:eastAsia="Arial" w:hAnsi="Arial"/>
          <w:sz w:val="19"/>
          <w:szCs w:val="19"/>
          <w:color w:val="auto"/>
        </w:rPr>
        <w:t>payment of the principal of (or premium or Make-Whole Amount, if any) or interest on any Security on or after the respective Stated Maturities expressed in such Security (or, in the case of redemption, on or after the Redemption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SIX - THE TRUSTEE</w:t>
      </w:r>
    </w:p>
    <w:p>
      <w:pPr>
        <w:spacing w:after="0" w:line="206"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Notice of Defaults</w:t>
      </w:r>
      <w:r>
        <w:rPr>
          <w:rFonts w:ascii="Arial" w:cs="Arial" w:eastAsia="Arial" w:hAnsi="Arial"/>
          <w:sz w:val="21"/>
          <w:szCs w:val="21"/>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85"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Certain Rights of Trustee</w:t>
      </w:r>
      <w:r>
        <w:rPr>
          <w:rFonts w:ascii="Arial" w:cs="Arial" w:eastAsia="Arial" w:hAnsi="Arial"/>
          <w:sz w:val="19"/>
          <w:szCs w:val="19"/>
          <w:color w:val="auto"/>
        </w:rPr>
        <w:t>. Subject to the provisions of TIA Section 315(a) through 315(d):</w:t>
      </w:r>
    </w:p>
    <w:p>
      <w:pPr>
        <w:spacing w:after="0" w:line="206" w:lineRule="exact"/>
        <w:rPr>
          <w:sz w:val="20"/>
          <w:szCs w:val="20"/>
          <w:color w:val="auto"/>
        </w:rPr>
      </w:pPr>
    </w:p>
    <w:p>
      <w:pPr>
        <w:jc w:val="both"/>
        <w:ind w:left="640" w:right="100" w:firstLine="648"/>
        <w:spacing w:after="0" w:line="287" w:lineRule="auto"/>
        <w:tabs>
          <w:tab w:leader="none" w:pos="1972"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3" w:lineRule="exact"/>
        <w:rPr>
          <w:rFonts w:ascii="Arial" w:cs="Arial" w:eastAsia="Arial" w:hAnsi="Arial"/>
          <w:sz w:val="19"/>
          <w:szCs w:val="19"/>
          <w:color w:val="auto"/>
        </w:rPr>
      </w:pPr>
    </w:p>
    <w:p>
      <w:pPr>
        <w:ind w:left="640" w:right="280" w:firstLine="648"/>
        <w:spacing w:after="0" w:line="236" w:lineRule="auto"/>
        <w:tabs>
          <w:tab w:leader="none" w:pos="1972"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7" w:lineRule="exact"/>
        <w:rPr>
          <w:rFonts w:ascii="Arial" w:cs="Arial" w:eastAsia="Arial" w:hAnsi="Arial"/>
          <w:sz w:val="22"/>
          <w:szCs w:val="22"/>
          <w:color w:val="auto"/>
        </w:rPr>
      </w:pPr>
    </w:p>
    <w:p>
      <w:pPr>
        <w:ind w:left="640" w:right="120" w:firstLine="648"/>
        <w:spacing w:after="0" w:line="238" w:lineRule="auto"/>
        <w:tabs>
          <w:tab w:leader="none" w:pos="1972" w:val="left"/>
        </w:tabs>
        <w:numPr>
          <w:ilvl w:val="0"/>
          <w:numId w:val="82"/>
        </w:numPr>
        <w:rPr>
          <w:rFonts w:ascii="Arial" w:cs="Arial" w:eastAsia="Arial" w:hAnsi="Arial"/>
          <w:sz w:val="22"/>
          <w:szCs w:val="22"/>
          <w:color w:val="auto"/>
        </w:rPr>
      </w:pPr>
      <w:r>
        <w:rPr>
          <w:rFonts w:ascii="Arial" w:cs="Arial" w:eastAsia="Arial" w:hAnsi="Arial"/>
          <w:sz w:val="22"/>
          <w:szCs w:val="2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5" w:lineRule="exact"/>
        <w:rPr>
          <w:rFonts w:ascii="Arial" w:cs="Arial" w:eastAsia="Arial" w:hAnsi="Arial"/>
          <w:sz w:val="22"/>
          <w:szCs w:val="22"/>
          <w:color w:val="auto"/>
        </w:rPr>
      </w:pPr>
    </w:p>
    <w:p>
      <w:pPr>
        <w:jc w:val="both"/>
        <w:ind w:left="640" w:right="40" w:firstLine="648"/>
        <w:spacing w:after="0" w:line="258" w:lineRule="auto"/>
        <w:tabs>
          <w:tab w:leader="none" w:pos="1972"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99" w:name="page100"/>
    <w:bookmarkEnd w:id="99"/>
    <w:p>
      <w:pPr>
        <w:ind w:left="-40" w:firstLine="648"/>
        <w:spacing w:after="0" w:line="236" w:lineRule="auto"/>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7" w:lineRule="exact"/>
        <w:rPr>
          <w:rFonts w:ascii="Arial" w:cs="Arial" w:eastAsia="Arial" w:hAnsi="Arial"/>
          <w:sz w:val="22"/>
          <w:szCs w:val="22"/>
          <w:color w:val="auto"/>
        </w:rPr>
      </w:pPr>
    </w:p>
    <w:p>
      <w:pPr>
        <w:ind w:left="-40" w:right="20" w:firstLine="648"/>
        <w:spacing w:after="0" w:line="271" w:lineRule="auto"/>
        <w:tabs>
          <w:tab w:leader="none" w:pos="1292"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65" w:lineRule="exact"/>
        <w:rPr>
          <w:rFonts w:ascii="Arial" w:cs="Arial" w:eastAsia="Arial" w:hAnsi="Arial"/>
          <w:sz w:val="19"/>
          <w:szCs w:val="19"/>
          <w:color w:val="auto"/>
        </w:rPr>
      </w:pPr>
    </w:p>
    <w:p>
      <w:pPr>
        <w:jc w:val="both"/>
        <w:ind w:left="-40" w:right="220" w:firstLine="648"/>
        <w:spacing w:after="0" w:line="297" w:lineRule="auto"/>
        <w:tabs>
          <w:tab w:leader="none" w:pos="129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4" w:lineRule="exact"/>
        <w:rPr>
          <w:rFonts w:ascii="Arial" w:cs="Arial" w:eastAsia="Arial" w:hAnsi="Arial"/>
          <w:sz w:val="19"/>
          <w:szCs w:val="19"/>
          <w:color w:val="auto"/>
        </w:rPr>
      </w:pPr>
    </w:p>
    <w:p>
      <w:pPr>
        <w:ind w:left="-40" w:right="220" w:firstLine="648"/>
        <w:spacing w:after="0"/>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86" w:lineRule="exact"/>
        <w:rPr>
          <w:rFonts w:ascii="Arial" w:cs="Arial" w:eastAsia="Arial" w:hAnsi="Arial"/>
          <w:sz w:val="22"/>
          <w:szCs w:val="22"/>
          <w:color w:val="auto"/>
        </w:rPr>
      </w:pPr>
    </w:p>
    <w:p>
      <w:pPr>
        <w:ind w:left="-40" w:right="320" w:firstLine="648"/>
        <w:spacing w:after="0" w:line="251" w:lineRule="auto"/>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permissive right or power available to the Trustee under this Indenture or any supplement hereto shall not be construed to be a mandatory duty or obligation;</w:t>
      </w:r>
    </w:p>
    <w:p>
      <w:pPr>
        <w:spacing w:after="0" w:line="173" w:lineRule="exact"/>
        <w:rPr>
          <w:rFonts w:ascii="Arial" w:cs="Arial" w:eastAsia="Arial" w:hAnsi="Arial"/>
          <w:sz w:val="22"/>
          <w:szCs w:val="22"/>
          <w:color w:val="auto"/>
        </w:rPr>
      </w:pPr>
    </w:p>
    <w:p>
      <w:pPr>
        <w:ind w:left="-40" w:right="100" w:firstLine="648"/>
        <w:spacing w:after="0" w:line="238" w:lineRule="auto"/>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85" w:lineRule="exact"/>
        <w:rPr>
          <w:rFonts w:ascii="Arial" w:cs="Arial" w:eastAsia="Arial" w:hAnsi="Arial"/>
          <w:sz w:val="22"/>
          <w:szCs w:val="22"/>
          <w:color w:val="auto"/>
        </w:rPr>
      </w:pPr>
    </w:p>
    <w:p>
      <w:pPr>
        <w:jc w:val="both"/>
        <w:ind w:left="-40" w:right="540" w:firstLine="648"/>
        <w:spacing w:after="0" w:line="328" w:lineRule="auto"/>
        <w:tabs>
          <w:tab w:leader="none" w:pos="1284"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Trustee shall have no liability for any inaccuracy in the books and records of, or for any actions or omissions of, DTC, Euroclear or Clearstream or any depository acting on behalf of any of them;</w:t>
      </w:r>
    </w:p>
    <w:p>
      <w:pPr>
        <w:spacing w:after="0" w:line="105" w:lineRule="exact"/>
        <w:rPr>
          <w:rFonts w:ascii="Arial" w:cs="Arial" w:eastAsia="Arial" w:hAnsi="Arial"/>
          <w:sz w:val="19"/>
          <w:szCs w:val="19"/>
          <w:color w:val="auto"/>
        </w:rPr>
      </w:pPr>
    </w:p>
    <w:p>
      <w:pPr>
        <w:ind w:left="-40" w:right="660" w:firstLine="648"/>
        <w:spacing w:after="0" w:line="251" w:lineRule="auto"/>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w:t>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100" w:name="page101"/>
    <w:bookmarkEnd w:id="100"/>
    <w:p>
      <w:pPr>
        <w:ind w:left="640" w:right="520"/>
        <w:spacing w:after="0" w:line="251" w:lineRule="auto"/>
        <w:rPr>
          <w:sz w:val="20"/>
          <w:szCs w:val="20"/>
          <w:color w:val="auto"/>
        </w:rPr>
      </w:pPr>
      <w:r>
        <w:rPr>
          <w:rFonts w:ascii="Arial" w:cs="Arial" w:eastAsia="Arial" w:hAnsi="Arial"/>
          <w:sz w:val="22"/>
          <w:szCs w:val="22"/>
          <w:color w:val="auto"/>
        </w:rPr>
        <w:t>shall be enforceable by, the Trustee in each of its capacities hereunder, and each agent, custodian and other Person employed by the Trustee to act hereunder; and</w:t>
      </w:r>
    </w:p>
    <w:p>
      <w:pPr>
        <w:spacing w:after="0" w:line="173" w:lineRule="exact"/>
        <w:rPr>
          <w:sz w:val="20"/>
          <w:szCs w:val="20"/>
          <w:color w:val="auto"/>
        </w:rPr>
      </w:pPr>
    </w:p>
    <w:p>
      <w:pPr>
        <w:jc w:val="both"/>
        <w:ind w:left="640" w:firstLine="648"/>
        <w:spacing w:after="0" w:line="287" w:lineRule="auto"/>
        <w:tabs>
          <w:tab w:leader="none" w:pos="197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86"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Not Responsible for Recitals or Issuance of Securities</w:t>
      </w:r>
      <w:r>
        <w:rPr>
          <w:rFonts w:ascii="Arial" w:cs="Arial" w:eastAsia="Arial" w:hAnsi="Arial"/>
          <w:sz w:val="19"/>
          <w:szCs w:val="19"/>
          <w:color w:val="auto"/>
        </w:rPr>
        <w:t>. The recitals contained herein and in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Securities, except the Trustee’s certificate of authentication, and in any coupons shall be taken as the statements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neither the Trustee nor any Authenticating Agent assumes any responsibility for their</w:t>
      </w:r>
    </w:p>
    <w:p>
      <w:pPr>
        <w:spacing w:after="0"/>
        <w:rPr>
          <w:sz w:val="20"/>
          <w:szCs w:val="20"/>
          <w:color w:val="auto"/>
        </w:rPr>
      </w:pPr>
      <w:r>
        <w:rPr>
          <w:rFonts w:ascii="Arial" w:cs="Arial" w:eastAsia="Arial" w:hAnsi="Arial"/>
          <w:sz w:val="19"/>
          <w:szCs w:val="19"/>
          <w:color w:val="auto"/>
        </w:rPr>
        <w:t>correctness. The Trustee makes no representations as to the validity or sufficiency of this Indenture or of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coupons, except that the Trustee represents that it is duly authorized to execute and deliver this Indenture,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authenticate the Securities and perform its obligations hereunder. Neither the Trustee nor any Authenticating Agent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be accountable for the use or application by the Company of Securities or the proceeds thereof. The Trustee shall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have no responsibility with respect to any information, statement or recital in any offering prospectus or other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disclosure materials prepared or distributed with respect to the Securities.</w:t>
      </w:r>
    </w:p>
    <w:p>
      <w:pPr>
        <w:spacing w:after="0" w:line="188"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May Hold Securities</w:t>
      </w:r>
      <w:r>
        <w:rPr>
          <w:rFonts w:ascii="Arial" w:cs="Arial" w:eastAsia="Arial" w:hAnsi="Arial"/>
          <w:sz w:val="22"/>
          <w:szCs w:val="22"/>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8" w:lineRule="exact"/>
        <w:rPr>
          <w:sz w:val="20"/>
          <w:szCs w:val="20"/>
          <w:color w:val="auto"/>
        </w:rPr>
      </w:pPr>
    </w:p>
    <w:p>
      <w:pPr>
        <w:jc w:val="both"/>
        <w:ind w:right="60" w:firstLine="648"/>
        <w:spacing w:after="0" w:line="258"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Money Held in Trust</w:t>
      </w:r>
      <w:r>
        <w:rPr>
          <w:rFonts w:ascii="Arial" w:cs="Arial" w:eastAsia="Arial" w:hAnsi="Arial"/>
          <w:sz w:val="21"/>
          <w:szCs w:val="21"/>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67"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Compensation and Reimbursement</w:t>
      </w:r>
      <w:r>
        <w:rPr>
          <w:rFonts w:ascii="Arial" w:cs="Arial" w:eastAsia="Arial" w:hAnsi="Arial"/>
          <w:sz w:val="19"/>
          <w:szCs w:val="19"/>
          <w:color w:val="auto"/>
        </w:rPr>
        <w:t>. The Company agrees:</w:t>
      </w:r>
    </w:p>
    <w:p>
      <w:pPr>
        <w:spacing w:after="0" w:line="206" w:lineRule="exact"/>
        <w:rPr>
          <w:sz w:val="20"/>
          <w:szCs w:val="20"/>
          <w:color w:val="auto"/>
        </w:rPr>
      </w:pPr>
    </w:p>
    <w:p>
      <w:pPr>
        <w:ind w:left="640" w:firstLine="648"/>
        <w:spacing w:after="0"/>
        <w:tabs>
          <w:tab w:leader="none" w:pos="197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1" w:name="page102"/>
    <w:bookmarkEnd w:id="101"/>
    <w:p>
      <w:pPr>
        <w:ind w:left="640" w:right="220" w:firstLine="648"/>
        <w:spacing w:after="0" w:line="282" w:lineRule="auto"/>
        <w:tabs>
          <w:tab w:leader="none" w:pos="1972"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47" w:lineRule="exact"/>
        <w:rPr>
          <w:rFonts w:ascii="Arial" w:cs="Arial" w:eastAsia="Arial" w:hAnsi="Arial"/>
          <w:sz w:val="19"/>
          <w:szCs w:val="19"/>
          <w:color w:val="auto"/>
        </w:rPr>
      </w:pPr>
    </w:p>
    <w:p>
      <w:pPr>
        <w:ind w:left="640" w:firstLine="648"/>
        <w:spacing w:after="0" w:line="249" w:lineRule="auto"/>
        <w:tabs>
          <w:tab w:leader="none" w:pos="197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9"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5"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The provisions of this Section shall survive the termination of this Indenture and the resignation or removal of the Trustee.</w:t>
      </w:r>
    </w:p>
    <w:p>
      <w:pPr>
        <w:spacing w:after="0" w:line="173"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Corporate Trustee Required; Eligibility; Conflicting Interests</w:t>
      </w:r>
      <w:r>
        <w:rPr>
          <w:rFonts w:ascii="Arial" w:cs="Arial" w:eastAsia="Arial" w:hAnsi="Arial"/>
          <w:sz w:val="19"/>
          <w:szCs w:val="19"/>
          <w:color w:val="auto"/>
        </w:rPr>
        <w:t>. There shall at all times be 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Trustee hereunder which shall be eligible to act as Trustee under TIA Section 310(a)(1) and shall have at all times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combined capital and surplus of at least $50,000,000 (or which shall have a combined capital and surplus of at least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$10,000,000 and whose ultimate parent holding company shall have a combined capital and surplus of at least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$50,000,000. If the Trustee publishes reports of condition at least annually, pursuant to law or the requirements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Federal, state, territorial or District of Columbia supervising or examining authority, then for the purposes of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the combined capital and surplus of the Trustee shall be deemed to be its combined capital and surplus as set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forth in its most recent report of condition so published. If at any time the Trustee shall cease to be eligible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provisions of this Section, it shall resign immediately in the manner and with the effect hereinafter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specified in this Article. Neither the Company nor any Person directly or indirectly controlling, controlled by, or under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common control with the Company shall serve as Trustee.</w:t>
      </w:r>
    </w:p>
    <w:p>
      <w:pPr>
        <w:spacing w:after="0" w:line="188"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Resignation and Removal; Appointment of Successor</w:t>
      </w:r>
      <w:r>
        <w:rPr>
          <w:rFonts w:ascii="Arial" w:cs="Arial" w:eastAsia="Arial" w:hAnsi="Arial"/>
          <w:sz w:val="19"/>
          <w:szCs w:val="19"/>
          <w:color w:val="auto"/>
        </w:rPr>
        <w:t>.</w:t>
      </w:r>
    </w:p>
    <w:p>
      <w:pPr>
        <w:spacing w:after="0" w:line="206" w:lineRule="exact"/>
        <w:rPr>
          <w:sz w:val="20"/>
          <w:szCs w:val="20"/>
          <w:color w:val="auto"/>
        </w:rPr>
      </w:pPr>
    </w:p>
    <w:p>
      <w:pPr>
        <w:ind w:right="140" w:firstLine="1288"/>
        <w:spacing w:after="0" w:line="251" w:lineRule="auto"/>
        <w:tabs>
          <w:tab w:leader="none" w:pos="19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resignation or removal of the Trustee and no appointment of a successor Trustee pursuant to this Article shall become effective until the acceptance 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appointment by the successor Trustee in accordance with the applicable requirements of Section 609.</w:t>
      </w:r>
    </w:p>
    <w:p>
      <w:pPr>
        <w:spacing w:after="0" w:line="206" w:lineRule="exact"/>
        <w:rPr>
          <w:sz w:val="20"/>
          <w:szCs w:val="20"/>
          <w:color w:val="auto"/>
        </w:rPr>
      </w:pPr>
    </w:p>
    <w:p>
      <w:pPr>
        <w:ind w:right="20" w:firstLine="1288"/>
        <w:spacing w:after="0" w:line="287" w:lineRule="auto"/>
        <w:tabs>
          <w:tab w:leader="none" w:pos="1981"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3" w:lineRule="exact"/>
        <w:rPr>
          <w:rFonts w:ascii="Arial" w:cs="Arial" w:eastAsia="Arial" w:hAnsi="Arial"/>
          <w:sz w:val="19"/>
          <w:szCs w:val="19"/>
          <w:color w:val="auto"/>
        </w:rPr>
      </w:pPr>
    </w:p>
    <w:p>
      <w:pPr>
        <w:ind w:firstLine="1288"/>
        <w:spacing w:after="0" w:line="282" w:lineRule="auto"/>
        <w:tabs>
          <w:tab w:leader="none" w:pos="196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7" w:lineRule="exact"/>
        <w:rPr>
          <w:rFonts w:ascii="Arial" w:cs="Arial" w:eastAsia="Arial" w:hAnsi="Arial"/>
          <w:sz w:val="19"/>
          <w:szCs w:val="19"/>
          <w:color w:val="auto"/>
        </w:rPr>
      </w:pPr>
    </w:p>
    <w:p>
      <w:pPr>
        <w:ind w:left="1980" w:hanging="692"/>
        <w:spacing w:after="0"/>
        <w:tabs>
          <w:tab w:leader="none" w:pos="19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06" w:lineRule="exact"/>
        <w:rPr>
          <w:sz w:val="20"/>
          <w:szCs w:val="20"/>
          <w:color w:val="auto"/>
        </w:rPr>
      </w:pPr>
    </w:p>
    <w:p>
      <w:pPr>
        <w:ind w:left="640" w:right="240" w:firstLine="648"/>
        <w:spacing w:after="0"/>
        <w:tabs>
          <w:tab w:leader="none" w:pos="197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ind w:left="640" w:right="160" w:firstLine="648"/>
        <w:spacing w:after="0"/>
        <w:tabs>
          <w:tab w:leader="none" w:pos="197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ind w:left="640" w:right="200" w:firstLine="648"/>
        <w:spacing w:after="0" w:line="297" w:lineRule="auto"/>
        <w:tabs>
          <w:tab w:leader="none" w:pos="197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60" w:firstLine="1288"/>
        <w:spacing w:after="0" w:line="274" w:lineRule="auto"/>
        <w:tabs>
          <w:tab w:leader="none" w:pos="1968"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3" w:name="page104"/>
    <w:bookmarkEnd w:id="103"/>
    <w:p>
      <w:pPr>
        <w:ind w:right="140"/>
        <w:spacing w:after="0" w:line="248" w:lineRule="auto"/>
        <w:rPr>
          <w:sz w:val="20"/>
          <w:szCs w:val="20"/>
          <w:color w:val="auto"/>
        </w:rPr>
      </w:pPr>
      <w:r>
        <w:rPr>
          <w:rFonts w:ascii="Arial" w:cs="Arial" w:eastAsia="Arial" w:hAnsi="Arial"/>
          <w:sz w:val="21"/>
          <w:szCs w:val="21"/>
          <w:color w:val="auto"/>
        </w:rPr>
        <w:t>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7" w:lineRule="exact"/>
        <w:rPr>
          <w:sz w:val="20"/>
          <w:szCs w:val="20"/>
          <w:color w:val="auto"/>
        </w:rPr>
      </w:pPr>
    </w:p>
    <w:p>
      <w:pPr>
        <w:ind w:right="20" w:firstLine="1288"/>
        <w:spacing w:after="0" w:line="287" w:lineRule="auto"/>
        <w:tabs>
          <w:tab w:leader="none" w:pos="194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3"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Acceptance of Appointment by Successor</w:t>
      </w:r>
      <w:r>
        <w:rPr>
          <w:rFonts w:ascii="Arial" w:cs="Arial" w:eastAsia="Arial" w:hAnsi="Arial"/>
          <w:sz w:val="19"/>
          <w:szCs w:val="19"/>
          <w:color w:val="auto"/>
        </w:rPr>
        <w:t>.</w:t>
      </w:r>
    </w:p>
    <w:p>
      <w:pPr>
        <w:spacing w:after="0" w:line="206" w:lineRule="exact"/>
        <w:rPr>
          <w:sz w:val="20"/>
          <w:szCs w:val="20"/>
          <w:color w:val="auto"/>
        </w:rPr>
      </w:pPr>
    </w:p>
    <w:p>
      <w:pPr>
        <w:ind w:firstLine="1288"/>
        <w:spacing w:after="0" w:line="245" w:lineRule="auto"/>
        <w:tabs>
          <w:tab w:leader="none" w:pos="1968" w:val="left"/>
        </w:tabs>
        <w:numPr>
          <w:ilvl w:val="0"/>
          <w:numId w:val="92"/>
        </w:numPr>
        <w:rPr>
          <w:rFonts w:ascii="Arial" w:cs="Arial" w:eastAsia="Arial" w:hAnsi="Arial"/>
          <w:sz w:val="21"/>
          <w:szCs w:val="21"/>
          <w:color w:val="auto"/>
        </w:rPr>
      </w:pPr>
      <w:r>
        <w:rPr>
          <w:rFonts w:ascii="Arial" w:cs="Arial" w:eastAsia="Arial" w:hAnsi="Arial"/>
          <w:sz w:val="21"/>
          <w:szCs w:val="21"/>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5" w:lineRule="exact"/>
        <w:rPr>
          <w:rFonts w:ascii="Arial" w:cs="Arial" w:eastAsia="Arial" w:hAnsi="Arial"/>
          <w:sz w:val="21"/>
          <w:szCs w:val="21"/>
          <w:color w:val="auto"/>
        </w:rPr>
      </w:pPr>
    </w:p>
    <w:p>
      <w:pPr>
        <w:ind w:right="60" w:firstLine="1288"/>
        <w:spacing w:after="0" w:line="245" w:lineRule="exact"/>
        <w:tabs>
          <w:tab w:leader="none" w:pos="192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w:t>
      </w:r>
      <w:r>
        <w:rPr>
          <w:rFonts w:ascii="MS PGothic" w:cs="MS PGothic" w:eastAsia="MS PGothic" w:hAnsi="MS PGothic"/>
          <w:sz w:val="19"/>
          <w:szCs w:val="19"/>
          <w:color w:val="auto"/>
        </w:rPr>
        <w:t>‑</w:t>
      </w:r>
      <w:r>
        <w:rPr>
          <w:rFonts w:ascii="Arial" w:cs="Arial" w:eastAsia="Arial" w:hAnsi="Arial"/>
          <w:sz w:val="19"/>
          <w:szCs w:val="19"/>
          <w:color w:val="auto"/>
        </w:rPr>
        <w:t>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4" w:name="page105"/>
    <w:bookmarkEnd w:id="104"/>
    <w:p>
      <w:pPr>
        <w:ind w:right="200"/>
        <w:spacing w:after="0" w:line="282" w:lineRule="auto"/>
        <w:rPr>
          <w:sz w:val="20"/>
          <w:szCs w:val="20"/>
          <w:color w:val="auto"/>
        </w:rPr>
      </w:pPr>
      <w:r>
        <w:rPr>
          <w:rFonts w:ascii="Arial" w:cs="Arial" w:eastAsia="Arial" w:hAnsi="Arial"/>
          <w:sz w:val="19"/>
          <w:szCs w:val="19"/>
          <w:color w:val="auto"/>
        </w:rPr>
        <w:t>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48" w:lineRule="exact"/>
        <w:rPr>
          <w:sz w:val="20"/>
          <w:szCs w:val="20"/>
          <w:color w:val="auto"/>
        </w:rPr>
      </w:pPr>
    </w:p>
    <w:p>
      <w:pPr>
        <w:ind w:right="120" w:firstLine="1288"/>
        <w:spacing w:after="0"/>
        <w:tabs>
          <w:tab w:leader="none" w:pos="19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86" w:lineRule="exact"/>
        <w:rPr>
          <w:rFonts w:ascii="Arial" w:cs="Arial" w:eastAsia="Arial" w:hAnsi="Arial"/>
          <w:sz w:val="22"/>
          <w:szCs w:val="22"/>
          <w:color w:val="auto"/>
        </w:rPr>
      </w:pPr>
    </w:p>
    <w:p>
      <w:pPr>
        <w:ind w:right="420" w:firstLine="1288"/>
        <w:spacing w:after="0" w:line="251" w:lineRule="auto"/>
        <w:tabs>
          <w:tab w:leader="none" w:pos="1981"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Merger, Conversion, Consolidation or Succession to Business</w:t>
      </w:r>
      <w:r>
        <w:rPr>
          <w:rFonts w:ascii="Arial" w:cs="Arial" w:eastAsia="Arial" w:hAnsi="Arial"/>
          <w:sz w:val="19"/>
          <w:szCs w:val="19"/>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Appointment of Authenticating Agent</w:t>
      </w:r>
      <w:r>
        <w:rPr>
          <w:rFonts w:ascii="Arial" w:cs="Arial" w:eastAsia="Arial" w:hAnsi="Arial"/>
          <w:sz w:val="19"/>
          <w:szCs w:val="19"/>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w:t>
      </w:r>
    </w:p>
    <w:p>
      <w:pPr>
        <w:spacing w:after="0" w:line="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5" w:name="page106"/>
    <w:bookmarkEnd w:id="105"/>
    <w:p>
      <w:pPr>
        <w:ind w:right="20"/>
        <w:spacing w:after="0" w:line="247" w:lineRule="auto"/>
        <w:rPr>
          <w:sz w:val="20"/>
          <w:szCs w:val="20"/>
          <w:color w:val="auto"/>
        </w:rPr>
      </w:pPr>
      <w:r>
        <w:rPr>
          <w:rFonts w:ascii="Arial" w:cs="Arial" w:eastAsia="Arial" w:hAnsi="Arial"/>
          <w:sz w:val="21"/>
          <w:szCs w:val="21"/>
          <w:color w:val="auto"/>
        </w:rPr>
        <w:t>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78"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56"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 Company agrees to pay to each Authenticating Agent from time to time reasonable compensation including reimbursement of its reasonable expenses for its services under this Section, subject to Section 606.</w:t>
      </w:r>
    </w:p>
    <w:p>
      <w:pPr>
        <w:spacing w:after="0" w:line="151" w:lineRule="exact"/>
        <w:rPr>
          <w:sz w:val="20"/>
          <w:szCs w:val="20"/>
          <w:color w:val="auto"/>
        </w:rPr>
      </w:pPr>
    </w:p>
    <w:p>
      <w:pPr>
        <w:jc w:val="both"/>
        <w:ind w:right="420" w:firstLine="648"/>
        <w:spacing w:after="0"/>
        <w:rPr>
          <w:sz w:val="20"/>
          <w:szCs w:val="20"/>
          <w:color w:val="auto"/>
        </w:rPr>
      </w:pPr>
      <w:r>
        <w:rPr>
          <w:rFonts w:ascii="Arial" w:cs="Arial" w:eastAsia="Arial" w:hAnsi="Arial"/>
          <w:sz w:val="22"/>
          <w:szCs w:val="22"/>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86"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This is one of the Securities of the series designated therein referred to in the within</w:t>
      </w:r>
      <w:r>
        <w:rPr>
          <w:rFonts w:ascii="MS PGothic" w:cs="MS PGothic" w:eastAsia="MS PGothic" w:hAnsi="MS PGothic"/>
          <w:sz w:val="19"/>
          <w:szCs w:val="19"/>
          <w:color w:val="auto"/>
        </w:rPr>
        <w:t>‑</w:t>
      </w:r>
      <w:r>
        <w:rPr>
          <w:rFonts w:ascii="Arial" w:cs="Arial" w:eastAsia="Arial" w:hAnsi="Arial"/>
          <w:sz w:val="19"/>
          <w:szCs w:val="19"/>
          <w:color w:val="auto"/>
        </w:rPr>
        <w:t xml:space="preserve"> mentioned Indenture.</w:t>
      </w:r>
    </w:p>
    <w:p>
      <w:pPr>
        <w:spacing w:after="0" w:line="25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[________________]</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06" w:name="page107"/>
    <w:bookmarkEnd w:id="106"/>
    <w:p>
      <w:pPr>
        <w:spacing w:after="0"/>
        <w:tabs>
          <w:tab w:leader="none" w:pos="5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7620</wp:posOffset>
            </wp:positionV>
            <wp:extent cx="2984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7620</wp:posOffset>
            </wp:positionV>
            <wp:extent cx="14408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spacing w:after="0"/>
        <w:tabs>
          <w:tab w:leader="none" w:pos="5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7620</wp:posOffset>
            </wp:positionV>
            <wp:extent cx="2984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7620</wp:posOffset>
            </wp:positionV>
            <wp:extent cx="14408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Authenticating Agent</w:t>
      </w:r>
    </w:p>
    <w:p>
      <w:pPr>
        <w:spacing w:after="0" w:line="188"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Certain Duties and Responsibilities of the Trustee</w:t>
      </w:r>
      <w:r>
        <w:rPr>
          <w:rFonts w:ascii="Arial" w:cs="Arial" w:eastAsia="Arial" w:hAnsi="Arial"/>
          <w:sz w:val="19"/>
          <w:szCs w:val="19"/>
          <w:color w:val="auto"/>
        </w:rPr>
        <w:t>.</w:t>
      </w:r>
    </w:p>
    <w:p>
      <w:pPr>
        <w:spacing w:after="0" w:line="206" w:lineRule="exact"/>
        <w:rPr>
          <w:sz w:val="20"/>
          <w:szCs w:val="20"/>
          <w:color w:val="auto"/>
        </w:rPr>
      </w:pPr>
    </w:p>
    <w:p>
      <w:pPr>
        <w:ind w:right="40" w:firstLine="1288"/>
        <w:spacing w:after="0" w:line="251" w:lineRule="auto"/>
        <w:tabs>
          <w:tab w:leader="none" w:pos="1968"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 respect to the Securities of any series, except during the continuance of an Event of Default with respect to the Securities of such series:</w:t>
      </w:r>
    </w:p>
    <w:p>
      <w:pPr>
        <w:spacing w:after="0" w:line="173" w:lineRule="exact"/>
        <w:rPr>
          <w:sz w:val="20"/>
          <w:szCs w:val="20"/>
          <w:color w:val="auto"/>
        </w:rPr>
      </w:pPr>
    </w:p>
    <w:p>
      <w:pPr>
        <w:jc w:val="both"/>
        <w:ind w:left="640" w:right="40" w:firstLine="648"/>
        <w:spacing w:after="0" w:line="328" w:lineRule="auto"/>
        <w:tabs>
          <w:tab w:leader="none" w:pos="1972"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spacing w:after="0" w:line="105" w:lineRule="exact"/>
        <w:rPr>
          <w:rFonts w:ascii="Arial" w:cs="Arial" w:eastAsia="Arial" w:hAnsi="Arial"/>
          <w:sz w:val="19"/>
          <w:szCs w:val="19"/>
          <w:color w:val="auto"/>
        </w:rPr>
      </w:pPr>
    </w:p>
    <w:p>
      <w:pPr>
        <w:ind w:left="640" w:right="20" w:firstLine="648"/>
        <w:spacing w:after="0" w:line="279" w:lineRule="auto"/>
        <w:tabs>
          <w:tab w:leader="none" w:pos="1972"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51" w:lineRule="exact"/>
        <w:rPr>
          <w:sz w:val="20"/>
          <w:szCs w:val="20"/>
          <w:color w:val="auto"/>
        </w:rPr>
      </w:pPr>
    </w:p>
    <w:p>
      <w:pPr>
        <w:ind w:firstLine="1288"/>
        <w:spacing w:after="0" w:line="238" w:lineRule="auto"/>
        <w:tabs>
          <w:tab w:leader="none" w:pos="198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5" w:lineRule="exact"/>
        <w:rPr>
          <w:rFonts w:ascii="Arial" w:cs="Arial" w:eastAsia="Arial" w:hAnsi="Arial"/>
          <w:sz w:val="22"/>
          <w:szCs w:val="22"/>
          <w:color w:val="auto"/>
        </w:rPr>
      </w:pPr>
    </w:p>
    <w:p>
      <w:pPr>
        <w:ind w:right="120" w:firstLine="1288"/>
        <w:spacing w:after="0" w:line="251" w:lineRule="auto"/>
        <w:tabs>
          <w:tab w:leader="none" w:pos="19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173" w:lineRule="exact"/>
        <w:rPr>
          <w:sz w:val="20"/>
          <w:szCs w:val="20"/>
          <w:color w:val="auto"/>
        </w:rPr>
      </w:pPr>
    </w:p>
    <w:p>
      <w:pPr>
        <w:ind w:left="1980" w:hanging="692"/>
        <w:spacing w:after="0"/>
        <w:tabs>
          <w:tab w:leader="none" w:pos="19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this Subsection shall not be construed to limit the effect of Subsection (a) of this Section;</w:t>
      </w:r>
    </w:p>
    <w:p>
      <w:pPr>
        <w:spacing w:after="0" w:line="217" w:lineRule="exact"/>
        <w:rPr>
          <w:rFonts w:ascii="Arial" w:cs="Arial" w:eastAsia="Arial" w:hAnsi="Arial"/>
          <w:sz w:val="21"/>
          <w:szCs w:val="21"/>
          <w:color w:val="auto"/>
        </w:rPr>
      </w:pPr>
    </w:p>
    <w:p>
      <w:pPr>
        <w:ind w:right="400" w:firstLine="1288"/>
        <w:spacing w:after="0" w:line="328" w:lineRule="auto"/>
        <w:tabs>
          <w:tab w:leader="none" w:pos="1981"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Trustee shall not be liable for any error of judgment made in good faith by a Responsible Officer, unless it shall be proved that the Trustee was negligent in ascertaining the pertinent facts;</w:t>
      </w:r>
    </w:p>
    <w:p>
      <w:pPr>
        <w:spacing w:after="0" w:line="105" w:lineRule="exact"/>
        <w:rPr>
          <w:rFonts w:ascii="Arial" w:cs="Arial" w:eastAsia="Arial" w:hAnsi="Arial"/>
          <w:sz w:val="19"/>
          <w:szCs w:val="19"/>
          <w:color w:val="auto"/>
        </w:rPr>
      </w:pPr>
    </w:p>
    <w:p>
      <w:pPr>
        <w:ind w:firstLine="1288"/>
        <w:spacing w:after="0" w:line="236" w:lineRule="auto"/>
        <w:tabs>
          <w:tab w:leader="none" w:pos="198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402" w:right="759" w:bottom="1440" w:gutter="0" w:footer="0" w:header="0"/>
        </w:sectPr>
      </w:pPr>
    </w:p>
    <w:bookmarkStart w:id="107" w:name="page108"/>
    <w:bookmarkEnd w:id="107"/>
    <w:p>
      <w:pPr>
        <w:ind w:right="60" w:firstLine="1288"/>
        <w:spacing w:after="0" w:line="279" w:lineRule="auto"/>
        <w:tabs>
          <w:tab w:leader="none" w:pos="1981"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51" w:lineRule="exact"/>
        <w:rPr>
          <w:sz w:val="20"/>
          <w:szCs w:val="20"/>
          <w:color w:val="auto"/>
        </w:rPr>
      </w:pPr>
    </w:p>
    <w:p>
      <w:pPr>
        <w:ind w:right="320" w:firstLine="1288"/>
        <w:spacing w:after="0"/>
        <w:tabs>
          <w:tab w:leader="none" w:pos="1977"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86" w:lineRule="exact"/>
        <w:rPr>
          <w:rFonts w:ascii="Arial" w:cs="Arial" w:eastAsia="Arial" w:hAnsi="Arial"/>
          <w:sz w:val="22"/>
          <w:szCs w:val="22"/>
          <w:color w:val="auto"/>
        </w:rPr>
      </w:pPr>
    </w:p>
    <w:p>
      <w:pPr>
        <w:ind w:right="140" w:firstLine="1288"/>
        <w:spacing w:after="0"/>
        <w:tabs>
          <w:tab w:leader="none" w:pos="196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SEVEN - HOLDERS’ LISTS AND REPORTS BY TRUSTEE AND COMPANY</w:t>
      </w:r>
    </w:p>
    <w:p>
      <w:pPr>
        <w:spacing w:after="0" w:line="206"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Disclosure of Names and Addresses of Holders</w:t>
      </w:r>
      <w:r>
        <w:rPr>
          <w:rFonts w:ascii="Arial" w:cs="Arial" w:eastAsia="Arial" w:hAnsi="Arial"/>
          <w:sz w:val="19"/>
          <w:szCs w:val="19"/>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5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Reports by Trustee</w:t>
      </w:r>
      <w:r>
        <w:rPr>
          <w:rFonts w:ascii="Arial" w:cs="Arial" w:eastAsia="Arial" w:hAnsi="Arial"/>
          <w:sz w:val="19"/>
          <w:szCs w:val="19"/>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2009. A</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0"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Reports by Company</w:t>
      </w:r>
      <w:r>
        <w:rPr>
          <w:rFonts w:ascii="Arial" w:cs="Arial" w:eastAsia="Arial" w:hAnsi="Arial"/>
          <w:sz w:val="19"/>
          <w:szCs w:val="19"/>
          <w:color w:val="auto"/>
        </w:rPr>
        <w:t>. The Company will:</w:t>
      </w:r>
    </w:p>
    <w:p>
      <w:pPr>
        <w:spacing w:after="0" w:line="206" w:lineRule="exact"/>
        <w:rPr>
          <w:sz w:val="20"/>
          <w:szCs w:val="20"/>
          <w:color w:val="auto"/>
        </w:rPr>
      </w:pPr>
    </w:p>
    <w:p>
      <w:pPr>
        <w:ind w:left="640" w:firstLine="648"/>
        <w:spacing w:after="0" w:line="234" w:lineRule="auto"/>
        <w:tabs>
          <w:tab w:leader="none" w:pos="197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8" w:name="page109"/>
    <w:bookmarkEnd w:id="108"/>
    <w:p>
      <w:pPr>
        <w:ind w:left="640" w:right="160"/>
        <w:spacing w:after="0" w:line="249" w:lineRule="auto"/>
        <w:rPr>
          <w:sz w:val="20"/>
          <w:szCs w:val="20"/>
          <w:color w:val="auto"/>
        </w:rPr>
      </w:pPr>
      <w:r>
        <w:rPr>
          <w:rFonts w:ascii="Arial" w:cs="Arial" w:eastAsia="Arial" w:hAnsi="Arial"/>
          <w:sz w:val="21"/>
          <w:szCs w:val="21"/>
          <w:color w:val="auto"/>
        </w:rPr>
        <w:t>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79" w:lineRule="exact"/>
        <w:rPr>
          <w:sz w:val="20"/>
          <w:szCs w:val="20"/>
          <w:color w:val="auto"/>
        </w:rPr>
      </w:pPr>
    </w:p>
    <w:p>
      <w:pPr>
        <w:ind w:left="640" w:right="180" w:firstLine="648"/>
        <w:spacing w:after="0" w:line="238" w:lineRule="auto"/>
        <w:tabs>
          <w:tab w:leader="none" w:pos="197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5" w:lineRule="exact"/>
        <w:rPr>
          <w:rFonts w:ascii="Arial" w:cs="Arial" w:eastAsia="Arial" w:hAnsi="Arial"/>
          <w:sz w:val="22"/>
          <w:szCs w:val="22"/>
          <w:color w:val="auto"/>
        </w:rPr>
      </w:pPr>
    </w:p>
    <w:p>
      <w:pPr>
        <w:ind w:left="640" w:right="60" w:firstLine="648"/>
        <w:spacing w:after="0" w:line="287" w:lineRule="auto"/>
        <w:tabs>
          <w:tab w:leader="none" w:pos="197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43" w:lineRule="exact"/>
        <w:rPr>
          <w:rFonts w:ascii="Arial" w:cs="Arial" w:eastAsia="Arial" w:hAnsi="Arial"/>
          <w:sz w:val="19"/>
          <w:szCs w:val="19"/>
          <w:color w:val="auto"/>
        </w:rPr>
      </w:pPr>
    </w:p>
    <w:p>
      <w:pPr>
        <w:ind w:left="640" w:firstLine="648"/>
        <w:spacing w:after="0" w:line="287" w:lineRule="auto"/>
        <w:tabs>
          <w:tab w:leader="none" w:pos="197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Company to Furnish Trustee Names and Addresses of Holders</w:t>
      </w:r>
      <w:r>
        <w:rPr>
          <w:rFonts w:ascii="Arial" w:cs="Arial" w:eastAsia="Arial" w:hAnsi="Arial"/>
          <w:sz w:val="22"/>
          <w:szCs w:val="22"/>
          <w:color w:val="auto"/>
        </w:rPr>
        <w:t>. The Company will furnish or cause to be furnished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-193040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3" w:lineRule="exact"/>
        <w:rPr>
          <w:sz w:val="20"/>
          <w:szCs w:val="20"/>
          <w:color w:val="auto"/>
        </w:rPr>
      </w:pPr>
    </w:p>
    <w:p>
      <w:pPr>
        <w:ind w:right="140" w:firstLine="1288"/>
        <w:spacing w:after="0" w:line="236" w:lineRule="auto"/>
        <w:tabs>
          <w:tab w:leader="none" w:pos="196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7" w:lineRule="exact"/>
        <w:rPr>
          <w:rFonts w:ascii="Arial" w:cs="Arial" w:eastAsia="Arial" w:hAnsi="Arial"/>
          <w:sz w:val="22"/>
          <w:szCs w:val="22"/>
          <w:color w:val="auto"/>
        </w:rPr>
      </w:pPr>
    </w:p>
    <w:p>
      <w:pPr>
        <w:ind w:right="160" w:firstLine="1288"/>
        <w:spacing w:after="0"/>
        <w:tabs>
          <w:tab w:leader="none" w:pos="198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Trustee is the Security Registrar, no such list shall be required to be furnished.</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ARTICLE EIGHT - CONSOLIDATION, MERGER, SALE, LEASE OR CONVEYANCE</w:t>
      </w:r>
    </w:p>
    <w:p>
      <w:pPr>
        <w:spacing w:after="0" w:line="20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Consolidations and Mergers of Company and Sales, Leases and Conveyances 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Subject to Certain Conditions</w:t>
      </w:r>
      <w:r>
        <w:rPr>
          <w:rFonts w:ascii="Arial" w:cs="Arial" w:eastAsia="Arial" w:hAnsi="Arial"/>
          <w:sz w:val="22"/>
          <w:szCs w:val="22"/>
          <w:color w:val="auto"/>
        </w:rPr>
        <w:t>. The Company may consolidate with, or sell, lease or convey all or substantially all of its assets to, or merge with or into any other corporation, provided that in any such case, (1) either the Company shall be the continuing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9" w:name="page110"/>
    <w:bookmarkEnd w:id="109"/>
    <w:p>
      <w:pPr>
        <w:spacing w:after="0" w:line="273" w:lineRule="auto"/>
        <w:rPr>
          <w:sz w:val="20"/>
          <w:szCs w:val="20"/>
          <w:color w:val="auto"/>
        </w:rPr>
      </w:pPr>
      <w:r>
        <w:rPr>
          <w:rFonts w:ascii="Arial" w:cs="Arial" w:eastAsia="Arial" w:hAnsi="Arial"/>
          <w:sz w:val="19"/>
          <w:szCs w:val="19"/>
          <w:color w:val="auto"/>
        </w:rPr>
        <w:t>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and Duties of Successor Corporation</w:t>
      </w:r>
      <w:r>
        <w:rPr>
          <w:rFonts w:ascii="Arial" w:cs="Arial" w:eastAsia="Arial" w:hAnsi="Arial"/>
          <w:sz w:val="19"/>
          <w:szCs w:val="19"/>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In case of any such consolidation, merger, sale, lease or conveyance, such changes in phraseology and form (but not in substance) may be made in the Securities thereafter to be issued as may be appropriate.</w:t>
      </w:r>
    </w:p>
    <w:p>
      <w:pPr>
        <w:spacing w:after="0" w:line="151"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Officers’ Certificate and Opinion of Counsel</w:t>
      </w:r>
      <w:r>
        <w:rPr>
          <w:rFonts w:ascii="Arial" w:cs="Arial" w:eastAsia="Arial" w:hAnsi="Arial"/>
          <w:sz w:val="21"/>
          <w:szCs w:val="21"/>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NINE - SUPPLEMENTAL INDENTURES</w:t>
      </w:r>
    </w:p>
    <w:p>
      <w:pPr>
        <w:spacing w:after="0" w:line="206"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Supplemental Indentures Without Consent of Holders</w:t>
      </w:r>
      <w:r>
        <w:rPr>
          <w:rFonts w:ascii="Arial" w:cs="Arial" w:eastAsia="Arial" w:hAnsi="Arial"/>
          <w:sz w:val="22"/>
          <w:szCs w:val="22"/>
          <w:color w:val="auto"/>
        </w:rPr>
        <w:t>. Without the consent of any Holders of Securities or coupons, the Company, when authorized by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0" w:name="page111"/>
    <w:bookmarkEnd w:id="110"/>
    <w:p>
      <w:pPr>
        <w:ind w:right="800"/>
        <w:spacing w:after="0" w:line="328" w:lineRule="auto"/>
        <w:rPr>
          <w:sz w:val="20"/>
          <w:szCs w:val="20"/>
          <w:color w:val="auto"/>
        </w:rPr>
      </w:pPr>
      <w:r>
        <w:rPr>
          <w:rFonts w:ascii="Arial" w:cs="Arial" w:eastAsia="Arial" w:hAnsi="Arial"/>
          <w:sz w:val="19"/>
          <w:szCs w:val="19"/>
          <w:color w:val="auto"/>
        </w:rPr>
        <w:t>pursuant to a Board Resolution, and the Trustee, at any time and from time to time, may enter into one or more indentures supplemental hereto, in form satisfactory to the Trustee, for any of the following purposes:</w:t>
      </w:r>
    </w:p>
    <w:p>
      <w:pPr>
        <w:spacing w:after="0" w:line="105" w:lineRule="exact"/>
        <w:rPr>
          <w:sz w:val="20"/>
          <w:szCs w:val="20"/>
          <w:color w:val="auto"/>
        </w:rPr>
      </w:pPr>
    </w:p>
    <w:p>
      <w:pPr>
        <w:ind w:left="640" w:right="300" w:firstLine="648"/>
        <w:spacing w:after="0" w:line="274" w:lineRule="auto"/>
        <w:tabs>
          <w:tab w:leader="none" w:pos="197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to evidence the succession of another Person to the Company and the assumption by any such successor of the covenants of the Company contained herein and in the Securities; or</w:t>
      </w:r>
    </w:p>
    <w:p>
      <w:pPr>
        <w:spacing w:after="0" w:line="150" w:lineRule="exact"/>
        <w:rPr>
          <w:rFonts w:ascii="Arial" w:cs="Arial" w:eastAsia="Arial" w:hAnsi="Arial"/>
          <w:sz w:val="21"/>
          <w:szCs w:val="21"/>
          <w:color w:val="auto"/>
        </w:rPr>
      </w:pPr>
    </w:p>
    <w:p>
      <w:pPr>
        <w:ind w:left="640" w:right="220" w:firstLine="648"/>
        <w:spacing w:after="0" w:line="238" w:lineRule="auto"/>
        <w:tabs>
          <w:tab w:leader="none" w:pos="197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5" w:lineRule="exact"/>
        <w:rPr>
          <w:rFonts w:ascii="Arial" w:cs="Arial" w:eastAsia="Arial" w:hAnsi="Arial"/>
          <w:sz w:val="22"/>
          <w:szCs w:val="22"/>
          <w:color w:val="auto"/>
        </w:rPr>
      </w:pPr>
    </w:p>
    <w:p>
      <w:pPr>
        <w:ind w:left="640" w:right="100" w:firstLine="648"/>
        <w:spacing w:after="0" w:line="245" w:lineRule="auto"/>
        <w:tabs>
          <w:tab w:leader="none" w:pos="197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5" w:lineRule="exact"/>
        <w:rPr>
          <w:rFonts w:ascii="Arial" w:cs="Arial" w:eastAsia="Arial" w:hAnsi="Arial"/>
          <w:sz w:val="21"/>
          <w:szCs w:val="21"/>
          <w:color w:val="auto"/>
        </w:rPr>
      </w:pPr>
    </w:p>
    <w:p>
      <w:pPr>
        <w:ind w:left="640" w:right="60" w:firstLine="648"/>
        <w:spacing w:after="0" w:line="247" w:lineRule="auto"/>
        <w:tabs>
          <w:tab w:leader="none" w:pos="197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action shall not adversely affect the interests of the Holders of Securities of any series or any related coupons in any material respect; or</w:t>
      </w:r>
    </w:p>
    <w:p>
      <w:pPr>
        <w:spacing w:after="0" w:line="178" w:lineRule="exact"/>
        <w:rPr>
          <w:rFonts w:ascii="Arial" w:cs="Arial" w:eastAsia="Arial" w:hAnsi="Arial"/>
          <w:sz w:val="21"/>
          <w:szCs w:val="21"/>
          <w:color w:val="auto"/>
        </w:rPr>
      </w:pPr>
    </w:p>
    <w:p>
      <w:pPr>
        <w:jc w:val="both"/>
        <w:ind w:left="640" w:right="120" w:firstLine="648"/>
        <w:spacing w:after="0" w:line="297" w:lineRule="auto"/>
        <w:tabs>
          <w:tab w:leader="none" w:pos="197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to change or eliminate any of the provisions of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34" w:lineRule="exact"/>
        <w:rPr>
          <w:rFonts w:ascii="Arial" w:cs="Arial" w:eastAsia="Arial" w:hAnsi="Arial"/>
          <w:sz w:val="19"/>
          <w:szCs w:val="19"/>
          <w:color w:val="auto"/>
        </w:rPr>
      </w:pPr>
    </w:p>
    <w:p>
      <w:pPr>
        <w:ind w:left="1980" w:hanging="692"/>
        <w:spacing w:after="0"/>
        <w:tabs>
          <w:tab w:leader="none" w:pos="19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secure the Securities; or</w:t>
      </w:r>
    </w:p>
    <w:p>
      <w:pPr>
        <w:spacing w:after="0" w:line="206" w:lineRule="exact"/>
        <w:rPr>
          <w:rFonts w:ascii="Arial" w:cs="Arial" w:eastAsia="Arial" w:hAnsi="Arial"/>
          <w:sz w:val="22"/>
          <w:szCs w:val="22"/>
          <w:color w:val="auto"/>
        </w:rPr>
      </w:pPr>
    </w:p>
    <w:p>
      <w:pPr>
        <w:ind w:left="640" w:right="80" w:firstLine="648"/>
        <w:spacing w:after="0" w:line="251" w:lineRule="auto"/>
        <w:tabs>
          <w:tab w:leader="none" w:pos="197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establish the form or terms of Securities of any series and any related coupons as permitted or contemplated by Sections 201 and 301; or</w:t>
      </w:r>
    </w:p>
    <w:p>
      <w:pPr>
        <w:spacing w:after="0" w:line="173" w:lineRule="exact"/>
        <w:rPr>
          <w:rFonts w:ascii="Arial" w:cs="Arial" w:eastAsia="Arial" w:hAnsi="Arial"/>
          <w:sz w:val="22"/>
          <w:szCs w:val="22"/>
          <w:color w:val="auto"/>
        </w:rPr>
      </w:pPr>
    </w:p>
    <w:p>
      <w:pPr>
        <w:ind w:left="640" w:firstLine="648"/>
        <w:spacing w:after="0" w:line="238" w:lineRule="auto"/>
        <w:tabs>
          <w:tab w:leader="none" w:pos="197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1" w:name="page112"/>
    <w:bookmarkEnd w:id="111"/>
    <w:p>
      <w:pPr>
        <w:ind w:left="640" w:right="100" w:firstLine="648"/>
        <w:spacing w:after="0" w:line="236" w:lineRule="auto"/>
        <w:tabs>
          <w:tab w:leader="none" w:pos="197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provisions shall not adversely affect the interests of the Holders of Securities of any series or any related coupons in any material respect; or</w:t>
      </w:r>
    </w:p>
    <w:p>
      <w:pPr>
        <w:spacing w:after="0" w:line="187" w:lineRule="exact"/>
        <w:rPr>
          <w:rFonts w:ascii="Arial" w:cs="Arial" w:eastAsia="Arial" w:hAnsi="Arial"/>
          <w:sz w:val="22"/>
          <w:szCs w:val="22"/>
          <w:color w:val="auto"/>
        </w:rPr>
      </w:pPr>
    </w:p>
    <w:p>
      <w:pPr>
        <w:ind w:left="640" w:right="160" w:firstLine="648"/>
        <w:spacing w:after="0" w:line="287" w:lineRule="auto"/>
        <w:tabs>
          <w:tab w:leader="none" w:pos="197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action shall not adversely affect the interests of the Holders of Securities of such series and any related coupons or any other series of Securities in any material respect; or</w:t>
      </w:r>
    </w:p>
    <w:p>
      <w:pPr>
        <w:spacing w:after="0" w:line="143" w:lineRule="exact"/>
        <w:rPr>
          <w:rFonts w:ascii="Arial" w:cs="Arial" w:eastAsia="Arial" w:hAnsi="Arial"/>
          <w:sz w:val="19"/>
          <w:szCs w:val="19"/>
          <w:color w:val="auto"/>
        </w:rPr>
      </w:pPr>
    </w:p>
    <w:p>
      <w:pPr>
        <w:ind w:left="640" w:right="400" w:firstLine="648"/>
        <w:spacing w:after="0" w:line="251" w:lineRule="auto"/>
        <w:tabs>
          <w:tab w:leader="none" w:pos="196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make provisions with respect to Holders’ rights of conversion with respect to any series of Securities pursuant to Article Sixteen.</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Supplemental Indentures with Consent of Holders</w:t>
      </w:r>
      <w:r>
        <w:rPr>
          <w:rFonts w:ascii="Arial" w:cs="Arial" w:eastAsia="Arial" w:hAnsi="Arial"/>
          <w:sz w:val="19"/>
          <w:szCs w:val="19"/>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supplemental indenture shall, without the consent of the Holder of each Outstanding Security affected thereby:</w:t>
      </w:r>
    </w:p>
    <w:p>
      <w:pPr>
        <w:spacing w:after="0" w:line="153" w:lineRule="exact"/>
        <w:rPr>
          <w:sz w:val="20"/>
          <w:szCs w:val="20"/>
          <w:color w:val="auto"/>
        </w:rPr>
      </w:pPr>
    </w:p>
    <w:p>
      <w:pPr>
        <w:ind w:left="640" w:firstLine="648"/>
        <w:spacing w:after="0" w:line="272" w:lineRule="auto"/>
        <w:tabs>
          <w:tab w:leader="none" w:pos="197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61" w:lineRule="exact"/>
        <w:rPr>
          <w:rFonts w:ascii="Arial" w:cs="Arial" w:eastAsia="Arial" w:hAnsi="Arial"/>
          <w:sz w:val="19"/>
          <w:szCs w:val="19"/>
          <w:color w:val="auto"/>
        </w:rPr>
      </w:pPr>
    </w:p>
    <w:p>
      <w:pPr>
        <w:ind w:left="640" w:right="260" w:firstLine="648"/>
        <w:spacing w:after="0" w:line="238" w:lineRule="auto"/>
        <w:tabs>
          <w:tab w:leader="none" w:pos="197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2" w:name="page113"/>
    <w:bookmarkEnd w:id="112"/>
    <w:p>
      <w:pPr>
        <w:ind w:left="640" w:right="340"/>
        <w:spacing w:after="0" w:line="251" w:lineRule="auto"/>
        <w:rPr>
          <w:sz w:val="20"/>
          <w:szCs w:val="20"/>
          <w:color w:val="auto"/>
        </w:rPr>
      </w:pPr>
      <w:r>
        <w:rPr>
          <w:rFonts w:ascii="Arial" w:cs="Arial" w:eastAsia="Arial" w:hAnsi="Arial"/>
          <w:sz w:val="22"/>
          <w:szCs w:val="22"/>
          <w:color w:val="auto"/>
        </w:rPr>
        <w:t>their consequences) provided for in this Indenture, or reduce the requirements of Section 1504 for quorum or voting, or</w:t>
      </w:r>
    </w:p>
    <w:p>
      <w:pPr>
        <w:spacing w:after="0" w:line="173" w:lineRule="exact"/>
        <w:rPr>
          <w:sz w:val="20"/>
          <w:szCs w:val="20"/>
          <w:color w:val="auto"/>
        </w:rPr>
      </w:pPr>
    </w:p>
    <w:p>
      <w:pPr>
        <w:ind w:left="640" w:firstLine="648"/>
        <w:spacing w:after="0" w:line="279" w:lineRule="auto"/>
        <w:tabs>
          <w:tab w:leader="none" w:pos="197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51"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05" w:lineRule="exact"/>
        <w:rPr>
          <w:sz w:val="20"/>
          <w:szCs w:val="20"/>
          <w:color w:val="auto"/>
        </w:rPr>
      </w:pPr>
    </w:p>
    <w:p>
      <w:pPr>
        <w:jc w:val="both"/>
        <w:ind w:right="160" w:firstLine="648"/>
        <w:spacing w:after="0" w:line="287" w:lineRule="auto"/>
        <w:rPr>
          <w:sz w:val="20"/>
          <w:szCs w:val="20"/>
          <w:color w:val="auto"/>
        </w:rPr>
      </w:pPr>
      <w:r>
        <w:rPr>
          <w:rFonts w:ascii="Arial" w:cs="Arial" w:eastAsia="Arial" w:hAnsi="Arial"/>
          <w:sz w:val="19"/>
          <w:szCs w:val="19"/>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Execution of Supplemental Indentures</w:t>
      </w:r>
      <w:r>
        <w:rPr>
          <w:rFonts w:ascii="Arial" w:cs="Arial" w:eastAsia="Arial" w:hAnsi="Arial"/>
          <w:sz w:val="19"/>
          <w:szCs w:val="19"/>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1"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Effect of Supplemental Indentures</w:t>
      </w:r>
      <w:r>
        <w:rPr>
          <w:rFonts w:ascii="Arial" w:cs="Arial" w:eastAsia="Arial" w:hAnsi="Arial"/>
          <w:sz w:val="21"/>
          <w:szCs w:val="21"/>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4"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Conformity with Trust Indenture Act</w:t>
      </w:r>
      <w:r>
        <w:rPr>
          <w:rFonts w:ascii="Arial" w:cs="Arial" w:eastAsia="Arial" w:hAnsi="Arial"/>
          <w:sz w:val="22"/>
          <w:szCs w:val="22"/>
          <w:color w:val="auto"/>
        </w:rPr>
        <w:t>. Every supplemental indenture executed pursuant to this Article shall conform to the requirements of the Trust Indenture Act as then in effect.</w:t>
      </w:r>
    </w:p>
    <w:p>
      <w:pPr>
        <w:spacing w:after="0" w:line="17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Reference in Securities to Supplemental Indentures</w:t>
      </w:r>
      <w:r>
        <w:rPr>
          <w:rFonts w:ascii="Arial" w:cs="Arial" w:eastAsia="Arial" w:hAnsi="Arial"/>
          <w:sz w:val="19"/>
          <w:szCs w:val="19"/>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Company and authenticated and delivered by the Trustee in exchange for Outstanding Securities of such series.</w:t>
      </w:r>
    </w:p>
    <w:p>
      <w:pPr>
        <w:spacing w:after="0" w:line="24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ARTICLE TEN - COVENANTS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Payment of Principal, Premium or Make-Whole Amount, if any; and Interest</w:t>
      </w:r>
      <w:r>
        <w:rPr>
          <w:rFonts w:ascii="Arial" w:cs="Arial" w:eastAsia="Arial" w:hAnsi="Arial"/>
          <w:sz w:val="19"/>
          <w:szCs w:val="19"/>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4" w:name="page115"/>
    <w:bookmarkEnd w:id="114"/>
    <w:p>
      <w:pPr>
        <w:ind w:right="200"/>
        <w:spacing w:after="0" w:line="282" w:lineRule="auto"/>
        <w:rPr>
          <w:sz w:val="20"/>
          <w:szCs w:val="20"/>
          <w:color w:val="auto"/>
        </w:rPr>
      </w:pPr>
      <w:r>
        <w:rPr>
          <w:rFonts w:ascii="Arial" w:cs="Arial" w:eastAsia="Arial" w:hAnsi="Arial"/>
          <w:sz w:val="19"/>
          <w:szCs w:val="19"/>
          <w:color w:val="auto"/>
        </w:rPr>
        <w:t>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48"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5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w:t>
      </w:r>
    </w:p>
    <w:p>
      <w:pPr>
        <w:spacing w:after="0" w:line="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55"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8"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Money for Securities Payments to Be Held in Trust</w:t>
      </w:r>
      <w:r>
        <w:rPr>
          <w:rFonts w:ascii="Arial" w:cs="Arial" w:eastAsia="Arial" w:hAnsi="Arial"/>
          <w:sz w:val="19"/>
          <w:szCs w:val="19"/>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5" w:name="page116"/>
    <w:bookmarkEnd w:id="115"/>
    <w:p>
      <w:pPr>
        <w:ind w:right="100"/>
        <w:spacing w:after="0" w:line="236" w:lineRule="auto"/>
        <w:rPr>
          <w:sz w:val="20"/>
          <w:szCs w:val="20"/>
          <w:color w:val="auto"/>
        </w:rPr>
      </w:pPr>
      <w:r>
        <w:rPr>
          <w:rFonts w:ascii="Arial" w:cs="Arial" w:eastAsia="Arial" w:hAnsi="Arial"/>
          <w:sz w:val="22"/>
          <w:szCs w:val="22"/>
          <w:color w:val="auto"/>
        </w:rPr>
        <w:t>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53"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86" w:lineRule="exact"/>
        <w:rPr>
          <w:sz w:val="20"/>
          <w:szCs w:val="20"/>
          <w:color w:val="auto"/>
        </w:rPr>
      </w:pPr>
    </w:p>
    <w:p>
      <w:pPr>
        <w:ind w:left="640" w:right="180" w:firstLine="648"/>
        <w:spacing w:after="0"/>
        <w:tabs>
          <w:tab w:leader="none" w:pos="197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86" w:lineRule="exact"/>
        <w:rPr>
          <w:rFonts w:ascii="Arial" w:cs="Arial" w:eastAsia="Arial" w:hAnsi="Arial"/>
          <w:sz w:val="22"/>
          <w:szCs w:val="22"/>
          <w:color w:val="auto"/>
        </w:rPr>
      </w:pPr>
    </w:p>
    <w:p>
      <w:pPr>
        <w:ind w:left="640" w:right="20" w:firstLine="648"/>
        <w:spacing w:after="0"/>
        <w:tabs>
          <w:tab w:leader="none" w:pos="197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86" w:lineRule="exact"/>
        <w:rPr>
          <w:rFonts w:ascii="Arial" w:cs="Arial" w:eastAsia="Arial" w:hAnsi="Arial"/>
          <w:sz w:val="22"/>
          <w:szCs w:val="22"/>
          <w:color w:val="auto"/>
        </w:rPr>
      </w:pPr>
    </w:p>
    <w:p>
      <w:pPr>
        <w:ind w:left="640" w:right="280" w:firstLine="648"/>
        <w:spacing w:after="0" w:line="251" w:lineRule="auto"/>
        <w:tabs>
          <w:tab w:leader="none" w:pos="197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at any time during the continuance of any such default upon the written request of the Trustee, forthwith pay to the Trustee all sums so held in trust by such Paying Agent.</w:t>
      </w:r>
    </w:p>
    <w:p>
      <w:pPr>
        <w:spacing w:after="0" w:line="17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4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6" w:name="page117"/>
    <w:bookmarkEnd w:id="116"/>
    <w:p>
      <w:pPr>
        <w:ind w:right="80"/>
        <w:spacing w:after="0" w:line="235" w:lineRule="auto"/>
        <w:rPr>
          <w:sz w:val="20"/>
          <w:szCs w:val="20"/>
          <w:color w:val="auto"/>
        </w:rPr>
      </w:pPr>
      <w:r>
        <w:rPr>
          <w:rFonts w:ascii="Arial" w:cs="Arial" w:eastAsia="Arial" w:hAnsi="Arial"/>
          <w:sz w:val="22"/>
          <w:szCs w:val="22"/>
          <w:color w:val="auto"/>
        </w:rPr>
        <w:t xml:space="preserve">liability of the Trustee or such Paying Agent with respect to such trust money, and all liability of the Company as trustee thereof, shall thereupon cease;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ind w:right="80" w:firstLine="648"/>
        <w:spacing w:after="0" w:line="249" w:lineRule="exact"/>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Existence</w:t>
      </w:r>
      <w:r>
        <w:rPr>
          <w:rFonts w:ascii="Arial" w:cs="Arial" w:eastAsia="Arial" w:hAnsi="Arial"/>
          <w:sz w:val="21"/>
          <w:szCs w:val="21"/>
          <w:color w:val="auto"/>
        </w:rPr>
        <w:t>. Subject to Article Eight, the Company will do or cause to be done all things necessary to preserve and keep in full force and effect its corporate existence, all material rights (by articles of incorporation, by</w:t>
      </w:r>
      <w:r>
        <w:rPr>
          <w:rFonts w:ascii="MS PGothic" w:cs="MS PGothic" w:eastAsia="MS PGothic" w:hAnsi="MS PGothic"/>
          <w:sz w:val="21"/>
          <w:szCs w:val="21"/>
          <w:color w:val="auto"/>
        </w:rPr>
        <w:t>‑</w:t>
      </w:r>
      <w:r>
        <w:rPr>
          <w:rFonts w:ascii="Arial" w:cs="Arial" w:eastAsia="Arial" w:hAnsi="Arial"/>
          <w:sz w:val="21"/>
          <w:szCs w:val="21"/>
          <w:color w:val="auto"/>
        </w:rPr>
        <w:t xml:space="preserve">laws and statute) and material franchises;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56"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will cause each of its and its Subsidiaries’ insurable properties to be insured against loss or damage in an amount deemed reasonable by the Board of Directors with insurers of recognized responsibility.</w:t>
      </w:r>
    </w:p>
    <w:p>
      <w:pPr>
        <w:spacing w:after="0" w:line="186"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Payment of Taxes and Other Claims</w:t>
      </w:r>
      <w:r>
        <w:rPr>
          <w:rFonts w:ascii="Arial" w:cs="Arial" w:eastAsia="Arial" w:hAnsi="Arial"/>
          <w:sz w:val="21"/>
          <w:szCs w:val="21"/>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8"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Statement as to Compliance</w:t>
      </w:r>
      <w:r>
        <w:rPr>
          <w:rFonts w:ascii="Arial" w:cs="Arial" w:eastAsia="Arial" w:hAnsi="Arial"/>
          <w:sz w:val="22"/>
          <w:szCs w:val="22"/>
          <w:color w:val="auto"/>
        </w:rPr>
        <w:t>. The Company will deliver to the Trustee, within 120 days after the end of each fiscal year, a brief certificate from the principal executive officer, principal financial officer or principal accounting officer as to his or 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7" w:name="page118"/>
    <w:bookmarkEnd w:id="117"/>
    <w:p>
      <w:pPr>
        <w:jc w:val="both"/>
        <w:ind w:left="9" w:right="340"/>
        <w:spacing w:after="0" w:line="238" w:lineRule="auto"/>
        <w:rPr>
          <w:sz w:val="20"/>
          <w:szCs w:val="20"/>
          <w:color w:val="auto"/>
        </w:rPr>
      </w:pPr>
      <w:r>
        <w:rPr>
          <w:rFonts w:ascii="Arial" w:cs="Arial" w:eastAsia="Arial" w:hAnsi="Arial"/>
          <w:sz w:val="22"/>
          <w:szCs w:val="22"/>
          <w:color w:val="auto"/>
        </w:rPr>
        <w:t>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5" w:lineRule="exact"/>
        <w:rPr>
          <w:sz w:val="20"/>
          <w:szCs w:val="20"/>
          <w:color w:val="auto"/>
        </w:rPr>
      </w:pPr>
    </w:p>
    <w:p>
      <w:pPr>
        <w:ind w:left="9" w:right="20" w:firstLine="648"/>
        <w:spacing w:after="0" w:line="277"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Waiver of Certain Covenants</w:t>
      </w:r>
      <w:r>
        <w:rPr>
          <w:rFonts w:ascii="Arial" w:cs="Arial" w:eastAsia="Arial" w:hAnsi="Arial"/>
          <w:sz w:val="19"/>
          <w:szCs w:val="19"/>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53" w:lineRule="exact"/>
        <w:rPr>
          <w:sz w:val="20"/>
          <w:szCs w:val="20"/>
          <w:color w:val="auto"/>
        </w:rPr>
      </w:pPr>
    </w:p>
    <w:p>
      <w:pPr>
        <w:ind w:left="649" w:right="2720" w:firstLine="2067"/>
        <w:spacing w:after="0" w:line="435" w:lineRule="auto"/>
        <w:rPr>
          <w:sz w:val="20"/>
          <w:szCs w:val="20"/>
          <w:color w:val="auto"/>
        </w:rPr>
      </w:pPr>
      <w:r>
        <w:rPr>
          <w:rFonts w:ascii="Arial" w:cs="Arial" w:eastAsia="Arial" w:hAnsi="Arial"/>
          <w:sz w:val="22"/>
          <w:szCs w:val="22"/>
          <w:color w:val="auto"/>
        </w:rPr>
        <w:t xml:space="preserve">ARTICLE ELEVEN - REDEMPTION OF SECURITIES SECTION 1101. </w:t>
      </w:r>
      <w:r>
        <w:rPr>
          <w:rFonts w:ascii="Arial" w:cs="Arial" w:eastAsia="Arial" w:hAnsi="Arial"/>
          <w:sz w:val="22"/>
          <w:szCs w:val="22"/>
          <w:u w:val="single" w:color="auto"/>
          <w:color w:val="auto"/>
        </w:rPr>
        <w:t>Applicability of Article</w:t>
      </w:r>
    </w:p>
    <w:p>
      <w:pPr>
        <w:spacing w:after="0" w:line="1" w:lineRule="exact"/>
        <w:rPr>
          <w:sz w:val="20"/>
          <w:szCs w:val="20"/>
          <w:color w:val="auto"/>
        </w:rPr>
      </w:pPr>
    </w:p>
    <w:p>
      <w:pPr>
        <w:ind w:left="9" w:right="380" w:hanging="9"/>
        <w:spacing w:after="0"/>
        <w:tabs>
          <w:tab w:leader="none" w:pos="17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ind w:left="9" w:right="40" w:firstLine="648"/>
        <w:spacing w:after="0" w:line="246" w:lineRule="auto"/>
        <w:rPr>
          <w:sz w:val="20"/>
          <w:szCs w:val="20"/>
          <w:color w:val="auto"/>
        </w:rPr>
      </w:pPr>
      <w:r>
        <w:rPr>
          <w:rFonts w:ascii="Arial" w:cs="Arial" w:eastAsia="Arial" w:hAnsi="Arial"/>
          <w:sz w:val="21"/>
          <w:szCs w:val="21"/>
          <w:color w:val="auto"/>
        </w:rPr>
        <w:t xml:space="preserve">SECTION 1102. </w:t>
      </w:r>
      <w:r>
        <w:rPr>
          <w:rFonts w:ascii="Arial" w:cs="Arial" w:eastAsia="Arial" w:hAnsi="Arial"/>
          <w:sz w:val="21"/>
          <w:szCs w:val="21"/>
          <w:u w:val="single" w:color="auto"/>
          <w:color w:val="auto"/>
        </w:rPr>
        <w:t>Election to Redeem; Notice to Trustee</w:t>
      </w:r>
      <w:r>
        <w:rPr>
          <w:rFonts w:ascii="Arial" w:cs="Arial" w:eastAsia="Arial" w:hAnsi="Arial"/>
          <w:sz w:val="21"/>
          <w:szCs w:val="21"/>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1" w:lineRule="exact"/>
        <w:rPr>
          <w:sz w:val="20"/>
          <w:szCs w:val="20"/>
          <w:color w:val="auto"/>
        </w:rPr>
      </w:pPr>
    </w:p>
    <w:p>
      <w:pPr>
        <w:ind w:left="9" w:firstLine="648"/>
        <w:spacing w:after="0" w:line="234"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Selection by Trustee of Securities to Be Redeemed</w:t>
      </w:r>
      <w:r>
        <w:rPr>
          <w:rFonts w:ascii="Arial" w:cs="Arial" w:eastAsia="Arial" w:hAnsi="Arial"/>
          <w:sz w:val="22"/>
          <w:szCs w:val="22"/>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8" w:lineRule="exact"/>
        <w:rPr>
          <w:sz w:val="20"/>
          <w:szCs w:val="20"/>
          <w:color w:val="auto"/>
        </w:rPr>
      </w:pPr>
    </w:p>
    <w:p>
      <w:pPr>
        <w:ind w:left="9" w:right="140" w:firstLine="648"/>
        <w:spacing w:after="0"/>
        <w:rPr>
          <w:sz w:val="20"/>
          <w:szCs w:val="20"/>
          <w:color w:val="auto"/>
        </w:rPr>
      </w:pPr>
      <w:r>
        <w:rPr>
          <w:rFonts w:ascii="Arial" w:cs="Arial" w:eastAsia="Arial" w:hAnsi="Arial"/>
          <w:sz w:val="22"/>
          <w:szCs w:val="22"/>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61" w:right="739" w:bottom="1440" w:gutter="0" w:footer="0" w:header="0"/>
        </w:sectPr>
      </w:pPr>
    </w:p>
    <w:bookmarkStart w:id="118" w:name="page119"/>
    <w:bookmarkEnd w:id="118"/>
    <w:p>
      <w:pPr>
        <w:ind w:firstLine="648"/>
        <w:spacing w:after="0"/>
        <w:rPr>
          <w:sz w:val="20"/>
          <w:szCs w:val="20"/>
          <w:color w:val="auto"/>
        </w:rPr>
      </w:pPr>
      <w:r>
        <w:rPr>
          <w:rFonts w:ascii="Arial" w:cs="Arial" w:eastAsia="Arial" w:hAnsi="Arial"/>
          <w:sz w:val="22"/>
          <w:szCs w:val="22"/>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6"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 xml:space="preserve">SECTION 1104. </w:t>
      </w:r>
      <w:r>
        <w:rPr>
          <w:rFonts w:ascii="Arial" w:cs="Arial" w:eastAsia="Arial" w:hAnsi="Arial"/>
          <w:sz w:val="21"/>
          <w:szCs w:val="21"/>
          <w:u w:val="single" w:color="auto"/>
          <w:color w:val="auto"/>
        </w:rPr>
        <w:t>Notice of Redemption</w:t>
      </w:r>
      <w:r>
        <w:rPr>
          <w:rFonts w:ascii="Arial" w:cs="Arial" w:eastAsia="Arial" w:hAnsi="Arial"/>
          <w:sz w:val="21"/>
          <w:szCs w:val="21"/>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77"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Any notice that is mailed to the Holders of Registered Securities in the manner herein provided shall be conclusively presumed to have been duly given, whether or not the Holder receives the notice.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notices of redemption shall state:</w:t>
      </w:r>
    </w:p>
    <w:p>
      <w:pPr>
        <w:spacing w:after="0" w:line="206" w:lineRule="exact"/>
        <w:rPr>
          <w:sz w:val="20"/>
          <w:szCs w:val="20"/>
          <w:color w:val="auto"/>
        </w:rPr>
      </w:pPr>
    </w:p>
    <w:p>
      <w:pPr>
        <w:ind w:left="1980" w:hanging="692"/>
        <w:spacing w:after="0"/>
        <w:tabs>
          <w:tab w:leader="none" w:pos="1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1980" w:hanging="692"/>
        <w:spacing w:after="0"/>
        <w:tabs>
          <w:tab w:leader="none" w:pos="19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Redemption Price, accrued interest to the Redemption Date payable as provided in Section</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1106, if any,</w:t>
      </w:r>
    </w:p>
    <w:p>
      <w:pPr>
        <w:spacing w:after="0" w:line="188" w:lineRule="exact"/>
        <w:rPr>
          <w:rFonts w:ascii="Arial" w:cs="Arial" w:eastAsia="Arial" w:hAnsi="Arial"/>
          <w:sz w:val="19"/>
          <w:szCs w:val="19"/>
          <w:color w:val="auto"/>
        </w:rPr>
      </w:pPr>
    </w:p>
    <w:p>
      <w:pPr>
        <w:ind w:left="640" w:right="60" w:firstLine="648"/>
        <w:spacing w:after="0" w:line="328" w:lineRule="auto"/>
        <w:tabs>
          <w:tab w:leader="none" w:pos="197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less than all Outstanding Securities of any series are to be redeemed, the identification (and, in the case of partial redemption, the principal amount) of the particular Security or Securities to be redeemed,</w:t>
      </w:r>
    </w:p>
    <w:p>
      <w:pPr>
        <w:spacing w:after="0" w:line="105" w:lineRule="exact"/>
        <w:rPr>
          <w:rFonts w:ascii="Arial" w:cs="Arial" w:eastAsia="Arial" w:hAnsi="Arial"/>
          <w:sz w:val="19"/>
          <w:szCs w:val="19"/>
          <w:color w:val="auto"/>
        </w:rPr>
      </w:pPr>
    </w:p>
    <w:p>
      <w:pPr>
        <w:ind w:left="640" w:firstLine="648"/>
        <w:spacing w:after="0" w:line="238" w:lineRule="auto"/>
        <w:tabs>
          <w:tab w:leader="none" w:pos="19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5" w:lineRule="exact"/>
        <w:rPr>
          <w:rFonts w:ascii="Arial" w:cs="Arial" w:eastAsia="Arial" w:hAnsi="Arial"/>
          <w:sz w:val="22"/>
          <w:szCs w:val="22"/>
          <w:color w:val="auto"/>
        </w:rPr>
      </w:pPr>
    </w:p>
    <w:p>
      <w:pPr>
        <w:ind w:left="640" w:right="100" w:firstLine="648"/>
        <w:spacing w:after="0" w:line="238" w:lineRule="auto"/>
        <w:tabs>
          <w:tab w:leader="none" w:pos="19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5" w:lineRule="exact"/>
        <w:rPr>
          <w:rFonts w:ascii="Arial" w:cs="Arial" w:eastAsia="Arial" w:hAnsi="Arial"/>
          <w:sz w:val="22"/>
          <w:szCs w:val="22"/>
          <w:color w:val="auto"/>
        </w:rPr>
      </w:pPr>
    </w:p>
    <w:p>
      <w:pPr>
        <w:ind w:left="640" w:right="240" w:firstLine="648"/>
        <w:spacing w:after="0" w:line="258" w:lineRule="auto"/>
        <w:tabs>
          <w:tab w:leader="none" w:pos="197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66" w:lineRule="exact"/>
        <w:rPr>
          <w:rFonts w:ascii="Arial" w:cs="Arial" w:eastAsia="Arial" w:hAnsi="Arial"/>
          <w:sz w:val="21"/>
          <w:szCs w:val="21"/>
          <w:color w:val="auto"/>
        </w:rPr>
      </w:pPr>
    </w:p>
    <w:p>
      <w:pPr>
        <w:ind w:left="1980" w:hanging="692"/>
        <w:spacing w:after="0"/>
        <w:tabs>
          <w:tab w:leader="none" w:pos="1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06" w:lineRule="exact"/>
        <w:rPr>
          <w:rFonts w:ascii="Arial" w:cs="Arial" w:eastAsia="Arial" w:hAnsi="Arial"/>
          <w:sz w:val="22"/>
          <w:szCs w:val="22"/>
          <w:color w:val="auto"/>
        </w:rPr>
      </w:pPr>
    </w:p>
    <w:p>
      <w:pPr>
        <w:jc w:val="both"/>
        <w:ind w:left="640" w:firstLine="648"/>
        <w:spacing w:after="0" w:line="287" w:lineRule="auto"/>
        <w:tabs>
          <w:tab w:leader="none" w:pos="197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9" w:name="page120"/>
    <w:bookmarkEnd w:id="119"/>
    <w:p>
      <w:pPr>
        <w:jc w:val="both"/>
        <w:ind w:left="640" w:right="60" w:firstLine="648"/>
        <w:spacing w:after="0" w:line="252" w:lineRule="auto"/>
        <w:tabs>
          <w:tab w:leader="none" w:pos="197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4" w:lineRule="exact"/>
        <w:rPr>
          <w:rFonts w:ascii="Arial" w:cs="Arial" w:eastAsia="Arial" w:hAnsi="Arial"/>
          <w:sz w:val="21"/>
          <w:szCs w:val="21"/>
          <w:color w:val="auto"/>
        </w:rPr>
      </w:pPr>
    </w:p>
    <w:p>
      <w:pPr>
        <w:ind w:left="1980" w:hanging="692"/>
        <w:spacing w:after="0"/>
        <w:tabs>
          <w:tab w:leader="none" w:pos="19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CUSIP number of such Security, if any, and</w:t>
      </w:r>
    </w:p>
    <w:p>
      <w:pPr>
        <w:spacing w:after="0" w:line="206" w:lineRule="exact"/>
        <w:rPr>
          <w:rFonts w:ascii="Arial" w:cs="Arial" w:eastAsia="Arial" w:hAnsi="Arial"/>
          <w:sz w:val="22"/>
          <w:szCs w:val="22"/>
          <w:color w:val="auto"/>
        </w:rPr>
      </w:pPr>
    </w:p>
    <w:p>
      <w:pPr>
        <w:jc w:val="both"/>
        <w:ind w:left="640" w:right="200" w:firstLine="648"/>
        <w:spacing w:after="0" w:line="238" w:lineRule="auto"/>
        <w:tabs>
          <w:tab w:leader="none" w:pos="196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5" w:lineRule="exact"/>
        <w:rPr>
          <w:sz w:val="20"/>
          <w:szCs w:val="20"/>
          <w:color w:val="auto"/>
        </w:rPr>
      </w:pPr>
    </w:p>
    <w:p>
      <w:pPr>
        <w:ind w:right="820" w:firstLine="648"/>
        <w:spacing w:after="0" w:line="328" w:lineRule="auto"/>
        <w:rPr>
          <w:sz w:val="20"/>
          <w:szCs w:val="20"/>
          <w:color w:val="auto"/>
        </w:rPr>
      </w:pPr>
      <w:r>
        <w:rPr>
          <w:rFonts w:ascii="Arial" w:cs="Arial" w:eastAsia="Arial" w:hAnsi="Arial"/>
          <w:sz w:val="19"/>
          <w:szCs w:val="19"/>
          <w:color w:val="auto"/>
        </w:rPr>
        <w:t>Notice of redemption of Securities to be redeemed at the election of the Company shall be given by the Company or, at the Company’s request, by the Trustee in the name and at the expense of the Company.</w:t>
      </w:r>
    </w:p>
    <w:p>
      <w:pPr>
        <w:spacing w:after="0" w:line="10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Deposit of Redemption Price</w:t>
      </w:r>
      <w:r>
        <w:rPr>
          <w:rFonts w:ascii="Arial" w:cs="Arial" w:eastAsia="Arial" w:hAnsi="Arial"/>
          <w:sz w:val="21"/>
          <w:szCs w:val="21"/>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1"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67" w:lineRule="exact"/>
        <w:rPr>
          <w:sz w:val="20"/>
          <w:szCs w:val="20"/>
          <w:color w:val="auto"/>
        </w:rPr>
      </w:pPr>
    </w:p>
    <w:p>
      <w:pPr>
        <w:ind w:firstLine="648"/>
        <w:spacing w:after="0" w:line="245" w:lineRule="exact"/>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Securities Payable on Redemption Date</w:t>
      </w:r>
      <w:r>
        <w:rPr>
          <w:rFonts w:ascii="Arial" w:cs="Arial" w:eastAsia="Arial" w:hAnsi="Arial"/>
          <w:sz w:val="19"/>
          <w:szCs w:val="19"/>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 xml:space="preserve">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0" w:name="page121"/>
    <w:bookmarkEnd w:id="120"/>
    <w:p>
      <w:pPr>
        <w:ind w:right="180"/>
        <w:spacing w:after="0" w:line="282" w:lineRule="auto"/>
        <w:rPr>
          <w:sz w:val="20"/>
          <w:szCs w:val="20"/>
          <w:color w:val="auto"/>
        </w:rPr>
      </w:pPr>
      <w:r>
        <w:rPr>
          <w:rFonts w:ascii="Arial" w:cs="Arial" w:eastAsia="Arial" w:hAnsi="Arial"/>
          <w:sz w:val="19"/>
          <w:szCs w:val="19"/>
          <w:color w:val="auto"/>
        </w:rPr>
        <w:t xml:space="preserve">by Section 301, only upon presentation and surrender of coupons for such interest;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48"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2"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TWELVE - SINKING FUNDS</w:t>
      </w:r>
    </w:p>
    <w:p>
      <w:pPr>
        <w:spacing w:after="0" w:line="20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The provisions of this Article shall be applicable to any sinking fund for the retirement of Securities of a series except as otherwise specified as contemplated by Section 301 for Securities of such series.</w:t>
      </w:r>
    </w:p>
    <w:p>
      <w:pPr>
        <w:spacing w:after="0" w:line="186" w:lineRule="exact"/>
        <w:rPr>
          <w:sz w:val="20"/>
          <w:szCs w:val="20"/>
          <w:color w:val="auto"/>
        </w:rPr>
      </w:pPr>
    </w:p>
    <w:p>
      <w:pPr>
        <w:ind w:right="520" w:firstLine="648"/>
        <w:spacing w:after="0"/>
        <w:rPr>
          <w:sz w:val="20"/>
          <w:szCs w:val="20"/>
          <w:color w:val="auto"/>
        </w:rPr>
      </w:pPr>
      <w:r>
        <w:rPr>
          <w:rFonts w:ascii="Arial" w:cs="Arial" w:eastAsia="Arial" w:hAnsi="Arial"/>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1" w:name="page122"/>
    <w:bookmarkEnd w:id="121"/>
    <w:p>
      <w:pPr>
        <w:ind w:right="80"/>
        <w:spacing w:after="0" w:line="238" w:lineRule="auto"/>
        <w:rPr>
          <w:sz w:val="20"/>
          <w:szCs w:val="20"/>
          <w:color w:val="auto"/>
        </w:rPr>
      </w:pPr>
      <w:r>
        <w:rPr>
          <w:rFonts w:ascii="Arial" w:cs="Arial" w:eastAsia="Arial" w:hAnsi="Arial"/>
          <w:sz w:val="22"/>
          <w:szCs w:val="22"/>
          <w:color w:val="auto"/>
        </w:rPr>
        <w:t>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1202. </w:t>
      </w:r>
      <w:r>
        <w:rPr>
          <w:rFonts w:ascii="Arial" w:cs="Arial" w:eastAsia="Arial" w:hAnsi="Arial"/>
          <w:sz w:val="21"/>
          <w:szCs w:val="21"/>
          <w:u w:val="single" w:color="auto"/>
          <w:color w:val="auto"/>
        </w:rPr>
        <w:t>Satisfaction of Sinking Fund Payments with Securities</w:t>
      </w:r>
      <w:r>
        <w:rPr>
          <w:rFonts w:ascii="Arial" w:cs="Arial" w:eastAsia="Arial" w:hAnsi="Arial"/>
          <w:sz w:val="21"/>
          <w:szCs w:val="21"/>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Redemption of Securities for Sinking Fund</w:t>
      </w:r>
      <w:r>
        <w:rPr>
          <w:rFonts w:ascii="Arial" w:cs="Arial" w:eastAsia="Arial" w:hAnsi="Arial"/>
          <w:sz w:val="19"/>
          <w:szCs w:val="19"/>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THIRTEEN - REPAYMENT AT THE OPTION OF HOLDERS</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2" w:name="page123"/>
    <w:bookmarkEnd w:id="122"/>
    <w:p>
      <w:pPr>
        <w:ind w:right="60" w:firstLine="648"/>
        <w:spacing w:after="0" w:line="273" w:lineRule="auto"/>
        <w:rPr>
          <w:sz w:val="20"/>
          <w:szCs w:val="20"/>
          <w:color w:val="auto"/>
        </w:rPr>
      </w:pPr>
      <w:r>
        <w:rPr>
          <w:rFonts w:ascii="Arial" w:cs="Arial" w:eastAsia="Arial" w:hAnsi="Arial"/>
          <w:sz w:val="19"/>
          <w:szCs w:val="19"/>
          <w:color w:val="auto"/>
        </w:rPr>
        <w:t xml:space="preserve">SECTION 1302. </w:t>
      </w:r>
      <w:r>
        <w:rPr>
          <w:rFonts w:ascii="Arial" w:cs="Arial" w:eastAsia="Arial" w:hAnsi="Arial"/>
          <w:sz w:val="19"/>
          <w:szCs w:val="19"/>
          <w:u w:val="single" w:color="auto"/>
          <w:color w:val="auto"/>
        </w:rPr>
        <w:t>Repayment of Securities</w:t>
      </w:r>
      <w:r>
        <w:rPr>
          <w:rFonts w:ascii="Arial" w:cs="Arial" w:eastAsia="Arial" w:hAnsi="Arial"/>
          <w:sz w:val="19"/>
          <w:szCs w:val="19"/>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Exercise of Option</w:t>
      </w:r>
      <w:r>
        <w:rPr>
          <w:rFonts w:ascii="Arial" w:cs="Arial" w:eastAsia="Arial" w:hAnsi="Arial"/>
          <w:sz w:val="19"/>
          <w:szCs w:val="19"/>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0" w:lineRule="exact"/>
        <w:rPr>
          <w:sz w:val="20"/>
          <w:szCs w:val="20"/>
          <w:color w:val="auto"/>
        </w:rPr>
      </w:pPr>
    </w:p>
    <w:p>
      <w:pPr>
        <w:spacing w:after="0" w:line="21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u w:val="single" w:color="auto"/>
          <w:color w:val="auto"/>
        </w:rPr>
        <w:t>When Securities Presented for Repayment Become Due and Payable</w:t>
      </w:r>
      <w:r>
        <w:rPr>
          <w:rFonts w:ascii="Arial" w:cs="Arial" w:eastAsia="Arial" w:hAnsi="Arial"/>
          <w:sz w:val="22"/>
          <w:szCs w:val="22"/>
          <w:color w:val="auto"/>
        </w:rPr>
        <w:t>. If Securities of any series providing for repayment at the option of the Holders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3" w:name="page124"/>
    <w:bookmarkEnd w:id="123"/>
    <w:p>
      <w:pPr>
        <w:spacing w:after="0" w:line="247" w:lineRule="exact"/>
        <w:rPr>
          <w:sz w:val="20"/>
          <w:szCs w:val="20"/>
          <w:color w:val="auto"/>
        </w:rPr>
      </w:pPr>
      <w:r>
        <w:rPr>
          <w:rFonts w:ascii="Arial" w:cs="Arial" w:eastAsia="Arial" w:hAnsi="Arial"/>
          <w:sz w:val="19"/>
          <w:szCs w:val="19"/>
          <w:color w:val="auto"/>
        </w:rPr>
        <w:t>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 xml:space="preserve">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1305. </w:t>
      </w:r>
      <w:r>
        <w:rPr>
          <w:rFonts w:ascii="Arial" w:cs="Arial" w:eastAsia="Arial" w:hAnsi="Arial"/>
          <w:sz w:val="19"/>
          <w:szCs w:val="19"/>
          <w:u w:val="single" w:color="auto"/>
          <w:color w:val="auto"/>
        </w:rPr>
        <w:t>Securities Repaid in Part</w:t>
      </w:r>
      <w:r>
        <w:rPr>
          <w:rFonts w:ascii="Arial" w:cs="Arial" w:eastAsia="Arial" w:hAnsi="Arial"/>
          <w:sz w:val="19"/>
          <w:szCs w:val="19"/>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ARTICLE FOURTEEN - DEFEASANCE AND COVENANT DEFEASANCE</w:t>
      </w:r>
    </w:p>
    <w:p>
      <w:pPr>
        <w:spacing w:after="0" w:line="206" w:lineRule="exact"/>
        <w:rPr>
          <w:sz w:val="20"/>
          <w:szCs w:val="20"/>
          <w:color w:val="auto"/>
        </w:rPr>
      </w:pPr>
    </w:p>
    <w:p>
      <w:pPr>
        <w:ind w:right="140" w:firstLine="648"/>
        <w:spacing w:after="0" w:line="274" w:lineRule="auto"/>
        <w:rPr>
          <w:sz w:val="20"/>
          <w:szCs w:val="20"/>
          <w:color w:val="auto"/>
        </w:rPr>
      </w:pPr>
      <w:r>
        <w:rPr>
          <w:rFonts w:ascii="Arial" w:cs="Arial" w:eastAsia="Arial" w:hAnsi="Arial"/>
          <w:sz w:val="19"/>
          <w:szCs w:val="19"/>
          <w:color w:val="auto"/>
        </w:rPr>
        <w:t xml:space="preserve">SECTION 1401. </w:t>
      </w:r>
      <w:r>
        <w:rPr>
          <w:rFonts w:ascii="Arial" w:cs="Arial" w:eastAsia="Arial" w:hAnsi="Arial"/>
          <w:sz w:val="19"/>
          <w:szCs w:val="19"/>
          <w:u w:val="single" w:color="auto"/>
          <w:color w:val="auto"/>
        </w:rPr>
        <w:t>Applicability of Article; Company’s Option to Effect Defeasance or Covenant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Defeasance</w:t>
      </w:r>
      <w:r>
        <w:rPr>
          <w:rFonts w:ascii="Arial" w:cs="Arial" w:eastAsia="Arial" w:hAnsi="Arial"/>
          <w:sz w:val="19"/>
          <w:szCs w:val="19"/>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59"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 xml:space="preserve">SECTION 1402. </w:t>
      </w:r>
      <w:r>
        <w:rPr>
          <w:rFonts w:ascii="Arial" w:cs="Arial" w:eastAsia="Arial" w:hAnsi="Arial"/>
          <w:sz w:val="19"/>
          <w:szCs w:val="19"/>
          <w:u w:val="single" w:color="auto"/>
          <w:color w:val="auto"/>
        </w:rPr>
        <w:t>Defeasance and Discharge</w:t>
      </w:r>
      <w:r>
        <w:rPr>
          <w:rFonts w:ascii="Arial" w:cs="Arial" w:eastAsia="Arial" w:hAnsi="Arial"/>
          <w:sz w:val="19"/>
          <w:szCs w:val="19"/>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200" w:lineRule="exact"/>
        <w:rPr>
          <w:sz w:val="20"/>
          <w:szCs w:val="20"/>
          <w:color w:val="auto"/>
        </w:rPr>
      </w:pP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1403. </w:t>
      </w:r>
      <w:r>
        <w:rPr>
          <w:rFonts w:ascii="Arial" w:cs="Arial" w:eastAsia="Arial" w:hAnsi="Arial"/>
          <w:sz w:val="21"/>
          <w:szCs w:val="21"/>
          <w:u w:val="single" w:color="auto"/>
          <w:color w:val="auto"/>
        </w:rPr>
        <w:t>Covenant Defeasance</w:t>
      </w:r>
      <w:r>
        <w:rPr>
          <w:rFonts w:ascii="Arial" w:cs="Arial" w:eastAsia="Arial" w:hAnsi="Arial"/>
          <w:sz w:val="21"/>
          <w:szCs w:val="21"/>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5" w:name="page126"/>
    <w:bookmarkEnd w:id="125"/>
    <w:p>
      <w:pPr>
        <w:ind w:right="20"/>
        <w:spacing w:after="0" w:line="274" w:lineRule="auto"/>
        <w:rPr>
          <w:sz w:val="20"/>
          <w:szCs w:val="20"/>
          <w:color w:val="auto"/>
        </w:rPr>
      </w:pPr>
      <w:r>
        <w:rPr>
          <w:rFonts w:ascii="Arial" w:cs="Arial" w:eastAsia="Arial" w:hAnsi="Arial"/>
          <w:sz w:val="19"/>
          <w:szCs w:val="19"/>
          <w:color w:val="auto"/>
        </w:rPr>
        <w:t>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SECTION 1404. </w:t>
      </w:r>
      <w:r>
        <w:rPr>
          <w:rFonts w:ascii="Arial" w:cs="Arial" w:eastAsia="Arial" w:hAnsi="Arial"/>
          <w:sz w:val="22"/>
          <w:szCs w:val="22"/>
          <w:u w:val="single" w:color="auto"/>
          <w:color w:val="auto"/>
        </w:rPr>
        <w:t>Conditions to Defeasance or Covenant Defeasance</w:t>
      </w:r>
      <w:r>
        <w:rPr>
          <w:rFonts w:ascii="Arial" w:cs="Arial" w:eastAsia="Arial" w:hAnsi="Arial"/>
          <w:sz w:val="22"/>
          <w:szCs w:val="22"/>
          <w:color w:val="auto"/>
        </w:rPr>
        <w:t>. The following shall be the conditions to application of Section 1402 or Section 1403 to any Outstanding Securities of or within a series and any coupons appertaining thereto:</w:t>
      </w:r>
    </w:p>
    <w:p>
      <w:pPr>
        <w:spacing w:after="0" w:line="186" w:lineRule="exact"/>
        <w:rPr>
          <w:sz w:val="20"/>
          <w:szCs w:val="20"/>
          <w:color w:val="auto"/>
        </w:rPr>
      </w:pPr>
    </w:p>
    <w:p>
      <w:pPr>
        <w:ind w:firstLine="640"/>
        <w:spacing w:after="0" w:line="270" w:lineRule="auto"/>
        <w:tabs>
          <w:tab w:leader="none" w:pos="13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4" w:lineRule="exact"/>
        <w:rPr>
          <w:rFonts w:ascii="Arial" w:cs="Arial" w:eastAsia="Arial" w:hAnsi="Arial"/>
          <w:sz w:val="19"/>
          <w:szCs w:val="19"/>
          <w:color w:val="auto"/>
        </w:rPr>
      </w:pPr>
    </w:p>
    <w:p>
      <w:pPr>
        <w:ind w:right="440" w:firstLine="640"/>
        <w:spacing w:after="0"/>
        <w:tabs>
          <w:tab w:leader="none" w:pos="133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86" w:lineRule="exact"/>
        <w:rPr>
          <w:rFonts w:ascii="Arial" w:cs="Arial" w:eastAsia="Arial" w:hAnsi="Arial"/>
          <w:sz w:val="22"/>
          <w:szCs w:val="22"/>
          <w:color w:val="auto"/>
        </w:rPr>
      </w:pPr>
    </w:p>
    <w:p>
      <w:pPr>
        <w:ind w:right="480" w:firstLine="640"/>
        <w:spacing w:after="0" w:line="251" w:lineRule="auto"/>
        <w:tabs>
          <w:tab w:leader="none" w:pos="13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 Event of Default or event which with notice or lapse of time or both would become an Event of Default with respect to such Securities and any coupons appertaining thereto</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6" w:name="page127"/>
    <w:bookmarkEnd w:id="126"/>
    <w:p>
      <w:pPr>
        <w:ind w:right="120"/>
        <w:spacing w:after="0"/>
        <w:rPr>
          <w:sz w:val="20"/>
          <w:szCs w:val="20"/>
          <w:color w:val="auto"/>
        </w:rPr>
      </w:pPr>
      <w:r>
        <w:rPr>
          <w:rFonts w:ascii="Arial" w:cs="Arial" w:eastAsia="Arial" w:hAnsi="Arial"/>
          <w:sz w:val="22"/>
          <w:szCs w:val="22"/>
          <w:color w:val="auto"/>
        </w:rPr>
        <w:t>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sz w:val="20"/>
          <w:szCs w:val="20"/>
          <w:color w:val="auto"/>
        </w:rPr>
      </w:pPr>
    </w:p>
    <w:p>
      <w:pPr>
        <w:ind w:firstLine="640"/>
        <w:spacing w:after="0" w:line="277" w:lineRule="auto"/>
        <w:tabs>
          <w:tab w:leader="none" w:pos="133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52" w:lineRule="exact"/>
        <w:rPr>
          <w:rFonts w:ascii="Arial" w:cs="Arial" w:eastAsia="Arial" w:hAnsi="Arial"/>
          <w:sz w:val="19"/>
          <w:szCs w:val="19"/>
          <w:color w:val="auto"/>
        </w:rPr>
      </w:pPr>
    </w:p>
    <w:p>
      <w:pPr>
        <w:ind w:right="140" w:firstLine="640"/>
        <w:spacing w:after="0" w:line="249" w:lineRule="auto"/>
        <w:tabs>
          <w:tab w:leader="none" w:pos="132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8" w:lineRule="exact"/>
        <w:rPr>
          <w:rFonts w:ascii="Arial" w:cs="Arial" w:eastAsia="Arial" w:hAnsi="Arial"/>
          <w:sz w:val="21"/>
          <w:szCs w:val="21"/>
          <w:color w:val="auto"/>
        </w:rPr>
      </w:pPr>
    </w:p>
    <w:p>
      <w:pPr>
        <w:ind w:right="140" w:firstLine="640"/>
        <w:spacing w:after="0" w:line="277" w:lineRule="auto"/>
        <w:tabs>
          <w:tab w:leader="none" w:pos="129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2" w:lineRule="exact"/>
        <w:rPr>
          <w:rFonts w:ascii="Arial" w:cs="Arial" w:eastAsia="Arial" w:hAnsi="Arial"/>
          <w:sz w:val="19"/>
          <w:szCs w:val="19"/>
          <w:color w:val="auto"/>
        </w:rPr>
      </w:pPr>
    </w:p>
    <w:p>
      <w:pPr>
        <w:ind w:right="20" w:firstLine="640"/>
        <w:spacing w:after="0"/>
        <w:tabs>
          <w:tab w:leader="none" w:pos="133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86" w:lineRule="exact"/>
        <w:rPr>
          <w:rFonts w:ascii="Arial" w:cs="Arial" w:eastAsia="Arial" w:hAnsi="Arial"/>
          <w:sz w:val="22"/>
          <w:szCs w:val="22"/>
          <w:color w:val="auto"/>
        </w:rPr>
      </w:pPr>
    </w:p>
    <w:p>
      <w:pPr>
        <w:ind w:right="120" w:firstLine="640"/>
        <w:spacing w:after="0" w:line="251" w:lineRule="auto"/>
        <w:tabs>
          <w:tab w:leader="none" w:pos="132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payment of amounts payable to the Trustee pursuant to this Indenture shall be paid or provided for to the reasonable satisfaction of the Trustee.</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Deposited Money and Government Obligations to Be Held in Trust; Other Miscellaneous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Provisions</w:t>
      </w:r>
      <w:r>
        <w:rPr>
          <w:rFonts w:ascii="Arial" w:cs="Arial" w:eastAsia="Arial" w:hAnsi="Arial"/>
          <w:sz w:val="19"/>
          <w:szCs w:val="19"/>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127" w:name="page128"/>
    <w:bookmarkEnd w:id="127"/>
    <w:p>
      <w:pPr>
        <w:ind w:right="60"/>
        <w:spacing w:after="0" w:line="236" w:lineRule="auto"/>
        <w:rPr>
          <w:sz w:val="20"/>
          <w:szCs w:val="20"/>
          <w:color w:val="auto"/>
        </w:rPr>
      </w:pPr>
      <w:r>
        <w:rPr>
          <w:rFonts w:ascii="Arial" w:cs="Arial" w:eastAsia="Arial" w:hAnsi="Arial"/>
          <w:sz w:val="22"/>
          <w:szCs w:val="22"/>
          <w:color w:val="auto"/>
        </w:rPr>
        <w:t>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57"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FIFTEEN - MEETINGS OF HOLDERS OF SECURITIES</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1501. </w:t>
      </w:r>
      <w:r>
        <w:rPr>
          <w:rFonts w:ascii="Arial" w:cs="Arial" w:eastAsia="Arial" w:hAnsi="Arial"/>
          <w:sz w:val="22"/>
          <w:szCs w:val="22"/>
          <w:u w:val="single" w:color="auto"/>
          <w:color w:val="auto"/>
        </w:rPr>
        <w:t>Purposes for Which Meetings May Be Called</w:t>
      </w:r>
      <w:r>
        <w:rPr>
          <w:rFonts w:ascii="Arial" w:cs="Arial" w:eastAsia="Arial" w:hAnsi="Arial"/>
          <w:sz w:val="22"/>
          <w:szCs w:val="22"/>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5"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1502.</w:t>
      </w:r>
      <w:r>
        <w:rPr>
          <w:sz w:val="20"/>
          <w:szCs w:val="20"/>
          <w:color w:val="auto"/>
        </w:rPr>
        <w:tab/>
      </w:r>
      <w:r>
        <w:rPr>
          <w:rFonts w:ascii="Arial" w:cs="Arial" w:eastAsia="Arial" w:hAnsi="Arial"/>
          <w:sz w:val="19"/>
          <w:szCs w:val="19"/>
          <w:u w:val="single" w:color="auto"/>
          <w:color w:val="auto"/>
        </w:rPr>
        <w:t>Call, Notice and Place of Meetings</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8" w:name="page129"/>
    <w:bookmarkEnd w:id="128"/>
    <w:p>
      <w:pPr>
        <w:ind w:right="20" w:firstLine="1288"/>
        <w:spacing w:after="0" w:line="249" w:lineRule="auto"/>
        <w:tabs>
          <w:tab w:leader="none" w:pos="196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8" w:lineRule="exact"/>
        <w:rPr>
          <w:rFonts w:ascii="Arial" w:cs="Arial" w:eastAsia="Arial" w:hAnsi="Arial"/>
          <w:sz w:val="21"/>
          <w:szCs w:val="21"/>
          <w:color w:val="auto"/>
        </w:rPr>
      </w:pPr>
    </w:p>
    <w:p>
      <w:pPr>
        <w:ind w:right="100" w:firstLine="1288"/>
        <w:spacing w:after="0" w:line="275" w:lineRule="auto"/>
        <w:tabs>
          <w:tab w:leader="none" w:pos="198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Persons Entitled to Vote at Meetings</w:t>
      </w:r>
      <w:r>
        <w:rPr>
          <w:rFonts w:ascii="Arial" w:cs="Arial" w:eastAsia="Arial" w:hAnsi="Arial"/>
          <w:sz w:val="19"/>
          <w:szCs w:val="19"/>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51"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1504. </w:t>
      </w:r>
      <w:r>
        <w:rPr>
          <w:rFonts w:ascii="Arial" w:cs="Arial" w:eastAsia="Arial" w:hAnsi="Arial"/>
          <w:sz w:val="19"/>
          <w:szCs w:val="19"/>
          <w:u w:val="single" w:color="auto"/>
          <w:color w:val="auto"/>
        </w:rPr>
        <w:t>Quorum; Action</w:t>
      </w:r>
      <w:r>
        <w:rPr>
          <w:rFonts w:ascii="Arial" w:cs="Arial" w:eastAsia="Arial" w:hAnsi="Arial"/>
          <w:sz w:val="19"/>
          <w:szCs w:val="19"/>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9" w:name="page130"/>
    <w:bookmarkEnd w:id="129"/>
    <w:p>
      <w:pPr>
        <w:ind w:firstLine="648"/>
        <w:spacing w:after="0" w:line="245" w:lineRule="auto"/>
        <w:rPr>
          <w:sz w:val="20"/>
          <w:szCs w:val="20"/>
          <w:color w:val="auto"/>
        </w:rPr>
      </w:pPr>
      <w:r>
        <w:rPr>
          <w:rFonts w:ascii="Arial" w:cs="Arial" w:eastAsia="Arial" w:hAnsi="Arial"/>
          <w:sz w:val="21"/>
          <w:szCs w:val="21"/>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5"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86"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8" w:lineRule="exact"/>
        <w:rPr>
          <w:sz w:val="20"/>
          <w:szCs w:val="20"/>
          <w:color w:val="auto"/>
        </w:rPr>
      </w:pPr>
    </w:p>
    <w:p>
      <w:pPr>
        <w:ind w:left="2580" w:hanging="644"/>
        <w:spacing w:after="0"/>
        <w:tabs>
          <w:tab w:leader="none" w:pos="25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there shall be no minimum quorum requirement for such meeting; and</w:t>
      </w:r>
    </w:p>
    <w:p>
      <w:pPr>
        <w:spacing w:after="0" w:line="206" w:lineRule="exact"/>
        <w:rPr>
          <w:rFonts w:ascii="Arial" w:cs="Arial" w:eastAsia="Arial" w:hAnsi="Arial"/>
          <w:sz w:val="22"/>
          <w:szCs w:val="22"/>
          <w:color w:val="auto"/>
        </w:rPr>
      </w:pPr>
    </w:p>
    <w:p>
      <w:pPr>
        <w:ind w:left="1280" w:right="20" w:firstLine="656"/>
        <w:spacing w:after="0" w:line="252" w:lineRule="auto"/>
        <w:tabs>
          <w:tab w:leader="none" w:pos="257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4"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1505.</w:t>
      </w:r>
      <w:r>
        <w:rPr>
          <w:sz w:val="20"/>
          <w:szCs w:val="20"/>
          <w:color w:val="auto"/>
        </w:rPr>
        <w:tab/>
      </w:r>
      <w:r>
        <w:rPr>
          <w:rFonts w:ascii="Arial" w:cs="Arial" w:eastAsia="Arial" w:hAnsi="Arial"/>
          <w:sz w:val="19"/>
          <w:szCs w:val="19"/>
          <w:u w:val="single" w:color="auto"/>
          <w:color w:val="auto"/>
        </w:rPr>
        <w:t>Determination of Voting Rights; Conduct and Adjournment of Meetings</w:t>
      </w:r>
      <w:r>
        <w:rPr>
          <w:rFonts w:ascii="Arial" w:cs="Arial" w:eastAsia="Arial" w:hAnsi="Arial"/>
          <w:sz w:val="19"/>
          <w:szCs w:val="19"/>
          <w:color w:val="auto"/>
        </w:rPr>
        <w:t>.</w:t>
      </w:r>
    </w:p>
    <w:p>
      <w:pPr>
        <w:spacing w:after="0" w:line="206" w:lineRule="exact"/>
        <w:rPr>
          <w:sz w:val="20"/>
          <w:szCs w:val="20"/>
          <w:color w:val="auto"/>
        </w:rPr>
      </w:pPr>
    </w:p>
    <w:p>
      <w:pPr>
        <w:ind w:right="20" w:firstLine="1288"/>
        <w:spacing w:after="0" w:line="273" w:lineRule="auto"/>
        <w:tabs>
          <w:tab w:leader="none" w:pos="196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30" w:name="page131"/>
    <w:bookmarkEnd w:id="130"/>
    <w:p>
      <w:pPr>
        <w:ind w:right="160" w:firstLine="1288"/>
        <w:spacing w:after="0" w:line="248" w:lineRule="auto"/>
        <w:tabs>
          <w:tab w:leader="none" w:pos="198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7" w:lineRule="exact"/>
        <w:rPr>
          <w:rFonts w:ascii="Arial" w:cs="Arial" w:eastAsia="Arial" w:hAnsi="Arial"/>
          <w:sz w:val="21"/>
          <w:szCs w:val="21"/>
          <w:color w:val="auto"/>
        </w:rPr>
      </w:pPr>
    </w:p>
    <w:p>
      <w:pPr>
        <w:ind w:right="40" w:firstLine="1288"/>
        <w:spacing w:after="0" w:line="249" w:lineRule="auto"/>
        <w:tabs>
          <w:tab w:leader="none" w:pos="196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8" w:lineRule="exact"/>
        <w:rPr>
          <w:rFonts w:ascii="Arial" w:cs="Arial" w:eastAsia="Arial" w:hAnsi="Arial"/>
          <w:sz w:val="21"/>
          <w:szCs w:val="21"/>
          <w:color w:val="auto"/>
        </w:rPr>
      </w:pPr>
    </w:p>
    <w:p>
      <w:pPr>
        <w:ind w:firstLine="1288"/>
        <w:spacing w:after="0" w:line="238" w:lineRule="auto"/>
        <w:tabs>
          <w:tab w:leader="none" w:pos="198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Counting Votes and Recording Action of Meetings</w:t>
      </w:r>
      <w:r>
        <w:rPr>
          <w:rFonts w:ascii="Arial" w:cs="Arial" w:eastAsia="Arial" w:hAnsi="Arial"/>
          <w:sz w:val="19"/>
          <w:szCs w:val="19"/>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SIXTEEN - CONVERSION OF SECURITIES</w:t>
      </w:r>
    </w:p>
    <w:p>
      <w:pPr>
        <w:spacing w:after="0" w:line="20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1601. </w:t>
      </w:r>
      <w:r>
        <w:rPr>
          <w:rFonts w:ascii="Arial" w:cs="Arial" w:eastAsia="Arial" w:hAnsi="Arial"/>
          <w:sz w:val="19"/>
          <w:szCs w:val="19"/>
          <w:u w:val="single" w:color="auto"/>
          <w:color w:val="auto"/>
        </w:rPr>
        <w:t>Applicability of Article; Conversion Privilege and Conversion Price</w:t>
      </w:r>
      <w:r>
        <w:rPr>
          <w:rFonts w:ascii="Arial" w:cs="Arial" w:eastAsia="Arial" w:hAnsi="Arial"/>
          <w:sz w:val="19"/>
          <w:szCs w:val="19"/>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31" w:name="page132"/>
    <w:bookmarkEnd w:id="131"/>
    <w:p>
      <w:pPr>
        <w:ind w:right="60"/>
        <w:spacing w:after="0" w:line="279" w:lineRule="auto"/>
        <w:rPr>
          <w:sz w:val="20"/>
          <w:szCs w:val="20"/>
          <w:color w:val="auto"/>
        </w:rPr>
      </w:pPr>
      <w:r>
        <w:rPr>
          <w:rFonts w:ascii="Arial" w:cs="Arial" w:eastAsia="Arial" w:hAnsi="Arial"/>
          <w:sz w:val="19"/>
          <w:szCs w:val="19"/>
          <w:color w:val="auto"/>
        </w:rPr>
        <w:t>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51"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65"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 xml:space="preserve">SECTION 1602. </w:t>
      </w:r>
      <w:r>
        <w:rPr>
          <w:rFonts w:ascii="Arial" w:cs="Arial" w:eastAsia="Arial" w:hAnsi="Arial"/>
          <w:sz w:val="22"/>
          <w:szCs w:val="22"/>
          <w:u w:val="single" w:color="auto"/>
          <w:color w:val="auto"/>
        </w:rPr>
        <w:t>Exercise of Conversion Privilege</w:t>
      </w:r>
      <w:r>
        <w:rPr>
          <w:rFonts w:ascii="Arial" w:cs="Arial" w:eastAsia="Arial" w:hAnsi="Arial"/>
          <w:sz w:val="22"/>
          <w:szCs w:val="22"/>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32" w:name="page133"/>
    <w:bookmarkEnd w:id="132"/>
    <w:p>
      <w:pPr>
        <w:ind w:right="120"/>
        <w:spacing w:after="0" w:line="282" w:lineRule="auto"/>
        <w:rPr>
          <w:sz w:val="20"/>
          <w:szCs w:val="20"/>
          <w:color w:val="auto"/>
        </w:rPr>
      </w:pPr>
      <w:r>
        <w:rPr>
          <w:rFonts w:ascii="Arial" w:cs="Arial" w:eastAsia="Arial" w:hAnsi="Arial"/>
          <w:sz w:val="19"/>
          <w:szCs w:val="19"/>
          <w:color w:val="auto"/>
        </w:rPr>
        <w:t>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5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1603. </w:t>
      </w:r>
      <w:r>
        <w:rPr>
          <w:rFonts w:ascii="Arial" w:cs="Arial" w:eastAsia="Arial" w:hAnsi="Arial"/>
          <w:sz w:val="19"/>
          <w:szCs w:val="19"/>
          <w:u w:val="single" w:color="auto"/>
          <w:color w:val="auto"/>
        </w:rPr>
        <w:t>Fractions of Shares</w:t>
      </w:r>
      <w:r>
        <w:rPr>
          <w:rFonts w:ascii="Arial" w:cs="Arial" w:eastAsia="Arial" w:hAnsi="Arial"/>
          <w:sz w:val="19"/>
          <w:szCs w:val="19"/>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58"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 xml:space="preserve">SECTION 1604. </w:t>
      </w:r>
      <w:r>
        <w:rPr>
          <w:rFonts w:ascii="Arial" w:cs="Arial" w:eastAsia="Arial" w:hAnsi="Arial"/>
          <w:sz w:val="22"/>
          <w:szCs w:val="22"/>
          <w:u w:val="single" w:color="auto"/>
          <w:color w:val="auto"/>
        </w:rPr>
        <w:t>Adjustment of Conversion Price</w:t>
      </w:r>
      <w:r>
        <w:rPr>
          <w:rFonts w:ascii="Arial" w:cs="Arial" w:eastAsia="Arial" w:hAnsi="Arial"/>
          <w:sz w:val="22"/>
          <w:szCs w:val="22"/>
          <w:color w:val="auto"/>
        </w:rPr>
        <w:t>. The Conversion Price shall be subject to adjustment from time to time as follows: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3" w:name="page134"/>
    <w:bookmarkEnd w:id="133"/>
    <w:p>
      <w:pPr>
        <w:ind w:right="40" w:firstLine="648"/>
        <w:spacing w:after="0" w:line="244" w:lineRule="auto"/>
        <w:tabs>
          <w:tab w:leader="none" w:pos="133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82" w:lineRule="exact"/>
        <w:rPr>
          <w:rFonts w:ascii="Arial" w:cs="Arial" w:eastAsia="Arial" w:hAnsi="Arial"/>
          <w:sz w:val="21"/>
          <w:szCs w:val="21"/>
          <w:color w:val="auto"/>
        </w:rPr>
      </w:pPr>
    </w:p>
    <w:p>
      <w:pPr>
        <w:ind w:right="100" w:firstLine="648"/>
        <w:spacing w:after="0" w:line="272" w:lineRule="auto"/>
        <w:tabs>
          <w:tab w:leader="none" w:pos="133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182" w:lineRule="exact"/>
        <w:rPr>
          <w:sz w:val="20"/>
          <w:szCs w:val="20"/>
          <w:color w:val="auto"/>
        </w:rPr>
      </w:pPr>
    </w:p>
    <w:p>
      <w:pPr>
        <w:ind w:right="120" w:firstLine="648"/>
        <w:spacing w:after="0" w:line="251" w:lineRule="auto"/>
        <w:tabs>
          <w:tab w:leader="none" w:pos="133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case outstanding shares of Common Stock of the Company shall be subdivided into a greater number of shares of Common Stock, the Conversion Price in</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00" w:top="361" w:right="779" w:bottom="1440" w:gutter="0" w:footer="0" w:header="0"/>
        </w:sectPr>
      </w:pPr>
    </w:p>
    <w:bookmarkStart w:id="134" w:name="page135"/>
    <w:bookmarkEnd w:id="134"/>
    <w:p>
      <w:pPr>
        <w:ind w:right="80"/>
        <w:spacing w:after="0" w:line="234" w:lineRule="auto"/>
        <w:rPr>
          <w:sz w:val="20"/>
          <w:szCs w:val="20"/>
          <w:color w:val="auto"/>
        </w:rPr>
      </w:pPr>
      <w:r>
        <w:rPr>
          <w:rFonts w:ascii="Arial" w:cs="Arial" w:eastAsia="Arial" w:hAnsi="Arial"/>
          <w:sz w:val="22"/>
          <w:szCs w:val="22"/>
          <w:color w:val="auto"/>
        </w:rPr>
        <w:t>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91" w:lineRule="exact"/>
        <w:rPr>
          <w:sz w:val="20"/>
          <w:szCs w:val="20"/>
          <w:color w:val="auto"/>
        </w:rPr>
      </w:pPr>
    </w:p>
    <w:p>
      <w:pPr>
        <w:ind w:right="20" w:firstLine="648"/>
        <w:spacing w:after="0" w:line="273" w:lineRule="auto"/>
        <w:tabs>
          <w:tab w:leader="none" w:pos="1333" w:val="left"/>
        </w:tabs>
        <w:numPr>
          <w:ilvl w:val="1"/>
          <w:numId w:val="119"/>
        </w:numPr>
        <w:rPr>
          <w:rFonts w:ascii="Arial" w:cs="Arial" w:eastAsia="Arial" w:hAnsi="Arial"/>
          <w:sz w:val="19"/>
          <w:szCs w:val="19"/>
          <w:color w:val="auto"/>
        </w:rPr>
      </w:pPr>
      <w:r>
        <w:rPr>
          <w:rFonts w:ascii="Arial" w:cs="Arial" w:eastAsia="Arial" w:hAnsi="Arial"/>
          <w:sz w:val="19"/>
          <w:szCs w:val="19"/>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w:t>
      </w:r>
    </w:p>
    <w:p>
      <w:pPr>
        <w:spacing w:after="0" w:line="1" w:lineRule="exact"/>
        <w:rPr>
          <w:rFonts w:ascii="Arial" w:cs="Arial" w:eastAsia="Arial" w:hAnsi="Arial"/>
          <w:sz w:val="19"/>
          <w:szCs w:val="19"/>
          <w:color w:val="auto"/>
        </w:rPr>
      </w:pPr>
    </w:p>
    <w:p>
      <w:pPr>
        <w:ind w:right="60"/>
        <w:spacing w:after="0" w:line="269" w:lineRule="auto"/>
        <w:tabs>
          <w:tab w:leader="none" w:pos="30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79" w:lineRule="exact"/>
        <w:rPr>
          <w:sz w:val="20"/>
          <w:szCs w:val="20"/>
          <w:color w:val="auto"/>
        </w:rPr>
      </w:pPr>
    </w:p>
    <w:p>
      <w:pPr>
        <w:ind w:firstLine="648"/>
        <w:spacing w:after="0" w:line="248" w:lineRule="auto"/>
        <w:tabs>
          <w:tab w:leader="none" w:pos="133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61" w:right="73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color w:val="auto"/>
        </w:rPr>
        <w:t>appropriate with respect to transactions in which holders of Common Stock have the right to participate.</w:t>
      </w:r>
    </w:p>
    <w:p>
      <w:pPr>
        <w:spacing w:after="0" w:line="218" w:lineRule="exact"/>
        <w:rPr>
          <w:sz w:val="20"/>
          <w:szCs w:val="20"/>
          <w:color w:val="auto"/>
        </w:rPr>
      </w:pPr>
    </w:p>
    <w:p>
      <w:pPr>
        <w:ind w:right="20" w:firstLine="648"/>
        <w:spacing w:after="0" w:line="271" w:lineRule="auto"/>
        <w:tabs>
          <w:tab w:leader="none" w:pos="13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61" w:lineRule="exact"/>
        <w:rPr>
          <w:rFonts w:ascii="Arial" w:cs="Arial" w:eastAsia="Arial" w:hAnsi="Arial"/>
          <w:sz w:val="19"/>
          <w:szCs w:val="19"/>
          <w:color w:val="auto"/>
        </w:rPr>
      </w:pPr>
    </w:p>
    <w:p>
      <w:pPr>
        <w:ind w:right="120" w:firstLine="648"/>
        <w:spacing w:after="0" w:line="287" w:lineRule="auto"/>
        <w:tabs>
          <w:tab w:leader="none" w:pos="13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43" w:lineRule="exact"/>
        <w:rPr>
          <w:rFonts w:ascii="Arial" w:cs="Arial" w:eastAsia="Arial" w:hAnsi="Arial"/>
          <w:sz w:val="19"/>
          <w:szCs w:val="19"/>
          <w:color w:val="auto"/>
        </w:rPr>
      </w:pPr>
    </w:p>
    <w:p>
      <w:pPr>
        <w:ind w:firstLine="648"/>
        <w:spacing w:after="0" w:line="282" w:lineRule="auto"/>
        <w:tabs>
          <w:tab w:leader="none" w:pos="13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 adjustment in the Conversion Price shall be required unless such adjustment would require an increase or decrease of at least 1% in the Conversion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47" w:lineRule="exact"/>
        <w:rPr>
          <w:rFonts w:ascii="Arial" w:cs="Arial" w:eastAsia="Arial" w:hAnsi="Arial"/>
          <w:sz w:val="19"/>
          <w:szCs w:val="19"/>
          <w:color w:val="auto"/>
        </w:rPr>
      </w:pPr>
    </w:p>
    <w:p>
      <w:pPr>
        <w:ind w:right="280" w:firstLine="648"/>
        <w:spacing w:after="0" w:line="234" w:lineRule="auto"/>
        <w:tabs>
          <w:tab w:leader="none" w:pos="133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187" w:lineRule="exact"/>
        <w:rPr>
          <w:rFonts w:ascii="Arial" w:cs="Arial" w:eastAsia="Arial" w:hAnsi="Arial"/>
          <w:sz w:val="22"/>
          <w:szCs w:val="22"/>
          <w:color w:val="auto"/>
        </w:rPr>
      </w:pPr>
    </w:p>
    <w:p>
      <w:pPr>
        <w:jc w:val="both"/>
        <w:ind w:firstLine="648"/>
        <w:spacing w:after="0"/>
        <w:tabs>
          <w:tab w:leader="none" w:pos="133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1604, no adjustment to the Conversion Price shall reduce the Conversion Price below the then par value per share of the Common Stock of the Company, and any such purported adjustment shall</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40"/>
          </w:cols>
          <w:pgMar w:left="1400" w:top="361" w:right="759" w:bottom="1440" w:gutter="0" w:footer="0" w:header="0"/>
        </w:sectPr>
      </w:pPr>
    </w:p>
    <w:bookmarkStart w:id="136" w:name="page137"/>
    <w:bookmarkEnd w:id="136"/>
    <w:p>
      <w:pPr>
        <w:ind w:left="640" w:right="220"/>
        <w:spacing w:after="0" w:line="297" w:lineRule="auto"/>
        <w:rPr>
          <w:sz w:val="20"/>
          <w:szCs w:val="20"/>
          <w:color w:val="auto"/>
        </w:rPr>
      </w:pPr>
      <w:r>
        <w:rPr>
          <w:rFonts w:ascii="Arial" w:cs="Arial" w:eastAsia="Arial" w:hAnsi="Arial"/>
          <w:sz w:val="19"/>
          <w:szCs w:val="19"/>
          <w:color w:val="auto"/>
        </w:rPr>
        <w:t>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34" w:lineRule="exact"/>
        <w:rPr>
          <w:sz w:val="20"/>
          <w:szCs w:val="20"/>
          <w:color w:val="auto"/>
        </w:rPr>
      </w:pPr>
    </w:p>
    <w:p>
      <w:pPr>
        <w:ind w:left="640" w:right="40" w:firstLine="648"/>
        <w:spacing w:after="0" w:line="272" w:lineRule="auto"/>
        <w:tabs>
          <w:tab w:leader="none" w:pos="196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1605. </w:t>
      </w:r>
      <w:r>
        <w:rPr>
          <w:rFonts w:ascii="Arial" w:cs="Arial" w:eastAsia="Arial" w:hAnsi="Arial"/>
          <w:sz w:val="22"/>
          <w:szCs w:val="22"/>
          <w:u w:val="single" w:color="auto"/>
          <w:color w:val="auto"/>
        </w:rPr>
        <w:t>Notice of Adjustments of Conversion Price</w:t>
      </w:r>
      <w:r>
        <w:rPr>
          <w:rFonts w:ascii="Arial" w:cs="Arial" w:eastAsia="Arial" w:hAnsi="Arial"/>
          <w:sz w:val="22"/>
          <w:szCs w:val="22"/>
          <w:color w:val="auto"/>
        </w:rPr>
        <w:t>. Whenever the Conversion Price is adjusted as herein provided:</w:t>
      </w:r>
    </w:p>
    <w:p>
      <w:pPr>
        <w:spacing w:after="0" w:line="173" w:lineRule="exact"/>
        <w:rPr>
          <w:sz w:val="20"/>
          <w:szCs w:val="20"/>
          <w:color w:val="auto"/>
        </w:rPr>
      </w:pPr>
    </w:p>
    <w:p>
      <w:pPr>
        <w:ind w:left="640" w:right="120" w:firstLine="648"/>
        <w:spacing w:after="0" w:line="236" w:lineRule="auto"/>
        <w:tabs>
          <w:tab w:leader="none" w:pos="197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7" w:lineRule="exact"/>
        <w:rPr>
          <w:rFonts w:ascii="Arial" w:cs="Arial" w:eastAsia="Arial" w:hAnsi="Arial"/>
          <w:sz w:val="22"/>
          <w:szCs w:val="22"/>
          <w:color w:val="auto"/>
        </w:rPr>
      </w:pPr>
    </w:p>
    <w:p>
      <w:pPr>
        <w:ind w:left="640" w:right="140" w:firstLine="648"/>
        <w:spacing w:after="0" w:line="297" w:lineRule="auto"/>
        <w:tabs>
          <w:tab w:leader="none" w:pos="197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34"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1606.</w:t>
      </w:r>
      <w:r>
        <w:rPr>
          <w:sz w:val="20"/>
          <w:szCs w:val="20"/>
          <w:color w:val="auto"/>
        </w:rPr>
        <w:tab/>
      </w:r>
      <w:r>
        <w:rPr>
          <w:rFonts w:ascii="Arial" w:cs="Arial" w:eastAsia="Arial" w:hAnsi="Arial"/>
          <w:sz w:val="19"/>
          <w:szCs w:val="19"/>
          <w:u w:val="single" w:color="auto"/>
          <w:color w:val="auto"/>
        </w:rPr>
        <w:t>Notice of Certain Corporate Action</w:t>
      </w:r>
      <w:r>
        <w:rPr>
          <w:rFonts w:ascii="Arial" w:cs="Arial" w:eastAsia="Arial" w:hAnsi="Arial"/>
          <w:sz w:val="19"/>
          <w:szCs w:val="19"/>
          <w:color w:val="auto"/>
        </w:rPr>
        <w:t>. In case:</w:t>
      </w:r>
    </w:p>
    <w:p>
      <w:pPr>
        <w:spacing w:after="0" w:line="206" w:lineRule="exact"/>
        <w:rPr>
          <w:sz w:val="20"/>
          <w:szCs w:val="20"/>
          <w:color w:val="auto"/>
        </w:rPr>
      </w:pPr>
    </w:p>
    <w:p>
      <w:pPr>
        <w:ind w:left="640" w:right="60" w:firstLine="648"/>
        <w:spacing w:after="0" w:line="251" w:lineRule="auto"/>
        <w:tabs>
          <w:tab w:leader="none" w:pos="197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Company shall take any action that would require a Conversion Price adjustment pursuant to Section 1604 or Section 1611; or</w:t>
      </w:r>
    </w:p>
    <w:p>
      <w:pPr>
        <w:spacing w:after="0" w:line="173" w:lineRule="exact"/>
        <w:rPr>
          <w:rFonts w:ascii="Arial" w:cs="Arial" w:eastAsia="Arial" w:hAnsi="Arial"/>
          <w:sz w:val="22"/>
          <w:szCs w:val="22"/>
          <w:color w:val="auto"/>
        </w:rPr>
      </w:pPr>
    </w:p>
    <w:p>
      <w:pPr>
        <w:ind w:left="640" w:right="520" w:firstLine="648"/>
        <w:spacing w:after="0" w:line="287" w:lineRule="auto"/>
        <w:tabs>
          <w:tab w:leader="none" w:pos="197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7" w:name="page138"/>
    <w:bookmarkEnd w:id="137"/>
    <w:p>
      <w:pPr>
        <w:ind w:left="640" w:firstLine="648"/>
        <w:spacing w:after="0" w:line="272" w:lineRule="auto"/>
        <w:tabs>
          <w:tab w:leader="none" w:pos="197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62" w:lineRule="exact"/>
        <w:rPr>
          <w:sz w:val="20"/>
          <w:szCs w:val="20"/>
          <w:color w:val="auto"/>
        </w:rPr>
      </w:pPr>
    </w:p>
    <w:p>
      <w:pPr>
        <w:jc w:val="both"/>
        <w:ind w:right="260" w:firstLine="648"/>
        <w:spacing w:after="0" w:line="238" w:lineRule="auto"/>
        <w:rPr>
          <w:sz w:val="20"/>
          <w:szCs w:val="20"/>
          <w:color w:val="auto"/>
        </w:rPr>
      </w:pPr>
      <w:r>
        <w:rPr>
          <w:rFonts w:ascii="Arial" w:cs="Arial" w:eastAsia="Arial" w:hAnsi="Arial"/>
          <w:sz w:val="22"/>
          <w:szCs w:val="22"/>
          <w:color w:val="auto"/>
        </w:rPr>
        <w:t xml:space="preserve">SECTION 1607. </w:t>
      </w:r>
      <w:r>
        <w:rPr>
          <w:rFonts w:ascii="Arial" w:cs="Arial" w:eastAsia="Arial" w:hAnsi="Arial"/>
          <w:sz w:val="22"/>
          <w:szCs w:val="22"/>
          <w:u w:val="single" w:color="auto"/>
          <w:color w:val="auto"/>
        </w:rPr>
        <w:t>Company to Reserve Common Stock</w:t>
      </w:r>
      <w:r>
        <w:rPr>
          <w:rFonts w:ascii="Arial" w:cs="Arial" w:eastAsia="Arial" w:hAnsi="Arial"/>
          <w:sz w:val="22"/>
          <w:szCs w:val="22"/>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1608. </w:t>
      </w:r>
      <w:r>
        <w:rPr>
          <w:rFonts w:ascii="Arial" w:cs="Arial" w:eastAsia="Arial" w:hAnsi="Arial"/>
          <w:sz w:val="19"/>
          <w:szCs w:val="19"/>
          <w:u w:val="single" w:color="auto"/>
          <w:color w:val="auto"/>
        </w:rPr>
        <w:t>Taxes on Conversion</w:t>
      </w:r>
      <w:r>
        <w:rPr>
          <w:rFonts w:ascii="Arial" w:cs="Arial" w:eastAsia="Arial" w:hAnsi="Arial"/>
          <w:sz w:val="19"/>
          <w:szCs w:val="19"/>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51"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SECTION 1609. </w:t>
      </w:r>
      <w:r>
        <w:rPr>
          <w:rFonts w:ascii="Arial" w:cs="Arial" w:eastAsia="Arial" w:hAnsi="Arial"/>
          <w:sz w:val="22"/>
          <w:szCs w:val="22"/>
          <w:u w:val="single" w:color="auto"/>
          <w:color w:val="auto"/>
        </w:rPr>
        <w:t>Covenants as to Common Stock</w:t>
      </w:r>
      <w:r>
        <w:rPr>
          <w:rFonts w:ascii="Arial" w:cs="Arial" w:eastAsia="Arial" w:hAnsi="Arial"/>
          <w:sz w:val="22"/>
          <w:szCs w:val="22"/>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5"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u w:val="single" w:color="auto"/>
          <w:color w:val="auto"/>
        </w:rPr>
        <w:t>Cancellation of Converted Securities</w:t>
      </w:r>
      <w:r>
        <w:rPr>
          <w:rFonts w:ascii="Arial" w:cs="Arial" w:eastAsia="Arial" w:hAnsi="Arial"/>
          <w:sz w:val="22"/>
          <w:szCs w:val="22"/>
          <w:color w:val="auto"/>
        </w:rPr>
        <w:t>. All Securities delivered for conversion shall be delivered to the Trustee to be cancelled by or at the direction of the Trustee, which shall dispose of the same as provided in Section 309.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8" w:name="page139"/>
    <w:bookmarkEnd w:id="138"/>
    <w:p>
      <w:pPr>
        <w:ind w:firstLine="648"/>
        <w:spacing w:after="0" w:line="270"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u w:val="single" w:color="auto"/>
          <w:color w:val="auto"/>
        </w:rPr>
        <w:t>Provisions in Case of Consolidation, Merger or Sale of Assets; Special Distributions</w:t>
      </w:r>
      <w:r>
        <w:rPr>
          <w:rFonts w:ascii="Arial" w:cs="Arial" w:eastAsia="Arial" w:hAnsi="Arial"/>
          <w:sz w:val="19"/>
          <w:szCs w:val="19"/>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70" w:lineRule="exact"/>
        <w:rPr>
          <w:sz w:val="20"/>
          <w:szCs w:val="20"/>
          <w:color w:val="auto"/>
        </w:rPr>
      </w:pPr>
    </w:p>
    <w:p>
      <w:pPr>
        <w:jc w:val="both"/>
        <w:ind w:left="640" w:right="80" w:firstLine="648"/>
        <w:spacing w:after="0" w:line="273" w:lineRule="auto"/>
        <w:tabs>
          <w:tab w:leader="none" w:pos="197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w:t>
      </w:r>
    </w:p>
    <w:p>
      <w:pPr>
        <w:spacing w:after="0" w:line="1" w:lineRule="exact"/>
        <w:rPr>
          <w:rFonts w:ascii="Arial" w:cs="Arial" w:eastAsia="Arial" w:hAnsi="Arial"/>
          <w:sz w:val="19"/>
          <w:szCs w:val="19"/>
          <w:color w:val="auto"/>
        </w:rPr>
      </w:pPr>
    </w:p>
    <w:p>
      <w:pPr>
        <w:ind w:left="940" w:hanging="300"/>
        <w:spacing w:after="0"/>
        <w:tabs>
          <w:tab w:leader="none" w:pos="9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 Affiliate of a Constituent Person; and</w:t>
      </w:r>
    </w:p>
    <w:p>
      <w:pPr>
        <w:spacing w:after="0" w:line="188" w:lineRule="exact"/>
        <w:rPr>
          <w:rFonts w:ascii="Arial" w:cs="Arial" w:eastAsia="Arial" w:hAnsi="Arial"/>
          <w:sz w:val="22"/>
          <w:szCs w:val="22"/>
          <w:color w:val="auto"/>
        </w:rPr>
      </w:pPr>
    </w:p>
    <w:p>
      <w:pPr>
        <w:ind w:left="640" w:right="100" w:firstLine="648"/>
        <w:spacing w:after="0" w:line="277" w:lineRule="auto"/>
        <w:tabs>
          <w:tab w:leader="none" w:pos="197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53"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361" w:right="81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of this Section 1611 shall similarly apply to successive consolidations, mergers, sales, transfers or leases.</w:t>
      </w:r>
    </w:p>
    <w:p>
      <w:pPr>
        <w:spacing w:after="0" w:line="206"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1612. </w:t>
      </w:r>
      <w:r>
        <w:rPr>
          <w:rFonts w:ascii="Arial" w:cs="Arial" w:eastAsia="Arial" w:hAnsi="Arial"/>
          <w:sz w:val="19"/>
          <w:szCs w:val="19"/>
          <w:u w:val="single" w:color="auto"/>
          <w:color w:val="auto"/>
        </w:rPr>
        <w:t>Trustee Adjustment Disclaimer; Company Determination Final</w:t>
      </w:r>
      <w:r>
        <w:rPr>
          <w:rFonts w:ascii="Arial" w:cs="Arial" w:eastAsia="Arial" w:hAnsi="Arial"/>
          <w:sz w:val="19"/>
          <w:szCs w:val="19"/>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53"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When No Adjustment Required</w:t>
      </w:r>
      <w:r>
        <w:rPr>
          <w:rFonts w:ascii="Arial" w:cs="Arial" w:eastAsia="Arial" w:hAnsi="Arial"/>
          <w:sz w:val="21"/>
          <w:szCs w:val="21"/>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79" w:lineRule="exact"/>
        <w:rPr>
          <w:sz w:val="20"/>
          <w:szCs w:val="20"/>
          <w:color w:val="auto"/>
        </w:rPr>
      </w:pPr>
    </w:p>
    <w:p>
      <w:pPr>
        <w:jc w:val="both"/>
        <w:ind w:left="640" w:right="100" w:firstLine="648"/>
        <w:spacing w:after="0" w:line="236" w:lineRule="auto"/>
        <w:tabs>
          <w:tab w:leader="none" w:pos="197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8"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 xml:space="preserve">SECTION 1614. </w:t>
      </w:r>
      <w:r>
        <w:rPr>
          <w:rFonts w:ascii="Arial" w:cs="Arial" w:eastAsia="Arial" w:hAnsi="Arial"/>
          <w:sz w:val="22"/>
          <w:szCs w:val="22"/>
          <w:u w:val="single" w:color="auto"/>
          <w:color w:val="auto"/>
        </w:rPr>
        <w:t>Equivalent Adjustments</w:t>
      </w:r>
      <w:r>
        <w:rPr>
          <w:rFonts w:ascii="Arial" w:cs="Arial" w:eastAsia="Arial" w:hAnsi="Arial"/>
          <w:sz w:val="22"/>
          <w:szCs w:val="22"/>
          <w:color w:val="auto"/>
        </w:rPr>
        <w:t>. In the event that, as a result of an adjustment made pursuant to Section 1604 above, the holder of any Security thereafter surrendered for conversion shall become entitled to receive any shares of Capital Stock of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40" w:name="page141"/>
    <w:bookmarkEnd w:id="140"/>
    <w:p>
      <w:pPr>
        <w:ind w:firstLine="648"/>
        <w:spacing w:after="0" w:line="297" w:lineRule="auto"/>
        <w:rPr>
          <w:sz w:val="20"/>
          <w:szCs w:val="20"/>
          <w:color w:val="auto"/>
        </w:rPr>
      </w:pPr>
      <w:r>
        <w:rPr>
          <w:rFonts w:ascii="Arial" w:cs="Arial" w:eastAsia="Arial" w:hAnsi="Arial"/>
          <w:sz w:val="19"/>
          <w:szCs w:val="19"/>
          <w:color w:val="auto"/>
        </w:rPr>
        <w:t>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00"/>
          </w:cols>
          <w:pgMar w:left="760" w:top="361" w:right="839" w:bottom="1440" w:gutter="0" w:footer="0" w:header="0"/>
        </w:sectPr>
      </w:pPr>
    </w:p>
    <w:bookmarkStart w:id="141" w:name="page142"/>
    <w:bookmarkEnd w:id="141"/>
    <w:p>
      <w:pPr>
        <w:jc w:val="center"/>
        <w:ind w:right="-339"/>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Indenture to be duly executed all as of the day and year first above written.</w:t>
      </w:r>
    </w:p>
    <w:p>
      <w:pPr>
        <w:spacing w:after="0" w:line="18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-158115</wp:posOffset>
            </wp:positionV>
            <wp:extent cx="28644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-158115</wp:posOffset>
            </wp:positionV>
            <wp:extent cx="28644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60"/>
          </w:cols>
          <w:pgMar w:left="760" w:top="361" w:right="107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FORM OF REDEEMABLE OR NON-REDEEMABLE SENIOR SECURITY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[Face of Security]</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[If the Holder of this Security (as indicated below) is The Depository Trust Company (“DTC”) or a nominee of DTC, this Security is a Global Security and the following two legends apply:</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9"/>
          <w:szCs w:val="19"/>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9"/>
          <w:szCs w:val="19"/>
          <w:color w:val="auto"/>
        </w:rPr>
        <w:t>]</w:t>
      </w:r>
    </w:p>
    <w:p>
      <w:pPr>
        <w:spacing w:after="0" w:line="129" w:lineRule="exact"/>
        <w:rPr>
          <w:sz w:val="20"/>
          <w:szCs w:val="20"/>
          <w:color w:val="auto"/>
        </w:rPr>
      </w:pPr>
    </w:p>
    <w:p>
      <w:pPr>
        <w:jc w:val="both"/>
        <w:ind w:right="360"/>
        <w:spacing w:after="0" w:line="24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this Security is an Original Issue Discount Security,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FOR PURPOSES OF SECTION 1273 and 1275 OF THE UNITED STATES INTERNAL REVENUE CODE, THE AMOUNT OF ORIGINAL ISSUE DISCOUNT ON THIS SECURITY IS ___% OF ITS PRINCIPAL AMOUNT, THE ISSUE DATE IS __________, 20__, AND THE</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YIELD TO MATURITY IS ___%. THE METHOD USED TO DETERMINE THE AMOUNT OF ORIGINAL ISSUE DISCOUNT APPLICABLE TO THE SHORT ACCRUAL PERIOD OF __________, 20__ TO __________, 20__, IS ___% OF THE PRINCIPAL AMOUNT OF THIS SECURITY.]</w:t>
      </w:r>
    </w:p>
    <w:p>
      <w:pPr>
        <w:spacing w:after="0" w:line="18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[Designation of Series]</w:t>
      </w:r>
    </w:p>
    <w:p>
      <w:pPr>
        <w:sectPr>
          <w:pgSz w:w="11900" w:h="16838" w:orient="portrait"/>
          <w:cols w:equalWidth="0" w:num="1">
            <w:col w:w="10400"/>
          </w:cols>
          <w:pgMar w:left="760" w:top="361" w:right="7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200" w:lineRule="exact"/>
        <w:rPr>
          <w:sz w:val="20"/>
          <w:szCs w:val="20"/>
          <w:color w:val="auto"/>
        </w:rPr>
      </w:pPr>
    </w:p>
    <w:p>
      <w:pPr>
        <w:sectPr>
          <w:pgSz w:w="11900" w:h="16838" w:orient="portrait"/>
          <w:cols w:equalWidth="0" w:num="2">
            <w:col w:w="8480" w:space="720"/>
            <w:col w:w="1200"/>
          </w:cols>
          <w:pgMar w:left="760" w:top="361" w:right="7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CUSIP No. __________</w:t>
      </w:r>
    </w:p>
    <w:p>
      <w:pPr>
        <w:spacing w:after="0" w:line="206"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BLUEPRINT MEDICINES CORPORATION, a Delaware corporation (herein referred to as the “Company,” which term includes any successor corporation under the Indenture referred to on the reverse hereof), for value received, hereby promises to pay to __________ or registered assigns the principal sum of __________ Dollars on __________</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color w:val="auto"/>
        </w:rPr>
        <w:t xml:space="preserve">(the “Stated Maturity Date”) [or </w:t>
      </w:r>
      <w:r>
        <w:rPr>
          <w:rFonts w:ascii="Arial" w:cs="Arial" w:eastAsia="Arial" w:hAnsi="Arial"/>
          <w:sz w:val="21"/>
          <w:szCs w:val="21"/>
          <w:u w:val="single" w:color="auto"/>
          <w:color w:val="auto"/>
        </w:rPr>
        <w:t>insert date fixed for earlier redemption</w:t>
      </w:r>
      <w:r>
        <w:rPr>
          <w:rFonts w:ascii="Arial" w:cs="Arial" w:eastAsia="Arial" w:hAnsi="Arial"/>
          <w:sz w:val="21"/>
          <w:szCs w:val="21"/>
          <w:color w:val="auto"/>
        </w:rPr>
        <w:t xml:space="preserve"> (the “Redemption Date,” and together with the Stated Maturity Date with respect to principal repayable on such date, the “Maturity Date.”)]</w:t>
      </w:r>
    </w:p>
    <w:p>
      <w:pPr>
        <w:spacing w:after="0" w:line="169"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to pay interest thereon from __________ 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most recent Interest Payment Date to which interest has been paid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type w:val="continuous"/>
        </w:sectPr>
      </w:pPr>
    </w:p>
    <w:bookmarkStart w:id="143" w:name="page144"/>
    <w:bookmarkEnd w:id="143"/>
    <w:p>
      <w:pPr>
        <w:spacing w:after="0" w:line="219" w:lineRule="exact"/>
        <w:rPr>
          <w:sz w:val="20"/>
          <w:szCs w:val="20"/>
          <w:color w:val="auto"/>
        </w:rPr>
      </w:pPr>
      <w:r>
        <w:rPr>
          <w:rFonts w:ascii="Arial" w:cs="Arial" w:eastAsia="Arial" w:hAnsi="Arial"/>
          <w:sz w:val="19"/>
          <w:szCs w:val="19"/>
          <w:color w:val="auto"/>
        </w:rPr>
        <w:t>duly provided for, semi</w:t>
      </w:r>
      <w:r>
        <w:rPr>
          <w:rFonts w:ascii="MS PGothic" w:cs="MS PGothic" w:eastAsia="MS PGothic" w:hAnsi="MS PGothic"/>
          <w:sz w:val="19"/>
          <w:szCs w:val="19"/>
          <w:color w:val="auto"/>
        </w:rPr>
        <w:t>‑</w:t>
      </w:r>
      <w:r>
        <w:rPr>
          <w:rFonts w:ascii="Arial" w:cs="Arial" w:eastAsia="Arial" w:hAnsi="Arial"/>
          <w:sz w:val="19"/>
          <w:szCs w:val="19"/>
          <w:color w:val="auto"/>
        </w:rPr>
        <w:t>annually on __________ and __________ in each year (each, an “Interest Payment Date”),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commencing __________, at the rate of ___% per annum, until the principal hereof is paid or duly provided for. The</w:t>
      </w:r>
    </w:p>
    <w:p>
      <w:pPr>
        <w:spacing w:after="0" w:line="2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__________ or __________ (whether</w:t>
      </w:r>
    </w:p>
    <w:p>
      <w:pPr>
        <w:spacing w:after="0" w:line="244" w:lineRule="exact"/>
        <w:rPr>
          <w:sz w:val="20"/>
          <w:szCs w:val="20"/>
          <w:color w:val="auto"/>
        </w:rPr>
      </w:pPr>
      <w:r>
        <w:rPr>
          <w:rFonts w:ascii="Arial" w:cs="Arial" w:eastAsia="Arial" w:hAnsi="Arial"/>
          <w:sz w:val="19"/>
          <w:szCs w:val="19"/>
          <w:color w:val="auto"/>
        </w:rPr>
        <w:t xml:space="preserve">or not a Business Day), as the case may be, next preceding such Interest Payment Date [at the office or agency of the Company maintained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of twelve 30</w:t>
      </w:r>
      <w:r>
        <w:rPr>
          <w:rFonts w:ascii="MS PGothic" w:cs="MS PGothic" w:eastAsia="MS PGothic" w:hAnsi="MS PGothic"/>
          <w:sz w:val="19"/>
          <w:szCs w:val="19"/>
          <w:color w:val="auto"/>
        </w:rPr>
        <w:t>‑</w:t>
      </w:r>
      <w:r>
        <w:rPr>
          <w:rFonts w:ascii="Arial" w:cs="Arial" w:eastAsia="Arial" w:hAnsi="Arial"/>
          <w:sz w:val="19"/>
          <w:szCs w:val="19"/>
          <w:color w:val="auto"/>
        </w:rPr>
        <w:t>day months.]</w:t>
      </w:r>
    </w:p>
    <w:p>
      <w:pPr>
        <w:spacing w:after="0" w:line="188"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not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9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 of the United States of America as at the time of payment is legal tender for the payment of public and private debts.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44" w:name="page145"/>
    <w:bookmarkEnd w:id="144"/>
    <w:p>
      <w:pPr>
        <w:spacing w:after="0" w:line="271" w:lineRule="auto"/>
        <w:rPr>
          <w:sz w:val="20"/>
          <w:szCs w:val="20"/>
          <w:color w:val="auto"/>
        </w:rPr>
      </w:pPr>
      <w:r>
        <w:rPr>
          <w:rFonts w:ascii="Arial" w:cs="Arial" w:eastAsia="Arial" w:hAnsi="Arial"/>
          <w:sz w:val="19"/>
          <w:szCs w:val="19"/>
          <w:color w:val="auto"/>
        </w:rPr>
        <w:t>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w:t>
      </w:r>
    </w:p>
    <w:p>
      <w:pPr>
        <w:spacing w:after="0" w:line="4"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be.] “Business Day” means any day, other than a Saturday or Sunday, that is neither a legal holiday nor a day on which banking institutions in The City of New York are required or authorized by law, regulation or executive order to close.</w:t>
      </w:r>
    </w:p>
    <w:p>
      <w:pPr>
        <w:spacing w:after="0" w:line="123" w:lineRule="exact"/>
        <w:rPr>
          <w:sz w:val="20"/>
          <w:szCs w:val="20"/>
          <w:color w:val="auto"/>
        </w:rPr>
      </w:pPr>
    </w:p>
    <w:p>
      <w:pPr>
        <w:ind w:right="160"/>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If this Security is a Global Security, insert</w:t>
      </w:r>
      <w:r>
        <w:rPr>
          <w:rFonts w:ascii="Arial" w:cs="Arial" w:eastAsia="Arial" w:hAnsi="Arial"/>
          <w:sz w:val="21"/>
          <w:szCs w:val="21"/>
          <w:color w:val="auto"/>
        </w:rPr>
        <w:t xml:space="preserve"> </w:t>
      </w:r>
      <w:r>
        <w:rPr>
          <w:rFonts w:ascii="MS PGothic" w:cs="MS PGothic" w:eastAsia="MS PGothic" w:hAnsi="MS PGothic"/>
          <w:sz w:val="21"/>
          <w:szCs w:val="21"/>
          <w:color w:val="auto"/>
        </w:rPr>
        <w:t>‑‑</w:t>
      </w:r>
      <w:r>
        <w:rPr>
          <w:rFonts w:ascii="Arial" w:cs="Arial" w:eastAsia="Arial" w:hAnsi="Arial"/>
          <w:sz w:val="21"/>
          <w:szCs w:val="21"/>
          <w:color w:val="auto"/>
        </w:rPr>
        <w:t xml:space="preserve"> All payments of principal, premium or Make-Whole Amount, if any, and interest in respect of this Security will be made by the Company in immediately available funds.]</w:t>
      </w:r>
    </w:p>
    <w:p>
      <w:pPr>
        <w:spacing w:after="0" w:line="185"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8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IN WITNESS WHEREOF, the Company has caused this instrument to be duly executed under its facsimile corporate seal.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7620</wp:posOffset>
            </wp:positionV>
            <wp:extent cx="2907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2"/>
          <w:szCs w:val="22"/>
          <w:color w:val="auto"/>
        </w:rPr>
        <w:t>Name:</w:t>
      </w:r>
    </w:p>
    <w:p>
      <w:pPr>
        <w:ind w:left="58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32931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color w:val="auto"/>
        </w:rPr>
        <w:t>[Reverse of Security]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20" w:right="120"/>
        <w:spacing w:after="0" w:line="251" w:lineRule="auto"/>
        <w:rPr>
          <w:sz w:val="20"/>
          <w:szCs w:val="20"/>
          <w:color w:val="auto"/>
        </w:rPr>
      </w:pPr>
      <w:r>
        <w:rPr>
          <w:rFonts w:ascii="Arial" w:cs="Arial" w:eastAsia="Arial" w:hAnsi="Arial"/>
          <w:sz w:val="22"/>
          <w:szCs w:val="22"/>
          <w:color w:val="auto"/>
        </w:rPr>
        <w:t>This Security is one of a duly authorized issue of securities of the Company (herein called the “Securities”), issued and to be issued in one or more series under an</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Indenture, dated as of __________, 20__ (herein called the “Indenture”) between the Company and [___________], as</w:t>
      </w:r>
    </w:p>
    <w:p>
      <w:pPr>
        <w:spacing w:after="0" w:line="43" w:lineRule="exact"/>
        <w:rPr>
          <w:sz w:val="20"/>
          <w:szCs w:val="20"/>
          <w:color w:val="auto"/>
        </w:rPr>
      </w:pPr>
    </w:p>
    <w:p>
      <w:pPr>
        <w:ind w:left="20" w:right="120"/>
        <w:spacing w:after="0" w:line="244" w:lineRule="exact"/>
        <w:rPr>
          <w:sz w:val="20"/>
          <w:szCs w:val="20"/>
          <w:color w:val="auto"/>
        </w:rPr>
      </w:pPr>
      <w:r>
        <w:rPr>
          <w:rFonts w:ascii="Arial" w:cs="Arial" w:eastAsia="Arial" w:hAnsi="Arial"/>
          <w:sz w:val="19"/>
          <w:szCs w:val="19"/>
          <w:color w:val="auto"/>
        </w:rPr>
        <w:t>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the aggregate principal amount of the Securities to be issued under such series is limited to $__________ (except for Securities authenticated and delivered upon transfer of,</w:t>
      </w:r>
    </w:p>
    <w:p>
      <w:pPr>
        <w:ind w:left="20" w:right="360"/>
        <w:spacing w:after="0" w:line="237" w:lineRule="auto"/>
        <w:rPr>
          <w:sz w:val="20"/>
          <w:szCs w:val="20"/>
          <w:color w:val="auto"/>
        </w:rPr>
      </w:pPr>
      <w:r>
        <w:rPr>
          <w:rFonts w:ascii="Arial" w:cs="Arial" w:eastAsia="Arial" w:hAnsi="Arial"/>
          <w:sz w:val="22"/>
          <w:szCs w:val="22"/>
          <w:color w:val="auto"/>
        </w:rPr>
        <w:t>or in exchange for, or in lieu of other Securities).] All terms used in this Security which are defined in the Indenture shall have the meanings assigned to them in the Indenture.</w:t>
      </w:r>
    </w:p>
    <w:p>
      <w:pPr>
        <w:spacing w:after="0" w:line="185" w:lineRule="exact"/>
        <w:rPr>
          <w:sz w:val="20"/>
          <w:szCs w:val="20"/>
          <w:color w:val="auto"/>
        </w:rPr>
      </w:pPr>
    </w:p>
    <w:p>
      <w:pPr>
        <w:ind w:left="20" w:right="200"/>
        <w:spacing w:after="0" w:line="328" w:lineRule="auto"/>
        <w:rPr>
          <w:sz w:val="20"/>
          <w:szCs w:val="20"/>
          <w:color w:val="auto"/>
        </w:rPr>
      </w:pPr>
      <w:r>
        <w:rPr>
          <w:rFonts w:ascii="Arial" w:cs="Arial" w:eastAsia="Arial" w:hAnsi="Arial"/>
          <w:sz w:val="19"/>
          <w:szCs w:val="19"/>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05" w:lineRule="exact"/>
        <w:rPr>
          <w:sz w:val="20"/>
          <w:szCs w:val="20"/>
          <w:color w:val="auto"/>
        </w:rPr>
      </w:pPr>
    </w:p>
    <w:p>
      <w:pPr>
        <w:ind w:left="2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may not be redeemed prior to the Stated Maturity Date.]</w:t>
      </w:r>
    </w:p>
    <w:p>
      <w:pPr>
        <w:spacing w:after="0" w:line="206" w:lineRule="exact"/>
        <w:rPr>
          <w:sz w:val="20"/>
          <w:szCs w:val="20"/>
          <w:color w:val="auto"/>
        </w:rPr>
      </w:pPr>
    </w:p>
    <w:p>
      <w:pPr>
        <w:ind w:left="2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 (l)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on __________ in any year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commencing with the year __________ and ending with the year __________ through operation of the sinking fund for</w:t>
      </w:r>
    </w:p>
    <w:p>
      <w:pPr>
        <w:spacing w:after="0" w:line="25" w:lineRule="exact"/>
        <w:rPr>
          <w:sz w:val="20"/>
          <w:szCs w:val="20"/>
          <w:color w:val="auto"/>
        </w:rPr>
      </w:pPr>
    </w:p>
    <w:p>
      <w:pPr>
        <w:ind w:left="20" w:right="280"/>
        <w:spacing w:after="0" w:line="247" w:lineRule="exact"/>
        <w:rPr>
          <w:sz w:val="20"/>
          <w:szCs w:val="20"/>
          <w:color w:val="auto"/>
        </w:rPr>
      </w:pPr>
      <w:r>
        <w:rPr>
          <w:rFonts w:ascii="Arial" w:cs="Arial" w:eastAsia="Arial" w:hAnsi="Arial"/>
          <w:sz w:val="22"/>
          <w:szCs w:val="22"/>
          <w:color w:val="auto"/>
        </w:rPr>
        <w:t>this series at a Redemption Price equal to 100% of the principal amount, and (2) ]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at any time [on or after __________], as a whole or in part, at the election of the Company, at the following Redemption Prices (expressed as percentages of the principal amount):</w:t>
      </w:r>
    </w:p>
    <w:p>
      <w:pPr>
        <w:spacing w:after="0" w:line="187" w:lineRule="exact"/>
        <w:rPr>
          <w:sz w:val="20"/>
          <w:szCs w:val="20"/>
          <w:color w:val="auto"/>
        </w:rPr>
      </w:pPr>
    </w:p>
    <w:p>
      <w:pPr>
        <w:ind w:left="20"/>
        <w:spacing w:after="0" w:line="219" w:lineRule="exact"/>
        <w:rPr>
          <w:sz w:val="20"/>
          <w:szCs w:val="20"/>
          <w:color w:val="auto"/>
        </w:rPr>
      </w:pPr>
      <w:r>
        <w:rPr>
          <w:rFonts w:ascii="Arial" w:cs="Arial" w:eastAsia="Arial" w:hAnsi="Arial"/>
          <w:sz w:val="19"/>
          <w:szCs w:val="19"/>
          <w:color w:val="auto"/>
        </w:rPr>
        <w:t>If redeemed on or before __________, ___% and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 __________ of the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years indicated at the Redemption Prices indicated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Year</w:t>
            </w:r>
          </w:p>
        </w:tc>
        <w:tc>
          <w:tcPr>
            <w:tcW w:w="3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Redemption Price</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Year</w:t>
            </w:r>
          </w:p>
        </w:tc>
        <w:tc>
          <w:tcPr>
            <w:tcW w:w="3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Redemption Price</w:t>
            </w:r>
          </w:p>
        </w:tc>
      </w:tr>
      <w:tr>
        <w:trPr>
          <w:trHeight w:val="185"/>
        </w:trPr>
        <w:tc>
          <w:tcPr>
            <w:tcW w:w="1460" w:type="dxa"/>
            <w:vAlign w:val="bottom"/>
            <w:tcBorders>
              <w:left w:val="single" w:sz="8" w:color="auto"/>
              <w:bottom w:val="single" w:sz="8" w:color="auto"/>
              <w:right w:val="single" w:sz="8" w:color="auto"/>
            </w:tcBorders>
          </w:tcPr>
          <w:p>
            <w:pPr>
              <w:spacing w:after="0"/>
              <w:rPr>
                <w:sz w:val="16"/>
                <w:szCs w:val="16"/>
                <w:color w:val="auto"/>
              </w:rPr>
            </w:pPr>
          </w:p>
        </w:tc>
        <w:tc>
          <w:tcPr>
            <w:tcW w:w="37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spacing w:after="0"/>
              <w:rPr>
                <w:sz w:val="16"/>
                <w:szCs w:val="16"/>
                <w:color w:val="auto"/>
              </w:rPr>
            </w:pPr>
          </w:p>
        </w:tc>
      </w:tr>
      <w:tr>
        <w:trPr>
          <w:trHeight w:val="453"/>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left="20" w:right="40"/>
        <w:spacing w:after="0" w:line="249" w:lineRule="exact"/>
        <w:rPr>
          <w:sz w:val="20"/>
          <w:szCs w:val="20"/>
          <w:color w:val="auto"/>
        </w:rPr>
      </w:pPr>
      <w:r>
        <w:rPr>
          <w:rFonts w:ascii="Arial" w:cs="Arial" w:eastAsia="Arial" w:hAnsi="Arial"/>
          <w:sz w:val="22"/>
          <w:szCs w:val="22"/>
          <w:color w:val="auto"/>
        </w:rPr>
        <w:t>and thereafter at a Redemption Price equal to ___% of the principal amount, together in the case of any such redemption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(whether through operation of the sinking fund or otherwise)] with accrued interest to the Redemption Date;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installments of interest on this Security whose Stated Maturity is on or prior to such Redemption Date will be payable to the Holder of this Security, or one or more Predecessor Securities, of record at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61" w:right="739" w:bottom="1440" w:gutter="0" w:footer="0" w:header="0"/>
        </w:sectPr>
      </w:pPr>
    </w:p>
    <w:bookmarkStart w:id="146" w:name="page147"/>
    <w:bookmarkEnd w:id="146"/>
    <w:p>
      <w:pPr>
        <w:ind w:left="20"/>
        <w:spacing w:after="0"/>
        <w:rPr>
          <w:sz w:val="20"/>
          <w:szCs w:val="20"/>
          <w:color w:val="auto"/>
        </w:rPr>
      </w:pPr>
      <w:r>
        <w:rPr>
          <w:rFonts w:ascii="Arial" w:cs="Arial" w:eastAsia="Arial" w:hAnsi="Arial"/>
          <w:sz w:val="21"/>
          <w:szCs w:val="21"/>
          <w:color w:val="auto"/>
        </w:rPr>
        <w:t>close of business on the relevant Record Dates referred to on the face hereof, all as provided in the Indenture.]</w:t>
      </w:r>
    </w:p>
    <w:p>
      <w:pPr>
        <w:spacing w:after="0" w:line="218"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(1) on __________ in any year commencing</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with the year __________ and ending with the year __________ through operation of the sinking fund for this series at</w:t>
      </w:r>
    </w:p>
    <w:p>
      <w:pPr>
        <w:spacing w:after="0" w:line="25" w:lineRule="exact"/>
        <w:rPr>
          <w:sz w:val="20"/>
          <w:szCs w:val="20"/>
          <w:color w:val="auto"/>
        </w:rPr>
      </w:pPr>
    </w:p>
    <w:p>
      <w:pPr>
        <w:ind w:left="20" w:right="160"/>
        <w:spacing w:after="0" w:line="267" w:lineRule="auto"/>
        <w:rPr>
          <w:sz w:val="20"/>
          <w:szCs w:val="20"/>
          <w:color w:val="auto"/>
        </w:rPr>
      </w:pPr>
      <w:r>
        <w:rPr>
          <w:rFonts w:ascii="Arial" w:cs="Arial" w:eastAsia="Arial" w:hAnsi="Arial"/>
          <w:sz w:val="19"/>
          <w:szCs w:val="19"/>
          <w:color w:val="auto"/>
        </w:rPr>
        <w:t>the Redemption Prices for redemption through operation of the sinking fund (expressed as percentages of the principal amount) set forth in the table below, and (2) at any time [on or after __________], as a whole or in part, at the election</w:t>
      </w:r>
    </w:p>
    <w:p>
      <w:pPr>
        <w:ind w:left="20" w:right="80"/>
        <w:spacing w:after="0" w:line="247" w:lineRule="exact"/>
        <w:rPr>
          <w:sz w:val="20"/>
          <w:szCs w:val="20"/>
          <w:color w:val="auto"/>
        </w:rPr>
      </w:pPr>
      <w:r>
        <w:rPr>
          <w:rFonts w:ascii="Arial" w:cs="Arial" w:eastAsia="Arial" w:hAnsi="Arial"/>
          <w:sz w:val="22"/>
          <w:szCs w:val="22"/>
          <w:color w:val="auto"/>
        </w:rPr>
        <w:t>of the Company, at the Redemption Prices for redemption otherwise than through operation of the sinking fund (expressed as percentages of the principal amount) set forth in the table below: If redeemed during the 12</w:t>
      </w:r>
      <w:r>
        <w:rPr>
          <w:rFonts w:ascii="MS PGothic" w:cs="MS PGothic" w:eastAsia="MS PGothic" w:hAnsi="MS PGothic"/>
          <w:sz w:val="22"/>
          <w:szCs w:val="22"/>
          <w:color w:val="auto"/>
        </w:rPr>
        <w:t>‑</w:t>
      </w:r>
      <w:r>
        <w:rPr>
          <w:rFonts w:ascii="Arial" w:cs="Arial" w:eastAsia="Arial" w:hAnsi="Arial"/>
          <w:sz w:val="22"/>
          <w:szCs w:val="22"/>
          <w:color w:val="auto"/>
        </w:rPr>
        <w:t>month period beginning __________ of the years indicated,</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560" w:type="dxa"/>
            <w:vAlign w:val="bottom"/>
            <w:tcBorders>
              <w:top w:val="single" w:sz="8" w:color="auto"/>
              <w:left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3460" w:type="dxa"/>
            <w:vAlign w:val="bottom"/>
            <w:tcBorders>
              <w:top w:val="single" w:sz="8" w:color="auto"/>
              <w:right w:val="single" w:sz="8" w:color="auto"/>
            </w:tcBorders>
            <w:gridSpan w:val="3"/>
          </w:tcPr>
          <w:p>
            <w:pPr>
              <w:jc w:val="center"/>
              <w:spacing w:after="0" w:line="236" w:lineRule="exact"/>
              <w:rPr>
                <w:sz w:val="20"/>
                <w:szCs w:val="20"/>
                <w:color w:val="auto"/>
              </w:rPr>
            </w:pPr>
            <w:r>
              <w:rPr>
                <w:rFonts w:ascii="Arial" w:cs="Arial" w:eastAsia="Arial" w:hAnsi="Arial"/>
                <w:sz w:val="22"/>
                <w:szCs w:val="22"/>
                <w:color w:val="auto"/>
                <w:w w:val="89"/>
              </w:rPr>
              <w:t>Redemption Price for Redemption</w:t>
            </w:r>
          </w:p>
        </w:tc>
      </w:tr>
      <w:tr>
        <w:trPr>
          <w:trHeight w:val="243"/>
        </w:trPr>
        <w:tc>
          <w:tcPr>
            <w:tcW w:w="156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gridSpan w:val="2"/>
          </w:tcPr>
          <w:p>
            <w:pPr>
              <w:jc w:val="center"/>
              <w:spacing w:after="0" w:line="243" w:lineRule="exact"/>
              <w:rPr>
                <w:sz w:val="20"/>
                <w:szCs w:val="20"/>
                <w:color w:val="auto"/>
              </w:rPr>
            </w:pPr>
            <w:r>
              <w:rPr>
                <w:rFonts w:ascii="Arial" w:cs="Arial" w:eastAsia="Arial" w:hAnsi="Arial"/>
                <w:sz w:val="22"/>
                <w:szCs w:val="22"/>
                <w:color w:val="auto"/>
                <w:w w:val="89"/>
              </w:rPr>
              <w:t>Redemption Price for Redemption</w:t>
            </w:r>
          </w:p>
        </w:tc>
        <w:tc>
          <w:tcPr>
            <w:tcW w:w="3460" w:type="dxa"/>
            <w:vAlign w:val="bottom"/>
            <w:tcBorders>
              <w:right w:val="single" w:sz="8" w:color="auto"/>
            </w:tcBorders>
            <w:gridSpan w:val="3"/>
          </w:tcPr>
          <w:p>
            <w:pPr>
              <w:jc w:val="center"/>
              <w:spacing w:after="0" w:line="243" w:lineRule="exact"/>
              <w:rPr>
                <w:sz w:val="20"/>
                <w:szCs w:val="20"/>
                <w:color w:val="auto"/>
              </w:rPr>
            </w:pPr>
            <w:r>
              <w:rPr>
                <w:rFonts w:ascii="Arial" w:cs="Arial" w:eastAsia="Arial" w:hAnsi="Arial"/>
                <w:sz w:val="22"/>
                <w:szCs w:val="22"/>
                <w:color w:val="auto"/>
                <w:w w:val="90"/>
              </w:rPr>
              <w:t>Otherwise Than Through Operation of</w:t>
            </w:r>
          </w:p>
        </w:tc>
      </w:tr>
      <w:tr>
        <w:trPr>
          <w:trHeight w:val="224"/>
        </w:trPr>
        <w:tc>
          <w:tcPr>
            <w:tcW w:w="3500" w:type="dxa"/>
            <w:vAlign w:val="bottom"/>
            <w:tcBorders>
              <w:left w:val="single" w:sz="8" w:color="auto"/>
              <w:right w:val="single" w:sz="8" w:color="auto"/>
            </w:tcBorders>
            <w:gridSpan w:val="3"/>
          </w:tcPr>
          <w:p>
            <w:pPr>
              <w:ind w:left="1560"/>
              <w:spacing w:after="0" w:line="224" w:lineRule="exact"/>
              <w:rPr>
                <w:sz w:val="20"/>
                <w:szCs w:val="20"/>
                <w:color w:val="auto"/>
              </w:rPr>
            </w:pPr>
            <w:r>
              <w:rPr>
                <w:rFonts w:ascii="Arial" w:cs="Arial" w:eastAsia="Arial" w:hAnsi="Arial"/>
                <w:sz w:val="22"/>
                <w:szCs w:val="22"/>
                <w:color w:val="auto"/>
              </w:rPr>
              <w:t>Year</w:t>
            </w:r>
          </w:p>
        </w:tc>
        <w:tc>
          <w:tcPr>
            <w:tcW w:w="3460" w:type="dxa"/>
            <w:vAlign w:val="bottom"/>
            <w:tcBorders>
              <w:right w:val="single" w:sz="8" w:color="auto"/>
            </w:tcBorders>
            <w:gridSpan w:val="2"/>
          </w:tcPr>
          <w:p>
            <w:pPr>
              <w:jc w:val="center"/>
              <w:ind w:right="20"/>
              <w:spacing w:after="0" w:line="224" w:lineRule="exact"/>
              <w:rPr>
                <w:sz w:val="20"/>
                <w:szCs w:val="20"/>
                <w:color w:val="auto"/>
              </w:rPr>
            </w:pPr>
            <w:r>
              <w:rPr>
                <w:rFonts w:ascii="Arial" w:cs="Arial" w:eastAsia="Arial" w:hAnsi="Arial"/>
                <w:sz w:val="22"/>
                <w:szCs w:val="22"/>
                <w:color w:val="auto"/>
                <w:w w:val="90"/>
              </w:rPr>
              <w:t>Through Operation of the Sinking Fund</w:t>
            </w:r>
          </w:p>
        </w:tc>
        <w:tc>
          <w:tcPr>
            <w:tcW w:w="3460" w:type="dxa"/>
            <w:vAlign w:val="bottom"/>
            <w:tcBorders>
              <w:right w:val="single" w:sz="8" w:color="auto"/>
            </w:tcBorders>
            <w:gridSpan w:val="3"/>
          </w:tcPr>
          <w:p>
            <w:pPr>
              <w:jc w:val="center"/>
              <w:spacing w:after="0" w:line="224" w:lineRule="exact"/>
              <w:rPr>
                <w:sz w:val="20"/>
                <w:szCs w:val="20"/>
                <w:color w:val="auto"/>
              </w:rPr>
            </w:pPr>
            <w:r>
              <w:rPr>
                <w:rFonts w:ascii="Arial" w:cs="Arial" w:eastAsia="Arial" w:hAnsi="Arial"/>
                <w:sz w:val="22"/>
                <w:szCs w:val="22"/>
                <w:color w:val="auto"/>
                <w:w w:val="90"/>
              </w:rPr>
              <w:t>the Sinking Fund</w:t>
            </w:r>
          </w:p>
        </w:tc>
      </w:tr>
      <w:tr>
        <w:trPr>
          <w:trHeight w:val="237"/>
        </w:trPr>
        <w:tc>
          <w:tcPr>
            <w:tcW w:w="1560" w:type="dxa"/>
            <w:vAlign w:val="bottom"/>
            <w:tcBorders>
              <w:left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60" w:type="dxa"/>
            <w:vAlign w:val="bottom"/>
            <w:tcBorders>
              <w:top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453"/>
        </w:trPr>
        <w:tc>
          <w:tcPr>
            <w:tcW w:w="156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left="20" w:right="80"/>
        <w:spacing w:after="0" w:line="282" w:lineRule="auto"/>
        <w:rPr>
          <w:sz w:val="20"/>
          <w:szCs w:val="20"/>
          <w:color w:val="auto"/>
        </w:rPr>
      </w:pPr>
      <w:r>
        <w:rPr>
          <w:rFonts w:ascii="Arial" w:cs="Arial" w:eastAsia="Arial" w:hAnsi="Arial"/>
          <w:sz w:val="19"/>
          <w:szCs w:val="19"/>
          <w:color w:val="auto"/>
        </w:rPr>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48"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Notwithstanding the foregoing, the Company may not, prior to __________, redeem any</w:t>
      </w:r>
    </w:p>
    <w:p>
      <w:pPr>
        <w:spacing w:after="0" w:line="43" w:lineRule="exact"/>
        <w:rPr>
          <w:sz w:val="20"/>
          <w:szCs w:val="20"/>
          <w:color w:val="auto"/>
        </w:rPr>
      </w:pPr>
    </w:p>
    <w:p>
      <w:pPr>
        <w:ind w:left="20" w:right="220"/>
        <w:spacing w:after="0" w:line="287" w:lineRule="auto"/>
        <w:rPr>
          <w:sz w:val="20"/>
          <w:szCs w:val="20"/>
          <w:color w:val="auto"/>
        </w:rPr>
      </w:pPr>
      <w:r>
        <w:rPr>
          <w:rFonts w:ascii="Arial" w:cs="Arial" w:eastAsia="Arial" w:hAnsi="Arial"/>
          <w:sz w:val="19"/>
          <w:szCs w:val="19"/>
          <w:color w:val="auto"/>
        </w:rPr>
        <w:t>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44"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sinking fund for the Securities provides for the redemption on __________ in each</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year, beginning with the year __________ and ending with the year __________, of [not less than] $__________]</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1"/>
          <w:szCs w:val="21"/>
          <w:color w:val="auto"/>
        </w:rPr>
        <w:t>[(“mandatory sinking fund”) and not more than $__________] aggregate principal amount of the Securities. [The</w:t>
      </w:r>
    </w:p>
    <w:p>
      <w:pPr>
        <w:spacing w:after="0" w:line="2" w:lineRule="exact"/>
        <w:rPr>
          <w:sz w:val="20"/>
          <w:szCs w:val="20"/>
          <w:color w:val="auto"/>
        </w:rPr>
      </w:pPr>
    </w:p>
    <w:p>
      <w:pPr>
        <w:jc w:val="both"/>
        <w:ind w:left="20" w:right="240"/>
        <w:spacing w:after="0" w:line="234" w:lineRule="auto"/>
        <w:rPr>
          <w:sz w:val="20"/>
          <w:szCs w:val="20"/>
          <w:color w:val="auto"/>
        </w:rPr>
      </w:pPr>
      <w:r>
        <w:rPr>
          <w:rFonts w:ascii="Arial" w:cs="Arial" w:eastAsia="Arial" w:hAnsi="Arial"/>
          <w:sz w:val="22"/>
          <w:szCs w:val="22"/>
          <w:color w:val="auto"/>
        </w:rPr>
        <w:t>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22"/>
          <w:szCs w:val="22"/>
          <w:u w:val="single" w:color="auto"/>
          <w:color w:val="auto"/>
        </w:rPr>
        <w:t>describe order</w:t>
      </w:r>
      <w:r>
        <w:rPr>
          <w:rFonts w:ascii="Arial" w:cs="Arial" w:eastAsia="Arial" w:hAnsi="Arial"/>
          <w:sz w:val="22"/>
          <w:szCs w:val="22"/>
          <w:color w:val="auto"/>
        </w:rPr>
        <w:t>] order in which they become due.]]</w:t>
      </w:r>
    </w:p>
    <w:p>
      <w:pPr>
        <w:spacing w:after="0" w:line="187" w:lineRule="exact"/>
        <w:rPr>
          <w:sz w:val="20"/>
          <w:szCs w:val="20"/>
          <w:color w:val="auto"/>
        </w:rPr>
      </w:pPr>
    </w:p>
    <w:p>
      <w:pPr>
        <w:ind w:left="20" w:right="480" w:firstLine="648"/>
        <w:spacing w:after="0" w:line="251" w:lineRule="auto"/>
        <w:rPr>
          <w:sz w:val="20"/>
          <w:szCs w:val="20"/>
          <w:color w:val="auto"/>
        </w:rPr>
      </w:pPr>
      <w:r>
        <w:rPr>
          <w:rFonts w:ascii="Arial" w:cs="Arial" w:eastAsia="Arial" w:hAnsi="Arial"/>
          <w:sz w:val="22"/>
          <w:szCs w:val="22"/>
          <w:color w:val="auto"/>
        </w:rPr>
        <w:t>Notice of redemption will be given by mail to Holders of Securities, not less than 30 nor more than 60 days prior to the Redemption Date, all as provided in the Indenture.</w:t>
      </w:r>
    </w:p>
    <w:p>
      <w:pPr>
        <w:spacing w:after="0" w:line="173" w:lineRule="exact"/>
        <w:rPr>
          <w:sz w:val="20"/>
          <w:szCs w:val="20"/>
          <w:color w:val="auto"/>
        </w:rPr>
      </w:pPr>
    </w:p>
    <w:p>
      <w:pPr>
        <w:ind w:left="20" w:right="120" w:firstLine="648"/>
        <w:spacing w:after="0" w:line="251" w:lineRule="auto"/>
        <w:rPr>
          <w:sz w:val="20"/>
          <w:szCs w:val="20"/>
          <w:color w:val="auto"/>
        </w:rPr>
      </w:pPr>
      <w:r>
        <w:rPr>
          <w:rFonts w:ascii="Arial" w:cs="Arial" w:eastAsia="Arial" w:hAnsi="Arial"/>
          <w:sz w:val="22"/>
          <w:szCs w:val="22"/>
          <w:color w:val="auto"/>
        </w:rPr>
        <w:t>In the event of redemption of this Security in part only, a new Security or Securities for the unredeemed portion hereof shall be issued in the name of the Holder hereof upon the cancellation 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61" w:right="739" w:bottom="1440" w:gutter="0" w:footer="0" w:header="0"/>
        </w:sectPr>
      </w:pPr>
    </w:p>
    <w:bookmarkStart w:id="147" w:name="page148"/>
    <w:bookmarkEnd w:id="147"/>
    <w:p>
      <w:pPr>
        <w:ind w:right="280" w:firstLine="648"/>
        <w:spacing w:after="0" w:line="251" w:lineRule="auto"/>
        <w:rPr>
          <w:sz w:val="20"/>
          <w:szCs w:val="20"/>
          <w:color w:val="auto"/>
        </w:rPr>
      </w:pPr>
      <w:r>
        <w:rPr>
          <w:rFonts w:ascii="Arial" w:cs="Arial" w:eastAsia="Arial" w:hAnsi="Arial"/>
          <w:sz w:val="22"/>
          <w:szCs w:val="22"/>
          <w:color w:val="auto"/>
        </w:rPr>
        <w:t>[If applicable, insert conversion provisions set forth in any Board Resolution or indenture supplemental to the Indenture.]</w:t>
      </w:r>
    </w:p>
    <w:p>
      <w:pPr>
        <w:spacing w:after="0" w:line="173"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34"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53"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34" w:lineRule="exact"/>
        <w:rPr>
          <w:sz w:val="20"/>
          <w:szCs w:val="20"/>
          <w:color w:val="auto"/>
        </w:rPr>
      </w:pPr>
    </w:p>
    <w:p>
      <w:pPr>
        <w:ind w:right="840" w:firstLine="648"/>
        <w:spacing w:after="0" w:line="251" w:lineRule="auto"/>
        <w:rPr>
          <w:sz w:val="20"/>
          <w:szCs w:val="20"/>
          <w:color w:val="auto"/>
        </w:rPr>
      </w:pPr>
      <w:r>
        <w:rPr>
          <w:rFonts w:ascii="Arial" w:cs="Arial" w:eastAsia="Arial" w:hAnsi="Arial"/>
          <w:sz w:val="22"/>
          <w:szCs w:val="22"/>
          <w:color w:val="auto"/>
        </w:rPr>
        <w:t>The Securities of this series are issuable only in registered form [without coupons] in denominations of $__________ and any integral multiple thereof.</w:t>
      </w:r>
    </w:p>
    <w:p>
      <w:pPr>
        <w:spacing w:after="0" w:line="17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48" w:name="page149"/>
    <w:bookmarkEnd w:id="148"/>
    <w:p>
      <w:pPr>
        <w:ind w:right="120" w:firstLine="648"/>
        <w:spacing w:after="0" w:line="238" w:lineRule="auto"/>
        <w:rPr>
          <w:sz w:val="20"/>
          <w:szCs w:val="20"/>
          <w:color w:val="auto"/>
        </w:rPr>
      </w:pPr>
      <w:r>
        <w:rPr>
          <w:rFonts w:ascii="Arial" w:cs="Arial" w:eastAsia="Arial" w:hAnsi="Arial"/>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91"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The Indenture and the Securities shall be governed by and construed in accordance with the laws of the State of New York applicable to agreements made and to be performed entirely 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49" w:name="page150"/>
    <w:bookmarkEnd w:id="149"/>
    <w:p>
      <w:pPr>
        <w:ind w:left="4669"/>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ind w:left="3849"/>
        <w:spacing w:after="0"/>
        <w:rPr>
          <w:sz w:val="20"/>
          <w:szCs w:val="20"/>
          <w:color w:val="auto"/>
        </w:rPr>
      </w:pPr>
      <w:r>
        <w:rPr>
          <w:rFonts w:ascii="Arial" w:cs="Arial" w:eastAsia="Arial" w:hAnsi="Arial"/>
          <w:sz w:val="22"/>
          <w:szCs w:val="22"/>
          <w:color w:val="auto"/>
        </w:rPr>
        <w:t>FORMS OF CERTIFICATION</w:t>
      </w:r>
    </w:p>
    <w:p>
      <w:pPr>
        <w:spacing w:after="0" w:line="206" w:lineRule="exact"/>
        <w:rPr>
          <w:sz w:val="20"/>
          <w:szCs w:val="20"/>
          <w:color w:val="auto"/>
        </w:rPr>
      </w:pPr>
    </w:p>
    <w:p>
      <w:pPr>
        <w:ind w:left="4589"/>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206" w:lineRule="exact"/>
        <w:rPr>
          <w:sz w:val="20"/>
          <w:szCs w:val="20"/>
          <w:color w:val="auto"/>
        </w:rPr>
      </w:pPr>
    </w:p>
    <w:p>
      <w:pPr>
        <w:ind w:left="169"/>
        <w:spacing w:after="0"/>
        <w:rPr>
          <w:sz w:val="20"/>
          <w:szCs w:val="20"/>
          <w:color w:val="auto"/>
        </w:rPr>
      </w:pPr>
      <w:r>
        <w:rPr>
          <w:rFonts w:ascii="Arial" w:cs="Arial" w:eastAsia="Arial" w:hAnsi="Arial"/>
          <w:sz w:val="19"/>
          <w:szCs w:val="19"/>
          <w:color w:val="auto"/>
        </w:rPr>
        <w:t>FORM OF CERTIFICATE TO BE GIVEN BY PERSON ENTITLED TO RECEIVE BEARER SECURITY OR TO</w:t>
      </w:r>
    </w:p>
    <w:p>
      <w:pPr>
        <w:spacing w:after="0" w:line="43" w:lineRule="exact"/>
        <w:rPr>
          <w:sz w:val="20"/>
          <w:szCs w:val="20"/>
          <w:color w:val="auto"/>
        </w:rPr>
      </w:pPr>
    </w:p>
    <w:p>
      <w:pPr>
        <w:ind w:left="2089"/>
        <w:spacing w:after="0"/>
        <w:rPr>
          <w:sz w:val="20"/>
          <w:szCs w:val="20"/>
          <w:color w:val="auto"/>
        </w:rPr>
      </w:pPr>
      <w:r>
        <w:rPr>
          <w:rFonts w:ascii="Arial" w:cs="Arial" w:eastAsia="Arial" w:hAnsi="Arial"/>
          <w:sz w:val="22"/>
          <w:szCs w:val="22"/>
          <w:color w:val="auto"/>
        </w:rPr>
        <w:t>OBTAIN INTEREST PAYABLE PRIOR TO THE EXCHANGE DATE</w:t>
      </w:r>
    </w:p>
    <w:p>
      <w:pPr>
        <w:spacing w:after="0" w:line="188" w:lineRule="exact"/>
        <w:rPr>
          <w:sz w:val="20"/>
          <w:szCs w:val="20"/>
          <w:color w:val="auto"/>
        </w:rPr>
      </w:pPr>
    </w:p>
    <w:p>
      <w:pPr>
        <w:ind w:left="4529"/>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49"/>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left="9" w:firstLine="648"/>
        <w:spacing w:after="0" w:line="247" w:lineRule="exact"/>
        <w:rPr>
          <w:sz w:val="20"/>
          <w:szCs w:val="20"/>
          <w:color w:val="auto"/>
        </w:rPr>
      </w:pPr>
      <w:r>
        <w:rPr>
          <w:rFonts w:ascii="Arial" w:cs="Arial" w:eastAsia="Arial" w:hAnsi="Arial"/>
          <w:sz w:val="19"/>
          <w:szCs w:val="19"/>
          <w:color w:val="auto"/>
        </w:rPr>
        <w:t>This is to certify that, as of the date hereof, and except as set forth below,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4" w:lineRule="exact"/>
        <w:rPr>
          <w:sz w:val="20"/>
          <w:szCs w:val="20"/>
          <w:color w:val="auto"/>
        </w:rPr>
      </w:pPr>
    </w:p>
    <w:p>
      <w:pPr>
        <w:ind w:left="9" w:right="80" w:hanging="9"/>
        <w:spacing w:after="0" w:line="246" w:lineRule="exact"/>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foreign branches of United States financial institutions (financial institutions, as defined in United States Treasury Regulations Section 2.165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Blueprint Medicines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 (i)(D)(7)),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209" w:lineRule="exact"/>
        <w:rPr>
          <w:sz w:val="20"/>
          <w:szCs w:val="20"/>
          <w:color w:val="auto"/>
        </w:rPr>
      </w:pPr>
    </w:p>
    <w:p>
      <w:pPr>
        <w:ind w:left="9" w:right="24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left="9" w:right="60" w:firstLine="648"/>
        <w:spacing w:after="0" w:line="251" w:lineRule="exact"/>
        <w:rPr>
          <w:sz w:val="20"/>
          <w:szCs w:val="20"/>
          <w:color w:val="auto"/>
        </w:rPr>
      </w:pPr>
      <w:r>
        <w:rPr>
          <w:rFonts w:ascii="Arial" w:cs="Arial" w:eastAsia="Arial" w:hAnsi="Arial"/>
          <w:sz w:val="21"/>
          <w:szCs w:val="21"/>
          <w:color w:val="auto"/>
        </w:rPr>
        <w:t>We undertake to advise you promptly by tested telex or by telecopy on or prior to the date on which you intend to submit your certification relating to the above</w:t>
      </w:r>
      <w:r>
        <w:rPr>
          <w:rFonts w:ascii="MS PGothic" w:cs="MS PGothic" w:eastAsia="MS PGothic" w:hAnsi="MS PGothic"/>
          <w:sz w:val="21"/>
          <w:szCs w:val="21"/>
          <w:color w:val="auto"/>
        </w:rPr>
        <w:t>‑</w:t>
      </w:r>
      <w:r>
        <w:rPr>
          <w:rFonts w:ascii="Arial" w:cs="Arial" w:eastAsia="Arial" w:hAnsi="Arial"/>
          <w:sz w:val="21"/>
          <w:szCs w:val="21"/>
          <w:color w:val="auto"/>
        </w:rPr>
        <w:t>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6" w:lineRule="exact"/>
        <w:rPr>
          <w:sz w:val="20"/>
          <w:szCs w:val="20"/>
          <w:color w:val="auto"/>
        </w:rPr>
      </w:pPr>
    </w:p>
    <w:p>
      <w:pPr>
        <w:ind w:left="9" w:right="300" w:firstLine="648"/>
        <w:spacing w:after="0" w:line="253" w:lineRule="exact"/>
        <w:rPr>
          <w:sz w:val="20"/>
          <w:szCs w:val="20"/>
          <w:color w:val="auto"/>
        </w:rPr>
      </w:pPr>
      <w:r>
        <w:rPr>
          <w:rFonts w:ascii="Arial" w:cs="Arial" w:eastAsia="Arial" w:hAnsi="Arial"/>
          <w:sz w:val="22"/>
          <w:szCs w:val="22"/>
          <w:color w:val="auto"/>
        </w:rPr>
        <w:t>This certificate excepts and does not relate to [U.S.$] of such interest in the above</w:t>
      </w:r>
      <w:r>
        <w:rPr>
          <w:rFonts w:ascii="MS PGothic" w:cs="MS PGothic" w:eastAsia="MS PGothic" w:hAnsi="MS PGothic"/>
          <w:sz w:val="22"/>
          <w:szCs w:val="22"/>
          <w:color w:val="auto"/>
        </w:rPr>
        <w:t>‑</w:t>
      </w:r>
      <w:r>
        <w:rPr>
          <w:rFonts w:ascii="Arial" w:cs="Arial" w:eastAsia="Arial" w:hAnsi="Arial"/>
          <w:sz w:val="22"/>
          <w:szCs w:val="22"/>
          <w:color w:val="auto"/>
        </w:rPr>
        <w:t>captioned Securities in respect of which we are not able to certify and as to which we understand an exchange for an interest in a permanent Global Security or an exchange for and</w:t>
      </w:r>
    </w:p>
    <w:p>
      <w:pPr>
        <w:spacing w:after="0" w:line="200" w:lineRule="exact"/>
        <w:rPr>
          <w:sz w:val="20"/>
          <w:szCs w:val="20"/>
          <w:color w:val="auto"/>
        </w:rPr>
      </w:pPr>
    </w:p>
    <w:p>
      <w:pPr>
        <w:spacing w:after="0" w:line="203" w:lineRule="exact"/>
        <w:rPr>
          <w:sz w:val="20"/>
          <w:szCs w:val="20"/>
          <w:color w:val="auto"/>
        </w:rPr>
      </w:pPr>
    </w:p>
    <w:p>
      <w:pPr>
        <w:jc w:val="center"/>
        <w:ind w:right="-28"/>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361" w:right="779" w:bottom="1440"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delivery of definitive Securities (or, if relevant, collection of any interest) cannot be made until we do so certify.</w:t>
      </w:r>
    </w:p>
    <w:p>
      <w:pPr>
        <w:spacing w:after="0" w:line="218"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[To be dated no earlier than the 15th day prior to (i) the Exchange Date or (ii) the relevant Interest Payment Date occurring prior to the Exchange Date, as applicable]</w:t>
      </w:r>
    </w:p>
    <w:p>
      <w:pPr>
        <w:spacing w:after="0" w:line="17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of Person Making Certification]</w:t>
      </w:r>
    </w:p>
    <w:p>
      <w:pPr>
        <w:spacing w:after="0" w:line="200" w:lineRule="exact"/>
        <w:rPr>
          <w:sz w:val="20"/>
          <w:szCs w:val="20"/>
          <w:color w:val="auto"/>
        </w:rPr>
      </w:pPr>
    </w:p>
    <w:p>
      <w:pPr>
        <w:spacing w:after="0" w:line="29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-154940</wp:posOffset>
            </wp:positionV>
            <wp:extent cx="3404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020"/>
        <w:spacing w:after="0" w:line="238" w:lineRule="auto"/>
        <w:rPr>
          <w:sz w:val="20"/>
          <w:szCs w:val="20"/>
          <w:color w:val="auto"/>
        </w:rPr>
      </w:pPr>
      <w:r>
        <w:rPr>
          <w:rFonts w:ascii="Arial" w:cs="Arial" w:eastAsia="Arial" w:hAnsi="Arial"/>
          <w:sz w:val="22"/>
          <w:szCs w:val="22"/>
          <w:color w:val="auto"/>
        </w:rPr>
        <w:t>Name:</w:t>
      </w:r>
    </w:p>
    <w:p>
      <w:pPr>
        <w:jc w:val="center"/>
        <w:ind w:right="-11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51" w:name="page152"/>
    <w:bookmarkEnd w:id="151"/>
    <w:p>
      <w:pPr>
        <w:ind w:left="4580"/>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FORM OF CERTIFICATE TO BE GIVEN BY EUROCLEAR AND CLEARSTREAM S.A. IN CONNECTION WITH</w:t>
      </w:r>
    </w:p>
    <w:p>
      <w:pPr>
        <w:spacing w:after="0" w:line="43" w:lineRule="exact"/>
        <w:rPr>
          <w:sz w:val="20"/>
          <w:szCs w:val="20"/>
          <w:color w:val="auto"/>
        </w:rPr>
      </w:pPr>
    </w:p>
    <w:p>
      <w:pPr>
        <w:jc w:val="center"/>
        <w:spacing w:after="0" w:line="237" w:lineRule="auto"/>
        <w:rPr>
          <w:sz w:val="20"/>
          <w:szCs w:val="20"/>
          <w:color w:val="auto"/>
        </w:rPr>
      </w:pPr>
      <w:r>
        <w:rPr>
          <w:rFonts w:ascii="Arial" w:cs="Arial" w:eastAsia="Arial" w:hAnsi="Arial"/>
          <w:sz w:val="22"/>
          <w:szCs w:val="22"/>
          <w:color w:val="auto"/>
        </w:rPr>
        <w:t>THE EXCHANGE OF A PORTION OF A TEMPORARY GLOBAL SECURITY OR TO OBTAIN INTEREST PAYABLE PRIOR TO THE EXCHANGE DATE</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4" w:lineRule="exact"/>
        <w:rPr>
          <w:sz w:val="20"/>
          <w:szCs w:val="20"/>
          <w:color w:val="auto"/>
        </w:rPr>
      </w:pPr>
      <w:r>
        <w:rPr>
          <w:rFonts w:ascii="Arial" w:cs="Arial" w:eastAsia="Arial" w:hAnsi="Arial"/>
          <w:sz w:val="19"/>
          <w:szCs w:val="19"/>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Blueprint Medicines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right="140" w:firstLine="648"/>
        <w:spacing w:after="0" w:line="248" w:lineRule="exact"/>
        <w:rPr>
          <w:sz w:val="20"/>
          <w:szCs w:val="20"/>
          <w:color w:val="auto"/>
        </w:rPr>
      </w:pPr>
      <w:r>
        <w:rPr>
          <w:rFonts w:ascii="Arial" w:cs="Arial" w:eastAsia="Arial" w:hAnsi="Arial"/>
          <w:sz w:val="21"/>
          <w:szCs w:val="21"/>
          <w:color w:val="auto"/>
        </w:rPr>
        <w:t>We further certify that (i) we are not making available herewith for exchange (or, if relevant, collection of any interest) any portion of the temporary Global Security representing the above</w:t>
      </w:r>
      <w:r>
        <w:rPr>
          <w:rFonts w:ascii="MS PGothic" w:cs="MS PGothic" w:eastAsia="MS PGothic" w:hAnsi="MS PGothic"/>
          <w:sz w:val="21"/>
          <w:szCs w:val="21"/>
          <w:color w:val="auto"/>
        </w:rPr>
        <w:t>‑</w:t>
      </w:r>
      <w:r>
        <w:rPr>
          <w:rFonts w:ascii="Arial" w:cs="Arial" w:eastAsia="Arial" w:hAnsi="Arial"/>
          <w:sz w:val="21"/>
          <w:szCs w:val="21"/>
          <w:color w:val="auto"/>
        </w:rPr>
        <w:t>captioned Securities excepted in the above</w:t>
      </w:r>
      <w:r>
        <w:rPr>
          <w:rFonts w:ascii="MS PGothic" w:cs="MS PGothic" w:eastAsia="MS PGothic" w:hAnsi="MS PGothic"/>
          <w:sz w:val="21"/>
          <w:szCs w:val="21"/>
          <w:color w:val="auto"/>
        </w:rPr>
        <w:t>‑</w:t>
      </w:r>
      <w:r>
        <w:rPr>
          <w:rFonts w:ascii="Arial" w:cs="Arial" w:eastAsia="Arial" w:hAnsi="Arial"/>
          <w:sz w:val="21"/>
          <w:szCs w:val="21"/>
          <w:color w:val="auto"/>
        </w:rPr>
        <w:t>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9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We understand that this certification is required in connection with certain tax legislation in the United States. If administrative or legal proceedings are commenced or threatened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52" w:name="page153"/>
    <w:bookmarkEnd w:id="152"/>
    <w:p>
      <w:pPr>
        <w:spacing w:after="0" w:line="251" w:lineRule="auto"/>
        <w:rPr>
          <w:sz w:val="20"/>
          <w:szCs w:val="20"/>
          <w:color w:val="auto"/>
        </w:rPr>
      </w:pPr>
      <w:r>
        <w:rPr>
          <w:rFonts w:ascii="Arial" w:cs="Arial" w:eastAsia="Arial" w:hAnsi="Arial"/>
          <w:sz w:val="22"/>
          <w:szCs w:val="22"/>
          <w:color w:val="auto"/>
        </w:rPr>
        <w:t>connection with which this certificate is or would be relevant, we irrevocably authorize you to produce this certificate or a copy thereof to any interested party in such proceedings.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[To be dated no earlier than the Exchange Date or the relevant Interest Payment Date occurring prior to the Exchange Date, as applicable]</w:t>
      </w:r>
    </w:p>
    <w:p>
      <w:pPr>
        <w:spacing w:after="0" w:line="173"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[Morgan Guaranty Trust Company of New York, Brussels Office, as Operator of the Euroclear System Clearstream Banking Luxembourg]</w:t>
      </w:r>
    </w:p>
    <w:p>
      <w:pPr>
        <w:spacing w:after="0" w:line="17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ind w:left="520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-151130</wp:posOffset>
            </wp:positionV>
            <wp:extent cx="30784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60"/>
          </w:cols>
          <w:pgMar w:left="760" w:top="361" w:right="979" w:bottom="1440" w:gutter="0" w:footer="0" w:header="0"/>
        </w:sectPr>
      </w:pPr>
    </w:p>
    <w:bookmarkStart w:id="153" w:name="page154"/>
    <w:bookmarkEnd w:id="153"/>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BLUEPRINT MEDICINES CORPORATION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Dated as of __________, 20__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744855</wp:posOffset>
            </wp:positionV>
            <wp:extent cx="554863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75"/>
        </w:trPr>
        <w:tc>
          <w:tcPr>
            <w:tcW w:w="2000" w:type="dxa"/>
            <w:vAlign w:val="bottom"/>
          </w:tcPr>
          <w:p>
            <w:pPr>
              <w:spacing w:after="0"/>
              <w:rPr>
                <w:sz w:val="23"/>
                <w:szCs w:val="23"/>
                <w:color w:val="auto"/>
              </w:rPr>
            </w:pPr>
          </w:p>
        </w:tc>
        <w:tc>
          <w:tcPr>
            <w:tcW w:w="6400" w:type="dxa"/>
            <w:vAlign w:val="bottom"/>
          </w:tcPr>
          <w:p>
            <w:pPr>
              <w:ind w:left="1440"/>
              <w:spacing w:after="0"/>
              <w:rPr>
                <w:sz w:val="20"/>
                <w:szCs w:val="20"/>
                <w:color w:val="auto"/>
              </w:rPr>
            </w:pPr>
            <w:r>
              <w:rPr>
                <w:rFonts w:ascii="Arial" w:cs="Arial" w:eastAsia="Arial" w:hAnsi="Arial"/>
                <w:sz w:val="22"/>
                <w:szCs w:val="22"/>
                <w:color w:val="auto"/>
              </w:rPr>
              <w:t>TABLE OF CONTENTS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9"/>
        </w:trPr>
        <w:tc>
          <w:tcPr>
            <w:tcW w:w="20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85"/>
        </w:trPr>
        <w:tc>
          <w:tcPr>
            <w:tcW w:w="8400" w:type="dxa"/>
            <w:vAlign w:val="bottom"/>
            <w:gridSpan w:val="2"/>
          </w:tcPr>
          <w:p>
            <w:pPr>
              <w:spacing w:after="0"/>
              <w:rPr>
                <w:sz w:val="20"/>
                <w:szCs w:val="20"/>
                <w:color w:val="auto"/>
              </w:rPr>
            </w:pPr>
            <w:r>
              <w:rPr>
                <w:rFonts w:ascii="Arial" w:cs="Arial" w:eastAsia="Arial" w:hAnsi="Arial"/>
                <w:sz w:val="22"/>
                <w:szCs w:val="22"/>
                <w:color w:val="auto"/>
              </w:rPr>
              <w:t>ARTICLE ONE - DEFINITIONS AND OTHER PROVISIONS OF GENERAL</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APPLICATION</w:t>
            </w:r>
          </w:p>
        </w:tc>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Definitions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Compliance Certificates and Opinions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 of Documents Delivered to Trustee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104.</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Acts of Holders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105.</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Notices, etc., to Trustee and Company</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106.</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Notice to Holders; Waiver</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107.</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Counterparts; Effect of Headings and Table of Contents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108.</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Successors and Assigns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109.</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Severability Clause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110.</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Benefits of Indenture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Governing Law</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Legal Holidays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w w:val="96"/>
              </w:rPr>
              <w:t>Limited Liability; Immunity of Stockholders, Directors, Officers and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000" w:type="dxa"/>
            <w:vAlign w:val="bottom"/>
          </w:tcPr>
          <w:p>
            <w:pPr>
              <w:spacing w:after="0"/>
              <w:rPr>
                <w:sz w:val="21"/>
                <w:szCs w:val="21"/>
                <w:color w:val="auto"/>
              </w:rPr>
            </w:pP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Agents of the Company</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114.</w:t>
            </w:r>
          </w:p>
        </w:tc>
        <w:tc>
          <w:tcPr>
            <w:tcW w:w="6400" w:type="dxa"/>
            <w:vAlign w:val="bottom"/>
          </w:tcPr>
          <w:p>
            <w:pPr>
              <w:ind w:left="200"/>
              <w:spacing w:after="0"/>
              <w:rPr>
                <w:sz w:val="20"/>
                <w:szCs w:val="20"/>
                <w:color w:val="auto"/>
              </w:rPr>
            </w:pPr>
            <w:r>
              <w:rPr>
                <w:rFonts w:ascii="Arial" w:cs="Arial" w:eastAsia="Arial" w:hAnsi="Arial"/>
                <w:sz w:val="22"/>
                <w:szCs w:val="22"/>
                <w:color w:val="auto"/>
              </w:rPr>
              <w:t>Conflict with Trust Indenture Act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TWO - SECURITIES FORMS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201.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Forms of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202.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 of Trustee’s Certificate of Authentication</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203.</w:t>
            </w:r>
          </w:p>
        </w:tc>
        <w:tc>
          <w:tcPr>
            <w:tcW w:w="6400" w:type="dxa"/>
            <w:vAlign w:val="bottom"/>
          </w:tcPr>
          <w:p>
            <w:pPr>
              <w:ind w:left="200"/>
              <w:spacing w:after="0"/>
              <w:rPr>
                <w:sz w:val="20"/>
                <w:szCs w:val="20"/>
                <w:color w:val="auto"/>
              </w:rPr>
            </w:pPr>
            <w:r>
              <w:rPr>
                <w:rFonts w:ascii="Arial" w:cs="Arial" w:eastAsia="Arial" w:hAnsi="Arial"/>
                <w:sz w:val="22"/>
                <w:szCs w:val="22"/>
                <w:color w:val="auto"/>
              </w:rPr>
              <w:t>Securities Issuable in Global Form</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THREE - THE SECURITIES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Amount Unlimited; Issuable in Series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Denominations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Execution, Authentication, Delivery and Dating</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304.</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Temporary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305.</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w w:val="98"/>
              </w:rPr>
              <w:t>Registration, Registration of Transfer, Conversion and Exchange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306.</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Mutilated, Destroyed, Lost and Stolen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307.</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Payment of Interest; Interest Rights Preserved</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308.</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Persons Deemed Owners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309.</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Cancellation</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310.</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Computation of Interest</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311.</w:t>
            </w:r>
          </w:p>
        </w:tc>
        <w:tc>
          <w:tcPr>
            <w:tcW w:w="6400" w:type="dxa"/>
            <w:vAlign w:val="bottom"/>
          </w:tcPr>
          <w:p>
            <w:pPr>
              <w:ind w:left="200"/>
              <w:spacing w:after="0"/>
              <w:rPr>
                <w:sz w:val="20"/>
                <w:szCs w:val="20"/>
                <w:color w:val="auto"/>
              </w:rPr>
            </w:pPr>
            <w:r>
              <w:rPr>
                <w:rFonts w:ascii="Arial" w:cs="Arial" w:eastAsia="Arial" w:hAnsi="Arial"/>
                <w:sz w:val="22"/>
                <w:szCs w:val="22"/>
                <w:color w:val="auto"/>
              </w:rPr>
              <w:t>CUSIP Numbers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FOUR - SATISFACTION AND DISCHARGE</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401.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Satisfaction and Discharge of Indenture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402.</w:t>
            </w:r>
          </w:p>
        </w:tc>
        <w:tc>
          <w:tcPr>
            <w:tcW w:w="6400" w:type="dxa"/>
            <w:vAlign w:val="bottom"/>
          </w:tcPr>
          <w:p>
            <w:pPr>
              <w:ind w:left="200"/>
              <w:spacing w:after="0"/>
              <w:rPr>
                <w:sz w:val="20"/>
                <w:szCs w:val="20"/>
                <w:color w:val="auto"/>
              </w:rPr>
            </w:pPr>
            <w:r>
              <w:rPr>
                <w:rFonts w:ascii="Arial" w:cs="Arial" w:eastAsia="Arial" w:hAnsi="Arial"/>
                <w:sz w:val="22"/>
                <w:szCs w:val="22"/>
                <w:color w:val="auto"/>
              </w:rPr>
              <w:t>Application of Trust Funds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FIVE – REMEDIES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501.</w:t>
            </w:r>
          </w:p>
        </w:tc>
        <w:tc>
          <w:tcPr>
            <w:tcW w:w="6400" w:type="dxa"/>
            <w:vAlign w:val="bottom"/>
          </w:tcPr>
          <w:p>
            <w:pPr>
              <w:ind w:left="200"/>
              <w:spacing w:after="0"/>
              <w:rPr>
                <w:sz w:val="20"/>
                <w:szCs w:val="20"/>
                <w:color w:val="auto"/>
              </w:rPr>
            </w:pPr>
            <w:r>
              <w:rPr>
                <w:rFonts w:ascii="Arial" w:cs="Arial" w:eastAsia="Arial" w:hAnsi="Arial"/>
                <w:sz w:val="22"/>
                <w:szCs w:val="22"/>
                <w:color w:val="auto"/>
              </w:rPr>
              <w:t>Events of Default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2000" w:type="dxa"/>
            <w:vAlign w:val="bottom"/>
          </w:tcPr>
          <w:p>
            <w:pPr>
              <w:ind w:left="460"/>
              <w:spacing w:after="0"/>
              <w:rPr>
                <w:sz w:val="20"/>
                <w:szCs w:val="20"/>
                <w:color w:val="auto"/>
              </w:rPr>
            </w:pPr>
            <w:r>
              <w:rPr>
                <w:rFonts w:ascii="Arial" w:cs="Arial" w:eastAsia="Arial" w:hAnsi="Arial"/>
                <w:sz w:val="22"/>
                <w:szCs w:val="22"/>
                <w:color w:val="auto"/>
              </w:rPr>
              <w:t>SECTION 502.</w:t>
            </w:r>
          </w:p>
        </w:tc>
        <w:tc>
          <w:tcPr>
            <w:tcW w:w="6400" w:type="dxa"/>
            <w:vAlign w:val="bottom"/>
          </w:tcPr>
          <w:p>
            <w:pPr>
              <w:ind w:left="200"/>
              <w:spacing w:after="0"/>
              <w:rPr>
                <w:sz w:val="20"/>
                <w:szCs w:val="20"/>
                <w:color w:val="auto"/>
              </w:rPr>
            </w:pPr>
            <w:r>
              <w:rPr>
                <w:rFonts w:ascii="Arial" w:cs="Arial" w:eastAsia="Arial" w:hAnsi="Arial"/>
                <w:sz w:val="22"/>
                <w:szCs w:val="22"/>
                <w:color w:val="auto"/>
              </w:rPr>
              <w:t>Acceleration of Maturity; Rescission and Annulment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675"/>
        </w:trPr>
        <w:tc>
          <w:tcPr>
            <w:tcW w:w="2000" w:type="dxa"/>
            <w:vAlign w:val="bottom"/>
          </w:tcPr>
          <w:p>
            <w:pPr>
              <w:spacing w:after="0"/>
              <w:rPr>
                <w:sz w:val="24"/>
                <w:szCs w:val="24"/>
                <w:color w:val="auto"/>
              </w:rPr>
            </w:pPr>
          </w:p>
        </w:tc>
        <w:tc>
          <w:tcPr>
            <w:tcW w:w="6400" w:type="dxa"/>
            <w:vAlign w:val="bottom"/>
          </w:tcPr>
          <w:p>
            <w:pPr>
              <w:ind w:left="2500"/>
              <w:spacing w:after="0"/>
              <w:rPr>
                <w:sz w:val="20"/>
                <w:szCs w:val="20"/>
                <w:color w:val="auto"/>
              </w:rPr>
            </w:pPr>
            <w:r>
              <w:rPr>
                <w:rFonts w:ascii="Arial" w:cs="Arial" w:eastAsia="Arial" w:hAnsi="Arial"/>
                <w:sz w:val="22"/>
                <w:szCs w:val="22"/>
                <w:color w:val="auto"/>
              </w:rPr>
              <w:t>i</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9"/>
        </w:trPr>
        <w:tc>
          <w:tcPr>
            <w:tcW w:w="200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361" w:right="141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8"/>
              </w:rPr>
              <w:t>SECTION 503.Collection of Indebtedness and Suits for Enforcement by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504.Trustee May File Proofs of Claim</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505.Trustee May Enforce Claims Without Possession of Securities 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Coupons</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2"/>
              </w:rPr>
              <w:t>SECTION 506.Application of Money Collected</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507.</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Limitation on Suits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508.Unconditional Right of Holders to Receive Principal, Premium 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Make-Whole Amount, if any, and Interest</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509.Restoration of Rights and Remedies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510.Rights and Remedies Cumulative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511.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Delay or Omission Not Waiver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512.Control by Holders of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513.Waiver of Past Defaults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514.Waiver of Usury, Stay or Extension Laws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90"/>
              </w:rPr>
              <w:t>SECTION 515.Undertaking for Costs</w:t>
            </w:r>
          </w:p>
        </w:tc>
        <w:tc>
          <w:tcPr>
            <w:tcW w:w="6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SIX - THE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601.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Notice of Defaults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602.Certain Rights of Trustee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603.Not Responsible for Recitals or Issuance of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604.May Hold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605.Money Held in Trust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7"/>
              </w:rPr>
              <w:t>SECTION 606.Compensation and Reimbursement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607.Corporate Trustee Required; Eligibility; Conflicting Interests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608.Resignation and Removal; Appointment of Successor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609.Acceptance of Appointment by Successor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610.Merger, Conversion, Consolidation or Succession to Business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611.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Appointment of Authenticating Agent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9"/>
              </w:rPr>
              <w:t>SECTION 612.Certain Duties and Responsibilities of the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w w:val="98"/>
              </w:rPr>
              <w:t>ARTICLE SEVEN - HOLDERS’ LISTS AND REPORTS BY TRUSTEE AND COMPANY</w:t>
            </w:r>
          </w:p>
        </w:tc>
        <w:tc>
          <w:tcPr>
            <w:tcW w:w="6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701.Disclosure of Names and Addresses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702.</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Reports by Trustee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703.Reports by Company</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7"/>
              </w:rPr>
              <w:t>SECTION 704.Company to Furnish Trustee Names and Addresses of Holders</w:t>
            </w:r>
          </w:p>
        </w:tc>
        <w:tc>
          <w:tcPr>
            <w:tcW w:w="6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EIGHT - CONSOLIDATION, MERGER, SALE, LEASE OR CONVEYANCE</w:t>
            </w:r>
          </w:p>
        </w:tc>
        <w:tc>
          <w:tcPr>
            <w:tcW w:w="6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801.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w w:val="98"/>
              </w:rPr>
              <w:t>Consolidations and Mergers of Company and Sales, Leases and</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Conveyances Permitted Subject to Certain Conditions</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802.Rights and Duties of Successor Corporation</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91"/>
              </w:rPr>
              <w:t>SECTION 803.Officers’ Certificate and Opinion of Counsel</w:t>
            </w:r>
          </w:p>
        </w:tc>
        <w:tc>
          <w:tcPr>
            <w:tcW w:w="6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NINE - SUPPLEMENTAL INDENTURES</w:t>
            </w:r>
          </w:p>
        </w:tc>
        <w:tc>
          <w:tcPr>
            <w:tcW w:w="6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901.Supplemental Indentures Without Consent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902.Supplemental Indentures with Consent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903.Execution of Supplemental Indentures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9"/>
              </w:rPr>
              <w:t>SECTION 904.Effect of Supplemental Indentures</w:t>
            </w:r>
          </w:p>
        </w:tc>
        <w:tc>
          <w:tcPr>
            <w:tcW w:w="600" w:type="dxa"/>
            <w:vAlign w:val="bottom"/>
          </w:tcPr>
          <w:p>
            <w:pPr>
              <w:jc w:val="right"/>
              <w:spacing w:after="0"/>
              <w:rPr>
                <w:sz w:val="20"/>
                <w:szCs w:val="20"/>
                <w:color w:val="auto"/>
              </w:rPr>
            </w:pPr>
            <w:r>
              <w:rPr>
                <w:rFonts w:ascii="Arial" w:cs="Arial" w:eastAsia="Arial" w:hAnsi="Arial"/>
                <w:sz w:val="22"/>
                <w:szCs w:val="22"/>
                <w:color w:val="auto"/>
              </w:rPr>
              <w:t>57</w:t>
            </w: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53"/>
        </w:trPr>
        <w:tc>
          <w:tcPr>
            <w:tcW w:w="2040" w:type="dxa"/>
            <w:vAlign w:val="bottom"/>
          </w:tcPr>
          <w:p>
            <w:pPr>
              <w:ind w:left="460"/>
              <w:spacing w:after="0"/>
              <w:rPr>
                <w:sz w:val="20"/>
                <w:szCs w:val="20"/>
                <w:color w:val="auto"/>
              </w:rPr>
            </w:pPr>
            <w:r>
              <w:rPr>
                <w:rFonts w:ascii="Arial" w:cs="Arial" w:eastAsia="Arial" w:hAnsi="Arial"/>
                <w:sz w:val="22"/>
                <w:szCs w:val="22"/>
                <w:color w:val="auto"/>
              </w:rPr>
              <w:t>SECTION 905.</w:t>
            </w:r>
          </w:p>
        </w:tc>
        <w:tc>
          <w:tcPr>
            <w:tcW w:w="6420" w:type="dxa"/>
            <w:vAlign w:val="bottom"/>
          </w:tcPr>
          <w:p>
            <w:pPr>
              <w:ind w:left="160"/>
              <w:spacing w:after="0"/>
              <w:rPr>
                <w:sz w:val="20"/>
                <w:szCs w:val="20"/>
                <w:color w:val="auto"/>
              </w:rPr>
            </w:pPr>
            <w:r>
              <w:rPr>
                <w:rFonts w:ascii="Arial" w:cs="Arial" w:eastAsia="Arial" w:hAnsi="Arial"/>
                <w:sz w:val="22"/>
                <w:szCs w:val="22"/>
                <w:color w:val="auto"/>
              </w:rPr>
              <w:t>Conformity with Trust Indenture Act</w:t>
            </w:r>
          </w:p>
        </w:tc>
        <w:tc>
          <w:tcPr>
            <w:tcW w:w="56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rPr>
              <w:t>SECTION 906.</w:t>
            </w:r>
          </w:p>
        </w:tc>
        <w:tc>
          <w:tcPr>
            <w:tcW w:w="6420" w:type="dxa"/>
            <w:vAlign w:val="bottom"/>
          </w:tcPr>
          <w:p>
            <w:pPr>
              <w:ind w:left="160"/>
              <w:spacing w:after="0"/>
              <w:rPr>
                <w:sz w:val="20"/>
                <w:szCs w:val="20"/>
                <w:color w:val="auto"/>
              </w:rPr>
            </w:pPr>
            <w:r>
              <w:rPr>
                <w:rFonts w:ascii="Arial" w:cs="Arial" w:eastAsia="Arial" w:hAnsi="Arial"/>
                <w:sz w:val="22"/>
                <w:szCs w:val="22"/>
                <w:color w:val="auto"/>
              </w:rPr>
              <w:t>Reference in Securities to Supplemental Indentures</w:t>
            </w:r>
          </w:p>
        </w:tc>
        <w:tc>
          <w:tcPr>
            <w:tcW w:w="5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TEN –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5"/>
              </w:rPr>
              <w:t>Payment of Principal, Premium or Make-Whole Amount, if any; and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spacing w:after="0"/>
              <w:rPr>
                <w:sz w:val="21"/>
                <w:szCs w:val="21"/>
                <w:color w:val="auto"/>
              </w:rPr>
            </w:pP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Interest</w:t>
            </w:r>
          </w:p>
        </w:tc>
        <w:tc>
          <w:tcPr>
            <w:tcW w:w="560" w:type="dxa"/>
            <w:vAlign w:val="bottom"/>
          </w:tcPr>
          <w:p>
            <w:pPr>
              <w:spacing w:after="0"/>
              <w:rPr>
                <w:sz w:val="21"/>
                <w:szCs w:val="21"/>
                <w:color w:val="auto"/>
              </w:rPr>
            </w:pP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Maintenance of Office or Agency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Money for Securities Payments to Be Held in Trust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Existence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Maintenance of Properties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1006.</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Insurance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1007.</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Payment of Taxes and Other Claims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1008.</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Statement as to Compliance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1009.</w:t>
            </w:r>
          </w:p>
        </w:tc>
        <w:tc>
          <w:tcPr>
            <w:tcW w:w="6420" w:type="dxa"/>
            <w:vAlign w:val="bottom"/>
          </w:tcPr>
          <w:p>
            <w:pPr>
              <w:ind w:left="160"/>
              <w:spacing w:after="0"/>
              <w:rPr>
                <w:sz w:val="20"/>
                <w:szCs w:val="20"/>
                <w:color w:val="auto"/>
              </w:rPr>
            </w:pPr>
            <w:r>
              <w:rPr>
                <w:rFonts w:ascii="Arial" w:cs="Arial" w:eastAsia="Arial" w:hAnsi="Arial"/>
                <w:sz w:val="22"/>
                <w:szCs w:val="22"/>
                <w:color w:val="auto"/>
              </w:rPr>
              <w:t>Waiver of Certain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ELEVEN - REDEMPTION OF SECURITIES</w:t>
            </w:r>
          </w:p>
        </w:tc>
        <w:tc>
          <w:tcPr>
            <w:tcW w:w="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Election to Redeem; Notice to Trustee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Selection by Trustee of Securities to Be Redeemed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Notice of Redemption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Deposit of Redemption Price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1106.</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Securities Payable on Redemption Date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1107.</w:t>
            </w:r>
          </w:p>
        </w:tc>
        <w:tc>
          <w:tcPr>
            <w:tcW w:w="6420" w:type="dxa"/>
            <w:vAlign w:val="bottom"/>
          </w:tcPr>
          <w:p>
            <w:pPr>
              <w:ind w:left="160"/>
              <w:spacing w:after="0"/>
              <w:rPr>
                <w:sz w:val="20"/>
                <w:szCs w:val="20"/>
                <w:color w:val="auto"/>
              </w:rPr>
            </w:pPr>
            <w:r>
              <w:rPr>
                <w:rFonts w:ascii="Arial" w:cs="Arial" w:eastAsia="Arial" w:hAnsi="Arial"/>
                <w:sz w:val="22"/>
                <w:szCs w:val="22"/>
                <w:color w:val="auto"/>
              </w:rPr>
              <w:t>Securities Redeemed in Part</w:t>
            </w:r>
          </w:p>
        </w:tc>
        <w:tc>
          <w:tcPr>
            <w:tcW w:w="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TWELVE - SINKING FUNDS</w:t>
            </w:r>
          </w:p>
        </w:tc>
        <w:tc>
          <w:tcPr>
            <w:tcW w:w="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1201.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1202.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1203.</w:t>
            </w:r>
          </w:p>
        </w:tc>
        <w:tc>
          <w:tcPr>
            <w:tcW w:w="6420" w:type="dxa"/>
            <w:vAlign w:val="bottom"/>
          </w:tcPr>
          <w:p>
            <w:pPr>
              <w:ind w:left="160"/>
              <w:spacing w:after="0"/>
              <w:rPr>
                <w:sz w:val="20"/>
                <w:szCs w:val="20"/>
                <w:color w:val="auto"/>
              </w:rPr>
            </w:pPr>
            <w:r>
              <w:rPr>
                <w:rFonts w:ascii="Arial" w:cs="Arial" w:eastAsia="Arial" w:hAnsi="Arial"/>
                <w:sz w:val="22"/>
                <w:szCs w:val="22"/>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THIRTEEN - REPAYMENT AT THE OPTION OF HOLDERS</w:t>
            </w:r>
          </w:p>
        </w:tc>
        <w:tc>
          <w:tcPr>
            <w:tcW w:w="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Repayment of Securities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Exercise of Option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1"/>
              </w:rPr>
              <w:t>When Securities Presented for Repayment Become Due and Payable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1305.</w:t>
            </w:r>
          </w:p>
        </w:tc>
        <w:tc>
          <w:tcPr>
            <w:tcW w:w="6420" w:type="dxa"/>
            <w:vAlign w:val="bottom"/>
          </w:tcPr>
          <w:p>
            <w:pPr>
              <w:ind w:left="160"/>
              <w:spacing w:after="0"/>
              <w:rPr>
                <w:sz w:val="20"/>
                <w:szCs w:val="20"/>
                <w:color w:val="auto"/>
              </w:rPr>
            </w:pPr>
            <w:r>
              <w:rPr>
                <w:rFonts w:ascii="Arial" w:cs="Arial" w:eastAsia="Arial" w:hAnsi="Arial"/>
                <w:sz w:val="22"/>
                <w:szCs w:val="22"/>
                <w:color w:val="auto"/>
              </w:rPr>
              <w:t>Securities Repaid in Part</w:t>
            </w:r>
          </w:p>
        </w:tc>
        <w:tc>
          <w:tcPr>
            <w:tcW w:w="5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FOURTEEN - DEFEASANCE AND COVENANT DEFEASANCE</w:t>
            </w:r>
          </w:p>
        </w:tc>
        <w:tc>
          <w:tcPr>
            <w:tcW w:w="5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7"/>
              </w:rPr>
              <w:t>Applicability of Article; Company’s Option to Effect Defeasance or</w:t>
            </w:r>
          </w:p>
        </w:tc>
        <w:tc>
          <w:tcPr>
            <w:tcW w:w="56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Defeasance and Discharge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Conditions to Defeasance or 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5"/>
              </w:rPr>
              <w:t>Deposited Money and Government Obligations to Be Held in Trust;</w:t>
            </w:r>
          </w:p>
        </w:tc>
        <w:tc>
          <w:tcPr>
            <w:tcW w:w="560" w:type="dxa"/>
            <w:vAlign w:val="bottom"/>
          </w:tcPr>
          <w:p>
            <w:pPr>
              <w:spacing w:after="0"/>
              <w:rPr>
                <w:sz w:val="21"/>
                <w:szCs w:val="21"/>
                <w:color w:val="auto"/>
              </w:rPr>
            </w:pPr>
          </w:p>
        </w:tc>
      </w:tr>
      <w:tr>
        <w:trPr>
          <w:trHeight w:val="275"/>
        </w:trPr>
        <w:tc>
          <w:tcPr>
            <w:tcW w:w="2040" w:type="dxa"/>
            <w:vAlign w:val="bottom"/>
          </w:tcPr>
          <w:p>
            <w:pPr>
              <w:spacing w:after="0"/>
              <w:rPr>
                <w:sz w:val="23"/>
                <w:szCs w:val="23"/>
                <w:color w:val="auto"/>
              </w:rPr>
            </w:pPr>
          </w:p>
        </w:tc>
        <w:tc>
          <w:tcPr>
            <w:tcW w:w="6420" w:type="dxa"/>
            <w:vAlign w:val="bottom"/>
          </w:tcPr>
          <w:p>
            <w:pPr>
              <w:ind w:left="160"/>
              <w:spacing w:after="0"/>
              <w:rPr>
                <w:sz w:val="20"/>
                <w:szCs w:val="20"/>
                <w:color w:val="auto"/>
              </w:rPr>
            </w:pPr>
            <w:r>
              <w:rPr>
                <w:rFonts w:ascii="Arial" w:cs="Arial" w:eastAsia="Arial" w:hAnsi="Arial"/>
                <w:sz w:val="22"/>
                <w:szCs w:val="22"/>
                <w:color w:val="auto"/>
              </w:rPr>
              <w:t>Other Miscellaneous Provisions</w:t>
            </w:r>
          </w:p>
        </w:tc>
        <w:tc>
          <w:tcPr>
            <w:tcW w:w="5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FIFTEEN - MEETINGS OF HOLDERS OF SECURITIES</w:t>
            </w:r>
          </w:p>
        </w:tc>
        <w:tc>
          <w:tcPr>
            <w:tcW w:w="5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1501.</w:t>
            </w:r>
          </w:p>
        </w:tc>
        <w:tc>
          <w:tcPr>
            <w:tcW w:w="6420" w:type="dxa"/>
            <w:vAlign w:val="bottom"/>
          </w:tcPr>
          <w:p>
            <w:pPr>
              <w:ind w:left="160"/>
              <w:spacing w:after="0"/>
              <w:rPr>
                <w:sz w:val="20"/>
                <w:szCs w:val="20"/>
                <w:color w:val="auto"/>
              </w:rPr>
            </w:pPr>
            <w:r>
              <w:rPr>
                <w:rFonts w:ascii="Arial" w:cs="Arial" w:eastAsia="Arial" w:hAnsi="Arial"/>
                <w:sz w:val="22"/>
                <w:szCs w:val="22"/>
                <w:color w:val="auto"/>
              </w:rPr>
              <w:t>Purposes for Which Meetings May Be Called</w:t>
            </w:r>
          </w:p>
        </w:tc>
        <w:tc>
          <w:tcPr>
            <w:tcW w:w="560" w:type="dxa"/>
            <w:vAlign w:val="bottom"/>
          </w:tcPr>
          <w:p>
            <w:pPr>
              <w:jc w:val="right"/>
              <w:spacing w:after="0"/>
              <w:rPr>
                <w:sz w:val="20"/>
                <w:szCs w:val="20"/>
                <w:color w:val="auto"/>
              </w:rPr>
            </w:pPr>
            <w:r>
              <w:rPr>
                <w:rFonts w:ascii="Arial" w:cs="Arial" w:eastAsia="Arial" w:hAnsi="Arial"/>
                <w:sz w:val="22"/>
                <w:szCs w:val="22"/>
                <w:color w:val="auto"/>
              </w:rPr>
              <w:t>72</w:t>
            </w: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1502.   Call, Notice and Place of Meetings</w:t>
            </w:r>
          </w:p>
        </w:tc>
        <w:tc>
          <w:tcPr>
            <w:tcW w:w="5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1503.   Persons Entitled to Vote at Meetings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1504.</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Quorum; Action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1505.</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Determination of Voting Rights; Conduct and Adjournment of</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Meetings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5"/>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1506.   Counting Votes and Recording Action of Meetings</w:t>
            </w:r>
          </w:p>
        </w:tc>
        <w:tc>
          <w:tcPr>
            <w:tcW w:w="5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455"/>
        </w:trPr>
        <w:tc>
          <w:tcPr>
            <w:tcW w:w="8440" w:type="dxa"/>
            <w:vAlign w:val="bottom"/>
            <w:gridSpan w:val="2"/>
          </w:tcPr>
          <w:p>
            <w:pPr>
              <w:spacing w:after="0"/>
              <w:rPr>
                <w:sz w:val="20"/>
                <w:szCs w:val="20"/>
                <w:color w:val="auto"/>
              </w:rPr>
            </w:pPr>
            <w:r>
              <w:rPr>
                <w:rFonts w:ascii="Arial" w:cs="Arial" w:eastAsia="Arial" w:hAnsi="Arial"/>
                <w:sz w:val="22"/>
                <w:szCs w:val="22"/>
                <w:color w:val="auto"/>
              </w:rPr>
              <w:t>ARTICLE SIXTEEN - SUBORDINATION OF SECURITIES</w:t>
            </w:r>
          </w:p>
        </w:tc>
        <w:tc>
          <w:tcPr>
            <w:tcW w:w="5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1601.   Agreement to Subordinate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1602.   Payment Over of Proceeds upon Dissolution, Etc</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1603.   No Payment When Senior Indebtedness in Default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1604.   Reliance by Senior Indebtedness on Subordination Provisions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1605.   Subrogation to Rights of Holders of Senior Indebtedness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1606.   Provisions Solely to Define Relative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1607.   Trustee to Effectuate Subordination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1608.   No Waiver of Subordination Provisions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1609.</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Notice to Trustee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1610.   Reliance on Judicial Order or Certificate of Liquidating Agent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1611.   Trustee Not Fiduciary for Holders of Senior Indebtedness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1612.</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w w:val="94"/>
              </w:rPr>
              <w:t>Rights of Trustee as Holder of Senior Indebtedness; Preservation of</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Trustee’s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75"/>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1613.   Article Applicable to Paying Agents</w:t>
            </w:r>
          </w:p>
        </w:tc>
        <w:tc>
          <w:tcPr>
            <w:tcW w:w="5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55"/>
        </w:trPr>
        <w:tc>
          <w:tcPr>
            <w:tcW w:w="8440" w:type="dxa"/>
            <w:vAlign w:val="bottom"/>
            <w:gridSpan w:val="2"/>
          </w:tcPr>
          <w:p>
            <w:pPr>
              <w:spacing w:after="0"/>
              <w:rPr>
                <w:sz w:val="20"/>
                <w:szCs w:val="20"/>
                <w:color w:val="auto"/>
              </w:rPr>
            </w:pPr>
            <w:r>
              <w:rPr>
                <w:rFonts w:ascii="Arial" w:cs="Arial" w:eastAsia="Arial" w:hAnsi="Arial"/>
                <w:sz w:val="22"/>
                <w:szCs w:val="22"/>
                <w:color w:val="auto"/>
              </w:rPr>
              <w:t>ARTICLE SEVENTEEN - CONVERSION OF SECURITIES</w:t>
            </w:r>
          </w:p>
        </w:tc>
        <w:tc>
          <w:tcPr>
            <w:tcW w:w="5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7"/>
              </w:rPr>
              <w:t>SECTION 1701.   Applicability of Article; Conversion Privilege and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1702.   Exercise of Conversion Privilege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1703.</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Fractions of Shares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1704.   Adjustment of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1705.   Notice of Adjustments of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1706.   Notice of Certain Corporate Action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1707.   Company to Reserve Common Stock</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1708.   Taxes on Conversion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1709.   Covenants as to Common Stock</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1710.   Cancellation of Converted Securities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1711.</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Provisions in Case of Consolidation, Merger or Sale of Assets;</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Special Distributions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1712.   Trustee Adjustment Disclaimer; Company Determination Final</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1713.   When No Adjustment Required</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1714.</w:t>
            </w:r>
          </w:p>
        </w:tc>
        <w:tc>
          <w:tcPr>
            <w:tcW w:w="6400" w:type="dxa"/>
            <w:vAlign w:val="bottom"/>
          </w:tcPr>
          <w:p>
            <w:pPr>
              <w:ind w:left="160"/>
              <w:spacing w:after="0"/>
              <w:rPr>
                <w:sz w:val="20"/>
                <w:szCs w:val="20"/>
                <w:color w:val="auto"/>
              </w:rPr>
            </w:pPr>
            <w:r>
              <w:rPr>
                <w:rFonts w:ascii="Arial" w:cs="Arial" w:eastAsia="Arial" w:hAnsi="Arial"/>
                <w:sz w:val="22"/>
                <w:szCs w:val="22"/>
                <w:color w:val="auto"/>
              </w:rPr>
              <w:t>Equivalent Adjustments</w:t>
            </w:r>
          </w:p>
        </w:tc>
        <w:tc>
          <w:tcPr>
            <w:tcW w:w="580" w:type="dxa"/>
            <w:vAlign w:val="bottom"/>
          </w:tcPr>
          <w:p>
            <w:pPr>
              <w:jc w:val="right"/>
              <w:spacing w:after="0"/>
              <w:rPr>
                <w:sz w:val="20"/>
                <w:szCs w:val="20"/>
                <w:color w:val="auto"/>
              </w:rPr>
            </w:pPr>
            <w:r>
              <w:rPr>
                <w:rFonts w:ascii="Arial" w:cs="Arial" w:eastAsia="Arial" w:hAnsi="Arial"/>
                <w:sz w:val="22"/>
                <w:szCs w:val="22"/>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right="819" w:firstLine="648"/>
        <w:spacing w:after="0" w:line="274" w:lineRule="auto"/>
        <w:rPr>
          <w:sz w:val="20"/>
          <w:szCs w:val="20"/>
          <w:color w:val="auto"/>
        </w:rPr>
      </w:pPr>
      <w:r>
        <w:rPr>
          <w:rFonts w:ascii="Arial" w:cs="Arial" w:eastAsia="Arial" w:hAnsi="Arial"/>
          <w:sz w:val="21"/>
          <w:szCs w:val="21"/>
          <w:color w:val="auto"/>
        </w:rPr>
        <w:t>Reconciliation and tie between the Trust Indenture Act of 1939, as amended (the “Trust Indenture Act” or “TIA”) and the Indenture, dated as of __________, 20__.</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gridSpan w:val="4"/>
          </w:tcPr>
          <w:p>
            <w:pPr>
              <w:spacing w:after="0"/>
              <w:rPr>
                <w:sz w:val="20"/>
                <w:szCs w:val="20"/>
                <w:color w:val="auto"/>
              </w:rPr>
            </w:pPr>
            <w:r>
              <w:rPr>
                <w:rFonts w:ascii="Arial" w:cs="Arial" w:eastAsia="Arial" w:hAnsi="Arial"/>
                <w:sz w:val="22"/>
                <w:szCs w:val="22"/>
                <w:color w:val="auto"/>
              </w:rPr>
              <w:t>Trust Indenture</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5"/>
        </w:trPr>
        <w:tc>
          <w:tcPr>
            <w:tcW w:w="1160" w:type="dxa"/>
            <w:vAlign w:val="bottom"/>
          </w:tcPr>
          <w:p>
            <w:pPr>
              <w:spacing w:after="0"/>
              <w:rPr>
                <w:sz w:val="20"/>
                <w:szCs w:val="20"/>
                <w:color w:val="auto"/>
              </w:rPr>
            </w:pPr>
            <w:r>
              <w:rPr>
                <w:rFonts w:ascii="Arial" w:cs="Arial" w:eastAsia="Arial" w:hAnsi="Arial"/>
                <w:sz w:val="22"/>
                <w:szCs w:val="22"/>
                <w:color w:val="auto"/>
              </w:rPr>
              <w:t>Act Section</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80" w:type="dxa"/>
            <w:vAlign w:val="bottom"/>
            <w:gridSpan w:val="3"/>
          </w:tcPr>
          <w:p>
            <w:pPr>
              <w:ind w:left="740"/>
              <w:spacing w:after="0"/>
              <w:rPr>
                <w:sz w:val="20"/>
                <w:szCs w:val="20"/>
                <w:color w:val="auto"/>
              </w:rPr>
            </w:pPr>
            <w:r>
              <w:rPr>
                <w:rFonts w:ascii="Arial" w:cs="Arial" w:eastAsia="Arial" w:hAnsi="Arial"/>
                <w:sz w:val="22"/>
                <w:szCs w:val="22"/>
                <w:color w:val="auto"/>
              </w:rPr>
              <w:t>Indenture Section</w:t>
            </w:r>
          </w:p>
        </w:tc>
      </w:tr>
      <w:tr>
        <w:trPr>
          <w:trHeight w:val="237"/>
        </w:trPr>
        <w:tc>
          <w:tcPr>
            <w:tcW w:w="1160" w:type="dxa"/>
            <w:vAlign w:val="bottom"/>
            <w:tcBorders>
              <w:top w:val="single" w:sz="8" w:color="auto"/>
            </w:tcBorders>
            <w:shd w:val="clear" w:color="auto" w:fill="CCEEFF"/>
          </w:tcPr>
          <w:p>
            <w:pPr>
              <w:spacing w:after="0" w:line="237" w:lineRule="exact"/>
              <w:rPr>
                <w:sz w:val="20"/>
                <w:szCs w:val="20"/>
                <w:color w:val="auto"/>
              </w:rPr>
            </w:pPr>
            <w:r>
              <w:rPr>
                <w:rFonts w:ascii="Arial" w:cs="Arial" w:eastAsia="Arial" w:hAnsi="Arial"/>
                <w:sz w:val="22"/>
                <w:szCs w:val="22"/>
                <w:color w:val="auto"/>
              </w:rPr>
              <w:t>§ 310(a)(1)</w:t>
            </w:r>
          </w:p>
        </w:tc>
        <w:tc>
          <w:tcPr>
            <w:tcW w:w="112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020" w:type="dxa"/>
            <w:vAlign w:val="bottom"/>
            <w:tcBorders>
              <w:top w:val="single" w:sz="8" w:color="auto"/>
            </w:tcBorders>
            <w:shd w:val="clear" w:color="auto" w:fill="CCEEFF"/>
          </w:tcPr>
          <w:p>
            <w:pPr>
              <w:ind w:left="1300"/>
              <w:spacing w:after="0" w:line="237" w:lineRule="exact"/>
              <w:rPr>
                <w:sz w:val="20"/>
                <w:szCs w:val="20"/>
                <w:color w:val="auto"/>
              </w:rPr>
            </w:pPr>
            <w:r>
              <w:rPr>
                <w:rFonts w:ascii="Arial" w:cs="Arial" w:eastAsia="Arial" w:hAnsi="Arial"/>
                <w:sz w:val="22"/>
                <w:szCs w:val="22"/>
                <w:color w:val="auto"/>
              </w:rPr>
              <w:t>607</w:t>
            </w:r>
          </w:p>
        </w:tc>
        <w:tc>
          <w:tcPr>
            <w:tcW w:w="180" w:type="dxa"/>
            <w:vAlign w:val="bottom"/>
            <w:tcBorders>
              <w:top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607</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607,608</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 312(c)</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701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313(a)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702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(c)</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702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314(a)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703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(a)(4)</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1008</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(c)(1)</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(c)(2)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 315(b)</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601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040" w:type="dxa"/>
            <w:vAlign w:val="bottom"/>
            <w:gridSpan w:val="4"/>
            <w:shd w:val="clear" w:color="auto" w:fill="CCEEFF"/>
          </w:tcPr>
          <w:p>
            <w:pPr>
              <w:spacing w:after="0" w:line="243" w:lineRule="exact"/>
              <w:rPr>
                <w:sz w:val="20"/>
                <w:szCs w:val="20"/>
                <w:color w:val="auto"/>
              </w:rPr>
            </w:pPr>
            <w:r>
              <w:rPr>
                <w:rFonts w:ascii="Arial" w:cs="Arial" w:eastAsia="Arial" w:hAnsi="Arial"/>
                <w:sz w:val="22"/>
                <w:szCs w:val="22"/>
                <w:color w:val="auto"/>
              </w:rPr>
              <w:t>§ 316(a) (last sentence)</w:t>
            </w:r>
          </w:p>
        </w:tc>
        <w:tc>
          <w:tcPr>
            <w:tcW w:w="3200" w:type="dxa"/>
            <w:vAlign w:val="bottom"/>
            <w:gridSpan w:val="2"/>
            <w:shd w:val="clear" w:color="auto" w:fill="CCEEFF"/>
          </w:tcPr>
          <w:p>
            <w:pPr>
              <w:ind w:left="1300"/>
              <w:spacing w:after="0" w:line="243" w:lineRule="exact"/>
              <w:rPr>
                <w:sz w:val="20"/>
                <w:szCs w:val="20"/>
                <w:color w:val="auto"/>
              </w:rPr>
            </w:pPr>
            <w:r>
              <w:rPr>
                <w:rFonts w:ascii="Arial" w:cs="Arial" w:eastAsia="Arial" w:hAnsi="Arial"/>
                <w:sz w:val="22"/>
                <w:szCs w:val="22"/>
                <w:color w:val="auto"/>
              </w:rPr>
              <w:t>101(“Outstanding”)</w:t>
            </w: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(a)(1)(A)</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502, 512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(a)(1)(B)</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513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(b)</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508</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317(a)(1)</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503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504</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318(a)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111</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75"/>
        </w:trPr>
        <w:tc>
          <w:tcPr>
            <w:tcW w:w="1160" w:type="dxa"/>
            <w:vAlign w:val="bottom"/>
          </w:tcPr>
          <w:p>
            <w:pPr>
              <w:spacing w:after="0"/>
              <w:rPr>
                <w:sz w:val="20"/>
                <w:szCs w:val="20"/>
                <w:color w:val="auto"/>
              </w:rPr>
            </w:pPr>
            <w:r>
              <w:rPr>
                <w:rFonts w:ascii="Arial" w:cs="Arial" w:eastAsia="Arial" w:hAnsi="Arial"/>
                <w:sz w:val="22"/>
                <w:szCs w:val="22"/>
                <w:color w:val="auto"/>
              </w:rPr>
              <w:t>(c)</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20" w:type="dxa"/>
            <w:vAlign w:val="bottom"/>
          </w:tcPr>
          <w:p>
            <w:pPr>
              <w:ind w:left="1300"/>
              <w:spacing w:after="0"/>
              <w:rPr>
                <w:sz w:val="20"/>
                <w:szCs w:val="20"/>
                <w:color w:val="auto"/>
              </w:rPr>
            </w:pPr>
            <w:r>
              <w:rPr>
                <w:rFonts w:ascii="Arial" w:cs="Arial" w:eastAsia="Arial" w:hAnsi="Arial"/>
                <w:sz w:val="22"/>
                <w:szCs w:val="22"/>
                <w:color w:val="auto"/>
              </w:rPr>
              <w:t>111</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0"/>
        </w:trPr>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140" w:type="dxa"/>
            <w:vAlign w:val="bottom"/>
            <w:gridSpan w:val="5"/>
          </w:tcPr>
          <w:p>
            <w:pPr>
              <w:spacing w:after="0"/>
              <w:rPr>
                <w:sz w:val="24"/>
                <w:szCs w:val="24"/>
                <w:color w:val="auto"/>
              </w:rPr>
            </w:pPr>
          </w:p>
        </w:tc>
      </w:tr>
      <w:tr>
        <w:trPr>
          <w:trHeight w:val="431"/>
        </w:trPr>
        <w:tc>
          <w:tcPr>
            <w:tcW w:w="1160" w:type="dxa"/>
            <w:vAlign w:val="bottom"/>
          </w:tcPr>
          <w:p>
            <w:pPr>
              <w:spacing w:after="0"/>
              <w:rPr>
                <w:sz w:val="20"/>
                <w:szCs w:val="20"/>
                <w:color w:val="auto"/>
              </w:rPr>
            </w:pPr>
            <w:r>
              <w:rPr>
                <w:rFonts w:ascii="Arial" w:cs="Arial" w:eastAsia="Arial" w:hAnsi="Arial"/>
                <w:sz w:val="22"/>
                <w:szCs w:val="22"/>
                <w:color w:val="auto"/>
              </w:rPr>
              <w:t>NOTE:</w:t>
            </w:r>
          </w:p>
        </w:tc>
        <w:tc>
          <w:tcPr>
            <w:tcW w:w="7260" w:type="dxa"/>
            <w:vAlign w:val="bottom"/>
            <w:gridSpan w:val="6"/>
          </w:tcPr>
          <w:p>
            <w:pPr>
              <w:ind w:left="120"/>
              <w:spacing w:after="0"/>
              <w:rPr>
                <w:sz w:val="20"/>
                <w:szCs w:val="20"/>
                <w:color w:val="auto"/>
              </w:rPr>
            </w:pPr>
            <w:r>
              <w:rPr>
                <w:rFonts w:ascii="Arial" w:cs="Arial" w:eastAsia="Arial" w:hAnsi="Arial"/>
                <w:sz w:val="22"/>
                <w:szCs w:val="22"/>
                <w:color w:val="auto"/>
                <w:w w:val="88"/>
              </w:rPr>
              <w:t>This reconciliation and tie shall not, for any purpose, be deemed to be a part of the</w:t>
            </w:r>
          </w:p>
        </w:tc>
      </w:tr>
      <w:tr>
        <w:trPr>
          <w:trHeight w:val="275"/>
        </w:trPr>
        <w:tc>
          <w:tcPr>
            <w:tcW w:w="1160" w:type="dxa"/>
            <w:vAlign w:val="bottom"/>
          </w:tcPr>
          <w:p>
            <w:pPr>
              <w:spacing w:after="0"/>
              <w:rPr>
                <w:sz w:val="20"/>
                <w:szCs w:val="20"/>
                <w:color w:val="auto"/>
              </w:rPr>
            </w:pPr>
            <w:r>
              <w:rPr>
                <w:rFonts w:ascii="Arial" w:cs="Arial" w:eastAsia="Arial" w:hAnsi="Arial"/>
                <w:sz w:val="22"/>
                <w:szCs w:val="22"/>
                <w:color w:val="auto"/>
              </w:rPr>
              <w:t>Indenture.</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185" w:lineRule="exact"/>
        <w:rPr>
          <w:sz w:val="20"/>
          <w:szCs w:val="20"/>
          <w:color w:val="auto"/>
        </w:rPr>
      </w:pPr>
    </w:p>
    <w:p>
      <w:pPr>
        <w:ind w:right="259" w:firstLine="648"/>
        <w:spacing w:after="0" w:line="258" w:lineRule="auto"/>
        <w:rPr>
          <w:sz w:val="20"/>
          <w:szCs w:val="20"/>
          <w:color w:val="auto"/>
        </w:rPr>
      </w:pPr>
      <w:r>
        <w:rPr>
          <w:rFonts w:ascii="Arial" w:cs="Arial" w:eastAsia="Arial" w:hAnsi="Arial"/>
          <w:sz w:val="21"/>
          <w:szCs w:val="21"/>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INDENTURE, dated as of __________, 20__, between BLUEPRINT MEDICINES</w:t>
      </w:r>
    </w:p>
    <w:p>
      <w:pPr>
        <w:spacing w:after="0" w:line="8" w:lineRule="exact"/>
        <w:rPr>
          <w:sz w:val="20"/>
          <w:szCs w:val="20"/>
          <w:color w:val="auto"/>
        </w:rPr>
      </w:pPr>
    </w:p>
    <w:p>
      <w:pPr>
        <w:ind w:right="259"/>
        <w:spacing w:after="0" w:line="267" w:lineRule="auto"/>
        <w:rPr>
          <w:sz w:val="20"/>
          <w:szCs w:val="20"/>
          <w:color w:val="auto"/>
        </w:rPr>
      </w:pPr>
      <w:r>
        <w:rPr>
          <w:rFonts w:ascii="Arial" w:cs="Arial" w:eastAsia="Arial" w:hAnsi="Arial"/>
          <w:sz w:val="19"/>
          <w:szCs w:val="19"/>
          <w:color w:val="auto"/>
        </w:rPr>
        <w:t>CORPORATION, a corporation organized under the laws of the State of Delaware (hereinafter called the “Company”), having its principal office at [____________], and [_______________], as Trustee</w:t>
      </w:r>
    </w:p>
    <w:p>
      <w:pPr>
        <w:ind w:right="2179"/>
        <w:spacing w:after="0" w:line="237" w:lineRule="auto"/>
        <w:rPr>
          <w:sz w:val="20"/>
          <w:szCs w:val="20"/>
          <w:color w:val="auto"/>
        </w:rPr>
      </w:pPr>
      <w:r>
        <w:rPr>
          <w:rFonts w:ascii="Arial" w:cs="Arial" w:eastAsia="Arial" w:hAnsi="Arial"/>
          <w:sz w:val="22"/>
          <w:szCs w:val="22"/>
          <w:color w:val="auto"/>
        </w:rPr>
        <w:t>hereunder (hereinafter called the “Trustee”), having a Corporate Trust Office at [____________________].</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RECITALS OF THE COMPANY</w:t>
      </w:r>
    </w:p>
    <w:p>
      <w:pPr>
        <w:spacing w:after="0" w:line="206" w:lineRule="exact"/>
        <w:rPr>
          <w:sz w:val="20"/>
          <w:szCs w:val="20"/>
          <w:color w:val="auto"/>
        </w:rPr>
      </w:pPr>
    </w:p>
    <w:p>
      <w:pPr>
        <w:ind w:right="39" w:firstLine="648"/>
        <w:spacing w:after="0" w:line="297" w:lineRule="auto"/>
        <w:rPr>
          <w:sz w:val="20"/>
          <w:szCs w:val="20"/>
          <w:color w:val="auto"/>
        </w:rPr>
      </w:pPr>
      <w:r>
        <w:rPr>
          <w:rFonts w:ascii="Arial" w:cs="Arial" w:eastAsia="Arial" w:hAnsi="Arial"/>
          <w:sz w:val="19"/>
          <w:szCs w:val="19"/>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459105</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61" w:right="1440" w:bottom="1440" w:gutter="0" w:footer="0" w:header="0"/>
        </w:sectPr>
      </w:pPr>
    </w:p>
    <w:bookmarkStart w:id="159" w:name="page160"/>
    <w:bookmarkEnd w:id="159"/>
    <w:p>
      <w:pPr>
        <w:ind w:right="679"/>
        <w:spacing w:after="0" w:line="251" w:lineRule="auto"/>
        <w:rPr>
          <w:sz w:val="20"/>
          <w:szCs w:val="20"/>
          <w:color w:val="auto"/>
        </w:rPr>
      </w:pPr>
      <w:r>
        <w:rPr>
          <w:rFonts w:ascii="Arial" w:cs="Arial" w:eastAsia="Arial" w:hAnsi="Arial"/>
          <w:sz w:val="22"/>
          <w:szCs w:val="22"/>
          <w:color w:val="auto"/>
        </w:rPr>
        <w:t>provide for the issuance from time to time of the Securities, to be issued in one or more Series as provided in this Indenture.</w:t>
      </w:r>
    </w:p>
    <w:p>
      <w:pPr>
        <w:spacing w:after="0" w:line="174" w:lineRule="exact"/>
        <w:rPr>
          <w:sz w:val="20"/>
          <w:szCs w:val="20"/>
          <w:color w:val="auto"/>
        </w:rPr>
      </w:pPr>
    </w:p>
    <w:p>
      <w:pPr>
        <w:ind w:right="79" w:firstLine="648"/>
        <w:spacing w:after="0"/>
        <w:rPr>
          <w:sz w:val="20"/>
          <w:szCs w:val="20"/>
          <w:color w:val="auto"/>
        </w:rPr>
      </w:pPr>
      <w:r>
        <w:rPr>
          <w:rFonts w:ascii="Arial" w:cs="Arial" w:eastAsia="Arial" w:hAnsi="Arial"/>
          <w:sz w:val="22"/>
          <w:szCs w:val="22"/>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86" w:lineRule="exact"/>
        <w:rPr>
          <w:sz w:val="20"/>
          <w:szCs w:val="20"/>
          <w:color w:val="auto"/>
        </w:rPr>
      </w:pPr>
    </w:p>
    <w:p>
      <w:pPr>
        <w:ind w:right="779" w:firstLine="648"/>
        <w:spacing w:after="0" w:line="251" w:lineRule="auto"/>
        <w:rPr>
          <w:sz w:val="20"/>
          <w:szCs w:val="20"/>
          <w:color w:val="auto"/>
        </w:rPr>
      </w:pPr>
      <w:r>
        <w:rPr>
          <w:rFonts w:ascii="Arial" w:cs="Arial" w:eastAsia="Arial" w:hAnsi="Arial"/>
          <w:sz w:val="22"/>
          <w:szCs w:val="22"/>
          <w:color w:val="auto"/>
        </w:rPr>
        <w:t>All things necessary to make this Indenture a valid and legally binding agreement of the Company, in accordance with its terms, have been done.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INDENTURE WITNESSETH:</w:t>
      </w:r>
    </w:p>
    <w:p>
      <w:pPr>
        <w:spacing w:after="0" w:line="206" w:lineRule="exact"/>
        <w:rPr>
          <w:sz w:val="20"/>
          <w:szCs w:val="20"/>
          <w:color w:val="auto"/>
        </w:rPr>
      </w:pPr>
    </w:p>
    <w:p>
      <w:pPr>
        <w:ind w:right="219" w:firstLine="648"/>
        <w:spacing w:after="0"/>
        <w:rPr>
          <w:sz w:val="20"/>
          <w:szCs w:val="20"/>
          <w:color w:val="auto"/>
        </w:rPr>
      </w:pPr>
      <w:r>
        <w:rPr>
          <w:rFonts w:ascii="Arial" w:cs="Arial" w:eastAsia="Arial" w:hAnsi="Arial"/>
          <w:sz w:val="22"/>
          <w:szCs w:val="22"/>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ARTICLE ONE - DEFINITIONS AND OTHER PROVISIONS OF GENERAL APPLICATION</w:t>
      </w:r>
    </w:p>
    <w:p>
      <w:pPr>
        <w:spacing w:after="0" w:line="206" w:lineRule="exact"/>
        <w:rPr>
          <w:sz w:val="20"/>
          <w:szCs w:val="20"/>
          <w:color w:val="auto"/>
        </w:rPr>
      </w:pPr>
    </w:p>
    <w:p>
      <w:pPr>
        <w:ind w:right="39"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all purposes of this Indenture, except as otherwise expressly provided or unless the context otherwise requires:</w:t>
      </w:r>
    </w:p>
    <w:p>
      <w:pPr>
        <w:spacing w:after="0" w:line="173" w:lineRule="exact"/>
        <w:rPr>
          <w:sz w:val="20"/>
          <w:szCs w:val="20"/>
          <w:color w:val="auto"/>
        </w:rPr>
      </w:pPr>
    </w:p>
    <w:p>
      <w:pPr>
        <w:ind w:left="660" w:right="539" w:firstLine="639"/>
        <w:spacing w:after="0" w:line="251" w:lineRule="auto"/>
        <w:tabs>
          <w:tab w:leader="none" w:pos="200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173" w:lineRule="exact"/>
        <w:rPr>
          <w:rFonts w:ascii="Arial" w:cs="Arial" w:eastAsia="Arial" w:hAnsi="Arial"/>
          <w:sz w:val="22"/>
          <w:szCs w:val="22"/>
          <w:color w:val="auto"/>
        </w:rPr>
      </w:pPr>
    </w:p>
    <w:p>
      <w:pPr>
        <w:ind w:left="660" w:right="59" w:firstLine="639"/>
        <w:spacing w:after="0" w:line="251" w:lineRule="exact"/>
        <w:tabs>
          <w:tab w:leader="none" w:pos="200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all other terms used herein which are defined in the TIA, either directly or by reference therein, have the meanings assigned to them therein, and the terms “cash transactions” and “self</w:t>
      </w:r>
      <w:r>
        <w:rPr>
          <w:rFonts w:ascii="MS PGothic" w:cs="MS PGothic" w:eastAsia="MS PGothic" w:hAnsi="MS PGothic"/>
          <w:sz w:val="21"/>
          <w:szCs w:val="21"/>
          <w:color w:val="auto"/>
        </w:rPr>
        <w:t>‑</w:t>
      </w:r>
      <w:r>
        <w:rPr>
          <w:rFonts w:ascii="Arial" w:cs="Arial" w:eastAsia="Arial" w:hAnsi="Arial"/>
          <w:sz w:val="21"/>
          <w:szCs w:val="21"/>
          <w:color w:val="auto"/>
        </w:rPr>
        <w:t>liquidating paper,” as used in TIA Section 311, shall have the meanings assigned to them in the rules of the Commission adopted under the TIA;</w:t>
      </w:r>
    </w:p>
    <w:p>
      <w:pPr>
        <w:spacing w:after="0" w:line="186" w:lineRule="exact"/>
        <w:rPr>
          <w:rFonts w:ascii="Arial" w:cs="Arial" w:eastAsia="Arial" w:hAnsi="Arial"/>
          <w:sz w:val="21"/>
          <w:szCs w:val="21"/>
          <w:color w:val="auto"/>
        </w:rPr>
      </w:pPr>
    </w:p>
    <w:p>
      <w:pPr>
        <w:ind w:left="660" w:right="79" w:firstLine="639"/>
        <w:spacing w:after="0" w:line="251" w:lineRule="auto"/>
        <w:tabs>
          <w:tab w:leader="none" w:pos="200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all accounting terms not otherwise defined herein have the meanings assigned to them in accordance with GAAP;</w:t>
      </w:r>
    </w:p>
    <w:p>
      <w:pPr>
        <w:spacing w:after="0" w:line="173" w:lineRule="exact"/>
        <w:rPr>
          <w:rFonts w:ascii="Arial" w:cs="Arial" w:eastAsia="Arial" w:hAnsi="Arial"/>
          <w:sz w:val="22"/>
          <w:szCs w:val="22"/>
          <w:color w:val="auto"/>
        </w:rPr>
      </w:pPr>
    </w:p>
    <w:p>
      <w:pPr>
        <w:ind w:left="660" w:right="39" w:firstLine="639"/>
        <w:spacing w:after="0" w:line="251" w:lineRule="auto"/>
        <w:tabs>
          <w:tab w:leader="none" w:pos="200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any reference to an “Article” or a “Section” refers to an Article or Section, as the case may be, of this Indenture; and</w:t>
      </w:r>
    </w:p>
    <w:p>
      <w:pPr>
        <w:spacing w:after="0" w:line="173" w:lineRule="exact"/>
        <w:rPr>
          <w:rFonts w:ascii="Arial" w:cs="Arial" w:eastAsia="Arial" w:hAnsi="Arial"/>
          <w:sz w:val="22"/>
          <w:szCs w:val="22"/>
          <w:color w:val="auto"/>
        </w:rPr>
      </w:pPr>
    </w:p>
    <w:p>
      <w:pPr>
        <w:jc w:val="both"/>
        <w:ind w:left="660" w:right="119" w:firstLine="639"/>
        <w:spacing w:after="0" w:line="328" w:lineRule="auto"/>
        <w:tabs>
          <w:tab w:leader="none" w:pos="200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words “herein,” “hereof “and “hereunder” and other words of similar import refer to this Indenture as a whole and not to any particular Article, Section or other subdivision.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w:t>
      </w:r>
      <w:r>
        <w:rPr>
          <w:rFonts w:ascii="Arial" w:cs="Arial" w:eastAsia="Arial" w:hAnsi="Arial"/>
          <w:sz w:val="21"/>
          <w:szCs w:val="21"/>
          <w:color w:val="auto"/>
        </w:rPr>
        <w:t>,” when used with respect to any Holder, has the meaning specified in Section 104.</w:t>
      </w:r>
    </w:p>
    <w:p>
      <w:pPr>
        <w:spacing w:after="0" w:line="218" w:lineRule="exact"/>
        <w:rPr>
          <w:sz w:val="20"/>
          <w:szCs w:val="20"/>
          <w:color w:val="auto"/>
        </w:rPr>
      </w:pPr>
    </w:p>
    <w:p>
      <w:pPr>
        <w:ind w:right="9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ind w:right="37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Authenticating Agent</w:t>
      </w:r>
      <w:r>
        <w:rPr>
          <w:rFonts w:ascii="Arial" w:cs="Arial" w:eastAsia="Arial" w:hAnsi="Arial"/>
          <w:sz w:val="19"/>
          <w:szCs w:val="19"/>
          <w:color w:val="auto"/>
        </w:rPr>
        <w:t>” means any Person authorized by the Trustee pursuant to Section 611 hereof to act on behalf of the Trustee to authenticate Securities of one or more Series.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60" w:name="page161"/>
    <w:bookmarkEnd w:id="160"/>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Newspaper</w:t>
      </w:r>
      <w:r>
        <w:rPr>
          <w:rFonts w:ascii="Arial" w:cs="Arial" w:eastAsia="Arial" w:hAnsi="Arial"/>
          <w:sz w:val="21"/>
          <w:szCs w:val="21"/>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Bearer Security</w:t>
      </w:r>
      <w:r>
        <w:rPr>
          <w:rFonts w:ascii="Arial" w:cs="Arial" w:eastAsia="Arial" w:hAnsi="Arial"/>
          <w:sz w:val="22"/>
          <w:szCs w:val="22"/>
          <w:color w:val="auto"/>
        </w:rPr>
        <w:t>” means any Security established pursuant to Section 201 which is payable to the bearer.</w:t>
      </w:r>
    </w:p>
    <w:p>
      <w:pPr>
        <w:spacing w:after="0" w:line="173"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Resolution</w:t>
      </w:r>
      <w:r>
        <w:rPr>
          <w:rFonts w:ascii="Arial" w:cs="Arial" w:eastAsia="Arial" w:hAnsi="Arial"/>
          <w:sz w:val="19"/>
          <w:szCs w:val="19"/>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w:t>
      </w:r>
    </w:p>
    <w:p>
      <w:pPr>
        <w:spacing w:after="0" w:line="2" w:lineRule="exact"/>
        <w:rPr>
          <w:sz w:val="20"/>
          <w:szCs w:val="20"/>
          <w:color w:val="auto"/>
        </w:rPr>
      </w:pPr>
    </w:p>
    <w:p>
      <w:pPr>
        <w:ind w:right="20" w:firstLine="3"/>
        <w:spacing w:after="0" w:line="233" w:lineRule="auto"/>
        <w:tabs>
          <w:tab w:leader="none" w:pos="30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6"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48"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Clearstream</w:t>
      </w:r>
      <w:r>
        <w:rPr>
          <w:rFonts w:ascii="Arial" w:cs="Arial" w:eastAsia="Arial" w:hAnsi="Arial"/>
          <w:sz w:val="19"/>
          <w:szCs w:val="19"/>
          <w:color w:val="auto"/>
        </w:rPr>
        <w:t>” means Clearstream Banking Luxembourg, société anonyme, or its successor.</w:t>
      </w:r>
    </w:p>
    <w:p>
      <w:pPr>
        <w:spacing w:after="0" w:line="241" w:lineRule="exact"/>
        <w:rPr>
          <w:sz w:val="20"/>
          <w:szCs w:val="20"/>
          <w:color w:val="auto"/>
        </w:rPr>
      </w:pPr>
    </w:p>
    <w:p>
      <w:pPr>
        <w:ind w:right="7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Price</w:t>
      </w:r>
      <w:r>
        <w:rPr>
          <w:rFonts w:ascii="Arial" w:cs="Arial" w:eastAsia="Arial" w:hAnsi="Arial"/>
          <w:sz w:val="22"/>
          <w:szCs w:val="22"/>
          <w:color w:val="auto"/>
        </w:rPr>
        <w:t>” means the closing price of a share of Common Stock of the Company as reported on the NASDAQ Global Select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regulations thereunder.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Securities and Exchange Commission, as from time to time</w:t>
      </w:r>
    </w:p>
    <w:p>
      <w:pPr>
        <w:spacing w:after="0" w:line="8" w:lineRule="exact"/>
        <w:rPr>
          <w:sz w:val="20"/>
          <w:szCs w:val="20"/>
          <w:color w:val="auto"/>
        </w:rPr>
      </w:pPr>
    </w:p>
    <w:p>
      <w:pPr>
        <w:jc w:val="center"/>
        <w:ind w:right="320"/>
        <w:spacing w:after="0" w:line="439" w:lineRule="auto"/>
        <w:rPr>
          <w:sz w:val="20"/>
          <w:szCs w:val="20"/>
          <w:color w:val="auto"/>
        </w:rPr>
      </w:pPr>
      <w:r>
        <w:rPr>
          <w:rFonts w:ascii="Arial" w:cs="Arial" w:eastAsia="Arial" w:hAnsi="Arial"/>
          <w:sz w:val="22"/>
          <w:szCs w:val="22"/>
          <w:color w:val="auto"/>
        </w:rPr>
        <w:t>constituted, created under the Exchange Act, or, if at any time after execution of this instrument such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1" w:name="page162"/>
    <w:bookmarkEnd w:id="161"/>
    <w:p>
      <w:pPr>
        <w:ind w:right="120"/>
        <w:spacing w:after="0" w:line="251" w:lineRule="auto"/>
        <w:rPr>
          <w:sz w:val="20"/>
          <w:szCs w:val="20"/>
          <w:color w:val="auto"/>
        </w:rPr>
      </w:pPr>
      <w:r>
        <w:rPr>
          <w:rFonts w:ascii="Arial" w:cs="Arial" w:eastAsia="Arial" w:hAnsi="Arial"/>
          <w:sz w:val="22"/>
          <w:szCs w:val="22"/>
          <w:color w:val="auto"/>
        </w:rPr>
        <w:t>Commission is not existing and performing the duties now assigned to it under the Trust Indenture Act, then the body performing such duties on such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Depository</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with respect to any Person, all shares of capital stock issued by such Person other than Preferred Stock.</w:t>
      </w:r>
    </w:p>
    <w:p>
      <w:pPr>
        <w:spacing w:after="0" w:line="173" w:lineRule="exact"/>
        <w:rPr>
          <w:sz w:val="20"/>
          <w:szCs w:val="20"/>
          <w:color w:val="auto"/>
        </w:rPr>
      </w:pPr>
    </w:p>
    <w:p>
      <w:pPr>
        <w:ind w:right="2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Request</w:t>
      </w:r>
      <w:r>
        <w:rPr>
          <w:rFonts w:ascii="Arial" w:cs="Arial" w:eastAsia="Arial" w:hAnsi="Arial"/>
          <w:sz w:val="22"/>
          <w:szCs w:val="22"/>
          <w:color w:val="auto"/>
        </w:rPr>
        <w:t>” and “</w:t>
      </w:r>
      <w:r>
        <w:rPr>
          <w:rFonts w:ascii="Arial" w:cs="Arial" w:eastAsia="Arial" w:hAnsi="Arial"/>
          <w:sz w:val="22"/>
          <w:szCs w:val="22"/>
          <w:u w:val="single" w:color="auto"/>
          <w:color w:val="auto"/>
        </w:rPr>
        <w:t>Company Order</w:t>
      </w:r>
      <w:r>
        <w:rPr>
          <w:rFonts w:ascii="Arial" w:cs="Arial" w:eastAsia="Arial" w:hAnsi="Arial"/>
          <w:sz w:val="22"/>
          <w:szCs w:val="22"/>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Person</w:t>
      </w:r>
      <w:r>
        <w:rPr>
          <w:rFonts w:ascii="Arial" w:cs="Arial" w:eastAsia="Arial" w:hAnsi="Arial"/>
          <w:sz w:val="22"/>
          <w:szCs w:val="22"/>
          <w:color w:val="auto"/>
        </w:rPr>
        <w:t>” has the meaning specified in Section 1711.</w:t>
      </w:r>
    </w:p>
    <w:p>
      <w:pPr>
        <w:spacing w:after="0" w:line="206"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Event</w:t>
      </w:r>
      <w:r>
        <w:rPr>
          <w:rFonts w:ascii="Arial" w:cs="Arial" w:eastAsia="Arial" w:hAnsi="Arial"/>
          <w:sz w:val="21"/>
          <w:szCs w:val="21"/>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Price</w:t>
      </w:r>
      <w:r>
        <w:rPr>
          <w:rFonts w:ascii="Arial" w:cs="Arial" w:eastAsia="Arial" w:hAnsi="Arial"/>
          <w:sz w:val="22"/>
          <w:szCs w:val="22"/>
          <w:color w:val="auto"/>
        </w:rPr>
        <w:t>” has the meaning specified in Section 1701.</w:t>
      </w:r>
    </w:p>
    <w:p>
      <w:pPr>
        <w:spacing w:after="0" w:line="206"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Trust Office</w:t>
      </w:r>
      <w:r>
        <w:rPr>
          <w:rFonts w:ascii="Arial" w:cs="Arial" w:eastAsia="Arial" w:hAnsi="Arial"/>
          <w:sz w:val="22"/>
          <w:szCs w:val="22"/>
          <w:color w:val="auto"/>
        </w:rPr>
        <w:t>” means the office of the Trustee at which, at any particular time, its corporate trust business shall be principally administered, which office at the date hereof is located at [____________________].</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includes corporations, associations, companies and business trusts.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coupon</w:t>
      </w:r>
      <w:r>
        <w:rPr>
          <w:rFonts w:ascii="Arial" w:cs="Arial" w:eastAsia="Arial" w:hAnsi="Arial"/>
          <w:sz w:val="22"/>
          <w:szCs w:val="22"/>
          <w:color w:val="auto"/>
        </w:rPr>
        <w:t>” means any interest coupon appertaining to a Bearer Security.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Defeasance</w:t>
      </w:r>
      <w:r>
        <w:rPr>
          <w:rFonts w:ascii="Arial" w:cs="Arial" w:eastAsia="Arial" w:hAnsi="Arial"/>
          <w:sz w:val="22"/>
          <w:szCs w:val="22"/>
          <w:color w:val="auto"/>
        </w:rPr>
        <w:t>” has the meaning specified in Section 1403.</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Custodian</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Defaulted Interest</w:t>
      </w:r>
      <w:r>
        <w:rPr>
          <w:rFonts w:ascii="Arial" w:cs="Arial" w:eastAsia="Arial" w:hAnsi="Arial"/>
          <w:sz w:val="22"/>
          <w:szCs w:val="22"/>
          <w:color w:val="auto"/>
        </w:rPr>
        <w:t>” has the meaning specified in Section 307.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w:t>
      </w:r>
      <w:r>
        <w:rPr>
          <w:rFonts w:ascii="Arial" w:cs="Arial" w:eastAsia="Arial" w:hAnsi="Arial"/>
          <w:sz w:val="22"/>
          <w:szCs w:val="22"/>
          <w:color w:val="auto"/>
        </w:rPr>
        <w:t>” has the meaning specified in Section 1402.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Record Date</w:t>
      </w:r>
      <w:r>
        <w:rPr>
          <w:rFonts w:ascii="Arial" w:cs="Arial" w:eastAsia="Arial" w:hAnsi="Arial"/>
          <w:sz w:val="22"/>
          <w:szCs w:val="22"/>
          <w:color w:val="auto"/>
        </w:rPr>
        <w:t>” has the meaning specified in Section 1711.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2" w:name="page163"/>
    <w:bookmarkEnd w:id="162"/>
    <w:p>
      <w:pPr>
        <w:ind w:right="8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or the sign “</w:t>
      </w:r>
      <w:r>
        <w:rPr>
          <w:rFonts w:ascii="Arial" w:cs="Arial" w:eastAsia="Arial" w:hAnsi="Arial"/>
          <w:sz w:val="22"/>
          <w:szCs w:val="22"/>
          <w:u w:val="single" w:color="auto"/>
          <w:color w:val="auto"/>
        </w:rPr>
        <w:t>$</w:t>
      </w:r>
      <w:r>
        <w:rPr>
          <w:rFonts w:ascii="Arial" w:cs="Arial" w:eastAsia="Arial" w:hAnsi="Arial"/>
          <w:sz w:val="22"/>
          <w:szCs w:val="22"/>
          <w:color w:val="auto"/>
        </w:rPr>
        <w:t>” means a dollar or other equivalent unit in such coin or currency of the United States of America as at the time of payment is legal tender for the payment of public and private debts.</w:t>
      </w:r>
    </w:p>
    <w:p>
      <w:pPr>
        <w:spacing w:after="0" w:line="184" w:lineRule="exact"/>
        <w:rPr>
          <w:sz w:val="20"/>
          <w:szCs w:val="20"/>
          <w:color w:val="auto"/>
        </w:rPr>
      </w:pPr>
    </w:p>
    <w:p>
      <w:pPr>
        <w:ind w:right="5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and any successor to DTC in its capacity as depository for any Securities.</w:t>
      </w:r>
    </w:p>
    <w:p>
      <w:pPr>
        <w:spacing w:after="0" w:line="173" w:lineRule="exact"/>
        <w:rPr>
          <w:sz w:val="20"/>
          <w:szCs w:val="20"/>
          <w:color w:val="auto"/>
        </w:rPr>
      </w:pPr>
    </w:p>
    <w:p>
      <w:pPr>
        <w:ind w:right="5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ECU</w:t>
      </w:r>
      <w:r>
        <w:rPr>
          <w:rFonts w:ascii="Arial" w:cs="Arial" w:eastAsia="Arial" w:hAnsi="Arial"/>
          <w:sz w:val="22"/>
          <w:szCs w:val="22"/>
          <w:color w:val="auto"/>
        </w:rPr>
        <w:t>” means the European Currency Unit as defined and revised from time to time by the Council of the European Communities.</w:t>
      </w:r>
    </w:p>
    <w:p>
      <w:pPr>
        <w:spacing w:after="0" w:line="173"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Morgan Guaranty Trust Company of New York, Brussels office, or its successor, as operator of the Euroclear System.</w:t>
      </w:r>
    </w:p>
    <w:p>
      <w:pPr>
        <w:spacing w:after="0" w:line="173"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Communities</w:t>
      </w:r>
      <w:r>
        <w:rPr>
          <w:rFonts w:ascii="Arial" w:cs="Arial" w:eastAsia="Arial" w:hAnsi="Arial"/>
          <w:sz w:val="22"/>
          <w:szCs w:val="22"/>
          <w:color w:val="auto"/>
        </w:rPr>
        <w:t>” means the European Economic Community, the European Coal and Steel Community and the European Atomic Energy Community.</w:t>
      </w:r>
    </w:p>
    <w:p>
      <w:pPr>
        <w:spacing w:after="0" w:line="173"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European Monetary System</w:t>
      </w:r>
      <w:r>
        <w:rPr>
          <w:rFonts w:ascii="Arial" w:cs="Arial" w:eastAsia="Arial" w:hAnsi="Arial"/>
          <w:sz w:val="21"/>
          <w:szCs w:val="21"/>
          <w:color w:val="auto"/>
        </w:rPr>
        <w:t>” means the European Monetary System established by the Resolution of December 5, 1978 of the Council of the European Communities.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specified in Article Five.</w:t>
      </w:r>
    </w:p>
    <w:p>
      <w:pPr>
        <w:spacing w:after="0" w:line="206"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means the Securities Exchange Act of 1934, as amended, as in force at the date as of which this Indenture was executed;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the Exchange Act is amended after such date, “Exchange Act” means to the extent required by any such amendment, the Exchange Act as so amended.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right="300" w:firstLine="7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Currency</w:t>
      </w:r>
      <w:r>
        <w:rPr>
          <w:rFonts w:ascii="Arial" w:cs="Arial" w:eastAsia="Arial" w:hAnsi="Arial"/>
          <w:sz w:val="19"/>
          <w:szCs w:val="19"/>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34" w:lineRule="exact"/>
        <w:rPr>
          <w:sz w:val="20"/>
          <w:szCs w:val="20"/>
          <w:color w:val="auto"/>
        </w:rPr>
      </w:pPr>
    </w:p>
    <w:p>
      <w:pPr>
        <w:ind w:right="1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except as otherwise provided herein, generally accepted accounting principles, as in effect from time to time, as used in the United States applied on a consistent basis.</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w:t>
      </w:r>
      <w:r>
        <w:rPr>
          <w:rFonts w:ascii="Arial" w:cs="Arial" w:eastAsia="Arial" w:hAnsi="Arial"/>
          <w:sz w:val="22"/>
          <w:szCs w:val="22"/>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8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Obligations</w:t>
      </w:r>
      <w:r>
        <w:rPr>
          <w:rFonts w:ascii="Arial" w:cs="Arial" w:eastAsia="Arial" w:hAnsi="Arial"/>
          <w:sz w:val="19"/>
          <w:szCs w:val="19"/>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3" w:name="page164"/>
    <w:bookmarkEnd w:id="163"/>
    <w:p>
      <w:pPr>
        <w:ind w:right="40"/>
        <w:spacing w:after="0" w:line="247" w:lineRule="auto"/>
        <w:rPr>
          <w:sz w:val="20"/>
          <w:szCs w:val="20"/>
          <w:color w:val="auto"/>
        </w:rPr>
      </w:pPr>
      <w:r>
        <w:rPr>
          <w:rFonts w:ascii="Arial" w:cs="Arial" w:eastAsia="Arial" w:hAnsi="Arial"/>
          <w:sz w:val="21"/>
          <w:szCs w:val="21"/>
          <w:color w:val="auto"/>
        </w:rPr>
        <w:t xml:space="preserve">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Guaranty by any Person shall not include endorsements by such Person for collection or deposit, in either case in the ordinary course of business. The terms “</w:t>
      </w:r>
      <w:r>
        <w:rPr>
          <w:rFonts w:ascii="Arial" w:cs="Arial" w:eastAsia="Arial" w:hAnsi="Arial"/>
          <w:sz w:val="19"/>
          <w:szCs w:val="19"/>
          <w:u w:val="single" w:color="auto"/>
          <w:color w:val="auto"/>
        </w:rPr>
        <w:t>Guaranteed</w:t>
      </w:r>
      <w:r>
        <w:rPr>
          <w:rFonts w:ascii="Arial" w:cs="Arial" w:eastAsia="Arial" w:hAnsi="Arial"/>
          <w:sz w:val="19"/>
          <w:szCs w:val="19"/>
          <w:color w:val="auto"/>
        </w:rPr>
        <w:t>,” “</w:t>
      </w:r>
      <w:r>
        <w:rPr>
          <w:rFonts w:ascii="Arial" w:cs="Arial" w:eastAsia="Arial" w:hAnsi="Arial"/>
          <w:sz w:val="19"/>
          <w:szCs w:val="19"/>
          <w:u w:val="single" w:color="auto"/>
          <w:color w:val="auto"/>
        </w:rPr>
        <w:t>Guaranteeing</w:t>
      </w:r>
      <w:r>
        <w:rPr>
          <w:rFonts w:ascii="Arial" w:cs="Arial" w:eastAsia="Arial" w:hAnsi="Arial"/>
          <w:sz w:val="19"/>
          <w:szCs w:val="19"/>
          <w:color w:val="auto"/>
        </w:rPr>
        <w:t>” and “</w:t>
      </w:r>
      <w:r>
        <w:rPr>
          <w:rFonts w:ascii="Arial" w:cs="Arial" w:eastAsia="Arial" w:hAnsi="Arial"/>
          <w:sz w:val="19"/>
          <w:szCs w:val="19"/>
          <w:u w:val="single" w:color="auto"/>
          <w:color w:val="auto"/>
        </w:rPr>
        <w:t>Guarantor</w:t>
      </w:r>
      <w:r>
        <w:rPr>
          <w:rFonts w:ascii="Arial" w:cs="Arial" w:eastAsia="Arial" w:hAnsi="Arial"/>
          <w:sz w:val="19"/>
          <w:szCs w:val="19"/>
          <w:color w:val="auto"/>
        </w:rPr>
        <w:t>” shall have meanings correlative to the foregoing.</w:t>
      </w:r>
    </w:p>
    <w:p>
      <w:pPr>
        <w:spacing w:after="0" w:line="156" w:lineRule="exact"/>
        <w:rPr>
          <w:sz w:val="20"/>
          <w:szCs w:val="20"/>
          <w:color w:val="auto"/>
        </w:rPr>
      </w:pPr>
    </w:p>
    <w:p>
      <w:pPr>
        <w:jc w:val="both"/>
        <w:ind w:right="3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w:t>
      </w:r>
      <w:r>
        <w:rPr>
          <w:rFonts w:ascii="Arial" w:cs="Arial" w:eastAsia="Arial" w:hAnsi="Arial"/>
          <w:sz w:val="21"/>
          <w:szCs w:val="21"/>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200" w:lineRule="exact"/>
        <w:rPr>
          <w:sz w:val="20"/>
          <w:szCs w:val="20"/>
          <w:color w:val="auto"/>
        </w:rPr>
      </w:pPr>
    </w:p>
    <w:p>
      <w:pPr>
        <w:spacing w:after="0" w:line="21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more than one Person is acting as Trustee under this instrument, “Indenture” shall mean, with respect to any one 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4" w:name="page165"/>
    <w:bookmarkEnd w:id="164"/>
    <w:p>
      <w:pPr>
        <w:spacing w:after="0" w:line="245" w:lineRule="auto"/>
        <w:rPr>
          <w:sz w:val="20"/>
          <w:szCs w:val="20"/>
          <w:color w:val="auto"/>
        </w:rPr>
      </w:pPr>
      <w:r>
        <w:rPr>
          <w:rFonts w:ascii="Arial" w:cs="Arial" w:eastAsia="Arial" w:hAnsi="Arial"/>
          <w:sz w:val="21"/>
          <w:szCs w:val="21"/>
          <w:color w:val="auto"/>
        </w:rPr>
        <w:t>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6"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Indexed Security</w:t>
      </w:r>
      <w:r>
        <w:rPr>
          <w:rFonts w:ascii="Arial" w:cs="Arial" w:eastAsia="Arial" w:hAnsi="Arial"/>
          <w:sz w:val="22"/>
          <w:szCs w:val="22"/>
          <w:color w:val="auto"/>
        </w:rPr>
        <w:t>” means a Security the terms of which provide that the principal amount thereof payable at Stated Maturity may be more or less than the principal face amount thereof at original issuance.</w:t>
      </w:r>
    </w:p>
    <w:p>
      <w:pPr>
        <w:spacing w:after="0" w:line="186"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when used with respect to an Original Issue Discount Security which by its terms bears interest only after Maturity, shall mean interest payable after Maturity.</w:t>
      </w:r>
    </w:p>
    <w:p>
      <w:pPr>
        <w:spacing w:after="0" w:line="173"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when used with respect to any Security, means the Stated Maturity of an installment of interest on such Security.</w:t>
      </w:r>
    </w:p>
    <w:p>
      <w:pPr>
        <w:spacing w:after="0" w:line="173"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Make-Whole Amount</w:t>
      </w:r>
      <w:r>
        <w:rPr>
          <w:rFonts w:ascii="Arial" w:cs="Arial" w:eastAsia="Arial" w:hAnsi="Arial"/>
          <w:sz w:val="22"/>
          <w:szCs w:val="22"/>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 of the Distribution</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w:t>
      </w:r>
      <w:r>
        <w:rPr>
          <w:rFonts w:ascii="Arial" w:cs="Arial" w:eastAsia="Arial" w:hAnsi="Arial"/>
          <w:sz w:val="21"/>
          <w:szCs w:val="21"/>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7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w:t>
      </w:r>
      <w:r>
        <w:rPr>
          <w:rFonts w:ascii="Arial" w:cs="Arial" w:eastAsia="Arial" w:hAnsi="Arial"/>
          <w:sz w:val="19"/>
          <w:szCs w:val="19"/>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4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Officers’ Certificate</w:t>
      </w:r>
      <w:r>
        <w:rPr>
          <w:rFonts w:ascii="Arial" w:cs="Arial" w:eastAsia="Arial" w:hAnsi="Arial"/>
          <w:sz w:val="19"/>
          <w:szCs w:val="19"/>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5" w:name="page166"/>
    <w:bookmarkEnd w:id="165"/>
    <w:p>
      <w:pPr>
        <w:ind w:right="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of counsel, who may be counsel for the Company or who may be an employee of or other counsel for the Company.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Issue Discount Security</w:t>
      </w:r>
      <w:r>
        <w:rPr>
          <w:rFonts w:ascii="Arial" w:cs="Arial" w:eastAsia="Arial" w:hAnsi="Arial"/>
          <w:sz w:val="19"/>
          <w:szCs w:val="19"/>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w:t>
      </w:r>
      <w:r>
        <w:rPr>
          <w:rFonts w:ascii="Arial" w:cs="Arial" w:eastAsia="Arial" w:hAnsi="Arial"/>
          <w:sz w:val="19"/>
          <w:szCs w:val="19"/>
          <w:color w:val="auto"/>
        </w:rPr>
        <w:t>,” when used with respect to Securities, means, as of the date of determination, all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Securities theretofore authenticated and delivered under this Indenture, </w:t>
      </w:r>
      <w:r>
        <w:rPr>
          <w:rFonts w:ascii="Arial" w:cs="Arial" w:eastAsia="Arial" w:hAnsi="Arial"/>
          <w:sz w:val="22"/>
          <w:szCs w:val="22"/>
          <w:u w:val="single" w:color="auto"/>
          <w:color w:val="auto"/>
        </w:rPr>
        <w:t>except</w:t>
      </w:r>
      <w:r>
        <w:rPr>
          <w:rFonts w:ascii="Arial" w:cs="Arial" w:eastAsia="Arial" w:hAnsi="Arial"/>
          <w:sz w:val="22"/>
          <w:szCs w:val="22"/>
          <w:color w:val="auto"/>
        </w:rPr>
        <w:t>:</w:t>
      </w:r>
    </w:p>
    <w:p>
      <w:pPr>
        <w:spacing w:after="0" w:line="188" w:lineRule="exact"/>
        <w:rPr>
          <w:sz w:val="20"/>
          <w:szCs w:val="20"/>
          <w:color w:val="auto"/>
        </w:rPr>
      </w:pPr>
    </w:p>
    <w:p>
      <w:pPr>
        <w:ind w:left="1300" w:right="200" w:firstLine="648"/>
        <w:spacing w:after="0" w:line="251" w:lineRule="auto"/>
        <w:tabs>
          <w:tab w:leader="none" w:pos="259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Securities theretofore canceled by the Trustee or delivered to the Trustee for cancellation;</w:t>
      </w:r>
    </w:p>
    <w:p>
      <w:pPr>
        <w:spacing w:after="0" w:line="173" w:lineRule="exact"/>
        <w:rPr>
          <w:rFonts w:ascii="Arial" w:cs="Arial" w:eastAsia="Arial" w:hAnsi="Arial"/>
          <w:sz w:val="22"/>
          <w:szCs w:val="22"/>
          <w:color w:val="auto"/>
        </w:rPr>
      </w:pPr>
    </w:p>
    <w:p>
      <w:pPr>
        <w:ind w:left="1300" w:right="200" w:firstLine="648"/>
        <w:spacing w:after="0" w:line="246" w:lineRule="auto"/>
        <w:tabs>
          <w:tab w:leader="none" w:pos="259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Securities are to be redeemed, notice of such redemption has been duly given pursuant to this Indenture or provision therefor satisfactory to the Trustee has been made;</w:t>
      </w:r>
    </w:p>
    <w:p>
      <w:pPr>
        <w:spacing w:after="0" w:line="180" w:lineRule="exact"/>
        <w:rPr>
          <w:rFonts w:ascii="Arial" w:cs="Arial" w:eastAsia="Arial" w:hAnsi="Arial"/>
          <w:sz w:val="21"/>
          <w:szCs w:val="21"/>
          <w:color w:val="auto"/>
        </w:rPr>
      </w:pPr>
    </w:p>
    <w:p>
      <w:pPr>
        <w:jc w:val="both"/>
        <w:ind w:left="1300" w:right="160" w:firstLine="648"/>
        <w:spacing w:after="0"/>
        <w:tabs>
          <w:tab w:leader="none" w:pos="259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Securities, except to the extent provided in Sections 1402 and 1403, with respect to which the Company has effected Defeasance and/or Covenant Defeasance as provided in Article Fourteen; and</w:t>
      </w:r>
    </w:p>
    <w:p>
      <w:pPr>
        <w:spacing w:after="0" w:line="186" w:lineRule="exact"/>
        <w:rPr>
          <w:rFonts w:ascii="Arial" w:cs="Arial" w:eastAsia="Arial" w:hAnsi="Arial"/>
          <w:sz w:val="22"/>
          <w:szCs w:val="22"/>
          <w:color w:val="auto"/>
        </w:rPr>
      </w:pPr>
    </w:p>
    <w:p>
      <w:pPr>
        <w:ind w:left="1300" w:right="80" w:firstLine="648"/>
        <w:spacing w:after="0" w:line="282" w:lineRule="auto"/>
        <w:tabs>
          <w:tab w:leader="none" w:pos="263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8"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6" w:name="page167"/>
    <w:bookmarkEnd w:id="166"/>
    <w:p>
      <w:pPr>
        <w:ind w:right="60"/>
        <w:spacing w:after="0" w:line="271" w:lineRule="auto"/>
        <w:rPr>
          <w:sz w:val="20"/>
          <w:szCs w:val="20"/>
          <w:color w:val="auto"/>
        </w:rPr>
      </w:pPr>
      <w:r>
        <w:rPr>
          <w:rFonts w:ascii="Arial" w:cs="Arial" w:eastAsia="Arial" w:hAnsi="Arial"/>
          <w:sz w:val="19"/>
          <w:szCs w:val="19"/>
          <w:color w:val="auto"/>
        </w:rPr>
        <w:t>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66" w:lineRule="exact"/>
        <w:rPr>
          <w:sz w:val="20"/>
          <w:szCs w:val="20"/>
          <w:color w:val="auto"/>
        </w:rPr>
      </w:pPr>
    </w:p>
    <w:p>
      <w:pPr>
        <w:jc w:val="both"/>
        <w:ind w:right="5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Company to pay the principal of (and premium or Make-Whole Amount, if any) or interest on any Securities or coupons on behalf of the Company.</w:t>
      </w:r>
    </w:p>
    <w:p>
      <w:pPr>
        <w:spacing w:after="0" w:line="186" w:lineRule="exact"/>
        <w:rPr>
          <w:sz w:val="20"/>
          <w:szCs w:val="20"/>
          <w:color w:val="auto"/>
        </w:rPr>
      </w:pPr>
    </w:p>
    <w:p>
      <w:pPr>
        <w:jc w:val="both"/>
        <w:ind w:right="5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Blockage Notice</w:t>
      </w:r>
      <w:r>
        <w:rPr>
          <w:rFonts w:ascii="Arial" w:cs="Arial" w:eastAsia="Arial" w:hAnsi="Arial"/>
          <w:sz w:val="22"/>
          <w:szCs w:val="22"/>
          <w:color w:val="auto"/>
        </w:rPr>
        <w:t>” and “</w:t>
      </w:r>
      <w:r>
        <w:rPr>
          <w:rFonts w:ascii="Arial" w:cs="Arial" w:eastAsia="Arial" w:hAnsi="Arial"/>
          <w:sz w:val="22"/>
          <w:szCs w:val="22"/>
          <w:u w:val="single" w:color="auto"/>
          <w:color w:val="auto"/>
        </w:rPr>
        <w:t>Payment Blockage Period</w:t>
      </w:r>
      <w:r>
        <w:rPr>
          <w:rFonts w:ascii="Arial" w:cs="Arial" w:eastAsia="Arial" w:hAnsi="Arial"/>
          <w:sz w:val="22"/>
          <w:szCs w:val="22"/>
          <w:color w:val="auto"/>
        </w:rPr>
        <w:t>” have the respective meanings specified in Section 1603.</w:t>
      </w:r>
    </w:p>
    <w:p>
      <w:pPr>
        <w:spacing w:after="0" w:line="173"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joint venture, association, joint</w:t>
      </w:r>
      <w:r>
        <w:rPr>
          <w:rFonts w:ascii="MS PGothic" w:cs="MS PGothic" w:eastAsia="MS PGothic" w:hAnsi="MS PGothic"/>
          <w:sz w:val="22"/>
          <w:szCs w:val="22"/>
          <w:color w:val="auto"/>
        </w:rPr>
        <w:t>‑</w:t>
      </w:r>
      <w:r>
        <w:rPr>
          <w:rFonts w:ascii="Arial" w:cs="Arial" w:eastAsia="Arial" w:hAnsi="Arial"/>
          <w:sz w:val="22"/>
          <w:szCs w:val="22"/>
          <w:color w:val="auto"/>
        </w:rPr>
        <w:t>stock company, trust, unincorporated organization or government or any agency or political subdivision thereof, or any other entity or organization.</w:t>
      </w:r>
    </w:p>
    <w:p>
      <w:pPr>
        <w:spacing w:after="0" w:line="18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Place of Payment</w:t>
      </w:r>
      <w:r>
        <w:rPr>
          <w:rFonts w:ascii="Arial" w:cs="Arial" w:eastAsia="Arial" w:hAnsi="Arial"/>
          <w:sz w:val="19"/>
          <w:szCs w:val="19"/>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3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Predecessor Security</w:t>
      </w:r>
      <w:r>
        <w:rPr>
          <w:rFonts w:ascii="Arial" w:cs="Arial" w:eastAsia="Arial" w:hAnsi="Arial"/>
          <w:sz w:val="19"/>
          <w:szCs w:val="19"/>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1"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has the meaning specified in Section 1602.</w:t>
      </w:r>
    </w:p>
    <w:p>
      <w:pPr>
        <w:spacing w:after="0" w:line="206"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when used with respect to any Security to be redeemed, in whole or in part, means the date fixed for such redemption by or pursuant to this Indenture.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7" w:name="page168"/>
    <w:bookmarkEnd w:id="167"/>
    <w:p>
      <w:pPr>
        <w:ind w:right="1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 Price</w:t>
      </w:r>
      <w:r>
        <w:rPr>
          <w:rFonts w:ascii="Arial" w:cs="Arial" w:eastAsia="Arial" w:hAnsi="Arial"/>
          <w:sz w:val="21"/>
          <w:szCs w:val="21"/>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Registered Security</w:t>
      </w:r>
      <w:r>
        <w:rPr>
          <w:rFonts w:ascii="Arial" w:cs="Arial" w:eastAsia="Arial" w:hAnsi="Arial"/>
          <w:sz w:val="21"/>
          <w:szCs w:val="21"/>
          <w:color w:val="auto"/>
        </w:rPr>
        <w:t>” shall mean any Security which is registered in the Security Register.</w:t>
      </w:r>
    </w:p>
    <w:p>
      <w:pPr>
        <w:spacing w:after="0" w:line="218"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for the interest payable on any Interest Payment Date on the Registered Securities of or within any series means the date specified for that purpose as contemplated by Section 301, whether or not a Business Day.</w:t>
      </w:r>
    </w:p>
    <w:p>
      <w:pPr>
        <w:spacing w:after="0" w:line="186"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Repayment Date</w:t>
      </w:r>
      <w:r>
        <w:rPr>
          <w:rFonts w:ascii="Arial" w:cs="Arial" w:eastAsia="Arial" w:hAnsi="Arial"/>
          <w:sz w:val="21"/>
          <w:szCs w:val="21"/>
          <w:color w:val="auto"/>
        </w:rPr>
        <w:t>” means, when used with respect to any Security to be repaid at the option of the Holder, the date fixed for such repayment by or pursuant to this Indenture.</w:t>
      </w:r>
    </w:p>
    <w:p>
      <w:pPr>
        <w:spacing w:after="0" w:line="151"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Repayment Price</w:t>
      </w:r>
      <w:r>
        <w:rPr>
          <w:rFonts w:ascii="Arial" w:cs="Arial" w:eastAsia="Arial" w:hAnsi="Arial"/>
          <w:sz w:val="21"/>
          <w:szCs w:val="21"/>
          <w:color w:val="auto"/>
        </w:rPr>
        <w:t>” means, when used with respect to any Security to be repaid at the option of the Holder, the price at which it is to be repaid by or pursuant to this Indenture.</w:t>
      </w:r>
    </w:p>
    <w:p>
      <w:pPr>
        <w:spacing w:after="0" w:line="15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Record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Payment</w:t>
      </w:r>
      <w:r>
        <w:rPr>
          <w:rFonts w:ascii="Arial" w:cs="Arial" w:eastAsia="Arial" w:hAnsi="Arial"/>
          <w:sz w:val="22"/>
          <w:szCs w:val="22"/>
          <w:color w:val="auto"/>
        </w:rPr>
        <w:t>” has the meaning specified in Section 1602.</w:t>
      </w:r>
    </w:p>
    <w:p>
      <w:pPr>
        <w:spacing w:after="0" w:line="206"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w:t>
      </w:r>
      <w:r>
        <w:rPr>
          <w:rFonts w:ascii="Arial" w:cs="Arial" w:eastAsia="Arial" w:hAnsi="Arial"/>
          <w:sz w:val="22"/>
          <w:szCs w:val="22"/>
          <w:color w:val="auto"/>
        </w:rPr>
        <w:t>” and “</w:t>
      </w: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Register</w:t>
      </w:r>
      <w:r>
        <w:rPr>
          <w:rFonts w:ascii="Arial" w:cs="Arial" w:eastAsia="Arial" w:hAnsi="Arial"/>
          <w:sz w:val="19"/>
          <w:szCs w:val="19"/>
          <w:color w:val="auto"/>
        </w:rPr>
        <w:t>” and “</w:t>
      </w:r>
      <w:r>
        <w:rPr>
          <w:rFonts w:ascii="Arial" w:cs="Arial" w:eastAsia="Arial" w:hAnsi="Arial"/>
          <w:sz w:val="19"/>
          <w:szCs w:val="19"/>
          <w:u w:val="single" w:color="auto"/>
          <w:color w:val="auto"/>
        </w:rPr>
        <w:t>Security Registrar</w:t>
      </w:r>
      <w:r>
        <w:rPr>
          <w:rFonts w:ascii="Arial" w:cs="Arial" w:eastAsia="Arial" w:hAnsi="Arial"/>
          <w:sz w:val="19"/>
          <w:szCs w:val="19"/>
          <w:color w:val="auto"/>
        </w:rPr>
        <w:t>” have the respective meanings specified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305.</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Indebtedness</w:t>
      </w:r>
      <w:r>
        <w:rPr>
          <w:rFonts w:ascii="Arial" w:cs="Arial" w:eastAsia="Arial" w:hAnsi="Arial"/>
          <w:sz w:val="19"/>
          <w:szCs w:val="19"/>
          <w:color w:val="auto"/>
        </w:rPr>
        <w:t>”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8" w:name="page169"/>
    <w:bookmarkEnd w:id="168"/>
    <w:p>
      <w:pPr>
        <w:ind w:right="160"/>
        <w:spacing w:after="0" w:line="277" w:lineRule="auto"/>
        <w:rPr>
          <w:sz w:val="20"/>
          <w:szCs w:val="20"/>
          <w:color w:val="auto"/>
        </w:rPr>
      </w:pPr>
      <w:r>
        <w:rPr>
          <w:rFonts w:ascii="Arial" w:cs="Arial" w:eastAsia="Arial" w:hAnsi="Arial"/>
          <w:sz w:val="19"/>
          <w:szCs w:val="19"/>
          <w:color w:val="auto"/>
        </w:rPr>
        <w:t xml:space="preserve">such Indebtedness; (2) any Indebtedness which by its terms refers explicitly to the Securities and states that such Indebtedness shall not be senior, shall be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153"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Series</w:t>
      </w:r>
      <w:r>
        <w:rPr>
          <w:rFonts w:ascii="Arial" w:cs="Arial" w:eastAsia="Arial" w:hAnsi="Arial"/>
          <w:sz w:val="22"/>
          <w:szCs w:val="22"/>
          <w:color w:val="auto"/>
        </w:rPr>
        <w:t>” of Securities means all securities denoted as part of the same series authorized by or pursuant to a particular Board Resolution.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Term Rights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80"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means any Subsidiary which is a “significant subsidiary” (as defined in Article I, Rule 1</w:t>
      </w:r>
      <w:r>
        <w:rPr>
          <w:rFonts w:ascii="MS PGothic" w:cs="MS PGothic" w:eastAsia="MS PGothic" w:hAnsi="MS PGothic"/>
          <w:sz w:val="22"/>
          <w:szCs w:val="22"/>
          <w:color w:val="auto"/>
        </w:rPr>
        <w:t>‑</w:t>
      </w:r>
      <w:r>
        <w:rPr>
          <w:rFonts w:ascii="Arial" w:cs="Arial" w:eastAsia="Arial" w:hAnsi="Arial"/>
          <w:sz w:val="22"/>
          <w:szCs w:val="22"/>
          <w:color w:val="auto"/>
        </w:rPr>
        <w:t>02 of Regulation S</w:t>
      </w:r>
      <w:r>
        <w:rPr>
          <w:rFonts w:ascii="MS PGothic" w:cs="MS PGothic" w:eastAsia="MS PGothic" w:hAnsi="MS PGothic"/>
          <w:sz w:val="22"/>
          <w:szCs w:val="22"/>
          <w:color w:val="auto"/>
        </w:rPr>
        <w:t>‑</w:t>
      </w:r>
      <w:r>
        <w:rPr>
          <w:rFonts w:ascii="Arial" w:cs="Arial" w:eastAsia="Arial" w:hAnsi="Arial"/>
          <w:sz w:val="22"/>
          <w:szCs w:val="22"/>
          <w:color w:val="auto"/>
        </w:rPr>
        <w:t>X, promulgated under the Securities Act of 1933, as amended) of the Company.</w:t>
      </w:r>
    </w:p>
    <w:p>
      <w:pPr>
        <w:spacing w:after="0" w:line="186"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Record Date</w:t>
      </w:r>
      <w:r>
        <w:rPr>
          <w:rFonts w:ascii="Arial" w:cs="Arial" w:eastAsia="Arial" w:hAnsi="Arial"/>
          <w:sz w:val="21"/>
          <w:szCs w:val="21"/>
          <w:color w:val="auto"/>
        </w:rPr>
        <w:t>” for the payment of any Defaulted Interest on the Registered Securities of or within any series means a date fixed by the Company pursuant to Section 307.</w:t>
      </w:r>
    </w:p>
    <w:p>
      <w:pPr>
        <w:spacing w:after="0" w:line="151"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5" w:lineRule="exact"/>
        <w:rPr>
          <w:sz w:val="20"/>
          <w:szCs w:val="20"/>
          <w:color w:val="auto"/>
        </w:rPr>
      </w:pPr>
    </w:p>
    <w:p>
      <w:pPr>
        <w:ind w:right="5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or other entity of which a majority of (i) the voting power of the voting</w:t>
      </w:r>
    </w:p>
    <w:p>
      <w:pPr>
        <w:spacing w:after="0" w:line="151"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5" w:lineRule="exact"/>
        <w:rPr>
          <w:sz w:val="20"/>
          <w:szCs w:val="20"/>
          <w:color w:val="auto"/>
        </w:rPr>
      </w:pPr>
    </w:p>
    <w:p>
      <w:pPr>
        <w:ind w:right="7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any day on which the NASDAQ Global Select Market is open for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Indenture Act</w:t>
      </w:r>
      <w:r>
        <w:rPr>
          <w:rFonts w:ascii="Arial" w:cs="Arial" w:eastAsia="Arial" w:hAnsi="Arial"/>
          <w:sz w:val="19"/>
          <w:szCs w:val="19"/>
          <w:color w:val="auto"/>
        </w:rPr>
        <w:t>” or “</w:t>
      </w:r>
      <w:r>
        <w:rPr>
          <w:rFonts w:ascii="Arial" w:cs="Arial" w:eastAsia="Arial" w:hAnsi="Arial"/>
          <w:sz w:val="19"/>
          <w:szCs w:val="19"/>
          <w:u w:val="single" w:color="auto"/>
          <w:color w:val="auto"/>
        </w:rPr>
        <w:t>TIA</w:t>
      </w:r>
      <w:r>
        <w:rPr>
          <w:rFonts w:ascii="Arial" w:cs="Arial" w:eastAsia="Arial" w:hAnsi="Arial"/>
          <w:sz w:val="19"/>
          <w:szCs w:val="19"/>
          <w:color w:val="auto"/>
        </w:rPr>
        <w:t>” means the Trust Indenture Act of 1939, as amended and as in force at the date as of which this Indenture was executed, except as provided in Section 905.</w:t>
      </w:r>
    </w:p>
    <w:p>
      <w:pPr>
        <w:spacing w:after="0" w:line="10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there is more than one such Person, “Trustee” as used with respect to the Securities of any series shall mean only the Trustee with respect to Securities of that series.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9" w:name="page170"/>
    <w:bookmarkEnd w:id="1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Distribution</w:t>
      </w:r>
      <w:r>
        <w:rPr>
          <w:rFonts w:ascii="Arial" w:cs="Arial" w:eastAsia="Arial" w:hAnsi="Arial"/>
          <w:sz w:val="22"/>
          <w:szCs w:val="22"/>
          <w:color w:val="auto"/>
        </w:rPr>
        <w:t>” has the meaning specified in Section 1704.</w:t>
      </w:r>
    </w:p>
    <w:p>
      <w:pPr>
        <w:spacing w:after="0" w:line="207" w:lineRule="exact"/>
        <w:rPr>
          <w:sz w:val="20"/>
          <w:szCs w:val="20"/>
          <w:color w:val="auto"/>
        </w:rPr>
      </w:pPr>
    </w:p>
    <w:p>
      <w:pPr>
        <w:ind w:right="4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 Person</w:t>
      </w:r>
      <w:r>
        <w:rPr>
          <w:rFonts w:ascii="Arial" w:cs="Arial" w:eastAsia="Arial" w:hAnsi="Arial"/>
          <w:sz w:val="19"/>
          <w:szCs w:val="19"/>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43"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to Maturity</w:t>
      </w:r>
      <w:r>
        <w:rPr>
          <w:rFonts w:ascii="Arial" w:cs="Arial" w:eastAsia="Arial" w:hAnsi="Arial"/>
          <w:sz w:val="19"/>
          <w:szCs w:val="19"/>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34"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Compliance Certificates and Opinions</w:t>
      </w:r>
      <w:r>
        <w:rPr>
          <w:rFonts w:ascii="Arial" w:cs="Arial" w:eastAsia="Arial" w:hAnsi="Arial"/>
          <w:sz w:val="19"/>
          <w:szCs w:val="19"/>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8"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Every certificate or opinion with respect to compliance with a condition or covenant provided for in this Indenture (including certificates delivered pursuant to Section 1008) shall include:</w:t>
      </w:r>
    </w:p>
    <w:p>
      <w:pPr>
        <w:spacing w:after="0" w:line="105" w:lineRule="exact"/>
        <w:rPr>
          <w:sz w:val="20"/>
          <w:szCs w:val="20"/>
          <w:color w:val="auto"/>
        </w:rPr>
      </w:pPr>
    </w:p>
    <w:p>
      <w:pPr>
        <w:ind w:left="660" w:right="100" w:firstLine="639"/>
        <w:spacing w:after="0" w:line="251" w:lineRule="auto"/>
        <w:tabs>
          <w:tab w:leader="none" w:pos="200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condition or covenant and the definitions herein relating thereto;</w:t>
      </w:r>
    </w:p>
    <w:p>
      <w:pPr>
        <w:spacing w:after="0" w:line="173" w:lineRule="exact"/>
        <w:rPr>
          <w:rFonts w:ascii="Arial" w:cs="Arial" w:eastAsia="Arial" w:hAnsi="Arial"/>
          <w:sz w:val="22"/>
          <w:szCs w:val="22"/>
          <w:color w:val="auto"/>
        </w:rPr>
      </w:pPr>
    </w:p>
    <w:p>
      <w:pPr>
        <w:ind w:left="660" w:right="260" w:firstLine="639"/>
        <w:spacing w:after="0" w:line="328" w:lineRule="auto"/>
        <w:tabs>
          <w:tab w:leader="none" w:pos="200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brief statement as to the nature and scope of the examination or investigation upon which the statements or opinions contained in such certificate or opinion are based;</w:t>
      </w:r>
    </w:p>
    <w:p>
      <w:pPr>
        <w:spacing w:after="0" w:line="105" w:lineRule="exact"/>
        <w:rPr>
          <w:rFonts w:ascii="Arial" w:cs="Arial" w:eastAsia="Arial" w:hAnsi="Arial"/>
          <w:sz w:val="19"/>
          <w:szCs w:val="19"/>
          <w:color w:val="auto"/>
        </w:rPr>
      </w:pPr>
    </w:p>
    <w:p>
      <w:pPr>
        <w:ind w:left="660" w:right="180" w:firstLine="639"/>
        <w:spacing w:after="0" w:line="258" w:lineRule="auto"/>
        <w:tabs>
          <w:tab w:leader="none" w:pos="200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6" w:lineRule="exact"/>
        <w:rPr>
          <w:rFonts w:ascii="Arial" w:cs="Arial" w:eastAsia="Arial" w:hAnsi="Arial"/>
          <w:sz w:val="21"/>
          <w:szCs w:val="21"/>
          <w:color w:val="auto"/>
        </w:rPr>
      </w:pPr>
    </w:p>
    <w:p>
      <w:pPr>
        <w:ind w:left="660" w:right="140" w:firstLine="639"/>
        <w:spacing w:after="0" w:line="251" w:lineRule="auto"/>
        <w:tabs>
          <w:tab w:leader="none" w:pos="200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individual, such condition or covenant has been complied with.</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Form of Documents Delivered to Trustee</w:t>
      </w:r>
      <w:r>
        <w:rPr>
          <w:rFonts w:ascii="Arial" w:cs="Arial" w:eastAsia="Arial" w:hAnsi="Arial"/>
          <w:sz w:val="19"/>
          <w:szCs w:val="19"/>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0" w:name="page171"/>
    <w:bookmarkEnd w:id="170"/>
    <w:p>
      <w:pPr>
        <w:ind w:right="40"/>
        <w:spacing w:after="0" w:line="329" w:lineRule="auto"/>
        <w:rPr>
          <w:sz w:val="20"/>
          <w:szCs w:val="20"/>
          <w:color w:val="auto"/>
        </w:rPr>
      </w:pPr>
      <w:r>
        <w:rPr>
          <w:rFonts w:ascii="Arial" w:cs="Arial" w:eastAsia="Arial" w:hAnsi="Arial"/>
          <w:sz w:val="19"/>
          <w:szCs w:val="19"/>
          <w:color w:val="auto"/>
        </w:rPr>
        <w:t>an opinion with respect to some matters and one or more other such Persons as to other matters, and any such Person may certify or give an opinion as to such matters in one or several documents.</w:t>
      </w:r>
    </w:p>
    <w:p>
      <w:pPr>
        <w:spacing w:after="0" w:line="104"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Acts of Holders.</w:t>
      </w:r>
    </w:p>
    <w:p>
      <w:pPr>
        <w:spacing w:after="0" w:line="206"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(a)Any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65"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color w:val="auto"/>
        </w:rPr>
        <w:t>(b)The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1" w:name="page172"/>
    <w:bookmarkEnd w:id="171"/>
    <w:p>
      <w:pPr>
        <w:ind w:right="220" w:firstLine="1296"/>
        <w:spacing w:after="0" w:line="241" w:lineRule="auto"/>
        <w:rPr>
          <w:sz w:val="20"/>
          <w:szCs w:val="20"/>
          <w:color w:val="auto"/>
        </w:rPr>
      </w:pPr>
      <w:r>
        <w:rPr>
          <w:rFonts w:ascii="Arial" w:cs="Arial" w:eastAsia="Arial" w:hAnsi="Arial"/>
          <w:sz w:val="22"/>
          <w:szCs w:val="22"/>
          <w:color w:val="auto"/>
        </w:rPr>
        <w:t>(c)The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84"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(d)The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2" w:lineRule="exact"/>
        <w:rPr>
          <w:sz w:val="20"/>
          <w:szCs w:val="20"/>
          <w:color w:val="auto"/>
        </w:rPr>
      </w:pPr>
    </w:p>
    <w:p>
      <w:pPr>
        <w:ind w:right="100" w:firstLine="1296"/>
        <w:spacing w:after="0" w:line="271" w:lineRule="auto"/>
        <w:rPr>
          <w:sz w:val="20"/>
          <w:szCs w:val="20"/>
          <w:color w:val="auto"/>
        </w:rPr>
      </w:pPr>
      <w:r>
        <w:rPr>
          <w:rFonts w:ascii="Arial" w:cs="Arial" w:eastAsia="Arial" w:hAnsi="Arial"/>
          <w:sz w:val="19"/>
          <w:szCs w:val="19"/>
          <w:color w:val="auto"/>
        </w:rPr>
        <w:t xml:space="preserve">(e)If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58"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(f)Any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2" w:name="page173"/>
    <w:bookmarkEnd w:id="172"/>
    <w:p>
      <w:pPr>
        <w:ind w:right="59" w:firstLine="648"/>
        <w:spacing w:after="0" w:line="241"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Notices, etc., to Trustee and Company</w:t>
      </w:r>
      <w:r>
        <w:rPr>
          <w:rFonts w:ascii="Arial" w:cs="Arial" w:eastAsia="Arial" w:hAnsi="Arial"/>
          <w:sz w:val="22"/>
          <w:szCs w:val="22"/>
          <w:color w:val="auto"/>
        </w:rPr>
        <w:t>. Any request, demand, authorization, direction, notice, consent, waiver or Act of Holders or other document provided or permitted by this Indenture to be made upon, given or furnished to, or filed with,</w:t>
      </w:r>
    </w:p>
    <w:p>
      <w:pPr>
        <w:spacing w:after="0" w:line="184" w:lineRule="exact"/>
        <w:rPr>
          <w:sz w:val="20"/>
          <w:szCs w:val="20"/>
          <w:color w:val="auto"/>
        </w:rPr>
      </w:pPr>
    </w:p>
    <w:p>
      <w:pPr>
        <w:ind w:left="660" w:right="259" w:firstLine="639"/>
        <w:spacing w:after="0" w:line="238" w:lineRule="auto"/>
        <w:tabs>
          <w:tab w:leader="none" w:pos="200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Trustee by any Holder or by the Company shall be sufficient for every purpose hereunder if made, given, furnished or filed in writing to or with the Trustee at [_________________________] or at any other address previously furnished in writing to the Company by the Trustee, Attention: [__________]; or</w:t>
      </w:r>
    </w:p>
    <w:p>
      <w:pPr>
        <w:spacing w:after="0" w:line="185" w:lineRule="exact"/>
        <w:rPr>
          <w:rFonts w:ascii="Arial" w:cs="Arial" w:eastAsia="Arial" w:hAnsi="Arial"/>
          <w:sz w:val="22"/>
          <w:szCs w:val="22"/>
          <w:color w:val="auto"/>
        </w:rPr>
      </w:pPr>
    </w:p>
    <w:p>
      <w:pPr>
        <w:ind w:left="660" w:right="199" w:firstLine="639"/>
        <w:spacing w:after="0" w:line="282" w:lineRule="auto"/>
        <w:tabs>
          <w:tab w:leader="none" w:pos="200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147" w:lineRule="exact"/>
        <w:rPr>
          <w:rFonts w:ascii="Arial" w:cs="Arial" w:eastAsia="Arial" w:hAnsi="Arial"/>
          <w:sz w:val="19"/>
          <w:szCs w:val="19"/>
          <w:color w:val="auto"/>
        </w:rPr>
      </w:pPr>
    </w:p>
    <w:p>
      <w:pPr>
        <w:ind w:left="660" w:right="179" w:firstLine="639"/>
        <w:spacing w:after="0" w:line="236" w:lineRule="auto"/>
        <w:tabs>
          <w:tab w:leader="none" w:pos="200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88" w:lineRule="exact"/>
        <w:rPr>
          <w:sz w:val="20"/>
          <w:szCs w:val="20"/>
          <w:color w:val="auto"/>
        </w:rPr>
      </w:pPr>
    </w:p>
    <w:p>
      <w:pPr>
        <w:ind w:right="19" w:firstLine="648"/>
        <w:spacing w:after="0" w:line="246" w:lineRule="exact"/>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Notice to Holders; Waiver</w:t>
      </w:r>
      <w:r>
        <w:rPr>
          <w:rFonts w:ascii="Arial" w:cs="Arial" w:eastAsia="Arial" w:hAnsi="Arial"/>
          <w:sz w:val="19"/>
          <w:szCs w:val="19"/>
          <w:color w:val="auto"/>
        </w:rPr>
        <w:t>. Where this Indenture provides for notice of any event to Holders of Registered Securities by the Company or the Trustee, such notice shall be sufficiently given (unless otherwise herein expressly provided) if in writing and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86" w:lineRule="exact"/>
        <w:rPr>
          <w:sz w:val="20"/>
          <w:szCs w:val="20"/>
          <w:color w:val="auto"/>
        </w:rPr>
      </w:pPr>
    </w:p>
    <w:p>
      <w:pPr>
        <w:ind w:right="379" w:firstLine="648"/>
        <w:spacing w:after="0" w:line="252" w:lineRule="auto"/>
        <w:rPr>
          <w:sz w:val="20"/>
          <w:szCs w:val="20"/>
          <w:color w:val="auto"/>
        </w:rPr>
      </w:pPr>
      <w:r>
        <w:rPr>
          <w:rFonts w:ascii="Arial" w:cs="Arial" w:eastAsia="Arial" w:hAnsi="Arial"/>
          <w:sz w:val="21"/>
          <w:szCs w:val="21"/>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4" w:lineRule="exact"/>
        <w:rPr>
          <w:sz w:val="20"/>
          <w:szCs w:val="20"/>
          <w:color w:val="auto"/>
        </w:rPr>
      </w:pPr>
    </w:p>
    <w:p>
      <w:pPr>
        <w:ind w:right="59" w:firstLine="648"/>
        <w:spacing w:after="0" w:line="234" w:lineRule="auto"/>
        <w:rPr>
          <w:sz w:val="20"/>
          <w:szCs w:val="20"/>
          <w:color w:val="auto"/>
        </w:rPr>
      </w:pPr>
      <w:r>
        <w:rPr>
          <w:rFonts w:ascii="Arial" w:cs="Arial" w:eastAsia="Arial" w:hAnsi="Arial"/>
          <w:sz w:val="22"/>
          <w:szCs w:val="22"/>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73" w:name="page174"/>
    <w:bookmarkEnd w:id="173"/>
    <w:p>
      <w:pPr>
        <w:ind w:right="40" w:firstLine="648"/>
        <w:spacing w:after="0" w:line="275" w:lineRule="auto"/>
        <w:rPr>
          <w:sz w:val="20"/>
          <w:szCs w:val="20"/>
          <w:color w:val="auto"/>
        </w:rPr>
      </w:pPr>
      <w:r>
        <w:rPr>
          <w:rFonts w:ascii="Arial" w:cs="Arial" w:eastAsia="Arial" w:hAnsi="Arial"/>
          <w:sz w:val="19"/>
          <w:szCs w:val="19"/>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59"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3"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Counterparts; Effect of Headings and Table of Contents</w:t>
      </w:r>
      <w:r>
        <w:rPr>
          <w:rFonts w:ascii="Arial" w:cs="Arial" w:eastAsia="Arial" w:hAnsi="Arial"/>
          <w:sz w:val="22"/>
          <w:szCs w:val="22"/>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88" w:lineRule="exact"/>
        <w:rPr>
          <w:sz w:val="20"/>
          <w:szCs w:val="20"/>
          <w:color w:val="auto"/>
        </w:rPr>
      </w:pPr>
    </w:p>
    <w:p>
      <w:pPr>
        <w:ind w:right="140" w:firstLine="648"/>
        <w:spacing w:after="0" w:line="274"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All covenants and agreements in this Indenture by the Company shall bind its successors and assigns, whether so expressed or not.</w:t>
      </w:r>
    </w:p>
    <w:p>
      <w:pPr>
        <w:spacing w:after="0" w:line="151"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109. </w:t>
      </w:r>
      <w:r>
        <w:rPr>
          <w:rFonts w:ascii="Arial" w:cs="Arial" w:eastAsia="Arial" w:hAnsi="Arial"/>
          <w:sz w:val="21"/>
          <w:szCs w:val="21"/>
          <w:u w:val="single" w:color="auto"/>
          <w:color w:val="auto"/>
        </w:rPr>
        <w:t>Severability Clause</w:t>
      </w:r>
      <w:r>
        <w:rPr>
          <w:rFonts w:ascii="Arial" w:cs="Arial" w:eastAsia="Arial" w:hAnsi="Arial"/>
          <w:sz w:val="21"/>
          <w:szCs w:val="21"/>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Benefits of Indenture</w:t>
      </w:r>
      <w:r>
        <w:rPr>
          <w:rFonts w:ascii="Arial" w:cs="Arial" w:eastAsia="Arial" w:hAnsi="Arial"/>
          <w:sz w:val="19"/>
          <w:szCs w:val="19"/>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43"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Legal Holidays</w:t>
      </w:r>
      <w:r>
        <w:rPr>
          <w:rFonts w:ascii="Arial" w:cs="Arial" w:eastAsia="Arial" w:hAnsi="Arial"/>
          <w:sz w:val="19"/>
          <w:szCs w:val="19"/>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4" w:name="page175"/>
    <w:bookmarkEnd w:id="174"/>
    <w:p>
      <w:pPr>
        <w:ind w:right="100"/>
        <w:spacing w:after="0" w:line="277" w:lineRule="auto"/>
        <w:rPr>
          <w:sz w:val="20"/>
          <w:szCs w:val="20"/>
          <w:color w:val="auto"/>
        </w:rPr>
      </w:pPr>
      <w:r>
        <w:rPr>
          <w:rFonts w:ascii="Arial" w:cs="Arial" w:eastAsia="Arial" w:hAnsi="Arial"/>
          <w:sz w:val="19"/>
          <w:szCs w:val="19"/>
          <w:color w:val="auto"/>
        </w:rPr>
        <w:t>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5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Limited Liability; Immunity of Stockholders, Directors, Officers and Agents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the Company</w:t>
      </w:r>
      <w:r>
        <w:rPr>
          <w:rFonts w:ascii="Arial" w:cs="Arial" w:eastAsia="Arial" w:hAnsi="Arial"/>
          <w:sz w:val="19"/>
          <w:szCs w:val="19"/>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200" w:lineRule="exact"/>
        <w:rPr>
          <w:sz w:val="20"/>
          <w:szCs w:val="20"/>
          <w:color w:val="auto"/>
        </w:rPr>
      </w:pPr>
    </w:p>
    <w:p>
      <w:pPr>
        <w:spacing w:after="0" w:line="216"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Conflict with Trust Indenture Act</w:t>
      </w:r>
      <w:r>
        <w:rPr>
          <w:rFonts w:ascii="Arial" w:cs="Arial" w:eastAsia="Arial" w:hAnsi="Arial"/>
          <w:sz w:val="22"/>
          <w:szCs w:val="22"/>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TWO - SECURITIES FORMS</w:t>
      </w:r>
    </w:p>
    <w:p>
      <w:pPr>
        <w:spacing w:after="0" w:line="206"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Forms of Securities</w:t>
      </w:r>
      <w:r>
        <w:rPr>
          <w:rFonts w:ascii="Arial" w:cs="Arial" w:eastAsia="Arial" w:hAnsi="Arial"/>
          <w:sz w:val="19"/>
          <w:szCs w:val="19"/>
          <w:color w:val="auto"/>
        </w:rPr>
        <w:t>. The Registered Securities, if any, of each series and the Bearer Securities, if any, of each series and related coupons shall be substantially in the form of Exhibit A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5" w:name="page176"/>
    <w:bookmarkEnd w:id="175"/>
    <w:p>
      <w:pPr>
        <w:ind w:right="380"/>
        <w:spacing w:after="0" w:line="329" w:lineRule="auto"/>
        <w:rPr>
          <w:sz w:val="20"/>
          <w:szCs w:val="20"/>
          <w:color w:val="auto"/>
        </w:rPr>
      </w:pPr>
      <w:r>
        <w:rPr>
          <w:rFonts w:ascii="Arial" w:cs="Arial" w:eastAsia="Arial" w:hAnsi="Arial"/>
          <w:sz w:val="19"/>
          <w:szCs w:val="19"/>
          <w:color w:val="auto"/>
        </w:rPr>
        <w:t>or regulation made pursuant thereto or with any rule or regulation of any over-the-counter market or securities exchange, on which the Securities may be quoted or listed, or to conform to usage.</w:t>
      </w:r>
    </w:p>
    <w:p>
      <w:pPr>
        <w:spacing w:after="0" w:line="104"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Unless otherwise specified as contemplated by Section 301, Bearer Securities shall have interest coupons attached.</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4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Form of Trustee’s Certificate of Authentication</w:t>
      </w:r>
      <w:r>
        <w:rPr>
          <w:rFonts w:ascii="Arial" w:cs="Arial" w:eastAsia="Arial" w:hAnsi="Arial"/>
          <w:sz w:val="19"/>
          <w:szCs w:val="19"/>
          <w:color w:val="auto"/>
        </w:rPr>
        <w:t>. Subject to Section 611,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 shall be in substantially the following form:</w:t>
      </w:r>
    </w:p>
    <w:p>
      <w:pPr>
        <w:spacing w:after="0" w:line="188" w:lineRule="exact"/>
        <w:rPr>
          <w:sz w:val="20"/>
          <w:szCs w:val="20"/>
          <w:color w:val="auto"/>
        </w:rPr>
      </w:pPr>
    </w:p>
    <w:p>
      <w:pPr>
        <w:ind w:right="100" w:firstLine="648"/>
        <w:spacing w:after="0" w:line="259" w:lineRule="exact"/>
        <w:rPr>
          <w:sz w:val="20"/>
          <w:szCs w:val="20"/>
          <w:color w:val="auto"/>
        </w:rPr>
      </w:pPr>
      <w:r>
        <w:rPr>
          <w:rFonts w:ascii="Arial" w:cs="Arial" w:eastAsia="Arial" w:hAnsi="Arial"/>
          <w:sz w:val="22"/>
          <w:szCs w:val="22"/>
          <w:color w:val="auto"/>
        </w:rPr>
        <w:t>This is one of the Securities of the series designated therein referred to in the within</w:t>
      </w:r>
      <w:r>
        <w:rPr>
          <w:rFonts w:ascii="MS PGothic" w:cs="MS PGothic" w:eastAsia="MS PGothic" w:hAnsi="MS PGothic"/>
          <w:sz w:val="22"/>
          <w:szCs w:val="22"/>
          <w:color w:val="auto"/>
        </w:rPr>
        <w:t>‑</w:t>
      </w:r>
      <w:r>
        <w:rPr>
          <w:rFonts w:ascii="Arial" w:cs="Arial" w:eastAsia="Arial" w:hAnsi="Arial"/>
          <w:sz w:val="22"/>
          <w:szCs w:val="22"/>
          <w:color w:val="auto"/>
        </w:rPr>
        <w:t xml:space="preserve"> mentioned Indenture.</w:t>
      </w:r>
    </w:p>
    <w:p>
      <w:pPr>
        <w:spacing w:after="0" w:line="186" w:lineRule="exact"/>
        <w:rPr>
          <w:sz w:val="20"/>
          <w:szCs w:val="20"/>
          <w:color w:val="auto"/>
        </w:rPr>
      </w:pPr>
    </w:p>
    <w:p>
      <w:pPr>
        <w:ind w:left="4560"/>
        <w:spacing w:after="0"/>
        <w:tabs>
          <w:tab w:leader="none" w:pos="63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-17780</wp:posOffset>
            </wp:positionV>
            <wp:extent cx="11322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22"/>
          <w:szCs w:val="22"/>
          <w:color w:val="auto"/>
        </w:rPr>
        <w:t>as Trustee</w:t>
      </w:r>
    </w:p>
    <w:p>
      <w:pPr>
        <w:spacing w:after="0" w:line="215"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Authorized Signatory</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Securities Issuable in Global Form</w:t>
      </w:r>
      <w:r>
        <w:rPr>
          <w:rFonts w:ascii="Arial" w:cs="Arial" w:eastAsia="Arial" w:hAnsi="Arial"/>
          <w:sz w:val="19"/>
          <w:szCs w:val="19"/>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16"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76" w:name="page177"/>
    <w:bookmarkEnd w:id="176"/>
    <w:p>
      <w:pPr>
        <w:ind w:right="160" w:firstLine="648"/>
        <w:spacing w:after="0" w:line="298" w:lineRule="auto"/>
        <w:rPr>
          <w:sz w:val="20"/>
          <w:szCs w:val="20"/>
          <w:color w:val="auto"/>
        </w:rPr>
      </w:pPr>
      <w:r>
        <w:rPr>
          <w:rFonts w:ascii="Arial" w:cs="Arial" w:eastAsia="Arial" w:hAnsi="Arial"/>
          <w:sz w:val="19"/>
          <w:szCs w:val="19"/>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3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w:t>
      </w:r>
    </w:p>
    <w:p>
      <w:pPr>
        <w:spacing w:after="0" w:line="2" w:lineRule="exact"/>
        <w:rPr>
          <w:sz w:val="20"/>
          <w:szCs w:val="20"/>
          <w:color w:val="auto"/>
        </w:rPr>
      </w:pPr>
    </w:p>
    <w:p>
      <w:pPr>
        <w:jc w:val="both"/>
        <w:ind w:right="160" w:firstLine="3"/>
        <w:spacing w:after="0" w:line="234" w:lineRule="auto"/>
        <w:tabs>
          <w:tab w:leader="none" w:pos="25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Any Global Security authenticated and delivered hereunder shall bear a legend in substantially the following form:</w:t>
      </w:r>
    </w:p>
    <w:p>
      <w:pPr>
        <w:spacing w:after="0" w:line="173" w:lineRule="exact"/>
        <w:rPr>
          <w:sz w:val="20"/>
          <w:szCs w:val="20"/>
          <w:color w:val="auto"/>
        </w:rPr>
      </w:pPr>
    </w:p>
    <w:p>
      <w:pPr>
        <w:ind w:right="140" w:firstLine="648"/>
        <w:spacing w:after="0" w:line="247" w:lineRule="auto"/>
        <w:rPr>
          <w:sz w:val="20"/>
          <w:szCs w:val="20"/>
          <w:color w:val="auto"/>
        </w:rPr>
      </w:pPr>
      <w:r>
        <w:rPr>
          <w:rFonts w:ascii="Arial" w:cs="Arial" w:eastAsia="Arial" w:hAnsi="Arial"/>
          <w:sz w:val="21"/>
          <w:szCs w:val="21"/>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 - THE SECURITIES</w:t>
      </w:r>
    </w:p>
    <w:p>
      <w:pPr>
        <w:spacing w:after="0" w:line="206" w:lineRule="exact"/>
        <w:rPr>
          <w:sz w:val="20"/>
          <w:szCs w:val="20"/>
          <w:color w:val="auto"/>
        </w:rPr>
      </w:pPr>
    </w:p>
    <w:p>
      <w:pPr>
        <w:ind w:right="280" w:firstLine="648"/>
        <w:spacing w:after="0" w:line="274"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Amount Unlimited; Issuable in Series</w:t>
      </w:r>
      <w:r>
        <w:rPr>
          <w:rFonts w:ascii="Arial" w:cs="Arial" w:eastAsia="Arial" w:hAnsi="Arial"/>
          <w:sz w:val="21"/>
          <w:szCs w:val="21"/>
          <w:color w:val="auto"/>
        </w:rPr>
        <w:t>. The aggregate principal amount of Securities which may be authenticated and delivered under this Indenture is unlimited.</w:t>
      </w:r>
    </w:p>
    <w:p>
      <w:pPr>
        <w:spacing w:after="0" w:line="15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88" w:lineRule="exact"/>
        <w:rPr>
          <w:sz w:val="20"/>
          <w:szCs w:val="20"/>
          <w:color w:val="auto"/>
        </w:rPr>
      </w:pPr>
    </w:p>
    <w:p>
      <w:pPr>
        <w:ind w:left="660" w:right="80" w:firstLine="639"/>
        <w:spacing w:after="0" w:line="274" w:lineRule="auto"/>
        <w:tabs>
          <w:tab w:leader="none" w:pos="200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title of the Securities of the series, including “CUSIP” numbers (which shall distinguish the Securities of such series from all other series of Securities);</w:t>
      </w:r>
    </w:p>
    <w:p>
      <w:pPr>
        <w:spacing w:after="0" w:line="150" w:lineRule="exact"/>
        <w:rPr>
          <w:rFonts w:ascii="Arial" w:cs="Arial" w:eastAsia="Arial" w:hAnsi="Arial"/>
          <w:sz w:val="21"/>
          <w:szCs w:val="21"/>
          <w:color w:val="auto"/>
        </w:rPr>
      </w:pPr>
    </w:p>
    <w:p>
      <w:pPr>
        <w:ind w:left="660" w:right="40" w:firstLine="639"/>
        <w:spacing w:after="0" w:line="282" w:lineRule="auto"/>
        <w:tabs>
          <w:tab w:leader="none" w:pos="200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47" w:lineRule="exact"/>
        <w:rPr>
          <w:rFonts w:ascii="Arial" w:cs="Arial" w:eastAsia="Arial" w:hAnsi="Arial"/>
          <w:sz w:val="19"/>
          <w:szCs w:val="19"/>
          <w:color w:val="auto"/>
        </w:rPr>
      </w:pPr>
    </w:p>
    <w:p>
      <w:pPr>
        <w:ind w:left="660" w:right="220" w:firstLine="639"/>
        <w:spacing w:after="0" w:line="282" w:lineRule="auto"/>
        <w:tabs>
          <w:tab w:leader="none" w:pos="200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7" w:name="page178"/>
    <w:bookmarkEnd w:id="177"/>
    <w:p>
      <w:pPr>
        <w:ind w:left="640" w:right="200" w:firstLine="639"/>
        <w:spacing w:after="0" w:line="298" w:lineRule="auto"/>
        <w:tabs>
          <w:tab w:leader="none" w:pos="198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31" w:lineRule="exact"/>
        <w:rPr>
          <w:rFonts w:ascii="Arial" w:cs="Arial" w:eastAsia="Arial" w:hAnsi="Arial"/>
          <w:sz w:val="19"/>
          <w:szCs w:val="19"/>
          <w:color w:val="auto"/>
        </w:rPr>
      </w:pPr>
    </w:p>
    <w:p>
      <w:pPr>
        <w:ind w:left="640" w:right="40" w:firstLine="639"/>
        <w:spacing w:after="0" w:line="251" w:lineRule="auto"/>
        <w:tabs>
          <w:tab w:leader="none" w:pos="198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on which the principal of such Securities will be payable;</w:t>
      </w:r>
    </w:p>
    <w:p>
      <w:pPr>
        <w:spacing w:after="0" w:line="173" w:lineRule="exact"/>
        <w:rPr>
          <w:rFonts w:ascii="Arial" w:cs="Arial" w:eastAsia="Arial" w:hAnsi="Arial"/>
          <w:sz w:val="22"/>
          <w:szCs w:val="22"/>
          <w:color w:val="auto"/>
        </w:rPr>
      </w:pPr>
    </w:p>
    <w:p>
      <w:pPr>
        <w:ind w:left="640" w:right="160" w:firstLine="639"/>
        <w:spacing w:after="0" w:line="274" w:lineRule="auto"/>
        <w:tabs>
          <w:tab w:leader="none" w:pos="198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rate or rates (which may be fixed or variable), or the method by which such rate or rates shall be determined, at which such Securities will bear interest, if any;</w:t>
      </w:r>
    </w:p>
    <w:p>
      <w:pPr>
        <w:spacing w:after="0" w:line="150" w:lineRule="exact"/>
        <w:rPr>
          <w:rFonts w:ascii="Arial" w:cs="Arial" w:eastAsia="Arial" w:hAnsi="Arial"/>
          <w:sz w:val="21"/>
          <w:szCs w:val="21"/>
          <w:color w:val="auto"/>
        </w:rPr>
      </w:pPr>
    </w:p>
    <w:p>
      <w:pPr>
        <w:ind w:left="640" w:right="40" w:firstLine="639"/>
        <w:spacing w:after="0" w:line="235" w:lineRule="auto"/>
        <w:tabs>
          <w:tab w:leader="none" w:pos="198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8" w:lineRule="exact"/>
        <w:rPr>
          <w:rFonts w:ascii="Arial" w:cs="Arial" w:eastAsia="Arial" w:hAnsi="Arial"/>
          <w:sz w:val="22"/>
          <w:szCs w:val="22"/>
          <w:color w:val="auto"/>
        </w:rPr>
      </w:pPr>
    </w:p>
    <w:p>
      <w:pPr>
        <w:ind w:left="640" w:right="100" w:firstLine="639"/>
        <w:spacing w:after="0"/>
        <w:tabs>
          <w:tab w:leader="none" w:pos="198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Make-Whole Amount, if any, or method for determining the Make-Whole Amount, if any, payable with respect to such Securities, and the terms upon which such amount, if any, will be payable;</w:t>
      </w:r>
    </w:p>
    <w:p>
      <w:pPr>
        <w:spacing w:after="0" w:line="186" w:lineRule="exact"/>
        <w:rPr>
          <w:rFonts w:ascii="Arial" w:cs="Arial" w:eastAsia="Arial" w:hAnsi="Arial"/>
          <w:sz w:val="22"/>
          <w:szCs w:val="22"/>
          <w:color w:val="auto"/>
        </w:rPr>
      </w:pPr>
    </w:p>
    <w:p>
      <w:pPr>
        <w:ind w:left="640" w:right="40" w:firstLine="639"/>
        <w:spacing w:after="0" w:line="251" w:lineRule="exact"/>
        <w:tabs>
          <w:tab w:leader="none" w:pos="198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place or places where the principal of (and premium or Make</w:t>
      </w:r>
      <w:r>
        <w:rPr>
          <w:rFonts w:ascii="MS PGothic" w:cs="MS PGothic" w:eastAsia="MS PGothic" w:hAnsi="MS PGothic"/>
          <w:sz w:val="19"/>
          <w:szCs w:val="19"/>
          <w:color w:val="auto"/>
        </w:rPr>
        <w:t>‑</w:t>
      </w:r>
      <w:r>
        <w:rPr>
          <w:rFonts w:ascii="Arial" w:cs="Arial" w:eastAsia="Arial" w:hAnsi="Arial"/>
          <w:sz w:val="19"/>
          <w:szCs w:val="19"/>
          <w:color w:val="auto"/>
        </w:rPr>
        <w:t>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7" w:lineRule="exact"/>
        <w:rPr>
          <w:rFonts w:ascii="Arial" w:cs="Arial" w:eastAsia="Arial" w:hAnsi="Arial"/>
          <w:sz w:val="19"/>
          <w:szCs w:val="19"/>
          <w:color w:val="auto"/>
        </w:rPr>
      </w:pPr>
    </w:p>
    <w:p>
      <w:pPr>
        <w:ind w:left="640" w:right="180" w:firstLine="639"/>
        <w:spacing w:after="0" w:line="238" w:lineRule="auto"/>
        <w:tabs>
          <w:tab w:leader="none" w:pos="202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85" w:lineRule="exact"/>
        <w:rPr>
          <w:rFonts w:ascii="Arial" w:cs="Arial" w:eastAsia="Arial" w:hAnsi="Arial"/>
          <w:sz w:val="22"/>
          <w:szCs w:val="22"/>
          <w:color w:val="auto"/>
        </w:rPr>
      </w:pPr>
    </w:p>
    <w:p>
      <w:pPr>
        <w:ind w:left="640" w:right="100" w:firstLine="639"/>
        <w:spacing w:after="0" w:line="236" w:lineRule="auto"/>
        <w:tabs>
          <w:tab w:leader="none" w:pos="201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7" w:lineRule="exact"/>
        <w:rPr>
          <w:rFonts w:ascii="Arial" w:cs="Arial" w:eastAsia="Arial" w:hAnsi="Arial"/>
          <w:sz w:val="22"/>
          <w:szCs w:val="22"/>
          <w:color w:val="auto"/>
        </w:rPr>
      </w:pPr>
    </w:p>
    <w:p>
      <w:pPr>
        <w:ind w:left="640" w:right="200" w:firstLine="639"/>
        <w:spacing w:after="0" w:line="236" w:lineRule="auto"/>
        <w:tabs>
          <w:tab w:leader="none" w:pos="202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7" w:lineRule="exact"/>
        <w:rPr>
          <w:rFonts w:ascii="Arial" w:cs="Arial" w:eastAsia="Arial" w:hAnsi="Arial"/>
          <w:sz w:val="22"/>
          <w:szCs w:val="22"/>
          <w:color w:val="auto"/>
        </w:rPr>
      </w:pPr>
    </w:p>
    <w:p>
      <w:pPr>
        <w:ind w:left="640" w:firstLine="639"/>
        <w:spacing w:after="0" w:line="287" w:lineRule="auto"/>
        <w:tabs>
          <w:tab w:leader="none" w:pos="202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78" w:name="page179"/>
    <w:bookmarkEnd w:id="178"/>
    <w:p>
      <w:pPr>
        <w:jc w:val="both"/>
        <w:ind w:left="640" w:right="519"/>
        <w:spacing w:after="0" w:line="241" w:lineRule="auto"/>
        <w:rPr>
          <w:sz w:val="20"/>
          <w:szCs w:val="20"/>
          <w:color w:val="auto"/>
        </w:rPr>
      </w:pPr>
      <w:r>
        <w:rPr>
          <w:rFonts w:ascii="Arial" w:cs="Arial" w:eastAsia="Arial" w:hAnsi="Arial"/>
          <w:sz w:val="22"/>
          <w:szCs w:val="22"/>
          <w:color w:val="auto"/>
        </w:rPr>
        <w:t>of other securities, including United States Treasury securities or on a currency, currencies, currency unit or units, or composite currency or currencies) and the manner in which such amounts shall be determined;</w:t>
      </w:r>
    </w:p>
    <w:p>
      <w:pPr>
        <w:spacing w:after="0" w:line="184" w:lineRule="exact"/>
        <w:rPr>
          <w:sz w:val="20"/>
          <w:szCs w:val="20"/>
          <w:color w:val="auto"/>
        </w:rPr>
      </w:pPr>
    </w:p>
    <w:p>
      <w:pPr>
        <w:ind w:left="640" w:right="139" w:firstLine="639"/>
        <w:spacing w:after="0" w:line="246" w:lineRule="exact"/>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Whether the principal of (and premium or Make</w:t>
      </w:r>
      <w:r>
        <w:rPr>
          <w:rFonts w:ascii="MS PGothic" w:cs="MS PGothic" w:eastAsia="MS PGothic" w:hAnsi="MS PGothic"/>
          <w:sz w:val="19"/>
          <w:szCs w:val="19"/>
          <w:color w:val="auto"/>
        </w:rPr>
        <w:t>‑</w:t>
      </w:r>
      <w:r>
        <w:rPr>
          <w:rFonts w:ascii="Arial" w:cs="Arial" w:eastAsia="Arial" w:hAnsi="Arial"/>
          <w:sz w:val="19"/>
          <w:szCs w:val="19"/>
          <w:color w:val="auto"/>
        </w:rPr>
        <w:t>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9" w:lineRule="exact"/>
        <w:rPr>
          <w:rFonts w:ascii="Arial" w:cs="Arial" w:eastAsia="Arial" w:hAnsi="Arial"/>
          <w:sz w:val="19"/>
          <w:szCs w:val="19"/>
          <w:color w:val="auto"/>
        </w:rPr>
      </w:pPr>
    </w:p>
    <w:p>
      <w:pPr>
        <w:ind w:left="640" w:right="499" w:firstLine="639"/>
        <w:spacing w:after="0" w:line="251" w:lineRule="auto"/>
        <w:tabs>
          <w:tab w:leader="none" w:pos="202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Provisions, if any, granting special rights to the Holders of Securities of the series upon the occurrence of such events as may be specified;</w:t>
      </w:r>
    </w:p>
    <w:p>
      <w:pPr>
        <w:spacing w:after="0" w:line="173" w:lineRule="exact"/>
        <w:rPr>
          <w:rFonts w:ascii="Arial" w:cs="Arial" w:eastAsia="Arial" w:hAnsi="Arial"/>
          <w:sz w:val="22"/>
          <w:szCs w:val="22"/>
          <w:color w:val="auto"/>
        </w:rPr>
      </w:pPr>
    </w:p>
    <w:p>
      <w:pPr>
        <w:ind w:left="640" w:right="59" w:firstLine="639"/>
        <w:spacing w:after="0" w:line="297" w:lineRule="auto"/>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34" w:lineRule="exact"/>
        <w:rPr>
          <w:rFonts w:ascii="Arial" w:cs="Arial" w:eastAsia="Arial" w:hAnsi="Arial"/>
          <w:sz w:val="19"/>
          <w:szCs w:val="19"/>
          <w:color w:val="auto"/>
        </w:rPr>
      </w:pPr>
    </w:p>
    <w:p>
      <w:pPr>
        <w:ind w:left="640" w:right="139" w:firstLine="639"/>
        <w:spacing w:after="0" w:line="238" w:lineRule="auto"/>
        <w:tabs>
          <w:tab w:leader="none" w:pos="202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85" w:lineRule="exact"/>
        <w:rPr>
          <w:rFonts w:ascii="Arial" w:cs="Arial" w:eastAsia="Arial" w:hAnsi="Arial"/>
          <w:sz w:val="22"/>
          <w:szCs w:val="22"/>
          <w:color w:val="auto"/>
        </w:rPr>
      </w:pPr>
    </w:p>
    <w:p>
      <w:pPr>
        <w:ind w:left="640" w:right="19" w:firstLine="639"/>
        <w:spacing w:after="0" w:line="272" w:lineRule="auto"/>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61" w:lineRule="exact"/>
        <w:rPr>
          <w:rFonts w:ascii="Arial" w:cs="Arial" w:eastAsia="Arial" w:hAnsi="Arial"/>
          <w:sz w:val="19"/>
          <w:szCs w:val="19"/>
          <w:color w:val="auto"/>
        </w:rPr>
      </w:pPr>
    </w:p>
    <w:p>
      <w:pPr>
        <w:ind w:left="640" w:right="159" w:firstLine="639"/>
        <w:spacing w:after="0" w:line="297" w:lineRule="auto"/>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34" w:lineRule="exact"/>
        <w:rPr>
          <w:rFonts w:ascii="Arial" w:cs="Arial" w:eastAsia="Arial" w:hAnsi="Arial"/>
          <w:sz w:val="19"/>
          <w:szCs w:val="19"/>
          <w:color w:val="auto"/>
        </w:rPr>
      </w:pPr>
    </w:p>
    <w:p>
      <w:pPr>
        <w:ind w:left="640" w:right="199" w:firstLine="639"/>
        <w:spacing w:after="0" w:line="297" w:lineRule="auto"/>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Person to whom any interest on any Registered Security of the series shall be payable, if other than the Person in whose name that Security (or one or more Predecessor Securities) is registered at the close of business on the Regular Record Date for</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9" w:name="page180"/>
    <w:bookmarkEnd w:id="179"/>
    <w:p>
      <w:pPr>
        <w:ind w:left="660" w:right="40"/>
        <w:spacing w:after="0" w:line="277" w:lineRule="auto"/>
        <w:rPr>
          <w:sz w:val="20"/>
          <w:szCs w:val="20"/>
          <w:color w:val="auto"/>
        </w:rPr>
      </w:pPr>
      <w:r>
        <w:rPr>
          <w:rFonts w:ascii="Arial" w:cs="Arial" w:eastAsia="Arial" w:hAnsi="Arial"/>
          <w:sz w:val="19"/>
          <w:szCs w:val="19"/>
          <w:color w:val="auto"/>
        </w:rPr>
        <w:t xml:space="preserve">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the manner of determining such Person or making such payment shall be acceptable to the Trustee (as not imposing on it any undue administrative burden or risk of liability);</w:t>
      </w:r>
    </w:p>
    <w:p>
      <w:pPr>
        <w:spacing w:after="0" w:line="153" w:lineRule="exact"/>
        <w:rPr>
          <w:sz w:val="20"/>
          <w:szCs w:val="20"/>
          <w:color w:val="auto"/>
        </w:rPr>
      </w:pPr>
    </w:p>
    <w:p>
      <w:pPr>
        <w:ind w:left="660" w:right="60" w:firstLine="639"/>
        <w:spacing w:after="0" w:line="251" w:lineRule="auto"/>
        <w:tabs>
          <w:tab w:leader="none" w:pos="204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applicability, if any, of the Defeasance and Covenant Defeasance provisions of Article Fourteen hereof to the Securities of the series;</w:t>
      </w:r>
    </w:p>
    <w:p>
      <w:pPr>
        <w:spacing w:after="0" w:line="173" w:lineRule="exact"/>
        <w:rPr>
          <w:rFonts w:ascii="Arial" w:cs="Arial" w:eastAsia="Arial" w:hAnsi="Arial"/>
          <w:sz w:val="22"/>
          <w:szCs w:val="22"/>
          <w:color w:val="auto"/>
        </w:rPr>
      </w:pPr>
    </w:p>
    <w:p>
      <w:pPr>
        <w:ind w:left="660" w:right="40" w:firstLine="639"/>
        <w:spacing w:after="0" w:line="235" w:lineRule="auto"/>
        <w:tabs>
          <w:tab w:leader="none" w:pos="204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8" w:lineRule="exact"/>
        <w:rPr>
          <w:rFonts w:ascii="Arial" w:cs="Arial" w:eastAsia="Arial" w:hAnsi="Arial"/>
          <w:sz w:val="22"/>
          <w:szCs w:val="22"/>
          <w:color w:val="auto"/>
        </w:rPr>
      </w:pPr>
    </w:p>
    <w:p>
      <w:pPr>
        <w:ind w:left="660" w:right="20" w:firstLine="639"/>
        <w:spacing w:after="0" w:line="252" w:lineRule="auto"/>
        <w:tabs>
          <w:tab w:leader="none" w:pos="204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74" w:lineRule="exact"/>
        <w:rPr>
          <w:rFonts w:ascii="Arial" w:cs="Arial" w:eastAsia="Arial" w:hAnsi="Arial"/>
          <w:sz w:val="21"/>
          <w:szCs w:val="21"/>
          <w:color w:val="auto"/>
        </w:rPr>
      </w:pPr>
    </w:p>
    <w:p>
      <w:pPr>
        <w:ind w:left="660" w:right="100" w:firstLine="639"/>
        <w:spacing w:after="0" w:line="297" w:lineRule="auto"/>
        <w:tabs>
          <w:tab w:leader="none" w:pos="204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34" w:lineRule="exact"/>
        <w:rPr>
          <w:rFonts w:ascii="Arial" w:cs="Arial" w:eastAsia="Arial" w:hAnsi="Arial"/>
          <w:sz w:val="19"/>
          <w:szCs w:val="19"/>
          <w:color w:val="auto"/>
        </w:rPr>
      </w:pPr>
    </w:p>
    <w:p>
      <w:pPr>
        <w:ind w:left="660" w:right="440" w:firstLine="639"/>
        <w:spacing w:after="0" w:line="251" w:lineRule="auto"/>
        <w:tabs>
          <w:tab w:leader="none" w:pos="204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other terms of the series (which terms shall not be inconsistent with the provisions of this Indenture).</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4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Denominations</w:t>
      </w:r>
      <w:r>
        <w:rPr>
          <w:rFonts w:ascii="Arial" w:cs="Arial" w:eastAsia="Arial" w:hAnsi="Arial"/>
          <w:sz w:val="19"/>
          <w:szCs w:val="19"/>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0" w:name="page181"/>
    <w:bookmarkEnd w:id="180"/>
    <w:p>
      <w:pPr>
        <w:ind w:right="40"/>
        <w:spacing w:after="0" w:line="241" w:lineRule="auto"/>
        <w:rPr>
          <w:sz w:val="20"/>
          <w:szCs w:val="20"/>
          <w:color w:val="auto"/>
        </w:rPr>
      </w:pPr>
      <w:r>
        <w:rPr>
          <w:rFonts w:ascii="Arial" w:cs="Arial" w:eastAsia="Arial" w:hAnsi="Arial"/>
          <w:sz w:val="22"/>
          <w:szCs w:val="22"/>
          <w:color w:val="auto"/>
        </w:rPr>
        <w:t>any denomination), shall be issuable in denominations of $1,000 and any integral multiple thereof or the equivalent amounts thereof in the case of Securities denominated in the Foreign Currency or currency unit.</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Execution, Authentication, Delivery and Dating</w:t>
      </w:r>
      <w:r>
        <w:rPr>
          <w:rFonts w:ascii="Arial" w:cs="Arial" w:eastAsia="Arial" w:hAnsi="Arial"/>
          <w:sz w:val="19"/>
          <w:szCs w:val="19"/>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1" w:lineRule="exact"/>
        <w:rPr>
          <w:sz w:val="20"/>
          <w:szCs w:val="20"/>
          <w:color w:val="auto"/>
        </w:rPr>
      </w:pPr>
    </w:p>
    <w:p>
      <w:pPr>
        <w:ind w:right="280" w:firstLine="648"/>
        <w:spacing w:after="0" w:line="287" w:lineRule="auto"/>
        <w:rPr>
          <w:sz w:val="20"/>
          <w:szCs w:val="20"/>
          <w:color w:val="auto"/>
        </w:rPr>
      </w:pPr>
      <w:r>
        <w:rPr>
          <w:rFonts w:ascii="Arial" w:cs="Arial" w:eastAsia="Arial" w:hAnsi="Arial"/>
          <w:sz w:val="19"/>
          <w:szCs w:val="19"/>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43" w:lineRule="exact"/>
        <w:rPr>
          <w:sz w:val="20"/>
          <w:szCs w:val="20"/>
          <w:color w:val="auto"/>
        </w:rPr>
      </w:pPr>
    </w:p>
    <w:p>
      <w:pPr>
        <w:ind w:right="40" w:firstLine="648"/>
        <w:spacing w:after="0" w:line="246" w:lineRule="exact"/>
        <w:rPr>
          <w:sz w:val="20"/>
          <w:szCs w:val="20"/>
          <w:color w:val="auto"/>
        </w:rPr>
      </w:pPr>
      <w:r>
        <w:rPr>
          <w:rFonts w:ascii="Arial" w:cs="Arial" w:eastAsia="Arial" w:hAnsi="Arial"/>
          <w:sz w:val="19"/>
          <w:szCs w:val="19"/>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its original issuance, no Bearer Security shall be mailed or otherwise delivered to any location in the United States;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200" w:lineRule="exact"/>
        <w:rPr>
          <w:sz w:val="20"/>
          <w:szCs w:val="20"/>
          <w:color w:val="auto"/>
        </w:rPr>
      </w:pP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1" w:name="page182"/>
    <w:bookmarkEnd w:id="181"/>
    <w:p>
      <w:pPr>
        <w:ind w:left="2600" w:hanging="652"/>
        <w:spacing w:after="0"/>
        <w:tabs>
          <w:tab w:leader="none" w:pos="26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 Opinion of Counsel stating that</w:t>
      </w:r>
    </w:p>
    <w:p>
      <w:pPr>
        <w:spacing w:after="0" w:line="206" w:lineRule="exact"/>
        <w:rPr>
          <w:rFonts w:ascii="Arial" w:cs="Arial" w:eastAsia="Arial" w:hAnsi="Arial"/>
          <w:sz w:val="22"/>
          <w:szCs w:val="22"/>
          <w:color w:val="auto"/>
        </w:rPr>
      </w:pPr>
    </w:p>
    <w:p>
      <w:pPr>
        <w:ind w:left="1940" w:right="220" w:firstLine="656"/>
        <w:spacing w:after="0" w:line="274" w:lineRule="auto"/>
        <w:tabs>
          <w:tab w:leader="none" w:pos="3274"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form or forms of such Securities and any coupons have been established in conformity with the provisions of this Indenture;</w:t>
      </w:r>
    </w:p>
    <w:p>
      <w:pPr>
        <w:spacing w:after="0" w:line="150" w:lineRule="exact"/>
        <w:rPr>
          <w:rFonts w:ascii="Arial" w:cs="Arial" w:eastAsia="Arial" w:hAnsi="Arial"/>
          <w:sz w:val="21"/>
          <w:szCs w:val="21"/>
          <w:color w:val="auto"/>
        </w:rPr>
      </w:pPr>
    </w:p>
    <w:p>
      <w:pPr>
        <w:ind w:left="1940" w:right="940" w:firstLine="656"/>
        <w:spacing w:after="0" w:line="328" w:lineRule="auto"/>
        <w:tabs>
          <w:tab w:leader="none" w:pos="328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terms of such Securities and any coupons have been established in conformity with the provisions of this Indenture; and</w:t>
      </w:r>
    </w:p>
    <w:p>
      <w:pPr>
        <w:spacing w:after="0" w:line="105" w:lineRule="exact"/>
        <w:rPr>
          <w:rFonts w:ascii="Arial" w:cs="Arial" w:eastAsia="Arial" w:hAnsi="Arial"/>
          <w:sz w:val="19"/>
          <w:szCs w:val="19"/>
          <w:color w:val="auto"/>
        </w:rPr>
      </w:pPr>
    </w:p>
    <w:p>
      <w:pPr>
        <w:ind w:left="1940" w:right="40" w:firstLine="656"/>
        <w:spacing w:after="0" w:line="273" w:lineRule="auto"/>
        <w:tabs>
          <w:tab w:leader="none" w:pos="327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62" w:lineRule="exact"/>
        <w:rPr>
          <w:sz w:val="20"/>
          <w:szCs w:val="20"/>
          <w:color w:val="auto"/>
        </w:rPr>
      </w:pPr>
    </w:p>
    <w:p>
      <w:pPr>
        <w:jc w:val="both"/>
        <w:ind w:left="1300" w:right="220" w:firstLine="648"/>
        <w:spacing w:after="0" w:line="287" w:lineRule="auto"/>
        <w:tabs>
          <w:tab w:leader="none" w:pos="259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43"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8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91"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Each Registered Security shall be dated the date of its authentication and each Bearer Security shall be dated as of the date specified as contemplated by Section 301.</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2" w:name="page183"/>
    <w:bookmarkEnd w:id="182"/>
    <w:p>
      <w:pPr>
        <w:spacing w:after="0" w:line="279" w:lineRule="auto"/>
        <w:rPr>
          <w:sz w:val="20"/>
          <w:szCs w:val="20"/>
          <w:color w:val="auto"/>
        </w:rPr>
      </w:pPr>
      <w:r>
        <w:rPr>
          <w:rFonts w:ascii="Arial" w:cs="Arial" w:eastAsia="Arial" w:hAnsi="Arial"/>
          <w:sz w:val="19"/>
          <w:szCs w:val="19"/>
          <w:color w:val="auto"/>
        </w:rPr>
        <w:t>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5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p>
    <w:p>
      <w:pPr>
        <w:spacing w:after="0" w:line="206" w:lineRule="exact"/>
        <w:rPr>
          <w:sz w:val="20"/>
          <w:szCs w:val="20"/>
          <w:color w:val="auto"/>
        </w:rPr>
      </w:pPr>
    </w:p>
    <w:p>
      <w:pPr>
        <w:ind w:right="20" w:firstLine="1296"/>
        <w:spacing w:after="0" w:line="275" w:lineRule="auto"/>
        <w:rPr>
          <w:sz w:val="20"/>
          <w:szCs w:val="20"/>
          <w:color w:val="auto"/>
        </w:rPr>
      </w:pPr>
      <w:r>
        <w:rPr>
          <w:rFonts w:ascii="Arial" w:cs="Arial" w:eastAsia="Arial" w:hAnsi="Arial"/>
          <w:sz w:val="19"/>
          <w:szCs w:val="19"/>
          <w:color w:val="auto"/>
        </w:rPr>
        <w:t>(a)Pending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58"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w:t>
      </w:r>
      <w:r>
        <w:rPr>
          <w:rFonts w:ascii="MS PGothic" w:cs="MS PGothic" w:eastAsia="MS PGothic" w:hAnsi="MS PGothic"/>
          <w:sz w:val="19"/>
          <w:szCs w:val="19"/>
          <w:color w:val="auto"/>
        </w:rPr>
        <w:t>‑</w:t>
      </w:r>
      <w:r>
        <w:rPr>
          <w:rFonts w:ascii="Arial" w:cs="Arial" w:eastAsia="Arial" w:hAnsi="Arial"/>
          <w:sz w:val="19"/>
          <w:szCs w:val="19"/>
          <w:color w:val="auto"/>
        </w:rPr>
        <w:t xml:space="preserve">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definitive Bearer Security shall be delivered in exchange for a temporary Registered Security;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16" w:lineRule="exact"/>
        <w:rPr>
          <w:sz w:val="20"/>
          <w:szCs w:val="20"/>
          <w:color w:val="auto"/>
        </w:rPr>
      </w:pPr>
    </w:p>
    <w:p>
      <w:pPr>
        <w:ind w:right="120" w:firstLine="1296"/>
        <w:spacing w:after="0" w:line="246" w:lineRule="auto"/>
        <w:rPr>
          <w:sz w:val="20"/>
          <w:szCs w:val="20"/>
          <w:color w:val="auto"/>
        </w:rPr>
      </w:pPr>
      <w:r>
        <w:rPr>
          <w:rFonts w:ascii="Arial" w:cs="Arial" w:eastAsia="Arial" w:hAnsi="Arial"/>
          <w:sz w:val="21"/>
          <w:szCs w:val="21"/>
          <w:color w:val="auto"/>
        </w:rPr>
        <w:t>(b)Unless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1"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Without unnecessary delay but in any event not later than the date specified in, or determined pursuant to the terms of, any such temporary Global Security (the “Exchange Date”),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3" w:name="page184"/>
    <w:bookmarkEnd w:id="183"/>
    <w:p>
      <w:pPr>
        <w:ind w:right="20"/>
        <w:spacing w:after="0" w:line="246" w:lineRule="exact"/>
        <w:rPr>
          <w:sz w:val="20"/>
          <w:szCs w:val="20"/>
          <w:color w:val="auto"/>
        </w:rPr>
      </w:pPr>
      <w:r>
        <w:rPr>
          <w:rFonts w:ascii="Arial" w:cs="Arial" w:eastAsia="Arial" w:hAnsi="Arial"/>
          <w:sz w:val="19"/>
          <w:szCs w:val="19"/>
          <w:color w:val="auto"/>
        </w:rPr>
        <w:t xml:space="preserve">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 as may be established pursuant to Section 301;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definitive Bearer Securities shall be delivered in exchange for a portion of a temporary Global Security only in compliance with the requirements of Section 303.</w:t>
      </w:r>
    </w:p>
    <w:p>
      <w:pPr>
        <w:spacing w:after="0" w:line="200" w:lineRule="exact"/>
        <w:rPr>
          <w:sz w:val="20"/>
          <w:szCs w:val="20"/>
          <w:color w:val="auto"/>
        </w:rPr>
      </w:pPr>
    </w:p>
    <w:p>
      <w:pPr>
        <w:spacing w:after="0" w:line="206" w:lineRule="exact"/>
        <w:rPr>
          <w:sz w:val="20"/>
          <w:szCs w:val="20"/>
          <w:color w:val="auto"/>
        </w:rPr>
      </w:pPr>
    </w:p>
    <w:p>
      <w:pPr>
        <w:ind w:firstLine="648"/>
        <w:spacing w:after="0" w:line="247" w:lineRule="exact"/>
        <w:rPr>
          <w:sz w:val="20"/>
          <w:szCs w:val="20"/>
          <w:color w:val="auto"/>
        </w:rPr>
      </w:pPr>
      <w:r>
        <w:rPr>
          <w:rFonts w:ascii="Arial" w:cs="Arial" w:eastAsia="Arial" w:hAnsi="Arial"/>
          <w:sz w:val="19"/>
          <w:szCs w:val="19"/>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200" w:lineRule="exact"/>
        <w:rPr>
          <w:sz w:val="20"/>
          <w:szCs w:val="20"/>
          <w:color w:val="auto"/>
        </w:rPr>
      </w:pPr>
    </w:p>
    <w:p>
      <w:pPr>
        <w:spacing w:after="0" w:line="209" w:lineRule="exact"/>
        <w:rPr>
          <w:sz w:val="20"/>
          <w:szCs w:val="20"/>
          <w:color w:val="auto"/>
        </w:rPr>
      </w:pPr>
    </w:p>
    <w:p>
      <w:pPr>
        <w:ind w:right="40" w:firstLine="648"/>
        <w:spacing w:after="0" w:line="246" w:lineRule="exact"/>
        <w:rPr>
          <w:sz w:val="20"/>
          <w:szCs w:val="20"/>
          <w:color w:val="auto"/>
        </w:rPr>
      </w:pPr>
      <w:r>
        <w:rPr>
          <w:rFonts w:ascii="Arial" w:cs="Arial" w:eastAsia="Arial" w:hAnsi="Arial"/>
          <w:sz w:val="19"/>
          <w:szCs w:val="19"/>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forms as may be established pursuant to Section 301), for credit without further interest on or after such Interest Payment Date to the respective accounts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4" w:name="page185"/>
    <w:bookmarkEnd w:id="184"/>
    <w:p>
      <w:pPr>
        <w:spacing w:after="0" w:line="245" w:lineRule="exact"/>
        <w:rPr>
          <w:sz w:val="20"/>
          <w:szCs w:val="20"/>
          <w:color w:val="auto"/>
        </w:rPr>
      </w:pPr>
      <w:r>
        <w:rPr>
          <w:rFonts w:ascii="Arial" w:cs="Arial" w:eastAsia="Arial" w:hAnsi="Arial"/>
          <w:sz w:val="19"/>
          <w:szCs w:val="19"/>
          <w:color w:val="auto"/>
        </w:rPr>
        <w:t xml:space="preserve">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Registration, Registration of Transfer, Conversion and Exchange</w:t>
      </w:r>
      <w:r>
        <w:rPr>
          <w:rFonts w:ascii="Arial" w:cs="Arial" w:eastAsia="Arial" w:hAnsi="Arial"/>
          <w:sz w:val="19"/>
          <w:szCs w:val="19"/>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5" w:name="page186"/>
    <w:bookmarkEnd w:id="185"/>
    <w:p>
      <w:pPr>
        <w:ind w:right="20" w:firstLine="648"/>
        <w:spacing w:after="0" w:line="272" w:lineRule="auto"/>
        <w:rPr>
          <w:sz w:val="20"/>
          <w:szCs w:val="20"/>
          <w:color w:val="auto"/>
        </w:rPr>
      </w:pPr>
      <w:r>
        <w:rPr>
          <w:rFonts w:ascii="Arial" w:cs="Arial" w:eastAsia="Arial" w:hAnsi="Arial"/>
          <w:sz w:val="19"/>
          <w:szCs w:val="19"/>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w:t>
      </w:r>
    </w:p>
    <w:p>
      <w:pPr>
        <w:ind w:right="180"/>
        <w:spacing w:after="0" w:line="233" w:lineRule="auto"/>
        <w:rPr>
          <w:sz w:val="20"/>
          <w:szCs w:val="20"/>
          <w:color w:val="auto"/>
        </w:rPr>
      </w:pPr>
      <w:r>
        <w:rPr>
          <w:rFonts w:ascii="Arial" w:cs="Arial" w:eastAsia="Arial" w:hAnsi="Arial"/>
          <w:sz w:val="22"/>
          <w:szCs w:val="22"/>
          <w:color w:val="auto"/>
        </w:rPr>
        <w:t>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6"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0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6" w:name="page187"/>
    <w:bookmarkEnd w:id="186"/>
    <w:p>
      <w:pPr>
        <w:spacing w:after="0" w:line="268" w:lineRule="auto"/>
        <w:rPr>
          <w:sz w:val="20"/>
          <w:szCs w:val="20"/>
          <w:color w:val="auto"/>
        </w:rPr>
      </w:pPr>
      <w:r>
        <w:rPr>
          <w:rFonts w:ascii="Arial" w:cs="Arial" w:eastAsia="Arial" w:hAnsi="Arial"/>
          <w:sz w:val="19"/>
          <w:szCs w:val="19"/>
          <w:color w:val="auto"/>
        </w:rPr>
        <w:t xml:space="preserve">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87" w:name="page188"/>
    <w:bookmarkEnd w:id="187"/>
    <w:p>
      <w:pPr>
        <w:ind w:right="40" w:firstLine="648"/>
        <w:spacing w:after="0" w:line="236" w:lineRule="auto"/>
        <w:rPr>
          <w:sz w:val="20"/>
          <w:szCs w:val="20"/>
          <w:color w:val="auto"/>
        </w:rPr>
      </w:pPr>
      <w:r>
        <w:rPr>
          <w:rFonts w:ascii="Arial" w:cs="Arial" w:eastAsia="Arial" w:hAnsi="Arial"/>
          <w:sz w:val="22"/>
          <w:szCs w:val="22"/>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00" w:lineRule="exact"/>
        <w:rPr>
          <w:sz w:val="20"/>
          <w:szCs w:val="20"/>
          <w:color w:val="auto"/>
        </w:rPr>
      </w:pPr>
    </w:p>
    <w:p>
      <w:pPr>
        <w:spacing w:after="0" w:line="209"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8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Mutilated, Destroyed, Lost and Stolen Securities</w:t>
      </w:r>
      <w:r>
        <w:rPr>
          <w:rFonts w:ascii="Arial" w:cs="Arial" w:eastAsia="Arial" w:hAnsi="Arial"/>
          <w:sz w:val="22"/>
          <w:szCs w:val="22"/>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88" w:name="page189"/>
    <w:bookmarkEnd w:id="188"/>
    <w:p>
      <w:pPr>
        <w:ind w:right="279"/>
        <w:spacing w:after="0" w:line="252" w:lineRule="auto"/>
        <w:rPr>
          <w:sz w:val="20"/>
          <w:szCs w:val="20"/>
          <w:color w:val="auto"/>
        </w:rPr>
      </w:pPr>
      <w:r>
        <w:rPr>
          <w:rFonts w:ascii="Arial" w:cs="Arial" w:eastAsia="Arial" w:hAnsi="Arial"/>
          <w:sz w:val="21"/>
          <w:szCs w:val="21"/>
          <w:color w:val="auto"/>
        </w:rPr>
        <w:t>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5" w:lineRule="exact"/>
        <w:rPr>
          <w:sz w:val="20"/>
          <w:szCs w:val="20"/>
          <w:color w:val="auto"/>
        </w:rPr>
      </w:pPr>
    </w:p>
    <w:p>
      <w:pPr>
        <w:ind w:right="19" w:firstLine="648"/>
        <w:spacing w:after="0" w:line="272" w:lineRule="auto"/>
        <w:rPr>
          <w:sz w:val="20"/>
          <w:szCs w:val="20"/>
          <w:color w:val="auto"/>
        </w:rPr>
      </w:pPr>
      <w:r>
        <w:rPr>
          <w:rFonts w:ascii="Arial" w:cs="Arial" w:eastAsia="Arial" w:hAnsi="Arial"/>
          <w:sz w:val="19"/>
          <w:szCs w:val="19"/>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57" w:lineRule="exact"/>
        <w:rPr>
          <w:sz w:val="20"/>
          <w:szCs w:val="20"/>
          <w:color w:val="auto"/>
        </w:rPr>
      </w:pPr>
    </w:p>
    <w:p>
      <w:pPr>
        <w:ind w:right="519" w:firstLine="648"/>
        <w:spacing w:after="0" w:line="238" w:lineRule="auto"/>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5" w:lineRule="exact"/>
        <w:rPr>
          <w:sz w:val="20"/>
          <w:szCs w:val="20"/>
          <w:color w:val="auto"/>
        </w:rPr>
      </w:pPr>
    </w:p>
    <w:p>
      <w:pPr>
        <w:ind w:right="139" w:firstLine="648"/>
        <w:spacing w:after="0" w:line="258" w:lineRule="auto"/>
        <w:rPr>
          <w:sz w:val="20"/>
          <w:szCs w:val="20"/>
          <w:color w:val="auto"/>
        </w:rPr>
      </w:pPr>
      <w:r>
        <w:rPr>
          <w:rFonts w:ascii="Arial" w:cs="Arial" w:eastAsia="Arial" w:hAnsi="Arial"/>
          <w:sz w:val="21"/>
          <w:szCs w:val="21"/>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w:t>
      </w:r>
    </w:p>
    <w:p>
      <w:pPr>
        <w:spacing w:after="0" w:line="167" w:lineRule="exact"/>
        <w:rPr>
          <w:sz w:val="20"/>
          <w:szCs w:val="20"/>
          <w:color w:val="auto"/>
        </w:rPr>
      </w:pPr>
    </w:p>
    <w:p>
      <w:pPr>
        <w:jc w:val="both"/>
        <w:ind w:right="99"/>
        <w:spacing w:after="0" w:line="252" w:lineRule="auto"/>
        <w:rPr>
          <w:sz w:val="20"/>
          <w:szCs w:val="20"/>
          <w:color w:val="auto"/>
        </w:rPr>
      </w:pPr>
      <w:r>
        <w:rPr>
          <w:rFonts w:ascii="Arial" w:cs="Arial" w:eastAsia="Arial" w:hAnsi="Arial"/>
          <w:sz w:val="21"/>
          <w:szCs w:val="21"/>
          <w:color w:val="auto"/>
        </w:rPr>
        <w:t>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4" w:lineRule="exact"/>
        <w:rPr>
          <w:sz w:val="20"/>
          <w:szCs w:val="20"/>
          <w:color w:val="auto"/>
        </w:rPr>
      </w:pPr>
    </w:p>
    <w:p>
      <w:pPr>
        <w:jc w:val="both"/>
        <w:ind w:right="279" w:firstLine="648"/>
        <w:spacing w:after="0"/>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86" w:lineRule="exact"/>
        <w:rPr>
          <w:sz w:val="20"/>
          <w:szCs w:val="20"/>
          <w:color w:val="auto"/>
        </w:rPr>
      </w:pPr>
    </w:p>
    <w:p>
      <w:pPr>
        <w:ind w:right="39" w:firstLine="648"/>
        <w:spacing w:after="0" w:line="274"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provided, however, that each installment of interest on any Registered Security may at the Company’s option be paid by (i) mailing a check for such interest, payable to or upon the written order of the Person entitled thereto pursuant to Section 308, to the address of such Person as it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89" w:name="page190"/>
    <w:bookmarkEnd w:id="189"/>
    <w:p>
      <w:pPr>
        <w:ind w:right="60"/>
        <w:spacing w:after="0" w:line="251" w:lineRule="auto"/>
        <w:rPr>
          <w:sz w:val="20"/>
          <w:szCs w:val="20"/>
          <w:color w:val="auto"/>
        </w:rPr>
      </w:pPr>
      <w:r>
        <w:rPr>
          <w:rFonts w:ascii="Arial" w:cs="Arial" w:eastAsia="Arial" w:hAnsi="Arial"/>
          <w:sz w:val="22"/>
          <w:szCs w:val="22"/>
          <w:color w:val="auto"/>
        </w:rPr>
        <w:t>appears on the Security Register or (ii) transfer to an account maintained by the payee located inside the United States.</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7"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53" w:lineRule="exact"/>
        <w:rPr>
          <w:sz w:val="20"/>
          <w:szCs w:val="20"/>
          <w:color w:val="auto"/>
        </w:rPr>
      </w:pPr>
    </w:p>
    <w:p>
      <w:pPr>
        <w:ind w:right="320" w:firstLine="648"/>
        <w:spacing w:after="0" w:line="279" w:lineRule="auto"/>
        <w:rPr>
          <w:sz w:val="20"/>
          <w:szCs w:val="20"/>
          <w:color w:val="auto"/>
        </w:rPr>
      </w:pPr>
      <w:r>
        <w:rPr>
          <w:rFonts w:ascii="Arial" w:cs="Arial" w:eastAsia="Arial" w:hAnsi="Arial"/>
          <w:sz w:val="19"/>
          <w:szCs w:val="19"/>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51" w:lineRule="exact"/>
        <w:rPr>
          <w:sz w:val="20"/>
          <w:szCs w:val="20"/>
          <w:color w:val="auto"/>
        </w:rPr>
      </w:pPr>
    </w:p>
    <w:p>
      <w:pPr>
        <w:ind w:left="660" w:firstLine="639"/>
        <w:spacing w:after="0" w:line="270" w:lineRule="auto"/>
        <w:tabs>
          <w:tab w:leader="none" w:pos="200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0" w:name="page191"/>
    <w:bookmarkEnd w:id="190"/>
    <w:p>
      <w:pPr>
        <w:ind w:left="660" w:right="20"/>
        <w:spacing w:after="0" w:line="244" w:lineRule="exact"/>
        <w:rPr>
          <w:sz w:val="20"/>
          <w:szCs w:val="20"/>
          <w:color w:val="auto"/>
        </w:rPr>
      </w:pPr>
      <w:r>
        <w:rPr>
          <w:rFonts w:ascii="Arial" w:cs="Arial" w:eastAsia="Arial" w:hAnsi="Arial"/>
          <w:sz w:val="19"/>
          <w:szCs w:val="19"/>
          <w:color w:val="auto"/>
        </w:rPr>
        <w:t>Special Record Date and, in the name and at the expense of the Company, shall cause notice of the proposed payment of such Defaulted Interest and the Special Record Date therefor to be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99" w:lineRule="exact"/>
        <w:rPr>
          <w:sz w:val="20"/>
          <w:szCs w:val="20"/>
          <w:color w:val="auto"/>
        </w:rPr>
      </w:pPr>
    </w:p>
    <w:p>
      <w:pPr>
        <w:ind w:left="660" w:firstLine="639"/>
        <w:spacing w:after="0" w:line="279" w:lineRule="auto"/>
        <w:tabs>
          <w:tab w:leader="none" w:pos="200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51"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5"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u w:val="single" w:color="auto"/>
          <w:color w:val="auto"/>
        </w:rPr>
        <w:t>Persons Deemed Owners.</w:t>
      </w:r>
      <w:r>
        <w:rPr>
          <w:rFonts w:ascii="Arial" w:cs="Arial" w:eastAsia="Arial" w:hAnsi="Arial"/>
          <w:sz w:val="21"/>
          <w:szCs w:val="21"/>
          <w:color w:val="auto"/>
        </w:rPr>
        <w:t xml:space="preserve">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8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1" w:name="page192"/>
    <w:bookmarkEnd w:id="191"/>
    <w:p>
      <w:pPr>
        <w:ind w:right="60"/>
        <w:spacing w:after="0" w:line="258" w:lineRule="auto"/>
        <w:rPr>
          <w:sz w:val="20"/>
          <w:szCs w:val="20"/>
          <w:color w:val="auto"/>
        </w:rPr>
      </w:pPr>
      <w:r>
        <w:rPr>
          <w:rFonts w:ascii="Arial" w:cs="Arial" w:eastAsia="Arial" w:hAnsi="Arial"/>
          <w:sz w:val="21"/>
          <w:szCs w:val="21"/>
          <w:color w:val="auto"/>
        </w:rPr>
        <w:t>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67"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Cancellation</w:t>
      </w:r>
      <w:r>
        <w:rPr>
          <w:rFonts w:ascii="Arial" w:cs="Arial" w:eastAsia="Arial" w:hAnsi="Arial"/>
          <w:sz w:val="19"/>
          <w:szCs w:val="19"/>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58" w:lineRule="exact"/>
        <w:rPr>
          <w:sz w:val="20"/>
          <w:szCs w:val="20"/>
          <w:color w:val="auto"/>
        </w:rPr>
      </w:pPr>
    </w:p>
    <w:p>
      <w:pPr>
        <w:ind w:right="160" w:firstLine="648"/>
        <w:spacing w:after="0" w:line="254" w:lineRule="exact"/>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Computation of Interest</w:t>
      </w:r>
      <w:r>
        <w:rPr>
          <w:rFonts w:ascii="Arial" w:cs="Arial" w:eastAsia="Arial" w:hAnsi="Arial"/>
          <w:sz w:val="21"/>
          <w:szCs w:val="21"/>
          <w:color w:val="auto"/>
        </w:rPr>
        <w:t>. Except as otherwise specified as contemplated by Section 301 with respect to Securities of any series, interest on the Securities of each series shall be computed on the basis of a 360</w:t>
      </w:r>
      <w:r>
        <w:rPr>
          <w:rFonts w:ascii="MS PGothic" w:cs="MS PGothic" w:eastAsia="MS PGothic" w:hAnsi="MS PGothic"/>
          <w:sz w:val="21"/>
          <w:szCs w:val="21"/>
          <w:color w:val="auto"/>
        </w:rPr>
        <w:t>‑</w:t>
      </w:r>
      <w:r>
        <w:rPr>
          <w:rFonts w:ascii="Arial" w:cs="Arial" w:eastAsia="Arial" w:hAnsi="Arial"/>
          <w:sz w:val="21"/>
          <w:szCs w:val="21"/>
          <w:color w:val="auto"/>
        </w:rPr>
        <w:t>day year consisting of twelve 30</w:t>
      </w:r>
      <w:r>
        <w:rPr>
          <w:rFonts w:ascii="MS PGothic" w:cs="MS PGothic" w:eastAsia="MS PGothic" w:hAnsi="MS PGothic"/>
          <w:sz w:val="21"/>
          <w:szCs w:val="21"/>
          <w:color w:val="auto"/>
        </w:rPr>
        <w:t>‑</w:t>
      </w:r>
      <w:r>
        <w:rPr>
          <w:rFonts w:ascii="Arial" w:cs="Arial" w:eastAsia="Arial" w:hAnsi="Arial"/>
          <w:sz w:val="21"/>
          <w:szCs w:val="21"/>
          <w:color w:val="auto"/>
        </w:rPr>
        <w:t>day months.</w:t>
      </w:r>
    </w:p>
    <w:p>
      <w:pPr>
        <w:spacing w:after="0" w:line="1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CUSIP Numbers</w:t>
      </w:r>
      <w:r>
        <w:rPr>
          <w:rFonts w:ascii="Arial" w:cs="Arial" w:eastAsia="Arial" w:hAnsi="Arial"/>
          <w:sz w:val="19"/>
          <w:szCs w:val="19"/>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92" w:name="page193"/>
    <w:bookmarkEnd w:id="192"/>
    <w:p>
      <w:pPr>
        <w:ind w:right="320"/>
        <w:spacing w:after="0" w:line="251" w:lineRule="auto"/>
        <w:rPr>
          <w:sz w:val="20"/>
          <w:szCs w:val="20"/>
          <w:color w:val="auto"/>
        </w:rPr>
      </w:pPr>
      <w:r>
        <w:rPr>
          <w:rFonts w:ascii="Arial" w:cs="Arial" w:eastAsia="Arial" w:hAnsi="Arial"/>
          <w:sz w:val="22"/>
          <w:szCs w:val="22"/>
          <w:color w:val="auto"/>
        </w:rPr>
        <w:t>by any defect in or omission of such numbers. The Company will promptly notify the Trustee of any change in the “CUSIP” numbers.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FOUR - SATISFACTION AND DISCHARGE</w:t>
      </w:r>
    </w:p>
    <w:p>
      <w:pPr>
        <w:spacing w:after="0" w:line="206" w:lineRule="exact"/>
        <w:rPr>
          <w:sz w:val="20"/>
          <w:szCs w:val="20"/>
          <w:color w:val="auto"/>
        </w:rPr>
      </w:pPr>
    </w:p>
    <w:p>
      <w:pPr>
        <w:ind w:right="100" w:firstLine="648"/>
        <w:spacing w:after="0" w:line="24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Satisfaction and Discharge of Indenture</w:t>
      </w:r>
      <w:r>
        <w:rPr>
          <w:rFonts w:ascii="Arial" w:cs="Arial" w:eastAsia="Arial" w:hAnsi="Arial"/>
          <w:sz w:val="21"/>
          <w:szCs w:val="21"/>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78" w:lineRule="exact"/>
        <w:rPr>
          <w:sz w:val="20"/>
          <w:szCs w:val="20"/>
          <w:color w:val="auto"/>
        </w:rPr>
      </w:pPr>
    </w:p>
    <w:p>
      <w:pPr>
        <w:ind w:left="2000" w:hanging="701"/>
        <w:spacing w:after="0"/>
        <w:tabs>
          <w:tab w:leader="none" w:pos="20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left="1300" w:right="20" w:firstLine="648"/>
        <w:spacing w:after="0" w:line="272" w:lineRule="auto"/>
        <w:tabs>
          <w:tab w:leader="none" w:pos="2694"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1" w:lineRule="exact"/>
        <w:rPr>
          <w:rFonts w:ascii="Arial" w:cs="Arial" w:eastAsia="Arial" w:hAnsi="Arial"/>
          <w:sz w:val="19"/>
          <w:szCs w:val="19"/>
          <w:color w:val="auto"/>
        </w:rPr>
      </w:pPr>
    </w:p>
    <w:p>
      <w:pPr>
        <w:ind w:left="1300" w:right="420" w:firstLine="648"/>
        <w:spacing w:after="0" w:line="328" w:lineRule="auto"/>
        <w:tabs>
          <w:tab w:leader="none" w:pos="2682"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all Securities of such series and, in the case of (i) or (ii) below, any coupons appertaining thereto not theretofore delivered to the Trustee for cancellation</w:t>
      </w:r>
    </w:p>
    <w:p>
      <w:pPr>
        <w:spacing w:after="0" w:line="105" w:lineRule="exact"/>
        <w:rPr>
          <w:sz w:val="20"/>
          <w:szCs w:val="20"/>
          <w:color w:val="auto"/>
        </w:rPr>
      </w:pPr>
    </w:p>
    <w:p>
      <w:pPr>
        <w:ind w:left="2600" w:hanging="652"/>
        <w:spacing w:after="0"/>
        <w:tabs>
          <w:tab w:leader="none" w:pos="26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auto"/>
        </w:rPr>
      </w:pPr>
    </w:p>
    <w:p>
      <w:pPr>
        <w:ind w:left="2580" w:hanging="632"/>
        <w:spacing w:after="0"/>
        <w:tabs>
          <w:tab w:leader="none" w:pos="258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will become due and payable at their Stated Maturity within one year, or</w:t>
      </w:r>
    </w:p>
    <w:p>
      <w:pPr>
        <w:spacing w:after="0" w:line="240" w:lineRule="exact"/>
        <w:rPr>
          <w:rFonts w:ascii="Arial" w:cs="Arial" w:eastAsia="Arial" w:hAnsi="Arial"/>
          <w:sz w:val="19"/>
          <w:szCs w:val="19"/>
          <w:color w:val="auto"/>
        </w:rPr>
      </w:pPr>
    </w:p>
    <w:p>
      <w:pPr>
        <w:ind w:left="1300" w:right="100" w:firstLine="648"/>
        <w:spacing w:after="0" w:line="297" w:lineRule="auto"/>
        <w:tabs>
          <w:tab w:leader="none" w:pos="259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3" w:name="page194"/>
    <w:bookmarkEnd w:id="193"/>
    <w:p>
      <w:pPr>
        <w:ind w:left="660" w:right="180" w:firstLine="639"/>
        <w:spacing w:after="0" w:line="251" w:lineRule="auto"/>
        <w:tabs>
          <w:tab w:leader="none" w:pos="20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hereunder by the Company; and</w:t>
      </w:r>
    </w:p>
    <w:p>
      <w:pPr>
        <w:spacing w:after="0" w:line="173" w:lineRule="exact"/>
        <w:rPr>
          <w:rFonts w:ascii="Arial" w:cs="Arial" w:eastAsia="Arial" w:hAnsi="Arial"/>
          <w:sz w:val="22"/>
          <w:szCs w:val="22"/>
          <w:color w:val="auto"/>
        </w:rPr>
      </w:pPr>
    </w:p>
    <w:p>
      <w:pPr>
        <w:ind w:left="660" w:right="20" w:firstLine="639"/>
        <w:spacing w:after="0" w:line="297" w:lineRule="auto"/>
        <w:tabs>
          <w:tab w:leader="none" w:pos="200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4"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48"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Application of Trust Funds</w:t>
      </w:r>
      <w:r>
        <w:rPr>
          <w:rFonts w:ascii="Arial" w:cs="Arial" w:eastAsia="Arial" w:hAnsi="Arial"/>
          <w:sz w:val="21"/>
          <w:szCs w:val="21"/>
          <w:color w:val="auto"/>
        </w:rPr>
        <w:t xml:space="preserve"> .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FIVE - REMEDIES</w:t>
      </w:r>
    </w:p>
    <w:p>
      <w:pPr>
        <w:spacing w:after="0" w:line="206"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88" w:lineRule="exact"/>
        <w:rPr>
          <w:sz w:val="20"/>
          <w:szCs w:val="20"/>
          <w:color w:val="auto"/>
        </w:rPr>
      </w:pPr>
    </w:p>
    <w:p>
      <w:pPr>
        <w:ind w:left="660" w:right="440" w:firstLine="639"/>
        <w:spacing w:after="0"/>
        <w:tabs>
          <w:tab w:leader="none" w:pos="200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86" w:lineRule="exact"/>
        <w:rPr>
          <w:rFonts w:ascii="Arial" w:cs="Arial" w:eastAsia="Arial" w:hAnsi="Arial"/>
          <w:sz w:val="22"/>
          <w:szCs w:val="22"/>
          <w:color w:val="auto"/>
        </w:rPr>
      </w:pPr>
    </w:p>
    <w:p>
      <w:pPr>
        <w:ind w:left="660" w:right="140" w:firstLine="639"/>
        <w:spacing w:after="0" w:line="328" w:lineRule="auto"/>
        <w:tabs>
          <w:tab w:leader="none" w:pos="20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default in the payment of the principal of (or premium or Make-Whole Amount, if any, on) any Security of that series when it becomes due and payable at its Maturity; or</w:t>
      </w:r>
    </w:p>
    <w:p>
      <w:pPr>
        <w:spacing w:after="0" w:line="105" w:lineRule="exact"/>
        <w:rPr>
          <w:rFonts w:ascii="Arial" w:cs="Arial" w:eastAsia="Arial" w:hAnsi="Arial"/>
          <w:sz w:val="19"/>
          <w:szCs w:val="19"/>
          <w:color w:val="auto"/>
        </w:rPr>
      </w:pPr>
    </w:p>
    <w:p>
      <w:pPr>
        <w:ind w:left="660" w:right="360" w:firstLine="639"/>
        <w:spacing w:after="0" w:line="328" w:lineRule="auto"/>
        <w:tabs>
          <w:tab w:leader="none" w:pos="20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default in the deposit of any sinking fund payment, to the extent applicable to such series of Securities, when and as due by the terms of any Security of that series; or</w:t>
      </w:r>
    </w:p>
    <w:p>
      <w:pPr>
        <w:spacing w:after="0" w:line="105" w:lineRule="exact"/>
        <w:rPr>
          <w:rFonts w:ascii="Arial" w:cs="Arial" w:eastAsia="Arial" w:hAnsi="Arial"/>
          <w:sz w:val="19"/>
          <w:szCs w:val="19"/>
          <w:color w:val="auto"/>
        </w:rPr>
      </w:pPr>
    </w:p>
    <w:p>
      <w:pPr>
        <w:ind w:left="660" w:firstLine="639"/>
        <w:spacing w:after="0" w:line="277" w:lineRule="auto"/>
        <w:tabs>
          <w:tab w:leader="none" w:pos="20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4" w:name="page195"/>
    <w:bookmarkEnd w:id="194"/>
    <w:p>
      <w:pPr>
        <w:ind w:left="640" w:right="40"/>
        <w:spacing w:after="0" w:line="241" w:lineRule="auto"/>
        <w:rPr>
          <w:sz w:val="20"/>
          <w:szCs w:val="20"/>
          <w:color w:val="auto"/>
        </w:rPr>
      </w:pPr>
      <w:r>
        <w:rPr>
          <w:rFonts w:ascii="Arial" w:cs="Arial" w:eastAsia="Arial" w:hAnsi="Arial"/>
          <w:sz w:val="22"/>
          <w:szCs w:val="22"/>
          <w:color w:val="auto"/>
        </w:rPr>
        <w:t>25% in principal amount of the Outstanding Securities of that series a written notice specifying such default or breach and requiring it to be remedied and stating that such notice is a “Notice of Default” hereunder; or</w:t>
      </w:r>
    </w:p>
    <w:p>
      <w:pPr>
        <w:spacing w:after="0" w:line="184" w:lineRule="exact"/>
        <w:rPr>
          <w:sz w:val="20"/>
          <w:szCs w:val="20"/>
          <w:color w:val="auto"/>
        </w:rPr>
      </w:pPr>
    </w:p>
    <w:p>
      <w:pPr>
        <w:ind w:left="640" w:firstLine="639"/>
        <w:spacing w:after="0" w:line="270" w:lineRule="auto"/>
        <w:tabs>
          <w:tab w:leader="none" w:pos="198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64" w:lineRule="exact"/>
        <w:rPr>
          <w:rFonts w:ascii="Arial" w:cs="Arial" w:eastAsia="Arial" w:hAnsi="Arial"/>
          <w:sz w:val="19"/>
          <w:szCs w:val="19"/>
          <w:color w:val="auto"/>
        </w:rPr>
      </w:pPr>
    </w:p>
    <w:p>
      <w:pPr>
        <w:ind w:left="640" w:right="100" w:firstLine="639"/>
        <w:spacing w:after="0" w:line="251" w:lineRule="auto"/>
        <w:tabs>
          <w:tab w:leader="none" w:pos="198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Company or any Significant Subsidiary pursuant to or within the meaning of any Bankruptcy Law:</w:t>
      </w:r>
    </w:p>
    <w:p>
      <w:pPr>
        <w:spacing w:after="0" w:line="173" w:lineRule="exact"/>
        <w:rPr>
          <w:rFonts w:ascii="Arial" w:cs="Arial" w:eastAsia="Arial" w:hAnsi="Arial"/>
          <w:sz w:val="22"/>
          <w:szCs w:val="22"/>
          <w:color w:val="auto"/>
        </w:rPr>
      </w:pPr>
    </w:p>
    <w:p>
      <w:pPr>
        <w:ind w:left="2680" w:hanging="752"/>
        <w:spacing w:after="0"/>
        <w:tabs>
          <w:tab w:leader="none" w:pos="268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660" w:hanging="732"/>
        <w:spacing w:after="0"/>
        <w:tabs>
          <w:tab w:leader="none" w:pos="2660" w:val="left"/>
        </w:tabs>
        <w:numPr>
          <w:ilvl w:val="1"/>
          <w:numId w:val="149"/>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w:t>
      </w:r>
    </w:p>
    <w:p>
      <w:pPr>
        <w:spacing w:after="0" w:line="19"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2"/>
          <w:szCs w:val="22"/>
          <w:color w:val="auto"/>
        </w:rPr>
        <w:t>case,</w:t>
      </w:r>
    </w:p>
    <w:p>
      <w:pPr>
        <w:spacing w:after="0" w:line="188" w:lineRule="exact"/>
        <w:rPr>
          <w:rFonts w:ascii="Arial" w:cs="Arial" w:eastAsia="Arial" w:hAnsi="Arial"/>
          <w:sz w:val="21"/>
          <w:szCs w:val="21"/>
          <w:color w:val="auto"/>
        </w:rPr>
      </w:pPr>
    </w:p>
    <w:p>
      <w:pPr>
        <w:ind w:left="1280" w:right="20" w:firstLine="648"/>
        <w:spacing w:after="0" w:line="251" w:lineRule="auto"/>
        <w:tabs>
          <w:tab w:leader="none" w:pos="2662" w:val="left"/>
        </w:tabs>
        <w:numPr>
          <w:ilvl w:val="1"/>
          <w:numId w:val="149"/>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 or</w:t>
      </w:r>
    </w:p>
    <w:p>
      <w:pPr>
        <w:spacing w:after="0" w:line="173" w:lineRule="exact"/>
        <w:rPr>
          <w:rFonts w:ascii="Arial" w:cs="Arial" w:eastAsia="Arial" w:hAnsi="Arial"/>
          <w:sz w:val="22"/>
          <w:szCs w:val="22"/>
          <w:color w:val="auto"/>
        </w:rPr>
      </w:pPr>
    </w:p>
    <w:p>
      <w:pPr>
        <w:ind w:left="2680" w:hanging="752"/>
        <w:spacing w:after="0"/>
        <w:tabs>
          <w:tab w:leader="none" w:pos="268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1980" w:hanging="701"/>
        <w:spacing w:after="0"/>
        <w:tabs>
          <w:tab w:leader="none" w:pos="19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 court of competent jurisdiction enters an order or decree under any Bankruptcy</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Law that:</w:t>
      </w:r>
    </w:p>
    <w:p>
      <w:pPr>
        <w:spacing w:after="0" w:line="188" w:lineRule="exact"/>
        <w:rPr>
          <w:rFonts w:ascii="Arial" w:cs="Arial" w:eastAsia="Arial" w:hAnsi="Arial"/>
          <w:sz w:val="19"/>
          <w:szCs w:val="19"/>
          <w:color w:val="auto"/>
        </w:rPr>
      </w:pPr>
    </w:p>
    <w:p>
      <w:pPr>
        <w:ind w:left="1280" w:right="440" w:firstLine="648"/>
        <w:spacing w:after="0" w:line="251" w:lineRule="auto"/>
        <w:tabs>
          <w:tab w:leader="none" w:pos="267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is for relief against the Company or any Significant Subsidiary in an involuntary case,</w:t>
      </w:r>
    </w:p>
    <w:p>
      <w:pPr>
        <w:spacing w:after="0" w:line="173" w:lineRule="exact"/>
        <w:rPr>
          <w:rFonts w:ascii="Arial" w:cs="Arial" w:eastAsia="Arial" w:hAnsi="Arial"/>
          <w:sz w:val="22"/>
          <w:szCs w:val="22"/>
          <w:color w:val="auto"/>
        </w:rPr>
      </w:pPr>
    </w:p>
    <w:p>
      <w:pPr>
        <w:ind w:left="1280" w:right="280" w:firstLine="648"/>
        <w:spacing w:after="0" w:line="251" w:lineRule="auto"/>
        <w:tabs>
          <w:tab w:leader="none" w:pos="2662"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either of its property, or</w:t>
      </w:r>
    </w:p>
    <w:p>
      <w:pPr>
        <w:spacing w:after="0" w:line="173" w:lineRule="exact"/>
        <w:rPr>
          <w:rFonts w:ascii="Arial" w:cs="Arial" w:eastAsia="Arial" w:hAnsi="Arial"/>
          <w:sz w:val="22"/>
          <w:szCs w:val="22"/>
          <w:color w:val="auto"/>
        </w:rPr>
      </w:pPr>
    </w:p>
    <w:p>
      <w:pPr>
        <w:ind w:left="1280" w:right="80" w:firstLine="648"/>
        <w:spacing w:after="0" w:line="274" w:lineRule="auto"/>
        <w:tabs>
          <w:tab w:leader="none" w:pos="2662" w:val="left"/>
        </w:tabs>
        <w:numPr>
          <w:ilvl w:val="1"/>
          <w:numId w:val="149"/>
        </w:numPr>
        <w:rPr>
          <w:rFonts w:ascii="Arial" w:cs="Arial" w:eastAsia="Arial" w:hAnsi="Arial"/>
          <w:sz w:val="21"/>
          <w:szCs w:val="21"/>
          <w:color w:val="auto"/>
        </w:rPr>
      </w:pPr>
      <w:r>
        <w:rPr>
          <w:rFonts w:ascii="Arial" w:cs="Arial" w:eastAsia="Arial" w:hAnsi="Arial"/>
          <w:sz w:val="21"/>
          <w:szCs w:val="21"/>
          <w:color w:val="auto"/>
        </w:rPr>
        <w:t>orders the liquidation of the Company or any Significant Subsidiary, and the order or decree remains unstayed and in effect for 90 days;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20"/>
          </w:cols>
          <w:pgMar w:left="1440" w:top="118" w:right="1439" w:bottom="1440" w:gutter="0" w:footer="0" w:header="0"/>
        </w:sectPr>
      </w:pPr>
    </w:p>
    <w:bookmarkStart w:id="195" w:name="page196"/>
    <w:bookmarkEnd w:id="195"/>
    <w:p>
      <w:pPr>
        <w:ind w:left="2000" w:hanging="701"/>
        <w:spacing w:after="0"/>
        <w:tabs>
          <w:tab w:leader="none" w:pos="200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any other Event of Default provided with respect to Securities of that series.</w:t>
      </w:r>
    </w:p>
    <w:p>
      <w:pPr>
        <w:spacing w:after="0" w:line="21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8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5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79" w:lineRule="exact"/>
        <w:rPr>
          <w:sz w:val="20"/>
          <w:szCs w:val="20"/>
          <w:color w:val="auto"/>
        </w:rPr>
      </w:pPr>
    </w:p>
    <w:p>
      <w:pPr>
        <w:ind w:left="660" w:firstLine="639"/>
        <w:spacing w:after="0" w:line="297" w:lineRule="auto"/>
        <w:tabs>
          <w:tab w:leader="none" w:pos="200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34" w:lineRule="exact"/>
        <w:rPr>
          <w:rFonts w:ascii="Arial" w:cs="Arial" w:eastAsia="Arial" w:hAnsi="Arial"/>
          <w:sz w:val="19"/>
          <w:szCs w:val="19"/>
          <w:color w:val="auto"/>
        </w:rPr>
      </w:pPr>
    </w:p>
    <w:p>
      <w:pPr>
        <w:ind w:left="1300" w:right="180" w:firstLine="648"/>
        <w:spacing w:after="0" w:line="251" w:lineRule="auto"/>
        <w:tabs>
          <w:tab w:leader="none" w:pos="269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all overdue installments of interest on all Outstanding Securities of that series and any related coupons,</w:t>
      </w:r>
    </w:p>
    <w:p>
      <w:pPr>
        <w:spacing w:after="0" w:line="173" w:lineRule="exact"/>
        <w:rPr>
          <w:rFonts w:ascii="Arial" w:cs="Arial" w:eastAsia="Arial" w:hAnsi="Arial"/>
          <w:sz w:val="22"/>
          <w:szCs w:val="22"/>
          <w:color w:val="auto"/>
        </w:rPr>
      </w:pPr>
    </w:p>
    <w:p>
      <w:pPr>
        <w:ind w:left="1300" w:right="220" w:firstLine="648"/>
        <w:spacing w:after="0" w:line="238" w:lineRule="auto"/>
        <w:tabs>
          <w:tab w:leader="none" w:pos="2682"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85" w:lineRule="exact"/>
        <w:rPr>
          <w:rFonts w:ascii="Arial" w:cs="Arial" w:eastAsia="Arial" w:hAnsi="Arial"/>
          <w:sz w:val="22"/>
          <w:szCs w:val="22"/>
          <w:color w:val="auto"/>
        </w:rPr>
      </w:pPr>
    </w:p>
    <w:p>
      <w:pPr>
        <w:ind w:left="1300" w:right="560" w:firstLine="648"/>
        <w:spacing w:after="0"/>
        <w:tabs>
          <w:tab w:leader="none" w:pos="2682"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to the extent that payment of such interest is lawful, interest upon overdue installments of interest at the rate or rates borne by or provided for in such Securities, and</w:t>
      </w:r>
    </w:p>
    <w:p>
      <w:pPr>
        <w:spacing w:after="0" w:line="186" w:lineRule="exact"/>
        <w:rPr>
          <w:rFonts w:ascii="Arial" w:cs="Arial" w:eastAsia="Arial" w:hAnsi="Arial"/>
          <w:sz w:val="22"/>
          <w:szCs w:val="22"/>
          <w:color w:val="auto"/>
        </w:rPr>
      </w:pPr>
    </w:p>
    <w:p>
      <w:pPr>
        <w:ind w:left="1300" w:right="240" w:firstLine="648"/>
        <w:spacing w:after="0"/>
        <w:tabs>
          <w:tab w:leader="none" w:pos="269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all sums paid or advanced by the Trustee hereunder and the reasonable compensation, expenses, disbursements and advances of the Trustee, its agents and counsel; and</w:t>
      </w:r>
    </w:p>
    <w:p>
      <w:pPr>
        <w:spacing w:after="0" w:line="186" w:lineRule="exact"/>
        <w:rPr>
          <w:rFonts w:ascii="Arial" w:cs="Arial" w:eastAsia="Arial" w:hAnsi="Arial"/>
          <w:sz w:val="22"/>
          <w:szCs w:val="22"/>
          <w:color w:val="auto"/>
        </w:rPr>
      </w:pPr>
    </w:p>
    <w:p>
      <w:pPr>
        <w:jc w:val="both"/>
        <w:ind w:left="660" w:right="80" w:firstLine="639"/>
        <w:spacing w:after="0" w:line="238" w:lineRule="auto"/>
        <w:tabs>
          <w:tab w:leader="none" w:pos="200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No such rescission shall affect any subsequent default or impair any right consequent thereon.</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96" w:name="page197"/>
    <w:bookmarkEnd w:id="196"/>
    <w:p>
      <w:pPr>
        <w:ind w:right="559" w:firstLine="648"/>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Collection of Indebtedness and Suits for Enforcement by Trustee</w:t>
      </w:r>
      <w:r>
        <w:rPr>
          <w:rFonts w:ascii="Arial" w:cs="Arial" w:eastAsia="Arial" w:hAnsi="Arial"/>
          <w:sz w:val="22"/>
          <w:szCs w:val="22"/>
          <w:color w:val="auto"/>
        </w:rPr>
        <w:t>. The Company covenants that if:</w:t>
      </w:r>
    </w:p>
    <w:p>
      <w:pPr>
        <w:spacing w:after="0" w:line="174" w:lineRule="exact"/>
        <w:rPr>
          <w:sz w:val="20"/>
          <w:szCs w:val="20"/>
          <w:color w:val="auto"/>
        </w:rPr>
      </w:pPr>
    </w:p>
    <w:p>
      <w:pPr>
        <w:ind w:left="660" w:right="59" w:firstLine="639"/>
        <w:spacing w:after="0"/>
        <w:tabs>
          <w:tab w:leader="none" w:pos="20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default is made in the payment of any installment of interest on any Security of any series and any related coupon when such interest becomes due and payable and such default continues for a period of 30 days, or</w:t>
      </w:r>
    </w:p>
    <w:p>
      <w:pPr>
        <w:spacing w:after="0" w:line="186" w:lineRule="exact"/>
        <w:rPr>
          <w:rFonts w:ascii="Arial" w:cs="Arial" w:eastAsia="Arial" w:hAnsi="Arial"/>
          <w:sz w:val="22"/>
          <w:szCs w:val="22"/>
          <w:color w:val="auto"/>
        </w:rPr>
      </w:pPr>
    </w:p>
    <w:p>
      <w:pPr>
        <w:ind w:left="660" w:right="199" w:firstLine="639"/>
        <w:spacing w:after="0" w:line="251" w:lineRule="auto"/>
        <w:tabs>
          <w:tab w:leader="none" w:pos="20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default is made in the payment of the principal of (or premium or Make-Whole Amount, if any, on) any Security of any series at its Maturity,</w:t>
      </w:r>
    </w:p>
    <w:p>
      <w:pPr>
        <w:spacing w:after="0" w:line="173" w:lineRule="exact"/>
        <w:rPr>
          <w:sz w:val="20"/>
          <w:szCs w:val="20"/>
          <w:color w:val="auto"/>
        </w:rPr>
      </w:pPr>
    </w:p>
    <w:p>
      <w:pPr>
        <w:ind w:right="19"/>
        <w:spacing w:after="0" w:line="275" w:lineRule="auto"/>
        <w:rPr>
          <w:sz w:val="20"/>
          <w:szCs w:val="20"/>
          <w:color w:val="auto"/>
        </w:rPr>
      </w:pPr>
      <w:r>
        <w:rPr>
          <w:rFonts w:ascii="Arial" w:cs="Arial" w:eastAsia="Arial" w:hAnsi="Arial"/>
          <w:sz w:val="19"/>
          <w:szCs w:val="19"/>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8" w:lineRule="exact"/>
        <w:rPr>
          <w:sz w:val="20"/>
          <w:szCs w:val="20"/>
          <w:color w:val="auto"/>
        </w:rPr>
      </w:pPr>
    </w:p>
    <w:p>
      <w:pPr>
        <w:ind w:right="19" w:firstLine="648"/>
        <w:spacing w:after="0" w:line="279" w:lineRule="auto"/>
        <w:rPr>
          <w:sz w:val="20"/>
          <w:szCs w:val="20"/>
          <w:color w:val="auto"/>
        </w:rPr>
      </w:pPr>
      <w:r>
        <w:rPr>
          <w:rFonts w:ascii="Arial" w:cs="Arial" w:eastAsia="Arial" w:hAnsi="Arial"/>
          <w:sz w:val="19"/>
          <w:szCs w:val="19"/>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1" w:lineRule="exact"/>
        <w:rPr>
          <w:sz w:val="20"/>
          <w:szCs w:val="20"/>
          <w:color w:val="auto"/>
        </w:rPr>
      </w:pPr>
    </w:p>
    <w:p>
      <w:pPr>
        <w:ind w:right="339" w:firstLine="648"/>
        <w:spacing w:after="0" w:line="258" w:lineRule="auto"/>
        <w:rPr>
          <w:sz w:val="20"/>
          <w:szCs w:val="20"/>
          <w:color w:val="auto"/>
        </w:rPr>
      </w:pPr>
      <w:r>
        <w:rPr>
          <w:rFonts w:ascii="Arial" w:cs="Arial" w:eastAsia="Arial" w:hAnsi="Arial"/>
          <w:sz w:val="21"/>
          <w:szCs w:val="21"/>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w:t>
      </w:r>
    </w:p>
    <w:p>
      <w:pPr>
        <w:spacing w:after="0" w:line="167" w:lineRule="exact"/>
        <w:rPr>
          <w:sz w:val="20"/>
          <w:szCs w:val="20"/>
          <w:color w:val="auto"/>
        </w:rPr>
      </w:pPr>
    </w:p>
    <w:p>
      <w:pPr>
        <w:ind w:right="139"/>
        <w:spacing w:after="0"/>
        <w:rPr>
          <w:sz w:val="20"/>
          <w:szCs w:val="20"/>
          <w:color w:val="auto"/>
        </w:rPr>
      </w:pPr>
      <w:r>
        <w:rPr>
          <w:rFonts w:ascii="Arial" w:cs="Arial" w:eastAsia="Arial" w:hAnsi="Arial"/>
          <w:sz w:val="22"/>
          <w:szCs w:val="22"/>
          <w:color w:val="auto"/>
        </w:rPr>
        <w:t>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ind w:right="59" w:firstLine="648"/>
        <w:spacing w:after="0" w:line="275"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58" w:lineRule="exact"/>
        <w:rPr>
          <w:sz w:val="20"/>
          <w:szCs w:val="20"/>
          <w:color w:val="auto"/>
        </w:rPr>
      </w:pPr>
    </w:p>
    <w:p>
      <w:pPr>
        <w:ind w:left="1300" w:right="79" w:firstLine="648"/>
        <w:spacing w:after="0" w:line="287" w:lineRule="auto"/>
        <w:tabs>
          <w:tab w:leader="none" w:pos="259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97" w:name="page198"/>
    <w:bookmarkEnd w:id="197"/>
    <w:p>
      <w:pPr>
        <w:ind w:left="1300" w:right="559"/>
        <w:spacing w:after="0" w:line="298" w:lineRule="auto"/>
        <w:rPr>
          <w:sz w:val="20"/>
          <w:szCs w:val="20"/>
          <w:color w:val="auto"/>
        </w:rPr>
      </w:pPr>
      <w:r>
        <w:rPr>
          <w:rFonts w:ascii="Arial" w:cs="Arial" w:eastAsia="Arial" w:hAnsi="Arial"/>
          <w:sz w:val="19"/>
          <w:szCs w:val="19"/>
          <w:color w:val="auto"/>
        </w:rPr>
        <w:t>advisable in order to have the claims of the Trustee (including any claim for the reasonable compensation, expenses, disbursements and advances of the Trustee, its agents and counsel) and of the Holders allowed in such judicial proceeding, and</w:t>
      </w:r>
    </w:p>
    <w:p>
      <w:pPr>
        <w:spacing w:after="0" w:line="132" w:lineRule="exact"/>
        <w:rPr>
          <w:sz w:val="20"/>
          <w:szCs w:val="20"/>
          <w:color w:val="auto"/>
        </w:rPr>
      </w:pPr>
    </w:p>
    <w:p>
      <w:pPr>
        <w:ind w:left="1300" w:right="19" w:firstLine="648"/>
        <w:spacing w:after="0" w:line="251" w:lineRule="auto"/>
        <w:tabs>
          <w:tab w:leader="none" w:pos="259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3" w:lineRule="exact"/>
        <w:rPr>
          <w:sz w:val="20"/>
          <w:szCs w:val="20"/>
          <w:color w:val="auto"/>
        </w:rPr>
      </w:pPr>
    </w:p>
    <w:p>
      <w:pPr>
        <w:ind w:right="19"/>
        <w:spacing w:after="0" w:line="234" w:lineRule="auto"/>
        <w:rPr>
          <w:sz w:val="20"/>
          <w:szCs w:val="20"/>
          <w:color w:val="auto"/>
        </w:rPr>
      </w:pPr>
      <w:r>
        <w:rPr>
          <w:rFonts w:ascii="Arial" w:cs="Arial" w:eastAsia="Arial" w:hAnsi="Arial"/>
          <w:sz w:val="22"/>
          <w:szCs w:val="22"/>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91" w:lineRule="exact"/>
        <w:rPr>
          <w:sz w:val="20"/>
          <w:szCs w:val="20"/>
          <w:color w:val="auto"/>
        </w:rPr>
      </w:pPr>
    </w:p>
    <w:p>
      <w:pPr>
        <w:ind w:right="79" w:firstLine="648"/>
        <w:spacing w:after="0" w:line="236" w:lineRule="auto"/>
        <w:rPr>
          <w:sz w:val="20"/>
          <w:szCs w:val="20"/>
          <w:color w:val="auto"/>
        </w:rPr>
      </w:pPr>
      <w:r>
        <w:rPr>
          <w:rFonts w:ascii="Arial" w:cs="Arial" w:eastAsia="Arial" w:hAnsi="Arial"/>
          <w:sz w:val="22"/>
          <w:szCs w:val="22"/>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8" w:lineRule="exact"/>
        <w:rPr>
          <w:sz w:val="20"/>
          <w:szCs w:val="20"/>
          <w:color w:val="auto"/>
        </w:rPr>
      </w:pPr>
    </w:p>
    <w:p>
      <w:pPr>
        <w:ind w:right="19" w:firstLine="648"/>
        <w:spacing w:after="0" w:line="238" w:lineRule="auto"/>
        <w:rPr>
          <w:sz w:val="20"/>
          <w:szCs w:val="20"/>
          <w:color w:val="auto"/>
        </w:rPr>
      </w:pPr>
      <w:r>
        <w:rPr>
          <w:rFonts w:ascii="Arial" w:cs="Arial" w:eastAsia="Arial" w:hAnsi="Arial"/>
          <w:sz w:val="22"/>
          <w:szCs w:val="22"/>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5" w:lineRule="exact"/>
        <w:rPr>
          <w:sz w:val="20"/>
          <w:szCs w:val="20"/>
          <w:color w:val="auto"/>
        </w:rPr>
      </w:pPr>
    </w:p>
    <w:p>
      <w:pPr>
        <w:ind w:right="19" w:firstLine="648"/>
        <w:spacing w:after="0" w:line="275"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Trustee May Enforce Claims Without Possession of Securities or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Coupons</w:t>
      </w:r>
      <w:r>
        <w:rPr>
          <w:rFonts w:ascii="Arial" w:cs="Arial" w:eastAsia="Arial" w:hAnsi="Arial"/>
          <w:sz w:val="19"/>
          <w:szCs w:val="19"/>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119" w:firstLine="648"/>
        <w:spacing w:after="0" w:line="28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Application of Money Collected</w:t>
      </w:r>
      <w:r>
        <w:rPr>
          <w:rFonts w:ascii="Arial" w:cs="Arial" w:eastAsia="Arial" w:hAnsi="Arial"/>
          <w:sz w:val="19"/>
          <w:szCs w:val="19"/>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48" w:lineRule="exact"/>
        <w:rPr>
          <w:sz w:val="20"/>
          <w:szCs w:val="20"/>
          <w:color w:val="auto"/>
        </w:rPr>
      </w:pPr>
    </w:p>
    <w:p>
      <w:pPr>
        <w:ind w:right="639" w:firstLine="648"/>
        <w:spacing w:after="0" w:line="251" w:lineRule="auto"/>
        <w:rPr>
          <w:sz w:val="20"/>
          <w:szCs w:val="20"/>
          <w:color w:val="auto"/>
        </w:rPr>
      </w:pPr>
      <w:r>
        <w:rPr>
          <w:rFonts w:ascii="Arial" w:cs="Arial" w:eastAsia="Arial" w:hAnsi="Arial"/>
          <w:sz w:val="22"/>
          <w:szCs w:val="22"/>
          <w:color w:val="auto"/>
        </w:rPr>
        <w:t>FIRST: To the payment of all amounts due the Trustee and any predecessor Trustee under Section 606;</w:t>
      </w:r>
    </w:p>
    <w:p>
      <w:pPr>
        <w:spacing w:after="0" w:line="173" w:lineRule="exact"/>
        <w:rPr>
          <w:sz w:val="20"/>
          <w:szCs w:val="20"/>
          <w:color w:val="auto"/>
        </w:rPr>
      </w:pPr>
    </w:p>
    <w:p>
      <w:pPr>
        <w:ind w:right="19" w:firstLine="648"/>
        <w:spacing w:after="0" w:line="258" w:lineRule="auto"/>
        <w:rPr>
          <w:sz w:val="20"/>
          <w:szCs w:val="20"/>
          <w:color w:val="auto"/>
        </w:rPr>
      </w:pPr>
      <w:r>
        <w:rPr>
          <w:rFonts w:ascii="Arial" w:cs="Arial" w:eastAsia="Arial" w:hAnsi="Arial"/>
          <w:sz w:val="21"/>
          <w:szCs w:val="21"/>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98" w:name="page199"/>
    <w:bookmarkEnd w:id="198"/>
    <w:p>
      <w:pPr>
        <w:ind w:right="440"/>
        <w:spacing w:after="0" w:line="329" w:lineRule="auto"/>
        <w:rPr>
          <w:sz w:val="20"/>
          <w:szCs w:val="20"/>
          <w:color w:val="auto"/>
        </w:rPr>
      </w:pPr>
      <w:r>
        <w:rPr>
          <w:rFonts w:ascii="Arial" w:cs="Arial" w:eastAsia="Arial" w:hAnsi="Arial"/>
          <w:sz w:val="19"/>
          <w:szCs w:val="19"/>
          <w:color w:val="auto"/>
        </w:rPr>
        <w:t>priority of any kind, according to the aggregate amounts due and payable on such Securities and coupons for principal (and premium or Make-Whole Amount, if any) and interest, respectively; and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payment of the remainder, if any, to the Company.</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Limitation on Suits</w:t>
      </w:r>
      <w:r>
        <w:rPr>
          <w:rFonts w:ascii="Arial" w:cs="Arial" w:eastAsia="Arial" w:hAnsi="Arial"/>
          <w:sz w:val="22"/>
          <w:szCs w:val="22"/>
          <w:color w:val="auto"/>
        </w:rPr>
        <w:t>. No Holder of any Security of any series or any related coupon shall have any right to institute any proceeding, judicial or otherwise, with respect to this Indenture or the Securities, or for the appointment of a receiver or trustee, or for any other remedy hereunder, unless:</w:t>
      </w:r>
    </w:p>
    <w:p>
      <w:pPr>
        <w:spacing w:after="0" w:line="185" w:lineRule="exact"/>
        <w:rPr>
          <w:sz w:val="20"/>
          <w:szCs w:val="20"/>
          <w:color w:val="auto"/>
        </w:rPr>
      </w:pPr>
    </w:p>
    <w:p>
      <w:pPr>
        <w:ind w:left="660" w:right="320" w:firstLine="639"/>
        <w:spacing w:after="0" w:line="251" w:lineRule="auto"/>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3" w:lineRule="exact"/>
        <w:rPr>
          <w:rFonts w:ascii="Arial" w:cs="Arial" w:eastAsia="Arial" w:hAnsi="Arial"/>
          <w:sz w:val="22"/>
          <w:szCs w:val="22"/>
          <w:color w:val="auto"/>
        </w:rPr>
      </w:pPr>
    </w:p>
    <w:p>
      <w:pPr>
        <w:ind w:left="660" w:right="80" w:firstLine="639"/>
        <w:spacing w:after="0" w:line="258" w:lineRule="auto"/>
        <w:tabs>
          <w:tab w:leader="none" w:pos="200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6" w:lineRule="exact"/>
        <w:rPr>
          <w:rFonts w:ascii="Arial" w:cs="Arial" w:eastAsia="Arial" w:hAnsi="Arial"/>
          <w:sz w:val="21"/>
          <w:szCs w:val="21"/>
          <w:color w:val="auto"/>
        </w:rPr>
      </w:pPr>
    </w:p>
    <w:p>
      <w:pPr>
        <w:ind w:left="660" w:right="60" w:firstLine="639"/>
        <w:spacing w:after="0"/>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reasonably satisfactory to the Trustee against the costs, expenses and liabilities to be incurred in compliance with such request;</w:t>
      </w:r>
    </w:p>
    <w:p>
      <w:pPr>
        <w:spacing w:after="0" w:line="186" w:lineRule="exact"/>
        <w:rPr>
          <w:rFonts w:ascii="Arial" w:cs="Arial" w:eastAsia="Arial" w:hAnsi="Arial"/>
          <w:sz w:val="22"/>
          <w:szCs w:val="22"/>
          <w:color w:val="auto"/>
        </w:rPr>
      </w:pPr>
    </w:p>
    <w:p>
      <w:pPr>
        <w:ind w:left="660" w:right="660" w:firstLine="639"/>
        <w:spacing w:after="0" w:line="251" w:lineRule="auto"/>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3" w:lineRule="exact"/>
        <w:rPr>
          <w:rFonts w:ascii="Arial" w:cs="Arial" w:eastAsia="Arial" w:hAnsi="Arial"/>
          <w:sz w:val="22"/>
          <w:szCs w:val="22"/>
          <w:color w:val="auto"/>
        </w:rPr>
      </w:pPr>
    </w:p>
    <w:p>
      <w:pPr>
        <w:ind w:left="660" w:right="140" w:firstLine="639"/>
        <w:spacing w:after="0" w:line="253" w:lineRule="exact"/>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w:t>
      </w:r>
      <w:r>
        <w:rPr>
          <w:rFonts w:ascii="MS PGothic" w:cs="MS PGothic" w:eastAsia="MS PGothic" w:hAnsi="MS PGothic"/>
          <w:sz w:val="22"/>
          <w:szCs w:val="22"/>
          <w:color w:val="auto"/>
        </w:rPr>
        <w:t>‑</w:t>
      </w:r>
      <w:r>
        <w:rPr>
          <w:rFonts w:ascii="Arial" w:cs="Arial" w:eastAsia="Arial" w:hAnsi="Arial"/>
          <w:sz w:val="22"/>
          <w:szCs w:val="22"/>
          <w:color w:val="auto"/>
        </w:rPr>
        <w:t>day period by the Holders of a majority in principal amount of the Outstanding Securities of that series;</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79"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Unconditional Right of Holders to Receive Principal, Premium or Make-Whole Amount, if any, and Interest</w:t>
      </w:r>
      <w:r>
        <w:rPr>
          <w:rFonts w:ascii="Arial" w:cs="Arial" w:eastAsia="Arial" w:hAnsi="Arial"/>
          <w:sz w:val="22"/>
          <w:szCs w:val="22"/>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Restoration of Rights and Remedies.</w:t>
      </w:r>
      <w:r>
        <w:rPr>
          <w:rFonts w:ascii="Arial" w:cs="Arial" w:eastAsia="Arial" w:hAnsi="Arial"/>
          <w:sz w:val="19"/>
          <w:szCs w:val="19"/>
          <w:color w:val="auto"/>
        </w:rPr>
        <w:t xml:space="preserve">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9" w:name="page200"/>
    <w:bookmarkEnd w:id="199"/>
    <w:p>
      <w:pPr>
        <w:ind w:right="879"/>
        <w:spacing w:after="0" w:line="251" w:lineRule="auto"/>
        <w:rPr>
          <w:sz w:val="20"/>
          <w:szCs w:val="20"/>
          <w:color w:val="auto"/>
        </w:rPr>
      </w:pPr>
      <w:r>
        <w:rPr>
          <w:rFonts w:ascii="Arial" w:cs="Arial" w:eastAsia="Arial" w:hAnsi="Arial"/>
          <w:sz w:val="22"/>
          <w:szCs w:val="22"/>
          <w:color w:val="auto"/>
        </w:rPr>
        <w:t>remedies of the Trustee and the Holders shall continue as though no such proceeding had been instituted.</w:t>
      </w:r>
    </w:p>
    <w:p>
      <w:pPr>
        <w:spacing w:after="0" w:line="174" w:lineRule="exact"/>
        <w:rPr>
          <w:sz w:val="20"/>
          <w:szCs w:val="20"/>
          <w:color w:val="auto"/>
        </w:rPr>
      </w:pPr>
    </w:p>
    <w:p>
      <w:pPr>
        <w:ind w:right="19" w:firstLine="648"/>
        <w:spacing w:after="0" w:line="275"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139" w:firstLine="648"/>
        <w:spacing w:after="0" w:line="248"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Delay or Omission Not Waiver</w:t>
      </w:r>
      <w:r>
        <w:rPr>
          <w:rFonts w:ascii="Arial" w:cs="Arial" w:eastAsia="Arial" w:hAnsi="Arial"/>
          <w:sz w:val="21"/>
          <w:szCs w:val="21"/>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right="99" w:firstLine="648"/>
        <w:spacing w:after="0" w:line="287"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Control by Holders of Securities</w:t>
      </w:r>
      <w:r>
        <w:rPr>
          <w:rFonts w:ascii="Arial" w:cs="Arial" w:eastAsia="Arial" w:hAnsi="Arial"/>
          <w:sz w:val="19"/>
          <w:szCs w:val="19"/>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43" w:lineRule="exact"/>
        <w:rPr>
          <w:sz w:val="20"/>
          <w:szCs w:val="20"/>
          <w:color w:val="auto"/>
        </w:rPr>
      </w:pPr>
    </w:p>
    <w:p>
      <w:pPr>
        <w:ind w:left="2000" w:hanging="701"/>
        <w:spacing w:after="0"/>
        <w:tabs>
          <w:tab w:leader="none" w:pos="20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such direction shall not be in conflict with any rule of law or with this Indenture,</w:t>
      </w:r>
    </w:p>
    <w:p>
      <w:pPr>
        <w:spacing w:after="0" w:line="240" w:lineRule="exact"/>
        <w:rPr>
          <w:rFonts w:ascii="Arial" w:cs="Arial" w:eastAsia="Arial" w:hAnsi="Arial"/>
          <w:sz w:val="19"/>
          <w:szCs w:val="19"/>
          <w:color w:val="auto"/>
        </w:rPr>
      </w:pPr>
    </w:p>
    <w:p>
      <w:pPr>
        <w:ind w:left="660" w:right="59" w:firstLine="639"/>
        <w:spacing w:after="0" w:line="251" w:lineRule="auto"/>
        <w:tabs>
          <w:tab w:leader="none" w:pos="200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Trustee may take any other action deemed proper by the Trustee which is not inconsistent with such direction, and</w:t>
      </w:r>
    </w:p>
    <w:p>
      <w:pPr>
        <w:spacing w:after="0" w:line="173" w:lineRule="exact"/>
        <w:rPr>
          <w:rFonts w:ascii="Arial" w:cs="Arial" w:eastAsia="Arial" w:hAnsi="Arial"/>
          <w:sz w:val="22"/>
          <w:szCs w:val="22"/>
          <w:color w:val="auto"/>
        </w:rPr>
      </w:pPr>
    </w:p>
    <w:p>
      <w:pPr>
        <w:ind w:left="660" w:right="179" w:firstLine="639"/>
        <w:spacing w:after="0" w:line="328" w:lineRule="auto"/>
        <w:tabs>
          <w:tab w:leader="none" w:pos="200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Trustee need not take any action which might involve it in personal liability or be unduly prejudicial to the Holders of Securities of such series not joining therein.</w:t>
      </w:r>
    </w:p>
    <w:p>
      <w:pPr>
        <w:spacing w:after="0" w:line="105" w:lineRule="exact"/>
        <w:rPr>
          <w:sz w:val="20"/>
          <w:szCs w:val="20"/>
          <w:color w:val="auto"/>
        </w:rPr>
      </w:pPr>
    </w:p>
    <w:p>
      <w:pPr>
        <w:ind w:right="139" w:firstLine="648"/>
        <w:spacing w:after="0" w:line="328" w:lineRule="auto"/>
        <w:rPr>
          <w:sz w:val="20"/>
          <w:szCs w:val="20"/>
          <w:color w:val="auto"/>
        </w:rPr>
      </w:pPr>
      <w:r>
        <w:rPr>
          <w:rFonts w:ascii="Arial" w:cs="Arial" w:eastAsia="Arial" w:hAnsi="Arial"/>
          <w:sz w:val="19"/>
          <w:szCs w:val="19"/>
          <w:color w:val="auto"/>
        </w:rPr>
        <w:t>Nothing in this Indenture shall impair the right of the Trustee in its discretion to take any action deemed proper by the Trustee and which is not inconsistent with such direction by Holders.</w:t>
      </w:r>
    </w:p>
    <w:p>
      <w:pPr>
        <w:spacing w:after="0" w:line="105" w:lineRule="exact"/>
        <w:rPr>
          <w:sz w:val="20"/>
          <w:szCs w:val="20"/>
          <w:color w:val="auto"/>
        </w:rPr>
      </w:pPr>
    </w:p>
    <w:p>
      <w:pPr>
        <w:jc w:val="both"/>
        <w:ind w:right="39" w:firstLine="648"/>
        <w:spacing w:after="0" w:line="238"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Waiver of Past Defaults</w:t>
      </w:r>
      <w:r>
        <w:rPr>
          <w:rFonts w:ascii="Arial" w:cs="Arial" w:eastAsia="Arial" w:hAnsi="Arial"/>
          <w:sz w:val="22"/>
          <w:szCs w:val="22"/>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5" w:lineRule="exact"/>
        <w:rPr>
          <w:sz w:val="20"/>
          <w:szCs w:val="20"/>
          <w:color w:val="auto"/>
        </w:rPr>
      </w:pPr>
    </w:p>
    <w:p>
      <w:pPr>
        <w:ind w:left="660" w:right="139" w:firstLine="639"/>
        <w:spacing w:after="0" w:line="251" w:lineRule="auto"/>
        <w:tabs>
          <w:tab w:leader="none" w:pos="200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the payment of the principal of (or premium or Make-Whole Amount, if any) or interest on any Security of such series or any related coupons, or</w:t>
      </w:r>
    </w:p>
    <w:p>
      <w:pPr>
        <w:spacing w:after="0" w:line="173" w:lineRule="exact"/>
        <w:rPr>
          <w:rFonts w:ascii="Arial" w:cs="Arial" w:eastAsia="Arial" w:hAnsi="Arial"/>
          <w:sz w:val="22"/>
          <w:szCs w:val="22"/>
          <w:color w:val="auto"/>
        </w:rPr>
      </w:pPr>
    </w:p>
    <w:p>
      <w:pPr>
        <w:ind w:left="660" w:right="139" w:firstLine="639"/>
        <w:spacing w:after="0"/>
        <w:tabs>
          <w:tab w:leader="none" w:pos="200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respect of a covenant or provision hereof which under Article Nine cannot be modified or amended without the consent of the Holder of each Outstanding Security of such series affected; or</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00" w:name="page201"/>
    <w:bookmarkEnd w:id="200"/>
    <w:p>
      <w:pPr>
        <w:ind w:left="660" w:right="280" w:firstLine="639"/>
        <w:spacing w:after="0" w:line="251" w:lineRule="auto"/>
        <w:tabs>
          <w:tab w:leader="none" w:pos="20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 respect of a covenant or provision hereof for the benefit or protection of the Trustee, without its express written consent.</w:t>
      </w:r>
    </w:p>
    <w:p>
      <w:pPr>
        <w:spacing w:after="0" w:line="174"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Waiver of Usury, Stay or Extension Laws</w:t>
      </w:r>
      <w:r>
        <w:rPr>
          <w:rFonts w:ascii="Arial" w:cs="Arial" w:eastAsia="Arial" w:hAnsi="Arial"/>
          <w:sz w:val="21"/>
          <w:szCs w:val="21"/>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 - THE TRUSTEE</w:t>
      </w: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Notice of Defaults</w:t>
      </w:r>
      <w:r>
        <w:rPr>
          <w:rFonts w:ascii="Arial" w:cs="Arial" w:eastAsia="Arial" w:hAnsi="Arial"/>
          <w:sz w:val="19"/>
          <w:szCs w:val="19"/>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01" w:name="page202"/>
    <w:bookmarkEnd w:id="201"/>
    <w:p>
      <w:pPr>
        <w:ind w:right="480"/>
        <w:spacing w:after="0" w:line="251" w:lineRule="auto"/>
        <w:rPr>
          <w:sz w:val="20"/>
          <w:szCs w:val="20"/>
          <w:color w:val="auto"/>
        </w:rPr>
      </w:pPr>
      <w:r>
        <w:rPr>
          <w:rFonts w:ascii="Arial" w:cs="Arial" w:eastAsia="Arial" w:hAnsi="Arial"/>
          <w:sz w:val="22"/>
          <w:szCs w:val="22"/>
          <w:color w:val="auto"/>
        </w:rPr>
        <w:t>any event which is, or after notice or lapse of time or both would become, an Event of Default with respect to the Securities of such series.</w:t>
      </w:r>
    </w:p>
    <w:p>
      <w:pPr>
        <w:spacing w:after="0" w:line="17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Certain Rights of Trustee</w:t>
      </w:r>
      <w:r>
        <w:rPr>
          <w:rFonts w:ascii="Arial" w:cs="Arial" w:eastAsia="Arial" w:hAnsi="Arial"/>
          <w:sz w:val="19"/>
          <w:szCs w:val="19"/>
          <w:color w:val="auto"/>
        </w:rPr>
        <w:t>. Subject to the provisions of TIA Section 315(a)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through 315(d):</w:t>
      </w:r>
    </w:p>
    <w:p>
      <w:pPr>
        <w:spacing w:after="0" w:line="188" w:lineRule="exact"/>
        <w:rPr>
          <w:sz w:val="20"/>
          <w:szCs w:val="20"/>
          <w:color w:val="auto"/>
        </w:rPr>
      </w:pPr>
    </w:p>
    <w:p>
      <w:pPr>
        <w:ind w:left="660" w:right="100" w:firstLine="639"/>
        <w:spacing w:after="0" w:line="249" w:lineRule="auto"/>
        <w:tabs>
          <w:tab w:leader="none" w:pos="2006"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78" w:lineRule="exact"/>
        <w:rPr>
          <w:rFonts w:ascii="Arial" w:cs="Arial" w:eastAsia="Arial" w:hAnsi="Arial"/>
          <w:sz w:val="21"/>
          <w:szCs w:val="21"/>
          <w:color w:val="auto"/>
        </w:rPr>
      </w:pPr>
    </w:p>
    <w:p>
      <w:pPr>
        <w:ind w:left="660" w:right="260" w:firstLine="639"/>
        <w:spacing w:after="0" w:line="282" w:lineRule="auto"/>
        <w:tabs>
          <w:tab w:leader="none" w:pos="200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47" w:lineRule="exact"/>
        <w:rPr>
          <w:rFonts w:ascii="Arial" w:cs="Arial" w:eastAsia="Arial" w:hAnsi="Arial"/>
          <w:sz w:val="19"/>
          <w:szCs w:val="19"/>
          <w:color w:val="auto"/>
        </w:rPr>
      </w:pPr>
    </w:p>
    <w:p>
      <w:pPr>
        <w:ind w:left="660" w:right="200" w:firstLine="639"/>
        <w:spacing w:after="0" w:line="252" w:lineRule="auto"/>
        <w:tabs>
          <w:tab w:leader="none" w:pos="2006"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4" w:lineRule="exact"/>
        <w:rPr>
          <w:rFonts w:ascii="Arial" w:cs="Arial" w:eastAsia="Arial" w:hAnsi="Arial"/>
          <w:sz w:val="21"/>
          <w:szCs w:val="21"/>
          <w:color w:val="auto"/>
        </w:rPr>
      </w:pPr>
    </w:p>
    <w:p>
      <w:pPr>
        <w:ind w:left="660" w:right="80" w:firstLine="639"/>
        <w:spacing w:after="0" w:line="238" w:lineRule="auto"/>
        <w:tabs>
          <w:tab w:leader="none" w:pos="200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85" w:lineRule="exact"/>
        <w:rPr>
          <w:rFonts w:ascii="Arial" w:cs="Arial" w:eastAsia="Arial" w:hAnsi="Arial"/>
          <w:sz w:val="22"/>
          <w:szCs w:val="22"/>
          <w:color w:val="auto"/>
        </w:rPr>
      </w:pPr>
    </w:p>
    <w:p>
      <w:pPr>
        <w:ind w:left="660" w:right="40" w:firstLine="639"/>
        <w:spacing w:after="0" w:line="235" w:lineRule="auto"/>
        <w:tabs>
          <w:tab w:leader="none" w:pos="200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8" w:lineRule="exact"/>
        <w:rPr>
          <w:rFonts w:ascii="Arial" w:cs="Arial" w:eastAsia="Arial" w:hAnsi="Arial"/>
          <w:sz w:val="22"/>
          <w:szCs w:val="22"/>
          <w:color w:val="auto"/>
        </w:rPr>
      </w:pPr>
    </w:p>
    <w:p>
      <w:pPr>
        <w:ind w:left="660" w:firstLine="639"/>
        <w:spacing w:after="0" w:line="272" w:lineRule="auto"/>
        <w:tabs>
          <w:tab w:leader="none" w:pos="200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2" w:name="page203"/>
    <w:bookmarkEnd w:id="202"/>
    <w:p>
      <w:pPr>
        <w:ind w:left="660" w:right="180"/>
        <w:spacing w:after="0" w:line="238" w:lineRule="auto"/>
        <w:rPr>
          <w:sz w:val="20"/>
          <w:szCs w:val="20"/>
          <w:color w:val="auto"/>
        </w:rPr>
      </w:pPr>
      <w:r>
        <w:rPr>
          <w:rFonts w:ascii="Arial" w:cs="Arial" w:eastAsia="Arial" w:hAnsi="Arial"/>
          <w:sz w:val="22"/>
          <w:szCs w:val="22"/>
          <w:color w:val="auto"/>
        </w:rPr>
        <w:t>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86" w:lineRule="exact"/>
        <w:rPr>
          <w:sz w:val="20"/>
          <w:szCs w:val="20"/>
          <w:color w:val="auto"/>
        </w:rPr>
      </w:pPr>
    </w:p>
    <w:p>
      <w:pPr>
        <w:ind w:left="660" w:right="40" w:firstLine="639"/>
        <w:spacing w:after="0" w:line="238" w:lineRule="auto"/>
        <w:tabs>
          <w:tab w:leader="none" w:pos="200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rFonts w:ascii="Arial" w:cs="Arial" w:eastAsia="Arial" w:hAnsi="Arial"/>
          <w:sz w:val="22"/>
          <w:szCs w:val="22"/>
          <w:color w:val="auto"/>
        </w:rPr>
      </w:pPr>
    </w:p>
    <w:p>
      <w:pPr>
        <w:ind w:left="660" w:right="320" w:firstLine="639"/>
        <w:spacing w:after="0"/>
        <w:tabs>
          <w:tab w:leader="none" w:pos="200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86" w:lineRule="exact"/>
        <w:rPr>
          <w:rFonts w:ascii="Arial" w:cs="Arial" w:eastAsia="Arial" w:hAnsi="Arial"/>
          <w:sz w:val="22"/>
          <w:szCs w:val="22"/>
          <w:color w:val="auto"/>
        </w:rPr>
      </w:pPr>
    </w:p>
    <w:p>
      <w:pPr>
        <w:ind w:left="660" w:firstLine="639"/>
        <w:spacing w:after="0" w:line="274" w:lineRule="auto"/>
        <w:tabs>
          <w:tab w:leader="none" w:pos="200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any permissive right or power available to the Trustee under this Indenture or any supplement hereto shall not be construed to be a mandatory duty or obligation;</w:t>
      </w:r>
    </w:p>
    <w:p>
      <w:pPr>
        <w:spacing w:after="0" w:line="150" w:lineRule="exact"/>
        <w:rPr>
          <w:rFonts w:ascii="Arial" w:cs="Arial" w:eastAsia="Arial" w:hAnsi="Arial"/>
          <w:sz w:val="21"/>
          <w:szCs w:val="21"/>
          <w:color w:val="auto"/>
        </w:rPr>
      </w:pPr>
    </w:p>
    <w:p>
      <w:pPr>
        <w:ind w:left="660" w:right="220" w:firstLine="639"/>
        <w:spacing w:after="0" w:line="252" w:lineRule="auto"/>
        <w:tabs>
          <w:tab w:leader="none" w:pos="204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74" w:lineRule="exact"/>
        <w:rPr>
          <w:rFonts w:ascii="Arial" w:cs="Arial" w:eastAsia="Arial" w:hAnsi="Arial"/>
          <w:sz w:val="21"/>
          <w:szCs w:val="21"/>
          <w:color w:val="auto"/>
        </w:rPr>
      </w:pPr>
    </w:p>
    <w:p>
      <w:pPr>
        <w:ind w:left="660" w:right="40" w:firstLine="639"/>
        <w:spacing w:after="0"/>
        <w:tabs>
          <w:tab w:leader="none" w:pos="203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Trustee shall have no liability for any inaccuracy in the books and records of, or for any actions or omissions of, DTC, Euroclear or Clearstream or any depository acting on behalf of any of them;</w:t>
      </w:r>
    </w:p>
    <w:p>
      <w:pPr>
        <w:spacing w:after="0" w:line="186" w:lineRule="exact"/>
        <w:rPr>
          <w:rFonts w:ascii="Arial" w:cs="Arial" w:eastAsia="Arial" w:hAnsi="Arial"/>
          <w:sz w:val="22"/>
          <w:szCs w:val="22"/>
          <w:color w:val="auto"/>
        </w:rPr>
      </w:pPr>
    </w:p>
    <w:p>
      <w:pPr>
        <w:ind w:left="660" w:right="180" w:firstLine="639"/>
        <w:spacing w:after="0" w:line="238" w:lineRule="auto"/>
        <w:tabs>
          <w:tab w:leader="none" w:pos="204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5" w:lineRule="exact"/>
        <w:rPr>
          <w:rFonts w:ascii="Arial" w:cs="Arial" w:eastAsia="Arial" w:hAnsi="Arial"/>
          <w:sz w:val="22"/>
          <w:szCs w:val="22"/>
          <w:color w:val="auto"/>
        </w:rPr>
      </w:pPr>
    </w:p>
    <w:p>
      <w:pPr>
        <w:ind w:left="660" w:right="20" w:firstLine="639"/>
        <w:spacing w:after="0" w:line="249" w:lineRule="auto"/>
        <w:tabs>
          <w:tab w:leader="none" w:pos="204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9"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86" w:lineRule="exact"/>
        <w:rPr>
          <w:sz w:val="20"/>
          <w:szCs w:val="20"/>
          <w:color w:val="auto"/>
        </w:rPr>
      </w:pPr>
    </w:p>
    <w:p>
      <w:pPr>
        <w:ind w:right="540" w:firstLine="648"/>
        <w:spacing w:after="0" w:line="297"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Not Responsible for Recitals or Issuance of Securities</w:t>
      </w:r>
      <w:r>
        <w:rPr>
          <w:rFonts w:ascii="Arial" w:cs="Arial" w:eastAsia="Arial" w:hAnsi="Arial"/>
          <w:sz w:val="19"/>
          <w:szCs w:val="19"/>
          <w:color w:val="auto"/>
        </w:rPr>
        <w:t>. The recitals contained herein and in the Securities, except the Trustee’s certificate of authentication, and in any coupons shall be taken as the statements of the Company, and neither the Trustee nor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3" w:name="page204"/>
    <w:bookmarkEnd w:id="203"/>
    <w:p>
      <w:pPr>
        <w:ind w:right="120"/>
        <w:spacing w:after="0" w:line="271" w:lineRule="auto"/>
        <w:rPr>
          <w:sz w:val="20"/>
          <w:szCs w:val="20"/>
          <w:color w:val="auto"/>
        </w:rPr>
      </w:pPr>
      <w:r>
        <w:rPr>
          <w:rFonts w:ascii="Arial" w:cs="Arial" w:eastAsia="Arial" w:hAnsi="Arial"/>
          <w:sz w:val="19"/>
          <w:szCs w:val="19"/>
          <w:color w:val="auto"/>
        </w:rPr>
        <w:t>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thereof. The Trustee shall have no responsibility with respect to any information, statement or recital in any offering prospectus or other disclosure materials prepared or distributed with respect to the Securities.</w:t>
      </w:r>
    </w:p>
    <w:p>
      <w:pPr>
        <w:spacing w:after="0" w:line="187"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May Hold Securities</w:t>
      </w:r>
      <w:r>
        <w:rPr>
          <w:rFonts w:ascii="Arial" w:cs="Arial" w:eastAsia="Arial" w:hAnsi="Arial"/>
          <w:sz w:val="21"/>
          <w:szCs w:val="21"/>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7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Money Held in Trust</w:t>
      </w:r>
      <w:r>
        <w:rPr>
          <w:rFonts w:ascii="Arial" w:cs="Arial" w:eastAsia="Arial" w:hAnsi="Arial"/>
          <w:sz w:val="22"/>
          <w:szCs w:val="22"/>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Compensation and Reimbursement</w:t>
      </w:r>
      <w:r>
        <w:rPr>
          <w:rFonts w:ascii="Arial" w:cs="Arial" w:eastAsia="Arial" w:hAnsi="Arial"/>
          <w:sz w:val="19"/>
          <w:szCs w:val="19"/>
          <w:color w:val="auto"/>
        </w:rPr>
        <w:t>. The Company agrees</w:t>
      </w:r>
      <w:r>
        <w:rPr>
          <w:rFonts w:ascii="Arial" w:cs="Arial" w:eastAsia="Arial" w:hAnsi="Arial"/>
          <w:sz w:val="19"/>
          <w:szCs w:val="19"/>
          <w:u w:val="single" w:color="auto"/>
          <w:color w:val="auto"/>
        </w:rPr>
        <w:t>:</w:t>
      </w:r>
    </w:p>
    <w:p>
      <w:pPr>
        <w:spacing w:after="0" w:line="206" w:lineRule="exact"/>
        <w:rPr>
          <w:sz w:val="20"/>
          <w:szCs w:val="20"/>
          <w:color w:val="auto"/>
        </w:rPr>
      </w:pPr>
    </w:p>
    <w:p>
      <w:pPr>
        <w:ind w:left="660" w:right="60" w:firstLine="639"/>
        <w:spacing w:after="0" w:line="297" w:lineRule="auto"/>
        <w:tabs>
          <w:tab w:leader="none" w:pos="200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34" w:lineRule="exact"/>
        <w:rPr>
          <w:rFonts w:ascii="Arial" w:cs="Arial" w:eastAsia="Arial" w:hAnsi="Arial"/>
          <w:sz w:val="19"/>
          <w:szCs w:val="19"/>
          <w:color w:val="auto"/>
        </w:rPr>
      </w:pPr>
    </w:p>
    <w:p>
      <w:pPr>
        <w:ind w:left="660" w:right="180" w:firstLine="639"/>
        <w:spacing w:after="0" w:line="279" w:lineRule="auto"/>
        <w:tabs>
          <w:tab w:leader="none" w:pos="200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50" w:lineRule="exact"/>
        <w:rPr>
          <w:rFonts w:ascii="Arial" w:cs="Arial" w:eastAsia="Arial" w:hAnsi="Arial"/>
          <w:sz w:val="19"/>
          <w:szCs w:val="19"/>
          <w:color w:val="auto"/>
        </w:rPr>
      </w:pPr>
    </w:p>
    <w:p>
      <w:pPr>
        <w:ind w:left="660" w:right="80" w:firstLine="639"/>
        <w:spacing w:after="0" w:line="248" w:lineRule="auto"/>
        <w:tabs>
          <w:tab w:leader="none" w:pos="200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7" w:lineRule="exact"/>
        <w:rPr>
          <w:sz w:val="20"/>
          <w:szCs w:val="20"/>
          <w:color w:val="auto"/>
        </w:rPr>
      </w:pPr>
    </w:p>
    <w:p>
      <w:pPr>
        <w:ind w:right="360" w:firstLine="648"/>
        <w:spacing w:after="0" w:line="287" w:lineRule="auto"/>
        <w:rPr>
          <w:sz w:val="20"/>
          <w:szCs w:val="20"/>
          <w:color w:val="auto"/>
        </w:rPr>
      </w:pPr>
      <w:r>
        <w:rPr>
          <w:rFonts w:ascii="Arial" w:cs="Arial" w:eastAsia="Arial" w:hAnsi="Arial"/>
          <w:sz w:val="19"/>
          <w:szCs w:val="19"/>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04" w:name="page205"/>
    <w:bookmarkEnd w:id="204"/>
    <w:p>
      <w:pPr>
        <w:ind w:right="40"/>
        <w:spacing w:after="0" w:line="251" w:lineRule="auto"/>
        <w:rPr>
          <w:sz w:val="20"/>
          <w:szCs w:val="20"/>
          <w:color w:val="auto"/>
        </w:rPr>
      </w:pPr>
      <w:r>
        <w:rPr>
          <w:rFonts w:ascii="Arial" w:cs="Arial" w:eastAsia="Arial" w:hAnsi="Arial"/>
          <w:sz w:val="22"/>
          <w:szCs w:val="22"/>
          <w:color w:val="auto"/>
        </w:rPr>
        <w:t>payment of principal of (or premium or Make-Whole Amount, if any) or interest on particular Securities or any coupons.</w:t>
      </w:r>
    </w:p>
    <w:p>
      <w:pPr>
        <w:spacing w:after="0" w:line="174"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The provisions of this Section shall survive the termination of this Indenture and the resignation or removal of the Trustee.</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Corporate Trustee Required; Eligibility; Conflicting Interests</w:t>
      </w:r>
      <w:r>
        <w:rPr>
          <w:rFonts w:ascii="Arial" w:cs="Arial" w:eastAsia="Arial" w:hAnsi="Arial"/>
          <w:sz w:val="19"/>
          <w:szCs w:val="19"/>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6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Resignation and Removal</w:t>
      </w:r>
      <w:r>
        <w:rPr>
          <w:rFonts w:ascii="Arial" w:cs="Arial" w:eastAsia="Arial" w:hAnsi="Arial"/>
          <w:sz w:val="19"/>
          <w:szCs w:val="19"/>
          <w:color w:val="auto"/>
        </w:rPr>
        <w:t>; Appointment of Successor.</w:t>
      </w:r>
    </w:p>
    <w:p>
      <w:pPr>
        <w:spacing w:after="0" w:line="206" w:lineRule="exact"/>
        <w:rPr>
          <w:sz w:val="20"/>
          <w:szCs w:val="20"/>
          <w:color w:val="auto"/>
        </w:rPr>
      </w:pPr>
    </w:p>
    <w:p>
      <w:pPr>
        <w:ind w:right="260" w:firstLine="1296"/>
        <w:spacing w:after="0" w:line="258" w:lineRule="auto"/>
        <w:rPr>
          <w:sz w:val="20"/>
          <w:szCs w:val="20"/>
          <w:color w:val="auto"/>
        </w:rPr>
      </w:pPr>
      <w:r>
        <w:rPr>
          <w:rFonts w:ascii="Arial" w:cs="Arial" w:eastAsia="Arial" w:hAnsi="Arial"/>
          <w:sz w:val="21"/>
          <w:szCs w:val="21"/>
          <w:color w:val="auto"/>
        </w:rPr>
        <w:t>(a)No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67" w:lineRule="exact"/>
        <w:rPr>
          <w:sz w:val="20"/>
          <w:szCs w:val="20"/>
          <w:color w:val="auto"/>
        </w:rPr>
      </w:pPr>
    </w:p>
    <w:p>
      <w:pPr>
        <w:ind w:right="20" w:firstLine="1296"/>
        <w:spacing w:after="0" w:line="236" w:lineRule="auto"/>
        <w:rPr>
          <w:sz w:val="20"/>
          <w:szCs w:val="20"/>
          <w:color w:val="auto"/>
        </w:rPr>
      </w:pPr>
      <w:r>
        <w:rPr>
          <w:rFonts w:ascii="Arial" w:cs="Arial" w:eastAsia="Arial" w:hAnsi="Arial"/>
          <w:sz w:val="22"/>
          <w:szCs w:val="22"/>
          <w:color w:val="auto"/>
        </w:rPr>
        <w:t>(b)The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88" w:lineRule="exact"/>
        <w:rPr>
          <w:sz w:val="20"/>
          <w:szCs w:val="20"/>
          <w:color w:val="auto"/>
        </w:rPr>
      </w:pPr>
    </w:p>
    <w:p>
      <w:pPr>
        <w:ind w:firstLine="1296"/>
        <w:spacing w:after="0" w:line="248" w:lineRule="auto"/>
        <w:rPr>
          <w:sz w:val="20"/>
          <w:szCs w:val="20"/>
          <w:color w:val="auto"/>
        </w:rPr>
      </w:pPr>
      <w:r>
        <w:rPr>
          <w:rFonts w:ascii="Arial" w:cs="Arial" w:eastAsia="Arial" w:hAnsi="Arial"/>
          <w:sz w:val="21"/>
          <w:szCs w:val="21"/>
          <w:color w:val="auto"/>
        </w:rPr>
        <w:t>(c)The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(d)If at any time:</w:t>
      </w:r>
    </w:p>
    <w:p>
      <w:pPr>
        <w:spacing w:after="0" w:line="206" w:lineRule="exact"/>
        <w:rPr>
          <w:sz w:val="20"/>
          <w:szCs w:val="20"/>
          <w:color w:val="auto"/>
        </w:rPr>
      </w:pPr>
    </w:p>
    <w:p>
      <w:pPr>
        <w:ind w:left="660" w:right="240" w:firstLine="639"/>
        <w:spacing w:after="0"/>
        <w:tabs>
          <w:tab w:leader="none" w:pos="200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jc w:val="both"/>
        <w:ind w:left="660" w:right="340" w:firstLine="639"/>
        <w:spacing w:after="0"/>
        <w:tabs>
          <w:tab w:leader="none" w:pos="200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5" w:name="page206"/>
    <w:bookmarkEnd w:id="205"/>
    <w:p>
      <w:pPr>
        <w:jc w:val="both"/>
        <w:ind w:left="660" w:right="220" w:firstLine="639"/>
        <w:spacing w:after="0" w:line="238" w:lineRule="auto"/>
        <w:tabs>
          <w:tab w:leader="none" w:pos="200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6"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(e)If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0" w:lineRule="exact"/>
        <w:rPr>
          <w:sz w:val="20"/>
          <w:szCs w:val="20"/>
          <w:color w:val="auto"/>
        </w:rPr>
      </w:pPr>
    </w:p>
    <w:p>
      <w:pPr>
        <w:ind w:right="180" w:firstLine="1296"/>
        <w:spacing w:after="0" w:line="273" w:lineRule="auto"/>
        <w:rPr>
          <w:sz w:val="20"/>
          <w:szCs w:val="20"/>
          <w:color w:val="auto"/>
        </w:rPr>
      </w:pPr>
      <w:r>
        <w:rPr>
          <w:rFonts w:ascii="Arial" w:cs="Arial" w:eastAsia="Arial" w:hAnsi="Arial"/>
          <w:sz w:val="19"/>
          <w:szCs w:val="19"/>
          <w:color w:val="auto"/>
        </w:rPr>
        <w:t>(f)The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w:t>
      </w:r>
    </w:p>
    <w:p>
      <w:pPr>
        <w:spacing w:after="0" w:line="2" w:lineRule="exact"/>
        <w:rPr>
          <w:sz w:val="20"/>
          <w:szCs w:val="20"/>
          <w:color w:val="auto"/>
        </w:rPr>
      </w:pPr>
    </w:p>
    <w:p>
      <w:pPr>
        <w:ind w:right="200" w:firstLine="3"/>
        <w:spacing w:after="0" w:line="237" w:lineRule="auto"/>
        <w:tabs>
          <w:tab w:leader="none" w:pos="48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Each notice shall include the name of the successor Trustee with respect to the Securities of such series and the address of its Corporate Trust Office.</w:t>
      </w:r>
    </w:p>
    <w:p>
      <w:pPr>
        <w:spacing w:after="0" w:line="18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Acceptance of Appointment by Successor.</w:t>
      </w:r>
    </w:p>
    <w:p>
      <w:pPr>
        <w:spacing w:after="0" w:line="206"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(a)In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6" w:name="page207"/>
    <w:bookmarkEnd w:id="206"/>
    <w:p>
      <w:pPr>
        <w:ind w:right="540"/>
        <w:spacing w:after="0" w:line="274" w:lineRule="auto"/>
        <w:rPr>
          <w:sz w:val="20"/>
          <w:szCs w:val="20"/>
          <w:color w:val="auto"/>
        </w:rPr>
      </w:pPr>
      <w:r>
        <w:rPr>
          <w:rFonts w:ascii="Arial" w:cs="Arial" w:eastAsia="Arial" w:hAnsi="Arial"/>
          <w:sz w:val="21"/>
          <w:szCs w:val="21"/>
          <w:color w:val="auto"/>
        </w:rPr>
        <w:t>transfer and deliver to such successor Trustee all property and money held by such retiring Trustee hereunder, subject nevertheless to its claim, if any, provided for in Section 606.</w:t>
      </w:r>
    </w:p>
    <w:p>
      <w:pPr>
        <w:spacing w:after="0" w:line="151" w:lineRule="exact"/>
        <w:rPr>
          <w:sz w:val="20"/>
          <w:szCs w:val="20"/>
          <w:color w:val="auto"/>
        </w:rPr>
      </w:pPr>
    </w:p>
    <w:p>
      <w:pPr>
        <w:ind w:right="20" w:firstLine="1296"/>
        <w:spacing w:after="0" w:line="245" w:lineRule="exact"/>
        <w:rPr>
          <w:sz w:val="20"/>
          <w:szCs w:val="20"/>
          <w:color w:val="auto"/>
        </w:rPr>
      </w:pPr>
      <w:r>
        <w:rPr>
          <w:rFonts w:ascii="Arial" w:cs="Arial" w:eastAsia="Arial" w:hAnsi="Arial"/>
          <w:sz w:val="19"/>
          <w:szCs w:val="19"/>
          <w:color w:val="auto"/>
        </w:rPr>
        <w:t>(b)In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w:t>
      </w:r>
      <w:r>
        <w:rPr>
          <w:rFonts w:ascii="MS PGothic" w:cs="MS PGothic" w:eastAsia="MS PGothic" w:hAnsi="MS PGothic"/>
          <w:sz w:val="19"/>
          <w:szCs w:val="19"/>
          <w:color w:val="auto"/>
        </w:rPr>
        <w:t>‑</w:t>
      </w:r>
      <w:r>
        <w:rPr>
          <w:rFonts w:ascii="Arial" w:cs="Arial" w:eastAsia="Arial" w:hAnsi="Arial"/>
          <w:sz w:val="19"/>
          <w:szCs w:val="19"/>
          <w:color w:val="auto"/>
        </w:rPr>
        <w:t>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18" w:lineRule="exact"/>
        <w:rPr>
          <w:sz w:val="20"/>
          <w:szCs w:val="20"/>
          <w:color w:val="auto"/>
        </w:rPr>
      </w:pPr>
    </w:p>
    <w:p>
      <w:pPr>
        <w:jc w:val="both"/>
        <w:ind w:right="300" w:firstLine="1296"/>
        <w:spacing w:after="0" w:line="297" w:lineRule="auto"/>
        <w:rPr>
          <w:sz w:val="20"/>
          <w:szCs w:val="20"/>
          <w:color w:val="auto"/>
        </w:rPr>
      </w:pPr>
      <w:r>
        <w:rPr>
          <w:rFonts w:ascii="Arial" w:cs="Arial" w:eastAsia="Arial" w:hAnsi="Arial"/>
          <w:sz w:val="19"/>
          <w:szCs w:val="19"/>
          <w:color w:val="auto"/>
        </w:rPr>
        <w:t>(c)Upon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34" w:lineRule="exact"/>
        <w:rPr>
          <w:sz w:val="20"/>
          <w:szCs w:val="20"/>
          <w:color w:val="auto"/>
        </w:rPr>
      </w:pPr>
    </w:p>
    <w:p>
      <w:pPr>
        <w:ind w:right="960" w:firstLine="1296"/>
        <w:spacing w:after="0" w:line="328" w:lineRule="auto"/>
        <w:rPr>
          <w:sz w:val="20"/>
          <w:szCs w:val="20"/>
          <w:color w:val="auto"/>
        </w:rPr>
      </w:pPr>
      <w:r>
        <w:rPr>
          <w:rFonts w:ascii="Arial" w:cs="Arial" w:eastAsia="Arial" w:hAnsi="Arial"/>
          <w:sz w:val="19"/>
          <w:szCs w:val="19"/>
          <w:color w:val="auto"/>
        </w:rPr>
        <w:t>(d)No successor Trustee shall accept its appointment unless at the time of such acceptance such successor Trustee shall be qualified and eligible under this Article.</w:t>
      </w:r>
    </w:p>
    <w:p>
      <w:pPr>
        <w:spacing w:after="0" w:line="10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Merger, Conversion, Consolidation or Succession to Business</w:t>
      </w:r>
      <w:r>
        <w:rPr>
          <w:rFonts w:ascii="Arial" w:cs="Arial" w:eastAsia="Arial" w:hAnsi="Arial"/>
          <w:sz w:val="19"/>
          <w:szCs w:val="19"/>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7" w:name="page208"/>
    <w:bookmarkEnd w:id="207"/>
    <w:p>
      <w:pPr>
        <w:spacing w:after="0" w:line="241" w:lineRule="auto"/>
        <w:rPr>
          <w:sz w:val="20"/>
          <w:szCs w:val="20"/>
          <w:color w:val="auto"/>
        </w:rPr>
      </w:pPr>
      <w:r>
        <w:rPr>
          <w:rFonts w:ascii="Arial" w:cs="Arial" w:eastAsia="Arial" w:hAnsi="Arial"/>
          <w:sz w:val="22"/>
          <w:szCs w:val="22"/>
          <w:color w:val="auto"/>
        </w:rPr>
        <w:t>may authenticate and deliver such Securities or coupons, in either its own name or that of its predecessor Trustee, with the full force and effect which this Indenture provides for the certificate of authentication of the Trustee.</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Appointment of Authenticating Agent</w:t>
      </w:r>
      <w:r>
        <w:rPr>
          <w:rFonts w:ascii="Arial" w:cs="Arial" w:eastAsia="Arial" w:hAnsi="Arial"/>
          <w:sz w:val="19"/>
          <w:szCs w:val="19"/>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1"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8" w:name="page209"/>
    <w:bookmarkEnd w:id="208"/>
    <w:p>
      <w:pPr>
        <w:ind w:right="440"/>
        <w:spacing w:after="0" w:line="251" w:lineRule="auto"/>
        <w:rPr>
          <w:sz w:val="20"/>
          <w:szCs w:val="20"/>
          <w:color w:val="auto"/>
        </w:rPr>
      </w:pPr>
      <w:r>
        <w:rPr>
          <w:rFonts w:ascii="Arial" w:cs="Arial" w:eastAsia="Arial" w:hAnsi="Arial"/>
          <w:sz w:val="22"/>
          <w:szCs w:val="22"/>
          <w:color w:val="auto"/>
        </w:rPr>
        <w:t>Authenticating Agent herein. No successor Authenticating Agent shall be appointed unless eligible under the provisions of this Section.</w:t>
      </w:r>
    </w:p>
    <w:p>
      <w:pPr>
        <w:spacing w:after="0" w:line="174"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The Company agrees to pay to each Authenticating Agent from time to time reasonable compensation including reimbursement of its reasonable expenses for its services under this Section, subject to Section 606.</w:t>
      </w:r>
    </w:p>
    <w:p>
      <w:pPr>
        <w:spacing w:after="0" w:line="18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34" w:lineRule="exact"/>
        <w:rPr>
          <w:sz w:val="20"/>
          <w:szCs w:val="20"/>
          <w:color w:val="auto"/>
        </w:rPr>
      </w:pPr>
    </w:p>
    <w:p>
      <w:pPr>
        <w:ind w:right="120" w:firstLine="648"/>
        <w:spacing w:after="0" w:line="259" w:lineRule="exact"/>
        <w:rPr>
          <w:sz w:val="20"/>
          <w:szCs w:val="20"/>
          <w:color w:val="auto"/>
        </w:rPr>
      </w:pPr>
      <w:r>
        <w:rPr>
          <w:rFonts w:ascii="Arial" w:cs="Arial" w:eastAsia="Arial" w:hAnsi="Arial"/>
          <w:sz w:val="22"/>
          <w:szCs w:val="22"/>
          <w:color w:val="auto"/>
        </w:rPr>
        <w:t>This is one of the Securities of the series designated therein referred to in the within</w:t>
      </w:r>
      <w:r>
        <w:rPr>
          <w:rFonts w:ascii="MS PGothic" w:cs="MS PGothic" w:eastAsia="MS PGothic" w:hAnsi="MS PGothic"/>
          <w:sz w:val="22"/>
          <w:szCs w:val="22"/>
          <w:color w:val="auto"/>
        </w:rPr>
        <w:t>‑</w:t>
      </w:r>
      <w:r>
        <w:rPr>
          <w:rFonts w:ascii="Arial" w:cs="Arial" w:eastAsia="Arial" w:hAnsi="Arial"/>
          <w:sz w:val="22"/>
          <w:szCs w:val="22"/>
          <w:color w:val="auto"/>
        </w:rPr>
        <w:t xml:space="preserve"> mentioned Indenture.</w:t>
      </w:r>
    </w:p>
    <w:p>
      <w:pPr>
        <w:spacing w:after="0" w:line="157" w:lineRule="exact"/>
        <w:rPr>
          <w:sz w:val="20"/>
          <w:szCs w:val="20"/>
          <w:color w:val="auto"/>
        </w:rPr>
      </w:pPr>
    </w:p>
    <w:tbl>
      <w:tblPr>
        <w:tblLayout w:type="fixed"/>
        <w:tblInd w:w="4560" w:type="dxa"/>
        <w:tblCellMar>
          <w:top w:w="0" w:type="dxa"/>
          <w:left w:w="0" w:type="dxa"/>
          <w:bottom w:w="0" w:type="dxa"/>
          <w:right w:w="0" w:type="dxa"/>
        </w:tblCellMar>
      </w:tblPr>
      <w:tr>
        <w:trPr>
          <w:trHeight w:val="253"/>
        </w:trPr>
        <w:tc>
          <w:tcPr>
            <w:tcW w:w="60" w:type="dxa"/>
            <w:vAlign w:val="bottom"/>
          </w:tcPr>
          <w:p>
            <w:pPr>
              <w:spacing w:after="0"/>
              <w:rPr>
                <w:sz w:val="20"/>
                <w:szCs w:val="20"/>
                <w:color w:val="auto"/>
              </w:rPr>
            </w:pPr>
            <w:r>
              <w:rPr>
                <w:rFonts w:ascii="Arial" w:cs="Arial" w:eastAsia="Arial" w:hAnsi="Arial"/>
                <w:sz w:val="19"/>
                <w:szCs w:val="19"/>
                <w:color w:val="auto"/>
                <w:w w:val="74"/>
              </w:rPr>
              <w:t>[</w:t>
            </w: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22"/>
                <w:szCs w:val="22"/>
                <w:color w:val="auto"/>
                <w:w w:val="97"/>
              </w:rPr>
              <w:t>]</w:t>
            </w:r>
          </w:p>
        </w:tc>
      </w:tr>
      <w:tr>
        <w:trPr>
          <w:trHeight w:val="274"/>
        </w:trPr>
        <w:tc>
          <w:tcPr>
            <w:tcW w:w="1360" w:type="dxa"/>
            <w:vAlign w:val="bottom"/>
            <w:gridSpan w:val="2"/>
          </w:tcPr>
          <w:p>
            <w:pPr>
              <w:spacing w:after="0"/>
              <w:rPr>
                <w:sz w:val="20"/>
                <w:szCs w:val="20"/>
                <w:color w:val="auto"/>
              </w:rPr>
            </w:pPr>
            <w:r>
              <w:rPr>
                <w:rFonts w:ascii="Arial" w:cs="Arial" w:eastAsia="Arial" w:hAnsi="Arial"/>
                <w:sz w:val="22"/>
                <w:szCs w:val="22"/>
                <w:color w:val="auto"/>
              </w:rPr>
              <w:t>as Trustee</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12"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Certain Duties and Responsibilities of the Trustee.</w:t>
      </w:r>
    </w:p>
    <w:p>
      <w:pPr>
        <w:spacing w:after="0" w:line="206" w:lineRule="exact"/>
        <w:rPr>
          <w:sz w:val="20"/>
          <w:szCs w:val="20"/>
          <w:color w:val="auto"/>
        </w:rPr>
      </w:pPr>
    </w:p>
    <w:p>
      <w:pPr>
        <w:ind w:left="660" w:right="200" w:firstLine="639"/>
        <w:spacing w:after="0" w:line="251" w:lineRule="auto"/>
        <w:tabs>
          <w:tab w:leader="none" w:pos="199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With respect to the Securities of any series, except during the continuance of an Event of Default with respect to the Securities of such series:</w:t>
      </w:r>
    </w:p>
    <w:p>
      <w:pPr>
        <w:spacing w:after="0" w:line="173" w:lineRule="exact"/>
        <w:rPr>
          <w:sz w:val="20"/>
          <w:szCs w:val="20"/>
          <w:color w:val="auto"/>
        </w:rPr>
      </w:pPr>
    </w:p>
    <w:p>
      <w:pPr>
        <w:ind w:left="660" w:right="60" w:firstLine="639"/>
        <w:spacing w:after="0"/>
        <w:tabs>
          <w:tab w:leader="none" w:pos="20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Trustee undertakes to perform such duties and only such duties as are specifically set forth in this Indenture, and no implied covenants or obligations shall be read into this Indenture against the Trustee; and</w:t>
      </w:r>
    </w:p>
    <w:p>
      <w:pPr>
        <w:spacing w:after="0" w:line="186" w:lineRule="exact"/>
        <w:rPr>
          <w:rFonts w:ascii="Arial" w:cs="Arial" w:eastAsia="Arial" w:hAnsi="Arial"/>
          <w:sz w:val="22"/>
          <w:szCs w:val="22"/>
          <w:color w:val="auto"/>
        </w:rPr>
      </w:pPr>
    </w:p>
    <w:p>
      <w:pPr>
        <w:ind w:left="660" w:firstLine="639"/>
        <w:spacing w:after="0" w:line="277" w:lineRule="auto"/>
        <w:tabs>
          <w:tab w:leader="none" w:pos="200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53"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(b)In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9" w:name="page210"/>
    <w:bookmarkEnd w:id="209"/>
    <w:p>
      <w:pPr>
        <w:ind w:right="200" w:firstLine="1296"/>
        <w:spacing w:after="0" w:line="241" w:lineRule="auto"/>
        <w:rPr>
          <w:sz w:val="20"/>
          <w:szCs w:val="20"/>
          <w:color w:val="auto"/>
        </w:rPr>
      </w:pPr>
      <w:r>
        <w:rPr>
          <w:rFonts w:ascii="Arial" w:cs="Arial" w:eastAsia="Arial" w:hAnsi="Arial"/>
          <w:sz w:val="22"/>
          <w:szCs w:val="22"/>
          <w:color w:val="auto"/>
        </w:rPr>
        <w:t>(c)No provision of this Indenture shall be construed to relieve the Trustee from liability for its own negligent action, its own negligent failure to act, or its own willful misconduct, except that: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(1)this Subsection shall not be construed to limit the effect of Subsection (a) of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w:t>
      </w:r>
    </w:p>
    <w:p>
      <w:pPr>
        <w:spacing w:after="0" w:line="188"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(2)the Trustee shall not be liable for any error of judgment made in good faith by a Responsible Officer, unless it shall be proved that the Trustee was negligent in ascertaining the pertinent facts;</w:t>
      </w:r>
    </w:p>
    <w:p>
      <w:pPr>
        <w:spacing w:after="0" w:line="186" w:lineRule="exact"/>
        <w:rPr>
          <w:sz w:val="20"/>
          <w:szCs w:val="20"/>
          <w:color w:val="auto"/>
        </w:rPr>
      </w:pPr>
    </w:p>
    <w:p>
      <w:pPr>
        <w:ind w:right="80" w:firstLine="1296"/>
        <w:spacing w:after="0" w:line="282" w:lineRule="auto"/>
        <w:rPr>
          <w:sz w:val="20"/>
          <w:szCs w:val="20"/>
          <w:color w:val="auto"/>
        </w:rPr>
      </w:pPr>
      <w:r>
        <w:rPr>
          <w:rFonts w:ascii="Arial" w:cs="Arial" w:eastAsia="Arial" w:hAnsi="Arial"/>
          <w:sz w:val="19"/>
          <w:szCs w:val="19"/>
          <w:color w:val="auto"/>
        </w:rPr>
        <w:t>(3)the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48" w:lineRule="exact"/>
        <w:rPr>
          <w:sz w:val="20"/>
          <w:szCs w:val="20"/>
          <w:color w:val="auto"/>
        </w:rPr>
      </w:pPr>
    </w:p>
    <w:p>
      <w:pPr>
        <w:ind w:right="20" w:firstLine="1296"/>
        <w:spacing w:after="0" w:line="277" w:lineRule="auto"/>
        <w:rPr>
          <w:sz w:val="20"/>
          <w:szCs w:val="20"/>
          <w:color w:val="auto"/>
        </w:rPr>
      </w:pPr>
      <w:r>
        <w:rPr>
          <w:rFonts w:ascii="Arial" w:cs="Arial" w:eastAsia="Arial" w:hAnsi="Arial"/>
          <w:sz w:val="19"/>
          <w:szCs w:val="19"/>
          <w:color w:val="auto"/>
        </w:rPr>
        <w:t>(4)no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53" w:lineRule="exact"/>
        <w:rPr>
          <w:sz w:val="20"/>
          <w:szCs w:val="20"/>
          <w:color w:val="auto"/>
        </w:rPr>
      </w:pPr>
    </w:p>
    <w:p>
      <w:pPr>
        <w:ind w:right="120" w:firstLine="1296"/>
        <w:spacing w:after="0"/>
        <w:rPr>
          <w:sz w:val="20"/>
          <w:szCs w:val="20"/>
          <w:color w:val="auto"/>
        </w:rPr>
      </w:pPr>
      <w:r>
        <w:rPr>
          <w:rFonts w:ascii="Arial" w:cs="Arial" w:eastAsia="Arial" w:hAnsi="Arial"/>
          <w:sz w:val="22"/>
          <w:szCs w:val="22"/>
          <w:color w:val="auto"/>
        </w:rPr>
        <w:t>(d)Whether or not therein expressly so provided, every provision of this Indenture relating to the conduct or affecting the liability of or affording protection to the Trustee shall be subject to the provisions of this Section 612.</w:t>
      </w:r>
    </w:p>
    <w:p>
      <w:pPr>
        <w:spacing w:after="0" w:line="186" w:lineRule="exact"/>
        <w:rPr>
          <w:sz w:val="20"/>
          <w:szCs w:val="20"/>
          <w:color w:val="auto"/>
        </w:rPr>
      </w:pPr>
    </w:p>
    <w:p>
      <w:pPr>
        <w:jc w:val="both"/>
        <w:ind w:right="100" w:firstLine="1296"/>
        <w:spacing w:after="0" w:line="258" w:lineRule="auto"/>
        <w:rPr>
          <w:sz w:val="20"/>
          <w:szCs w:val="20"/>
          <w:color w:val="auto"/>
        </w:rPr>
      </w:pPr>
      <w:r>
        <w:rPr>
          <w:rFonts w:ascii="Arial" w:cs="Arial" w:eastAsia="Arial" w:hAnsi="Arial"/>
          <w:sz w:val="21"/>
          <w:szCs w:val="21"/>
          <w:color w:val="auto"/>
        </w:rPr>
        <w:t>(e)The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SEVEN - HOLDERS’ LISTS AND REPORTS BY TRUSTEE AND COMPANY</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Disclosure of Names and Addresses of Holders</w:t>
      </w:r>
      <w:r>
        <w:rPr>
          <w:rFonts w:ascii="Arial" w:cs="Arial" w:eastAsia="Arial" w:hAnsi="Arial"/>
          <w:sz w:val="19"/>
          <w:szCs w:val="19"/>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5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Reports by Trustee</w:t>
      </w:r>
      <w:r>
        <w:rPr>
          <w:rFonts w:ascii="Arial" w:cs="Arial" w:eastAsia="Arial" w:hAnsi="Arial"/>
          <w:sz w:val="19"/>
          <w:szCs w:val="19"/>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20__. A copy of each such report shall, at the time of such transmission</w:t>
      </w:r>
    </w:p>
    <w:p>
      <w:pPr>
        <w:spacing w:after="0" w:line="4" w:lineRule="exact"/>
        <w:rPr>
          <w:sz w:val="20"/>
          <w:szCs w:val="20"/>
          <w:color w:val="auto"/>
        </w:rPr>
      </w:pPr>
    </w:p>
    <w:p>
      <w:pPr>
        <w:ind w:right="440"/>
        <w:spacing w:after="0" w:line="308" w:lineRule="auto"/>
        <w:rPr>
          <w:sz w:val="20"/>
          <w:szCs w:val="20"/>
          <w:color w:val="auto"/>
        </w:rPr>
      </w:pPr>
      <w:r>
        <w:rPr>
          <w:rFonts w:ascii="Arial" w:cs="Arial" w:eastAsia="Arial" w:hAnsi="Arial"/>
          <w:sz w:val="19"/>
          <w:szCs w:val="19"/>
          <w:color w:val="auto"/>
        </w:rPr>
        <w:t>to Holders, be filed by the Trustee with each over-the-counter market or securities exchange, if any, upon which any Securities are quoted or listed, with the Commission and with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0" w:name="page211"/>
    <w:bookmarkEnd w:id="210"/>
    <w:p>
      <w:pPr>
        <w:ind w:right="200"/>
        <w:spacing w:after="0" w:line="251" w:lineRule="auto"/>
        <w:rPr>
          <w:sz w:val="20"/>
          <w:szCs w:val="20"/>
          <w:color w:val="auto"/>
        </w:rPr>
      </w:pPr>
      <w:r>
        <w:rPr>
          <w:rFonts w:ascii="Arial" w:cs="Arial" w:eastAsia="Arial" w:hAnsi="Arial"/>
          <w:sz w:val="22"/>
          <w:szCs w:val="22"/>
          <w:color w:val="auto"/>
        </w:rPr>
        <w:t>Company. The Company will notify the Trustee when any Securities are quoted or listed on any over-the-counter market or securities exchange or delisted therefrom.</w:t>
      </w:r>
    </w:p>
    <w:p>
      <w:pPr>
        <w:spacing w:after="0" w:line="17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Reports by Company</w:t>
      </w:r>
      <w:r>
        <w:rPr>
          <w:rFonts w:ascii="Arial" w:cs="Arial" w:eastAsia="Arial" w:hAnsi="Arial"/>
          <w:sz w:val="19"/>
          <w:szCs w:val="19"/>
          <w:color w:val="auto"/>
        </w:rPr>
        <w:t>. The Company will:</w:t>
      </w:r>
    </w:p>
    <w:p>
      <w:pPr>
        <w:spacing w:after="0" w:line="206" w:lineRule="exact"/>
        <w:rPr>
          <w:sz w:val="20"/>
          <w:szCs w:val="20"/>
          <w:color w:val="auto"/>
        </w:rPr>
      </w:pPr>
    </w:p>
    <w:p>
      <w:pPr>
        <w:ind w:left="660" w:firstLine="639"/>
        <w:spacing w:after="0" w:line="272" w:lineRule="auto"/>
        <w:tabs>
          <w:tab w:leader="none" w:pos="200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57" w:lineRule="exact"/>
        <w:rPr>
          <w:rFonts w:ascii="Arial" w:cs="Arial" w:eastAsia="Arial" w:hAnsi="Arial"/>
          <w:sz w:val="19"/>
          <w:szCs w:val="19"/>
          <w:color w:val="auto"/>
        </w:rPr>
      </w:pPr>
    </w:p>
    <w:p>
      <w:pPr>
        <w:ind w:left="660" w:right="140" w:firstLine="639"/>
        <w:spacing w:after="0" w:line="287" w:lineRule="auto"/>
        <w:tabs>
          <w:tab w:leader="none" w:pos="200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43" w:lineRule="exact"/>
        <w:rPr>
          <w:rFonts w:ascii="Arial" w:cs="Arial" w:eastAsia="Arial" w:hAnsi="Arial"/>
          <w:sz w:val="19"/>
          <w:szCs w:val="19"/>
          <w:color w:val="auto"/>
        </w:rPr>
      </w:pPr>
    </w:p>
    <w:p>
      <w:pPr>
        <w:ind w:left="660" w:right="260" w:firstLine="639"/>
        <w:spacing w:after="0" w:line="249" w:lineRule="auto"/>
        <w:tabs>
          <w:tab w:leader="none" w:pos="200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8" w:lineRule="exact"/>
        <w:rPr>
          <w:rFonts w:ascii="Arial" w:cs="Arial" w:eastAsia="Arial" w:hAnsi="Arial"/>
          <w:sz w:val="21"/>
          <w:szCs w:val="21"/>
          <w:color w:val="auto"/>
        </w:rPr>
      </w:pPr>
    </w:p>
    <w:p>
      <w:pPr>
        <w:ind w:left="660" w:right="80" w:firstLine="639"/>
        <w:spacing w:after="0" w:line="249" w:lineRule="auto"/>
        <w:tabs>
          <w:tab w:leader="none" w:pos="200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9" w:lineRule="exact"/>
        <w:rPr>
          <w:sz w:val="20"/>
          <w:szCs w:val="20"/>
          <w:color w:val="auto"/>
        </w:rPr>
      </w:pPr>
    </w:p>
    <w:p>
      <w:pPr>
        <w:ind w:right="820" w:firstLine="648"/>
        <w:spacing w:after="0" w:line="251"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Company to Furnish Trustee Names and Addresses of Holders</w:t>
      </w:r>
      <w:r>
        <w:rPr>
          <w:rFonts w:ascii="Arial" w:cs="Arial" w:eastAsia="Arial" w:hAnsi="Arial"/>
          <w:sz w:val="22"/>
          <w:szCs w:val="22"/>
          <w:color w:val="auto"/>
        </w:rPr>
        <w:t>. The Company will furnish or cause to be furnished to the Trustee:</w:t>
      </w:r>
    </w:p>
    <w:p>
      <w:pPr>
        <w:spacing w:after="0" w:line="17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(a)semiannually,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1" w:name="page212"/>
    <w:bookmarkEnd w:id="211"/>
    <w:p>
      <w:pPr>
        <w:ind w:right="20" w:firstLine="1296"/>
        <w:spacing w:after="0" w:line="241" w:lineRule="auto"/>
        <w:rPr>
          <w:sz w:val="20"/>
          <w:szCs w:val="20"/>
          <w:color w:val="auto"/>
        </w:rPr>
      </w:pPr>
      <w:r>
        <w:rPr>
          <w:rFonts w:ascii="Arial" w:cs="Arial" w:eastAsia="Arial" w:hAnsi="Arial"/>
          <w:sz w:val="22"/>
          <w:szCs w:val="22"/>
          <w:color w:val="auto"/>
        </w:rPr>
        <w:t>(b)at such other times as the Trustee may request in writing, within 30 days after the receipt by the Company of any such request, a list of similar form and content as of a date not more than 15 days prior to the time such list is furnished,</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so long as the Trustee is the Security Registrar, no such list shall be required to be furnished.</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ARTICLE EIGHT - CONSOLIDATION, MERGER, SALE, LEASE OR CONVEYANCE</w:t>
      </w:r>
    </w:p>
    <w:p>
      <w:pPr>
        <w:spacing w:after="0" w:line="206"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Consolidations and Mergers of Company and Sales, Leases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Conveyances Permitted Subject to Certain Conditions</w:t>
      </w:r>
      <w:r>
        <w:rPr>
          <w:rFonts w:ascii="Arial" w:cs="Arial" w:eastAsia="Arial" w:hAnsi="Arial"/>
          <w:sz w:val="19"/>
          <w:szCs w:val="19"/>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and Duties of Successor Corporation</w:t>
      </w:r>
      <w:r>
        <w:rPr>
          <w:rFonts w:ascii="Arial" w:cs="Arial" w:eastAsia="Arial" w:hAnsi="Arial"/>
          <w:sz w:val="19"/>
          <w:szCs w:val="19"/>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200" w:lineRule="exact"/>
        <w:rPr>
          <w:sz w:val="20"/>
          <w:szCs w:val="20"/>
          <w:color w:val="auto"/>
        </w:rPr>
      </w:pPr>
    </w:p>
    <w:p>
      <w:pPr>
        <w:spacing w:after="0" w:line="205"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In case of any such consolidation, merger, sale, lease or conveyance, such changes in phraseology and form (but not in substance) may be made in the Securities thereafter to be issued as may be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2" w:name="page213"/>
    <w:bookmarkEnd w:id="212"/>
    <w:p>
      <w:pPr>
        <w:ind w:right="159" w:firstLine="648"/>
        <w:spacing w:after="0" w:line="248"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Officers’ Certificate and Opinion of Counsel</w:t>
      </w:r>
      <w:r>
        <w:rPr>
          <w:rFonts w:ascii="Arial" w:cs="Arial" w:eastAsia="Arial" w:hAnsi="Arial"/>
          <w:sz w:val="21"/>
          <w:szCs w:val="21"/>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NINE - SUPPLEMENTAL INDENTURES</w:t>
      </w:r>
    </w:p>
    <w:p>
      <w:pPr>
        <w:spacing w:after="0" w:line="206" w:lineRule="exact"/>
        <w:rPr>
          <w:sz w:val="20"/>
          <w:szCs w:val="20"/>
          <w:color w:val="auto"/>
        </w:rPr>
      </w:pPr>
    </w:p>
    <w:p>
      <w:pPr>
        <w:ind w:right="139" w:firstLine="648"/>
        <w:spacing w:after="0" w:line="28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Supplemental Indentures Without Consent of Holders</w:t>
      </w:r>
      <w:r>
        <w:rPr>
          <w:rFonts w:ascii="Arial" w:cs="Arial" w:eastAsia="Arial" w:hAnsi="Arial"/>
          <w:sz w:val="19"/>
          <w:szCs w:val="19"/>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43" w:lineRule="exact"/>
        <w:rPr>
          <w:sz w:val="20"/>
          <w:szCs w:val="20"/>
          <w:color w:val="auto"/>
        </w:rPr>
      </w:pPr>
    </w:p>
    <w:p>
      <w:pPr>
        <w:ind w:left="660" w:right="19" w:firstLine="639"/>
        <w:spacing w:after="0"/>
        <w:tabs>
          <w:tab w:leader="none" w:pos="200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Company and the assumption by any such successor of the covenants of the Company contained herein and in the Securities; or</w:t>
      </w:r>
    </w:p>
    <w:p>
      <w:pPr>
        <w:spacing w:after="0" w:line="186" w:lineRule="exact"/>
        <w:rPr>
          <w:rFonts w:ascii="Arial" w:cs="Arial" w:eastAsia="Arial" w:hAnsi="Arial"/>
          <w:sz w:val="22"/>
          <w:szCs w:val="22"/>
          <w:color w:val="auto"/>
        </w:rPr>
      </w:pPr>
    </w:p>
    <w:p>
      <w:pPr>
        <w:jc w:val="both"/>
        <w:ind w:left="660" w:right="59" w:firstLine="639"/>
        <w:spacing w:after="0" w:line="287" w:lineRule="auto"/>
        <w:tabs>
          <w:tab w:leader="none" w:pos="200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43" w:lineRule="exact"/>
        <w:rPr>
          <w:rFonts w:ascii="Arial" w:cs="Arial" w:eastAsia="Arial" w:hAnsi="Arial"/>
          <w:sz w:val="19"/>
          <w:szCs w:val="19"/>
          <w:color w:val="auto"/>
        </w:rPr>
      </w:pPr>
    </w:p>
    <w:p>
      <w:pPr>
        <w:ind w:left="660" w:right="119" w:firstLine="639"/>
        <w:spacing w:after="0" w:line="273" w:lineRule="auto"/>
        <w:tabs>
          <w:tab w:leader="none" w:pos="200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1" w:lineRule="exact"/>
        <w:rPr>
          <w:rFonts w:ascii="Arial" w:cs="Arial" w:eastAsia="Arial" w:hAnsi="Arial"/>
          <w:sz w:val="19"/>
          <w:szCs w:val="19"/>
          <w:color w:val="auto"/>
        </w:rPr>
      </w:pPr>
    </w:p>
    <w:p>
      <w:pPr>
        <w:ind w:left="660" w:right="79" w:firstLine="639"/>
        <w:spacing w:after="0" w:line="275" w:lineRule="auto"/>
        <w:tabs>
          <w:tab w:leader="none" w:pos="200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action shall not adversely affect the interests of the Holders of Securities of any series or any related coupons in any material respect; or</w:t>
      </w:r>
    </w:p>
    <w:p>
      <w:pPr>
        <w:spacing w:after="0" w:line="158" w:lineRule="exact"/>
        <w:rPr>
          <w:rFonts w:ascii="Arial" w:cs="Arial" w:eastAsia="Arial" w:hAnsi="Arial"/>
          <w:sz w:val="19"/>
          <w:szCs w:val="19"/>
          <w:color w:val="auto"/>
        </w:rPr>
      </w:pPr>
    </w:p>
    <w:p>
      <w:pPr>
        <w:ind w:left="660" w:right="19" w:firstLine="639"/>
        <w:spacing w:after="0" w:line="238" w:lineRule="auto"/>
        <w:tabs>
          <w:tab w:leader="none" w:pos="200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to change or eliminate any of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13" w:name="page214"/>
    <w:bookmarkEnd w:id="213"/>
    <w:p>
      <w:pPr>
        <w:ind w:left="2000" w:hanging="701"/>
        <w:spacing w:after="0"/>
        <w:tabs>
          <w:tab w:leader="none" w:pos="20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secure the Securities; or</w:t>
      </w:r>
    </w:p>
    <w:p>
      <w:pPr>
        <w:spacing w:after="0" w:line="206" w:lineRule="exact"/>
        <w:rPr>
          <w:rFonts w:ascii="Arial" w:cs="Arial" w:eastAsia="Arial" w:hAnsi="Arial"/>
          <w:sz w:val="22"/>
          <w:szCs w:val="22"/>
          <w:color w:val="auto"/>
        </w:rPr>
      </w:pPr>
    </w:p>
    <w:p>
      <w:pPr>
        <w:ind w:left="660" w:right="60" w:firstLine="639"/>
        <w:spacing w:after="0" w:line="251" w:lineRule="auto"/>
        <w:tabs>
          <w:tab w:leader="none" w:pos="200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establish the form or terms of Securities of any series and any related coupons as permitted or contemplated by Sections 201 and 301; or</w:t>
      </w:r>
    </w:p>
    <w:p>
      <w:pPr>
        <w:spacing w:after="0" w:line="173" w:lineRule="exact"/>
        <w:rPr>
          <w:rFonts w:ascii="Arial" w:cs="Arial" w:eastAsia="Arial" w:hAnsi="Arial"/>
          <w:sz w:val="22"/>
          <w:szCs w:val="22"/>
          <w:color w:val="auto"/>
        </w:rPr>
      </w:pPr>
    </w:p>
    <w:p>
      <w:pPr>
        <w:ind w:left="660" w:firstLine="639"/>
        <w:spacing w:after="0" w:line="252" w:lineRule="auto"/>
        <w:tabs>
          <w:tab w:leader="none" w:pos="200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4" w:lineRule="exact"/>
        <w:rPr>
          <w:rFonts w:ascii="Arial" w:cs="Arial" w:eastAsia="Arial" w:hAnsi="Arial"/>
          <w:sz w:val="21"/>
          <w:szCs w:val="21"/>
          <w:color w:val="auto"/>
        </w:rPr>
      </w:pPr>
    </w:p>
    <w:p>
      <w:pPr>
        <w:ind w:left="660" w:firstLine="639"/>
        <w:spacing w:after="0" w:line="235" w:lineRule="auto"/>
        <w:tabs>
          <w:tab w:leader="none" w:pos="200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provisions shall not adversely affect the interests of the Holders of Securities of any series or any related coupons in any material respect; or</w:t>
      </w:r>
    </w:p>
    <w:p>
      <w:pPr>
        <w:spacing w:after="0" w:line="188" w:lineRule="exact"/>
        <w:rPr>
          <w:rFonts w:ascii="Arial" w:cs="Arial" w:eastAsia="Arial" w:hAnsi="Arial"/>
          <w:sz w:val="22"/>
          <w:szCs w:val="22"/>
          <w:color w:val="auto"/>
        </w:rPr>
      </w:pPr>
    </w:p>
    <w:p>
      <w:pPr>
        <w:ind w:left="660" w:firstLine="639"/>
        <w:spacing w:after="0" w:line="236" w:lineRule="auto"/>
        <w:tabs>
          <w:tab w:leader="none" w:pos="204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action shall not adversely affect the interests of the Holders of Securities of such series and any related coupons or any other series of Securities in any material respect; or</w:t>
      </w:r>
    </w:p>
    <w:p>
      <w:pPr>
        <w:spacing w:after="0" w:line="187" w:lineRule="exact"/>
        <w:rPr>
          <w:rFonts w:ascii="Arial" w:cs="Arial" w:eastAsia="Arial" w:hAnsi="Arial"/>
          <w:sz w:val="22"/>
          <w:szCs w:val="22"/>
          <w:color w:val="auto"/>
        </w:rPr>
      </w:pPr>
    </w:p>
    <w:p>
      <w:pPr>
        <w:ind w:left="660" w:right="120" w:firstLine="639"/>
        <w:spacing w:after="0" w:line="251" w:lineRule="auto"/>
        <w:tabs>
          <w:tab w:leader="none" w:pos="203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make provisions with respect to Holders’ rights of conversion with respect to any series of Securities pursuant to Article Seventeen.</w:t>
      </w:r>
    </w:p>
    <w:p>
      <w:pPr>
        <w:spacing w:after="0" w:line="17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Supplemental Indentures with Consent of Holders</w:t>
      </w:r>
      <w:r>
        <w:rPr>
          <w:rFonts w:ascii="Arial" w:cs="Arial" w:eastAsia="Arial" w:hAnsi="Arial"/>
          <w:sz w:val="21"/>
          <w:szCs w:val="21"/>
          <w:color w:val="auto"/>
        </w:rPr>
        <w:t>.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185" w:lineRule="exact"/>
        <w:rPr>
          <w:sz w:val="20"/>
          <w:szCs w:val="20"/>
          <w:color w:val="auto"/>
        </w:rPr>
      </w:pPr>
    </w:p>
    <w:p>
      <w:pPr>
        <w:ind w:left="660" w:firstLine="639"/>
        <w:spacing w:after="0" w:line="272" w:lineRule="auto"/>
        <w:tabs>
          <w:tab w:leader="none" w:pos="200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4" w:name="page215"/>
    <w:bookmarkEnd w:id="214"/>
    <w:p>
      <w:pPr>
        <w:ind w:left="660" w:right="40"/>
        <w:spacing w:after="0" w:line="238" w:lineRule="auto"/>
        <w:rPr>
          <w:sz w:val="20"/>
          <w:szCs w:val="20"/>
          <w:color w:val="auto"/>
        </w:rPr>
      </w:pPr>
      <w:r>
        <w:rPr>
          <w:rFonts w:ascii="Arial" w:cs="Arial" w:eastAsia="Arial" w:hAnsi="Arial"/>
          <w:sz w:val="22"/>
          <w:szCs w:val="22"/>
          <w:color w:val="auto"/>
        </w:rPr>
        <w:t>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85" w:lineRule="exact"/>
        <w:rPr>
          <w:sz w:val="20"/>
          <w:szCs w:val="20"/>
          <w:color w:val="auto"/>
        </w:rPr>
      </w:pPr>
    </w:p>
    <w:p>
      <w:pPr>
        <w:ind w:left="660" w:right="100" w:firstLine="639"/>
        <w:spacing w:after="0" w:line="235" w:lineRule="auto"/>
        <w:tabs>
          <w:tab w:leader="none" w:pos="200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8" w:lineRule="exact"/>
        <w:rPr>
          <w:rFonts w:ascii="Arial" w:cs="Arial" w:eastAsia="Arial" w:hAnsi="Arial"/>
          <w:sz w:val="22"/>
          <w:szCs w:val="22"/>
          <w:color w:val="auto"/>
        </w:rPr>
      </w:pPr>
    </w:p>
    <w:p>
      <w:pPr>
        <w:ind w:left="660" w:right="40" w:firstLine="639"/>
        <w:spacing w:after="0" w:line="277" w:lineRule="auto"/>
        <w:tabs>
          <w:tab w:leader="none" w:pos="200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5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86" w:lineRule="exact"/>
        <w:rPr>
          <w:sz w:val="20"/>
          <w:szCs w:val="20"/>
          <w:color w:val="auto"/>
        </w:rPr>
      </w:pPr>
    </w:p>
    <w:p>
      <w:pPr>
        <w:jc w:val="both"/>
        <w:ind w:right="140" w:firstLine="648"/>
        <w:spacing w:after="0" w:line="236" w:lineRule="auto"/>
        <w:rPr>
          <w:sz w:val="20"/>
          <w:szCs w:val="20"/>
          <w:color w:val="auto"/>
        </w:rPr>
      </w:pPr>
      <w:r>
        <w:rPr>
          <w:rFonts w:ascii="Arial" w:cs="Arial" w:eastAsia="Arial" w:hAnsi="Arial"/>
          <w:sz w:val="22"/>
          <w:szCs w:val="22"/>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Execution of Supplemental Indentures</w:t>
      </w:r>
      <w:r>
        <w:rPr>
          <w:rFonts w:ascii="Arial" w:cs="Arial" w:eastAsia="Arial" w:hAnsi="Arial"/>
          <w:sz w:val="19"/>
          <w:szCs w:val="19"/>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Effect of Supplemental Indentures.</w:t>
      </w:r>
      <w:r>
        <w:rPr>
          <w:rFonts w:ascii="Arial" w:cs="Arial" w:eastAsia="Arial" w:hAnsi="Arial"/>
          <w:sz w:val="22"/>
          <w:szCs w:val="22"/>
          <w:color w:val="auto"/>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88"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Conformity with Trust Indenture Act</w:t>
      </w:r>
      <w:r>
        <w:rPr>
          <w:rFonts w:ascii="Arial" w:cs="Arial" w:eastAsia="Arial" w:hAnsi="Arial"/>
          <w:sz w:val="22"/>
          <w:szCs w:val="22"/>
          <w:color w:val="auto"/>
        </w:rPr>
        <w:t>. Every supplemental indenture executed pursuant to this Article shall conform to the requirements of the Trust Indenture Act as then in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5" w:name="page216"/>
    <w:bookmarkEnd w:id="215"/>
    <w:p>
      <w:pPr>
        <w:ind w:right="60" w:firstLine="648"/>
        <w:spacing w:after="0" w:line="27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Reference in Securities to Supplemental Indentures</w:t>
      </w:r>
      <w:r>
        <w:rPr>
          <w:rFonts w:ascii="Arial" w:cs="Arial" w:eastAsia="Arial" w:hAnsi="Arial"/>
          <w:sz w:val="19"/>
          <w:szCs w:val="19"/>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TEN - COVENANTS</w:t>
      </w:r>
    </w:p>
    <w:p>
      <w:pPr>
        <w:spacing w:after="0" w:line="20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Payment of Principal, Premium or Make-Whole Amount, if any;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w:t>
      </w:r>
      <w:r>
        <w:rPr>
          <w:rFonts w:ascii="Arial" w:cs="Arial" w:eastAsia="Arial" w:hAnsi="Arial"/>
          <w:sz w:val="19"/>
          <w:szCs w:val="19"/>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56"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6" w:name="page217"/>
    <w:bookmarkEnd w:id="216"/>
    <w:p>
      <w:pPr>
        <w:ind w:right="20"/>
        <w:spacing w:after="0" w:line="245" w:lineRule="auto"/>
        <w:rPr>
          <w:sz w:val="20"/>
          <w:szCs w:val="20"/>
          <w:color w:val="auto"/>
        </w:rPr>
      </w:pPr>
      <w:r>
        <w:rPr>
          <w:rFonts w:ascii="Arial" w:cs="Arial" w:eastAsia="Arial" w:hAnsi="Arial"/>
          <w:sz w:val="21"/>
          <w:szCs w:val="21"/>
          <w:color w:val="auto"/>
        </w:rPr>
        <w:t>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Money for Securities Payments to Be Held in Trust.</w:t>
      </w:r>
      <w:r>
        <w:rPr>
          <w:rFonts w:ascii="Arial" w:cs="Arial" w:eastAsia="Arial" w:hAnsi="Arial"/>
          <w:sz w:val="19"/>
          <w:szCs w:val="19"/>
          <w:color w:val="auto"/>
        </w:rPr>
        <w:t xml:space="preserve">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7" w:name="page218"/>
    <w:bookmarkEnd w:id="217"/>
    <w:p>
      <w:pPr>
        <w:ind w:right="60"/>
        <w:spacing w:after="0" w:line="236" w:lineRule="auto"/>
        <w:rPr>
          <w:sz w:val="20"/>
          <w:szCs w:val="20"/>
          <w:color w:val="auto"/>
        </w:rPr>
      </w:pPr>
      <w:r>
        <w:rPr>
          <w:rFonts w:ascii="Arial" w:cs="Arial" w:eastAsia="Arial" w:hAnsi="Arial"/>
          <w:sz w:val="22"/>
          <w:szCs w:val="22"/>
          <w:color w:val="auto"/>
        </w:rPr>
        <w:t>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58"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7" w:lineRule="exact"/>
        <w:rPr>
          <w:sz w:val="20"/>
          <w:szCs w:val="20"/>
          <w:color w:val="auto"/>
        </w:rPr>
      </w:pPr>
    </w:p>
    <w:p>
      <w:pPr>
        <w:ind w:left="660" w:right="200" w:firstLine="639"/>
        <w:spacing w:after="0" w:line="238" w:lineRule="auto"/>
        <w:tabs>
          <w:tab w:leader="none" w:pos="200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85" w:lineRule="exact"/>
        <w:rPr>
          <w:rFonts w:ascii="Arial" w:cs="Arial" w:eastAsia="Arial" w:hAnsi="Arial"/>
          <w:sz w:val="22"/>
          <w:szCs w:val="22"/>
          <w:color w:val="auto"/>
        </w:rPr>
      </w:pPr>
    </w:p>
    <w:p>
      <w:pPr>
        <w:ind w:left="660" w:right="20" w:firstLine="639"/>
        <w:spacing w:after="0" w:line="258" w:lineRule="auto"/>
        <w:tabs>
          <w:tab w:leader="none" w:pos="2006" w:val="left"/>
        </w:tabs>
        <w:numPr>
          <w:ilvl w:val="0"/>
          <w:numId w:val="172"/>
        </w:numPr>
        <w:rPr>
          <w:rFonts w:ascii="Arial" w:cs="Arial" w:eastAsia="Arial" w:hAnsi="Arial"/>
          <w:sz w:val="21"/>
          <w:szCs w:val="21"/>
          <w:color w:val="auto"/>
        </w:rPr>
      </w:pPr>
      <w:r>
        <w:rPr>
          <w:rFonts w:ascii="Arial" w:cs="Arial" w:eastAsia="Arial" w:hAnsi="Arial"/>
          <w:sz w:val="21"/>
          <w:szCs w:val="21"/>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66" w:lineRule="exact"/>
        <w:rPr>
          <w:rFonts w:ascii="Arial" w:cs="Arial" w:eastAsia="Arial" w:hAnsi="Arial"/>
          <w:sz w:val="21"/>
          <w:szCs w:val="21"/>
          <w:color w:val="auto"/>
        </w:rPr>
      </w:pPr>
    </w:p>
    <w:p>
      <w:pPr>
        <w:ind w:left="660" w:right="220" w:firstLine="639"/>
        <w:spacing w:after="0" w:line="328" w:lineRule="auto"/>
        <w:tabs>
          <w:tab w:leader="none" w:pos="200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at any time during the continuance of any such default upon the written request of the Trustee, forthwith pay to the Trustee all sums so held in trust by such Paying Agent.</w:t>
      </w:r>
    </w:p>
    <w:p>
      <w:pPr>
        <w:spacing w:after="0" w:line="105"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7"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8" w:name="page219"/>
    <w:bookmarkEnd w:id="218"/>
    <w:p>
      <w:pPr>
        <w:spacing w:after="0" w:line="248" w:lineRule="auto"/>
        <w:rPr>
          <w:sz w:val="20"/>
          <w:szCs w:val="20"/>
          <w:color w:val="auto"/>
        </w:rPr>
      </w:pPr>
      <w:r>
        <w:rPr>
          <w:rFonts w:ascii="Arial" w:cs="Arial" w:eastAsia="Arial" w:hAnsi="Arial"/>
          <w:sz w:val="21"/>
          <w:szCs w:val="21"/>
          <w:color w:val="auto"/>
        </w:rPr>
        <w:t xml:space="preserve">Agent with respect to such trust money, and all liability of the Company as trustee thereof, shall thereupon cease;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firstLine="648"/>
        <w:spacing w:after="0" w:line="248" w:lineRule="exact"/>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Existence.</w:t>
      </w:r>
      <w:r>
        <w:rPr>
          <w:rFonts w:ascii="Arial" w:cs="Arial" w:eastAsia="Arial" w:hAnsi="Arial"/>
          <w:sz w:val="22"/>
          <w:szCs w:val="22"/>
          <w:color w:val="auto"/>
        </w:rPr>
        <w:t xml:space="preserve"> Subject to Article Eight, the Company will do or cause to be done all things necessary to preserve and keep in full force and effect its corporate existence, all material rights (by articles of incorporation, by</w:t>
      </w:r>
      <w:r>
        <w:rPr>
          <w:rFonts w:ascii="MS PGothic" w:cs="MS PGothic" w:eastAsia="MS PGothic" w:hAnsi="MS PGothic"/>
          <w:sz w:val="22"/>
          <w:szCs w:val="22"/>
          <w:color w:val="auto"/>
        </w:rPr>
        <w:t>‑</w:t>
      </w:r>
      <w:r>
        <w:rPr>
          <w:rFonts w:ascii="Arial" w:cs="Arial" w:eastAsia="Arial" w:hAnsi="Arial"/>
          <w:sz w:val="22"/>
          <w:szCs w:val="22"/>
          <w:color w:val="auto"/>
        </w:rPr>
        <w:t>laws and statute) and material franchises; provided, however, that the Company shall not be required to preserve any such right or franchise if the Board of Directors shall determine that the preservation thereof is no longer desirable in the conduct of the business of the Company.</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provided, however,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200" w:lineRule="exact"/>
        <w:rPr>
          <w:sz w:val="20"/>
          <w:szCs w:val="20"/>
          <w:color w:val="auto"/>
        </w:rPr>
      </w:pPr>
    </w:p>
    <w:p>
      <w:pPr>
        <w:spacing w:after="0" w:line="20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will cause each of its and its Subsidiaries’ insurable properties to be insured against loss or damage in an amount deemed reasonable by the Board of Directors with insurers of recognized responsibility.</w:t>
      </w:r>
    </w:p>
    <w:p>
      <w:pPr>
        <w:spacing w:after="0" w:line="186" w:lineRule="exact"/>
        <w:rPr>
          <w:sz w:val="20"/>
          <w:szCs w:val="20"/>
          <w:color w:val="auto"/>
        </w:rPr>
      </w:pPr>
    </w:p>
    <w:p>
      <w:pPr>
        <w:ind w:right="200" w:firstLine="648"/>
        <w:spacing w:after="0" w:line="275"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Payment of Taxes and Other Claims.</w:t>
      </w:r>
      <w:r>
        <w:rPr>
          <w:rFonts w:ascii="Arial" w:cs="Arial" w:eastAsia="Arial" w:hAnsi="Arial"/>
          <w:sz w:val="19"/>
          <w:szCs w:val="19"/>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58"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Statement as to Compliance</w:t>
      </w:r>
      <w:r>
        <w:rPr>
          <w:rFonts w:ascii="Arial" w:cs="Arial" w:eastAsia="Arial" w:hAnsi="Arial"/>
          <w:sz w:val="21"/>
          <w:szCs w:val="21"/>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9" w:name="page220"/>
    <w:bookmarkEnd w:id="219"/>
    <w:p>
      <w:pPr>
        <w:ind w:firstLine="648"/>
        <w:spacing w:after="0" w:line="275"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Waiver of Certain Covenants</w:t>
      </w:r>
      <w:r>
        <w:rPr>
          <w:rFonts w:ascii="Arial" w:cs="Arial" w:eastAsia="Arial" w:hAnsi="Arial"/>
          <w:sz w:val="19"/>
          <w:szCs w:val="19"/>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ELEVEN - REDEMPTION OF SECURITIES</w:t>
      </w:r>
    </w:p>
    <w:p>
      <w:pPr>
        <w:spacing w:after="0" w:line="20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Applicability of Article</w:t>
      </w:r>
      <w:r>
        <w:rPr>
          <w:rFonts w:ascii="Arial" w:cs="Arial" w:eastAsia="Arial" w:hAnsi="Arial"/>
          <w:sz w:val="19"/>
          <w:szCs w:val="19"/>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34" w:lineRule="exact"/>
        <w:rPr>
          <w:sz w:val="20"/>
          <w:szCs w:val="20"/>
          <w:color w:val="auto"/>
        </w:rPr>
      </w:pPr>
    </w:p>
    <w:p>
      <w:pPr>
        <w:ind w:right="160" w:firstLine="648"/>
        <w:spacing w:after="0" w:line="274"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Election to Redeem; Notice to Trustee</w:t>
      </w:r>
      <w:r>
        <w:rPr>
          <w:rFonts w:ascii="Arial" w:cs="Arial" w:eastAsia="Arial" w:hAnsi="Arial"/>
          <w:sz w:val="19"/>
          <w:szCs w:val="19"/>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59" w:lineRule="exact"/>
        <w:rPr>
          <w:sz w:val="20"/>
          <w:szCs w:val="20"/>
          <w:color w:val="auto"/>
        </w:rPr>
      </w:pPr>
    </w:p>
    <w:p>
      <w:pPr>
        <w:ind w:right="200" w:firstLine="648"/>
        <w:spacing w:after="0" w:line="245"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u w:val="single" w:color="auto"/>
          <w:color w:val="auto"/>
        </w:rPr>
        <w:t>Selection by Trustee of Securities to Be Redeemed</w:t>
      </w:r>
      <w:r>
        <w:rPr>
          <w:rFonts w:ascii="Arial" w:cs="Arial" w:eastAsia="Arial" w:hAnsi="Arial"/>
          <w:sz w:val="21"/>
          <w:szCs w:val="21"/>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34" w:lineRule="exact"/>
        <w:rPr>
          <w:sz w:val="20"/>
          <w:szCs w:val="20"/>
          <w:color w:val="auto"/>
        </w:rPr>
      </w:pPr>
    </w:p>
    <w:p>
      <w:pPr>
        <w:ind w:right="140" w:firstLine="648"/>
        <w:spacing w:after="0" w:line="258" w:lineRule="auto"/>
        <w:rPr>
          <w:sz w:val="20"/>
          <w:szCs w:val="20"/>
          <w:color w:val="auto"/>
        </w:rPr>
      </w:pPr>
      <w:r>
        <w:rPr>
          <w:rFonts w:ascii="Arial" w:cs="Arial" w:eastAsia="Arial" w:hAnsi="Arial"/>
          <w:sz w:val="21"/>
          <w:szCs w:val="21"/>
          <w:color w:val="auto"/>
        </w:rPr>
        <w:t xml:space="preserve">SECTION 1104. </w:t>
      </w:r>
      <w:r>
        <w:rPr>
          <w:rFonts w:ascii="Arial" w:cs="Arial" w:eastAsia="Arial" w:hAnsi="Arial"/>
          <w:sz w:val="21"/>
          <w:szCs w:val="21"/>
          <w:u w:val="single" w:color="auto"/>
          <w:color w:val="auto"/>
        </w:rPr>
        <w:t>Notice of Redemption</w:t>
      </w:r>
      <w:r>
        <w:rPr>
          <w:rFonts w:ascii="Arial" w:cs="Arial" w:eastAsia="Arial" w:hAnsi="Arial"/>
          <w:sz w:val="21"/>
          <w:szCs w:val="21"/>
          <w:color w:val="auto"/>
        </w:rPr>
        <w:t>. Notice of redemption shall be given in the manner provided in Section 106, not less than 30 days nor more than 60 days prior to the Redemption Date, unless a shorter period is specified by the terms of such series established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20" w:name="page221"/>
    <w:bookmarkEnd w:id="220"/>
    <w:p>
      <w:pPr>
        <w:ind w:right="220"/>
        <w:spacing w:after="0" w:line="252" w:lineRule="auto"/>
        <w:rPr>
          <w:sz w:val="20"/>
          <w:szCs w:val="20"/>
          <w:color w:val="auto"/>
        </w:rPr>
      </w:pPr>
      <w:r>
        <w:rPr>
          <w:rFonts w:ascii="Arial" w:cs="Arial" w:eastAsia="Arial" w:hAnsi="Arial"/>
          <w:sz w:val="21"/>
          <w:szCs w:val="21"/>
          <w:color w:val="auto"/>
        </w:rPr>
        <w:t>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75" w:lineRule="exact"/>
        <w:rPr>
          <w:sz w:val="20"/>
          <w:szCs w:val="20"/>
          <w:color w:val="auto"/>
        </w:rPr>
      </w:pPr>
    </w:p>
    <w:p>
      <w:pPr>
        <w:jc w:val="both"/>
        <w:ind w:right="180" w:firstLine="648"/>
        <w:spacing w:after="0" w:line="328" w:lineRule="auto"/>
        <w:rPr>
          <w:sz w:val="20"/>
          <w:szCs w:val="20"/>
          <w:color w:val="auto"/>
        </w:rPr>
      </w:pPr>
      <w:r>
        <w:rPr>
          <w:rFonts w:ascii="Arial" w:cs="Arial" w:eastAsia="Arial" w:hAnsi="Arial"/>
          <w:sz w:val="19"/>
          <w:szCs w:val="19"/>
          <w:color w:val="auto"/>
        </w:rPr>
        <w:t>Any notice that is mailed to the Holders of Registered Securities in the manner herein provided shall be conclusively presumed to have been duly given, whether or not the Holder receives the notice.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notices of redemption shall state:</w:t>
      </w:r>
    </w:p>
    <w:p>
      <w:pPr>
        <w:spacing w:after="0" w:line="206" w:lineRule="exact"/>
        <w:rPr>
          <w:sz w:val="20"/>
          <w:szCs w:val="20"/>
          <w:color w:val="auto"/>
        </w:rPr>
      </w:pPr>
    </w:p>
    <w:p>
      <w:pPr>
        <w:ind w:left="2000" w:hanging="701"/>
        <w:spacing w:after="0"/>
        <w:tabs>
          <w:tab w:leader="none" w:pos="20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660" w:right="640" w:firstLine="639"/>
        <w:spacing w:after="0" w:line="251" w:lineRule="auto"/>
        <w:tabs>
          <w:tab w:leader="none" w:pos="20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Redemption Price, accrued interest to the Redemption Date payable as provided in Section 1106, if any,</w:t>
      </w:r>
    </w:p>
    <w:p>
      <w:pPr>
        <w:spacing w:after="0" w:line="173" w:lineRule="exact"/>
        <w:rPr>
          <w:rFonts w:ascii="Arial" w:cs="Arial" w:eastAsia="Arial" w:hAnsi="Arial"/>
          <w:sz w:val="22"/>
          <w:szCs w:val="22"/>
          <w:color w:val="auto"/>
        </w:rPr>
      </w:pPr>
    </w:p>
    <w:p>
      <w:pPr>
        <w:ind w:left="660" w:right="520" w:firstLine="639"/>
        <w:spacing w:after="0"/>
        <w:tabs>
          <w:tab w:leader="none" w:pos="20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less than all Outstanding Securities of any series are to be redeemed, the identification (and, in the case of partial redemption, the principal amount) of the particular Security or Securities to be redeemed,</w:t>
      </w:r>
    </w:p>
    <w:p>
      <w:pPr>
        <w:spacing w:after="0" w:line="186" w:lineRule="exact"/>
        <w:rPr>
          <w:rFonts w:ascii="Arial" w:cs="Arial" w:eastAsia="Arial" w:hAnsi="Arial"/>
          <w:sz w:val="22"/>
          <w:szCs w:val="22"/>
          <w:color w:val="auto"/>
        </w:rPr>
      </w:pPr>
    </w:p>
    <w:p>
      <w:pPr>
        <w:ind w:left="660" w:right="60" w:firstLine="639"/>
        <w:spacing w:after="0" w:line="287" w:lineRule="auto"/>
        <w:tabs>
          <w:tab w:leader="none" w:pos="200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43" w:lineRule="exact"/>
        <w:rPr>
          <w:rFonts w:ascii="Arial" w:cs="Arial" w:eastAsia="Arial" w:hAnsi="Arial"/>
          <w:sz w:val="19"/>
          <w:szCs w:val="19"/>
          <w:color w:val="auto"/>
        </w:rPr>
      </w:pPr>
    </w:p>
    <w:p>
      <w:pPr>
        <w:ind w:left="660" w:firstLine="639"/>
        <w:spacing w:after="0" w:line="238" w:lineRule="auto"/>
        <w:tabs>
          <w:tab w:leader="none" w:pos="20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5" w:lineRule="exact"/>
        <w:rPr>
          <w:rFonts w:ascii="Arial" w:cs="Arial" w:eastAsia="Arial" w:hAnsi="Arial"/>
          <w:sz w:val="22"/>
          <w:szCs w:val="22"/>
          <w:color w:val="auto"/>
        </w:rPr>
      </w:pPr>
    </w:p>
    <w:p>
      <w:pPr>
        <w:ind w:left="660" w:right="140" w:firstLine="639"/>
        <w:spacing w:after="0" w:line="238" w:lineRule="auto"/>
        <w:tabs>
          <w:tab w:leader="none" w:pos="20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85" w:lineRule="exact"/>
        <w:rPr>
          <w:rFonts w:ascii="Arial" w:cs="Arial" w:eastAsia="Arial" w:hAnsi="Arial"/>
          <w:sz w:val="22"/>
          <w:szCs w:val="22"/>
          <w:color w:val="auto"/>
        </w:rPr>
      </w:pPr>
    </w:p>
    <w:p>
      <w:pPr>
        <w:ind w:left="2000" w:hanging="701"/>
        <w:spacing w:after="0"/>
        <w:tabs>
          <w:tab w:leader="none" w:pos="20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06" w:lineRule="exact"/>
        <w:rPr>
          <w:rFonts w:ascii="Arial" w:cs="Arial" w:eastAsia="Arial" w:hAnsi="Arial"/>
          <w:sz w:val="22"/>
          <w:szCs w:val="22"/>
          <w:color w:val="auto"/>
        </w:rPr>
      </w:pPr>
    </w:p>
    <w:p>
      <w:pPr>
        <w:ind w:left="660" w:firstLine="639"/>
        <w:spacing w:after="0" w:line="282" w:lineRule="auto"/>
        <w:tabs>
          <w:tab w:leader="none" w:pos="200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7" w:lineRule="exact"/>
        <w:rPr>
          <w:rFonts w:ascii="Arial" w:cs="Arial" w:eastAsia="Arial" w:hAnsi="Arial"/>
          <w:sz w:val="19"/>
          <w:szCs w:val="19"/>
          <w:color w:val="auto"/>
        </w:rPr>
      </w:pPr>
    </w:p>
    <w:p>
      <w:pPr>
        <w:ind w:left="660" w:right="40" w:firstLine="639"/>
        <w:spacing w:after="0" w:line="236" w:lineRule="auto"/>
        <w:tabs>
          <w:tab w:leader="none" w:pos="20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1" w:name="page222"/>
    <w:bookmarkEnd w:id="221"/>
    <w:p>
      <w:pPr>
        <w:ind w:left="2040" w:hanging="741"/>
        <w:spacing w:after="0"/>
        <w:tabs>
          <w:tab w:leader="none" w:pos="20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CUSIP number of such Security, if any, and</w:t>
      </w:r>
    </w:p>
    <w:p>
      <w:pPr>
        <w:spacing w:after="0" w:line="206" w:lineRule="exact"/>
        <w:rPr>
          <w:rFonts w:ascii="Arial" w:cs="Arial" w:eastAsia="Arial" w:hAnsi="Arial"/>
          <w:sz w:val="22"/>
          <w:szCs w:val="22"/>
          <w:color w:val="auto"/>
        </w:rPr>
      </w:pPr>
    </w:p>
    <w:p>
      <w:pPr>
        <w:ind w:left="660" w:right="220" w:firstLine="639"/>
        <w:spacing w:after="0" w:line="287" w:lineRule="auto"/>
        <w:tabs>
          <w:tab w:leader="none" w:pos="203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4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Notice of redemption of Securities to be redeemed at the election of the Company shall be given by the Company or, at the Company’s request, by the Trustee in the name and at the expense of the Company.</w:t>
      </w:r>
    </w:p>
    <w:p>
      <w:pPr>
        <w:spacing w:after="0" w:line="186"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Deposit of Redemption Price</w:t>
      </w:r>
      <w:r>
        <w:rPr>
          <w:rFonts w:ascii="Arial" w:cs="Arial" w:eastAsia="Arial" w:hAnsi="Arial"/>
          <w:sz w:val="21"/>
          <w:szCs w:val="21"/>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5"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Securities Payable on Redemption Date</w:t>
      </w:r>
      <w:r>
        <w:rPr>
          <w:rFonts w:ascii="Arial" w:cs="Arial" w:eastAsia="Arial" w:hAnsi="Arial"/>
          <w:sz w:val="19"/>
          <w:szCs w:val="19"/>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2" w:name="page223"/>
    <w:bookmarkEnd w:id="222"/>
    <w:p>
      <w:pPr>
        <w:ind w:right="120" w:firstLine="648"/>
        <w:spacing w:after="0" w:line="273" w:lineRule="auto"/>
        <w:rPr>
          <w:sz w:val="20"/>
          <w:szCs w:val="20"/>
          <w:color w:val="auto"/>
        </w:rPr>
      </w:pPr>
      <w:r>
        <w:rPr>
          <w:rFonts w:ascii="Arial" w:cs="Arial" w:eastAsia="Arial" w:hAnsi="Arial"/>
          <w:sz w:val="19"/>
          <w:szCs w:val="19"/>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57"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8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TWELVE - SINKING FUNDS</w:t>
      </w:r>
    </w:p>
    <w:p>
      <w:pPr>
        <w:spacing w:after="0" w:line="206"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The provisions of this Article shall be applicable to any sinking fund for the retirement of Securities of a series except as otherwise specified as contemplated by Section 301 for Securities of such series</w:t>
      </w:r>
      <w:r>
        <w:rPr>
          <w:rFonts w:ascii="Arial" w:cs="Arial" w:eastAsia="Arial" w:hAnsi="Arial"/>
          <w:sz w:val="22"/>
          <w:szCs w:val="22"/>
          <w:u w:val="single" w:color="auto"/>
          <w:color w:val="auto"/>
        </w:rPr>
        <w:t>.</w:t>
      </w:r>
    </w:p>
    <w:p>
      <w:pPr>
        <w:spacing w:after="0" w:line="186"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Satisfaction of Sinking Fund Payments with Securities</w:t>
      </w:r>
      <w:r>
        <w:rPr>
          <w:rFonts w:ascii="Arial" w:cs="Arial" w:eastAsia="Arial" w:hAnsi="Arial"/>
          <w:sz w:val="19"/>
          <w:szCs w:val="19"/>
          <w:color w:val="auto"/>
        </w:rPr>
        <w:t>.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3" w:name="page224"/>
    <w:bookmarkEnd w:id="223"/>
    <w:p>
      <w:pPr>
        <w:ind w:right="220"/>
        <w:spacing w:after="0" w:line="275" w:lineRule="auto"/>
        <w:rPr>
          <w:sz w:val="20"/>
          <w:szCs w:val="20"/>
          <w:color w:val="auto"/>
        </w:rPr>
      </w:pPr>
      <w:r>
        <w:rPr>
          <w:rFonts w:ascii="Arial" w:cs="Arial" w:eastAsia="Arial" w:hAnsi="Arial"/>
          <w:sz w:val="19"/>
          <w:szCs w:val="19"/>
          <w:color w:val="auto"/>
        </w:rPr>
        <w:t>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-48260</wp:posOffset>
            </wp:positionV>
            <wp:extent cx="34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Redemption of Securities for Sinking Fund</w:t>
      </w:r>
      <w:r>
        <w:rPr>
          <w:rFonts w:ascii="Arial" w:cs="Arial" w:eastAsia="Arial" w:hAnsi="Arial"/>
          <w:sz w:val="19"/>
          <w:szCs w:val="19"/>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THIRTEEN - REPAYMENT AT THE OPTION OF HOLDERS</w:t>
      </w:r>
    </w:p>
    <w:p>
      <w:pPr>
        <w:spacing w:after="0" w:line="206"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SECTION 1302. </w:t>
      </w:r>
      <w:r>
        <w:rPr>
          <w:rFonts w:ascii="Arial" w:cs="Arial" w:eastAsia="Arial" w:hAnsi="Arial"/>
          <w:sz w:val="19"/>
          <w:szCs w:val="19"/>
          <w:u w:val="single" w:color="auto"/>
          <w:color w:val="auto"/>
        </w:rPr>
        <w:t>Repayment of Securities</w:t>
      </w:r>
      <w:r>
        <w:rPr>
          <w:rFonts w:ascii="Arial" w:cs="Arial" w:eastAsia="Arial" w:hAnsi="Arial"/>
          <w:sz w:val="19"/>
          <w:szCs w:val="19"/>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4" w:name="page225"/>
    <w:bookmarkEnd w:id="224"/>
    <w:p>
      <w:pPr>
        <w:ind w:right="100"/>
        <w:spacing w:after="0" w:line="275" w:lineRule="auto"/>
        <w:rPr>
          <w:sz w:val="20"/>
          <w:szCs w:val="20"/>
          <w:color w:val="auto"/>
        </w:rPr>
      </w:pPr>
      <w:r>
        <w:rPr>
          <w:rFonts w:ascii="Arial" w:cs="Arial" w:eastAsia="Arial" w:hAnsi="Arial"/>
          <w:sz w:val="21"/>
          <w:szCs w:val="21"/>
          <w:color w:val="auto"/>
        </w:rPr>
        <w:t>principal) of, and (except if the Repayment Date shall be an Interest Payment Date) accrued interest on, all the Securities or portions thereof, as the case may be, to be repaid on such date.</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Exercise of Option</w:t>
      </w:r>
      <w:r>
        <w:rPr>
          <w:rFonts w:ascii="Arial" w:cs="Arial" w:eastAsia="Arial" w:hAnsi="Arial"/>
          <w:sz w:val="19"/>
          <w:szCs w:val="19"/>
          <w:color w:val="auto"/>
        </w:rPr>
        <w:t>.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provided, however,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68" w:lineRule="exact"/>
        <w:rPr>
          <w:sz w:val="20"/>
          <w:szCs w:val="20"/>
          <w:color w:val="auto"/>
        </w:rPr>
      </w:pPr>
    </w:p>
    <w:p>
      <w:pPr>
        <w:ind w:right="20" w:firstLine="648"/>
        <w:spacing w:after="0" w:line="245" w:lineRule="exact"/>
        <w:rPr>
          <w:sz w:val="20"/>
          <w:szCs w:val="20"/>
          <w:color w:val="auto"/>
        </w:rPr>
      </w:pPr>
      <w:r>
        <w:rPr>
          <w:rFonts w:ascii="Arial" w:cs="Arial" w:eastAsia="Arial" w:hAnsi="Arial"/>
          <w:sz w:val="19"/>
          <w:szCs w:val="19"/>
          <w:color w:val="auto"/>
        </w:rPr>
        <w:t xml:space="preserve">SECTION 1304. </w:t>
      </w:r>
      <w:r>
        <w:rPr>
          <w:rFonts w:ascii="Arial" w:cs="Arial" w:eastAsia="Arial" w:hAnsi="Arial"/>
          <w:sz w:val="19"/>
          <w:szCs w:val="19"/>
          <w:u w:val="single" w:color="auto"/>
          <w:color w:val="auto"/>
        </w:rPr>
        <w:t>When Securities Presented for Repayment Become Due and Payable</w:t>
      </w:r>
      <w:r>
        <w:rPr>
          <w:rFonts w:ascii="Arial" w:cs="Arial" w:eastAsia="Arial" w:hAnsi="Arial"/>
          <w:sz w:val="19"/>
          <w:szCs w:val="19"/>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5" w:name="page226"/>
    <w:bookmarkEnd w:id="225"/>
    <w:p>
      <w:pPr>
        <w:ind w:right="40"/>
        <w:spacing w:after="0" w:line="252" w:lineRule="auto"/>
        <w:rPr>
          <w:sz w:val="20"/>
          <w:szCs w:val="20"/>
          <w:color w:val="auto"/>
        </w:rPr>
      </w:pPr>
      <w:r>
        <w:rPr>
          <w:rFonts w:ascii="Arial" w:cs="Arial" w:eastAsia="Arial" w:hAnsi="Arial"/>
          <w:sz w:val="21"/>
          <w:szCs w:val="21"/>
          <w:color w:val="auto"/>
        </w:rPr>
        <w:t>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1305. </w:t>
      </w:r>
      <w:r>
        <w:rPr>
          <w:rFonts w:ascii="Arial" w:cs="Arial" w:eastAsia="Arial" w:hAnsi="Arial"/>
          <w:sz w:val="19"/>
          <w:szCs w:val="19"/>
          <w:u w:val="single" w:color="auto"/>
          <w:color w:val="auto"/>
        </w:rPr>
        <w:t>Securities Repaid in Part</w:t>
      </w:r>
      <w:r>
        <w:rPr>
          <w:rFonts w:ascii="Arial" w:cs="Arial" w:eastAsia="Arial" w:hAnsi="Arial"/>
          <w:sz w:val="19"/>
          <w:szCs w:val="19"/>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FOURTEEN - DEFEASANCE AND COVENANT DEFEASANCE</w:t>
      </w:r>
    </w:p>
    <w:p>
      <w:pPr>
        <w:spacing w:after="0" w:line="206"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 xml:space="preserve">SECTION 1401. </w:t>
      </w:r>
      <w:r>
        <w:rPr>
          <w:rFonts w:ascii="Arial" w:cs="Arial" w:eastAsia="Arial" w:hAnsi="Arial"/>
          <w:sz w:val="21"/>
          <w:szCs w:val="21"/>
          <w:u w:val="single" w:color="auto"/>
          <w:color w:val="auto"/>
        </w:rPr>
        <w:t>Applicability of Article; Company’s Option to Effect Defeasance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Covenant Defeasance</w:t>
      </w:r>
      <w:r>
        <w:rPr>
          <w:rFonts w:ascii="Arial" w:cs="Arial" w:eastAsia="Arial" w:hAnsi="Arial"/>
          <w:sz w:val="21"/>
          <w:szCs w:val="21"/>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90"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 xml:space="preserve">SECTION 1402. </w:t>
      </w:r>
      <w:r>
        <w:rPr>
          <w:rFonts w:ascii="Arial" w:cs="Arial" w:eastAsia="Arial" w:hAnsi="Arial"/>
          <w:sz w:val="19"/>
          <w:szCs w:val="19"/>
          <w:u w:val="single" w:color="auto"/>
          <w:color w:val="auto"/>
        </w:rPr>
        <w:t>Defeasance and Discharge</w:t>
      </w:r>
      <w:r>
        <w:rPr>
          <w:rFonts w:ascii="Arial" w:cs="Arial" w:eastAsia="Arial" w:hAnsi="Arial"/>
          <w:sz w:val="19"/>
          <w:szCs w:val="19"/>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6" w:name="page227"/>
    <w:bookmarkEnd w:id="226"/>
    <w:p>
      <w:pPr>
        <w:spacing w:after="0" w:line="270" w:lineRule="auto"/>
        <w:rPr>
          <w:sz w:val="20"/>
          <w:szCs w:val="20"/>
          <w:color w:val="auto"/>
        </w:rPr>
      </w:pPr>
      <w:r>
        <w:rPr>
          <w:rFonts w:ascii="Arial" w:cs="Arial" w:eastAsia="Arial" w:hAnsi="Arial"/>
          <w:sz w:val="19"/>
          <w:szCs w:val="19"/>
          <w:color w:val="auto"/>
        </w:rPr>
        <w:t>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1403.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111125</wp:posOffset>
            </wp:positionV>
            <wp:extent cx="342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1"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 xml:space="preserve">SECTION 1404. </w:t>
      </w:r>
      <w:r>
        <w:rPr>
          <w:rFonts w:ascii="Arial" w:cs="Arial" w:eastAsia="Arial" w:hAnsi="Arial"/>
          <w:sz w:val="22"/>
          <w:szCs w:val="22"/>
          <w:u w:val="single" w:color="auto"/>
          <w:color w:val="auto"/>
        </w:rPr>
        <w:t>Conditions to Defeasance or Covenant Defeasance.</w:t>
      </w:r>
      <w:r>
        <w:rPr>
          <w:rFonts w:ascii="Arial" w:cs="Arial" w:eastAsia="Arial" w:hAnsi="Arial"/>
          <w:sz w:val="22"/>
          <w:szCs w:val="22"/>
          <w:color w:val="auto"/>
        </w:rPr>
        <w:t xml:space="preserve"> The following shall be the conditions to application of Section 1402 or Section 1403 to any Outstanding Securities of or within a series and any coupons appertaining thereto:</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(a)The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7" w:name="page228"/>
    <w:bookmarkEnd w:id="227"/>
    <w:p>
      <w:pPr>
        <w:ind w:right="40"/>
        <w:spacing w:after="0" w:line="270" w:lineRule="auto"/>
        <w:rPr>
          <w:sz w:val="20"/>
          <w:szCs w:val="20"/>
          <w:color w:val="auto"/>
        </w:rPr>
      </w:pPr>
      <w:r>
        <w:rPr>
          <w:rFonts w:ascii="Arial" w:cs="Arial" w:eastAsia="Arial" w:hAnsi="Arial"/>
          <w:sz w:val="19"/>
          <w:szCs w:val="19"/>
          <w:color w:val="auto"/>
        </w:rPr>
        <w:t>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71"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(b)Such Defeasance or Covenant Defeasance shall not result in a breach or violation of, or constitute a default under, this Indenture or any other material agreement or instrument to which the Company is a party or by which it is bound.</w:t>
      </w:r>
    </w:p>
    <w:p>
      <w:pPr>
        <w:spacing w:after="0" w:line="18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9"/>
          <w:szCs w:val="19"/>
          <w:color w:val="auto"/>
        </w:rPr>
        <w:t>(c)No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48"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(d)In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5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(e)In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8" w:name="page229"/>
    <w:bookmarkEnd w:id="228"/>
    <w:p>
      <w:pPr>
        <w:ind w:right="20" w:firstLine="648"/>
        <w:spacing w:after="0" w:line="275" w:lineRule="auto"/>
        <w:rPr>
          <w:sz w:val="20"/>
          <w:szCs w:val="20"/>
          <w:color w:val="auto"/>
        </w:rPr>
      </w:pPr>
      <w:r>
        <w:rPr>
          <w:rFonts w:ascii="Arial" w:cs="Arial" w:eastAsia="Arial" w:hAnsi="Arial"/>
          <w:sz w:val="19"/>
          <w:szCs w:val="19"/>
          <w:color w:val="auto"/>
        </w:rPr>
        <w:t>(f)The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8" w:lineRule="exact"/>
        <w:rPr>
          <w:sz w:val="20"/>
          <w:szCs w:val="20"/>
          <w:color w:val="auto"/>
        </w:rPr>
      </w:pPr>
    </w:p>
    <w:p>
      <w:pPr>
        <w:ind w:right="680" w:firstLine="648"/>
        <w:spacing w:after="0" w:line="238" w:lineRule="auto"/>
        <w:rPr>
          <w:sz w:val="20"/>
          <w:szCs w:val="20"/>
          <w:color w:val="auto"/>
        </w:rPr>
      </w:pPr>
      <w:r>
        <w:rPr>
          <w:rFonts w:ascii="Arial" w:cs="Arial" w:eastAsia="Arial" w:hAnsi="Arial"/>
          <w:sz w:val="22"/>
          <w:szCs w:val="22"/>
          <w:color w:val="auto"/>
        </w:rPr>
        <w:t>(g)Notwithstanding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85" w:lineRule="exact"/>
        <w:rPr>
          <w:sz w:val="20"/>
          <w:szCs w:val="20"/>
          <w:color w:val="auto"/>
        </w:rPr>
      </w:pPr>
    </w:p>
    <w:p>
      <w:pPr>
        <w:ind w:right="380" w:firstLine="648"/>
        <w:spacing w:after="0" w:line="251" w:lineRule="auto"/>
        <w:rPr>
          <w:sz w:val="20"/>
          <w:szCs w:val="20"/>
          <w:color w:val="auto"/>
        </w:rPr>
      </w:pPr>
      <w:r>
        <w:rPr>
          <w:rFonts w:ascii="Arial" w:cs="Arial" w:eastAsia="Arial" w:hAnsi="Arial"/>
          <w:sz w:val="22"/>
          <w:szCs w:val="22"/>
          <w:color w:val="auto"/>
        </w:rPr>
        <w:t>(h)The payment of amounts payable to the Trustee pursuant to this Indenture shall be paid or provided for to the reasonable satisfaction of the Trustee.</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Deposited Money and Government Obligations to Be Held in Trust; 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Miscellaneous Provisions</w:t>
      </w:r>
      <w:r>
        <w:rPr>
          <w:rFonts w:ascii="Arial" w:cs="Arial" w:eastAsia="Arial" w:hAnsi="Arial"/>
          <w:sz w:val="19"/>
          <w:szCs w:val="19"/>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2"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The Company shall pay and indemnify the Trustee against any tax, fee or other charge imposed on or assessed against the Government Obligations deposited pursuant to Section 1404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29" w:name="page230"/>
    <w:bookmarkEnd w:id="229"/>
    <w:p>
      <w:pPr>
        <w:jc w:val="both"/>
        <w:ind w:right="180"/>
        <w:spacing w:after="0" w:line="241" w:lineRule="auto"/>
        <w:rPr>
          <w:sz w:val="20"/>
          <w:szCs w:val="20"/>
          <w:color w:val="auto"/>
        </w:rPr>
      </w:pPr>
      <w:r>
        <w:rPr>
          <w:rFonts w:ascii="Arial" w:cs="Arial" w:eastAsia="Arial" w:hAnsi="Arial"/>
          <w:sz w:val="22"/>
          <w:szCs w:val="22"/>
          <w:color w:val="auto"/>
        </w:rPr>
        <w:t>the principal and interest received in respect thereof other than any such tax, fee or other charge which by law is for the account of the Holders of such Outstanding Securities and any coupons appertaining thereto.</w:t>
      </w:r>
    </w:p>
    <w:p>
      <w:pPr>
        <w:spacing w:after="0" w:line="184"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FIFTEEN - MEETINGS OF HOLDERS OF SECURITIES</w:t>
      </w:r>
    </w:p>
    <w:p>
      <w:pPr>
        <w:spacing w:after="0" w:line="20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1501. </w:t>
      </w:r>
      <w:r>
        <w:rPr>
          <w:rFonts w:ascii="Arial" w:cs="Arial" w:eastAsia="Arial" w:hAnsi="Arial"/>
          <w:sz w:val="19"/>
          <w:szCs w:val="19"/>
          <w:u w:val="single" w:color="auto"/>
          <w:color w:val="auto"/>
        </w:rPr>
        <w:t>Purposes for Which Meetings May Be Called</w:t>
      </w:r>
      <w:r>
        <w:rPr>
          <w:rFonts w:ascii="Arial" w:cs="Arial" w:eastAsia="Arial" w:hAnsi="Arial"/>
          <w:sz w:val="19"/>
          <w:szCs w:val="19"/>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43"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1502.</w:t>
      </w:r>
      <w:r>
        <w:rPr>
          <w:sz w:val="20"/>
          <w:szCs w:val="20"/>
          <w:color w:val="auto"/>
        </w:rPr>
        <w:tab/>
      </w:r>
      <w:r>
        <w:rPr>
          <w:rFonts w:ascii="Arial" w:cs="Arial" w:eastAsia="Arial" w:hAnsi="Arial"/>
          <w:sz w:val="19"/>
          <w:szCs w:val="19"/>
          <w:u w:val="single" w:color="auto"/>
          <w:color w:val="auto"/>
        </w:rPr>
        <w:t>Call, Notice and Place of Meetings.</w:t>
      </w:r>
    </w:p>
    <w:p>
      <w:pPr>
        <w:spacing w:after="0" w:line="206" w:lineRule="exact"/>
        <w:rPr>
          <w:sz w:val="20"/>
          <w:szCs w:val="20"/>
          <w:color w:val="auto"/>
        </w:rPr>
      </w:pPr>
    </w:p>
    <w:p>
      <w:pPr>
        <w:ind w:right="60" w:firstLine="1296"/>
        <w:spacing w:after="0" w:line="235" w:lineRule="auto"/>
        <w:rPr>
          <w:sz w:val="20"/>
          <w:szCs w:val="20"/>
          <w:color w:val="auto"/>
        </w:rPr>
      </w:pPr>
      <w:r>
        <w:rPr>
          <w:rFonts w:ascii="Arial" w:cs="Arial" w:eastAsia="Arial" w:hAnsi="Arial"/>
          <w:sz w:val="22"/>
          <w:szCs w:val="22"/>
          <w:color w:val="auto"/>
        </w:rPr>
        <w:t>(a)The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8" w:lineRule="exact"/>
        <w:rPr>
          <w:sz w:val="20"/>
          <w:szCs w:val="20"/>
          <w:color w:val="auto"/>
        </w:rPr>
      </w:pPr>
    </w:p>
    <w:p>
      <w:pPr>
        <w:ind w:right="20" w:firstLine="1296"/>
        <w:spacing w:after="0" w:line="274" w:lineRule="auto"/>
        <w:rPr>
          <w:sz w:val="20"/>
          <w:szCs w:val="20"/>
          <w:color w:val="auto"/>
        </w:rPr>
      </w:pPr>
      <w:r>
        <w:rPr>
          <w:rFonts w:ascii="Arial" w:cs="Arial" w:eastAsia="Arial" w:hAnsi="Arial"/>
          <w:sz w:val="19"/>
          <w:szCs w:val="19"/>
          <w:color w:val="auto"/>
        </w:rPr>
        <w:t>(b)In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5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Persons Entitled to Vote at Meetings</w:t>
      </w:r>
      <w:r>
        <w:rPr>
          <w:rFonts w:ascii="Arial" w:cs="Arial" w:eastAsia="Arial" w:hAnsi="Arial"/>
          <w:sz w:val="19"/>
          <w:szCs w:val="19"/>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0" w:name="page231"/>
    <w:bookmarkEnd w:id="230"/>
    <w:p>
      <w:pPr>
        <w:spacing w:after="0"/>
        <w:rPr>
          <w:sz w:val="20"/>
          <w:szCs w:val="20"/>
          <w:color w:val="auto"/>
        </w:rPr>
      </w:pPr>
      <w:r>
        <w:rPr>
          <w:rFonts w:ascii="Arial" w:cs="Arial" w:eastAsia="Arial" w:hAnsi="Arial"/>
          <w:sz w:val="19"/>
          <w:szCs w:val="19"/>
          <w:color w:val="auto"/>
        </w:rPr>
        <w:t>representatives of the Trustee and its counsel and any representatives of the Company and its counsel.</w:t>
      </w:r>
    </w:p>
    <w:p>
      <w:pPr>
        <w:spacing w:after="0" w:line="241"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1504. </w:t>
      </w:r>
      <w:r>
        <w:rPr>
          <w:rFonts w:ascii="Arial" w:cs="Arial" w:eastAsia="Arial" w:hAnsi="Arial"/>
          <w:sz w:val="19"/>
          <w:szCs w:val="19"/>
          <w:u w:val="single" w:color="auto"/>
          <w:color w:val="auto"/>
        </w:rPr>
        <w:t>Quorum; Action</w:t>
      </w:r>
      <w:r>
        <w:rPr>
          <w:rFonts w:ascii="Arial" w:cs="Arial" w:eastAsia="Arial" w:hAnsi="Arial"/>
          <w:sz w:val="19"/>
          <w:szCs w:val="19"/>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48" w:lineRule="exact"/>
        <w:rPr>
          <w:sz w:val="20"/>
          <w:szCs w:val="20"/>
          <w:color w:val="auto"/>
        </w:rPr>
      </w:pPr>
    </w:p>
    <w:p>
      <w:pPr>
        <w:ind w:left="2600" w:hanging="652"/>
        <w:spacing w:after="0"/>
        <w:tabs>
          <w:tab w:leader="none" w:pos="26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there shall be no minimum quorum requirement for such meeting; and</w:t>
      </w:r>
    </w:p>
    <w:p>
      <w:pPr>
        <w:spacing w:after="0" w:line="240" w:lineRule="exact"/>
        <w:rPr>
          <w:rFonts w:ascii="Arial" w:cs="Arial" w:eastAsia="Arial" w:hAnsi="Arial"/>
          <w:sz w:val="19"/>
          <w:szCs w:val="19"/>
          <w:color w:val="auto"/>
        </w:rPr>
      </w:pPr>
    </w:p>
    <w:p>
      <w:pPr>
        <w:ind w:left="1300" w:right="60" w:firstLine="648"/>
        <w:spacing w:after="0" w:line="328" w:lineRule="auto"/>
        <w:tabs>
          <w:tab w:leader="none" w:pos="259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principal amount of the Outstanding Securities of such series that vote in favor of such request, demand, authorization, direction, notice, consent,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1" w:name="page232"/>
    <w:bookmarkEnd w:id="231"/>
    <w:p>
      <w:pPr>
        <w:jc w:val="both"/>
        <w:ind w:left="1300" w:right="160"/>
        <w:spacing w:after="0" w:line="241" w:lineRule="auto"/>
        <w:rPr>
          <w:sz w:val="20"/>
          <w:szCs w:val="20"/>
          <w:color w:val="auto"/>
        </w:rPr>
      </w:pPr>
      <w:r>
        <w:rPr>
          <w:rFonts w:ascii="Arial" w:cs="Arial" w:eastAsia="Arial" w:hAnsi="Arial"/>
          <w:sz w:val="22"/>
          <w:szCs w:val="22"/>
          <w:color w:val="auto"/>
        </w:rPr>
        <w:t>waiver or other action shall be taken into account in determining whether such request, demand, authorization, direction, notice, consent, waiver or other action has been made, given or taken under this Indenture.</w:t>
      </w:r>
    </w:p>
    <w:p>
      <w:pPr>
        <w:spacing w:after="0" w:line="184"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1505.</w:t>
      </w:r>
      <w:r>
        <w:rPr>
          <w:sz w:val="20"/>
          <w:szCs w:val="20"/>
          <w:color w:val="auto"/>
        </w:rPr>
        <w:tab/>
      </w:r>
      <w:r>
        <w:rPr>
          <w:rFonts w:ascii="Arial" w:cs="Arial" w:eastAsia="Arial" w:hAnsi="Arial"/>
          <w:sz w:val="19"/>
          <w:szCs w:val="19"/>
          <w:u w:val="single" w:color="auto"/>
          <w:color w:val="auto"/>
        </w:rPr>
        <w:t>Determination of Voting Rights; Conduct and Adjournment of Meetings.</w:t>
      </w:r>
    </w:p>
    <w:p>
      <w:pPr>
        <w:spacing w:after="0" w:line="206"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(a)Notwithstanding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2" w:lineRule="exact"/>
        <w:rPr>
          <w:sz w:val="20"/>
          <w:szCs w:val="20"/>
          <w:color w:val="auto"/>
        </w:rPr>
      </w:pPr>
    </w:p>
    <w:p>
      <w:pPr>
        <w:ind w:right="20" w:firstLine="1296"/>
        <w:spacing w:after="0" w:line="234" w:lineRule="auto"/>
        <w:rPr>
          <w:sz w:val="20"/>
          <w:szCs w:val="20"/>
          <w:color w:val="auto"/>
        </w:rPr>
      </w:pPr>
      <w:r>
        <w:rPr>
          <w:rFonts w:ascii="Arial" w:cs="Arial" w:eastAsia="Arial" w:hAnsi="Arial"/>
          <w:sz w:val="22"/>
          <w:szCs w:val="22"/>
          <w:color w:val="auto"/>
        </w:rPr>
        <w:t>(b)The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91" w:lineRule="exact"/>
        <w:rPr>
          <w:sz w:val="20"/>
          <w:szCs w:val="20"/>
          <w:color w:val="auto"/>
        </w:rPr>
      </w:pPr>
    </w:p>
    <w:p>
      <w:pPr>
        <w:ind w:right="120" w:firstLine="1296"/>
        <w:spacing w:after="0" w:line="235" w:lineRule="auto"/>
        <w:rPr>
          <w:sz w:val="20"/>
          <w:szCs w:val="20"/>
          <w:color w:val="auto"/>
        </w:rPr>
      </w:pPr>
      <w:r>
        <w:rPr>
          <w:rFonts w:ascii="Arial" w:cs="Arial" w:eastAsia="Arial" w:hAnsi="Arial"/>
          <w:sz w:val="22"/>
          <w:szCs w:val="22"/>
          <w:color w:val="auto"/>
        </w:rPr>
        <w:t xml:space="preserve">(c)At any meeting each Holder of a Security of such series or proxy shall be entitled to one vote for each $1,000 principal amount of the Outstanding Securities of such series held or represented by him;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8" w:lineRule="exact"/>
        <w:rPr>
          <w:sz w:val="20"/>
          <w:szCs w:val="20"/>
          <w:color w:val="auto"/>
        </w:rPr>
      </w:pPr>
    </w:p>
    <w:p>
      <w:pPr>
        <w:ind w:right="40" w:firstLine="1296"/>
        <w:spacing w:after="0" w:line="252" w:lineRule="auto"/>
        <w:rPr>
          <w:sz w:val="20"/>
          <w:szCs w:val="20"/>
          <w:color w:val="auto"/>
        </w:rPr>
      </w:pPr>
      <w:r>
        <w:rPr>
          <w:rFonts w:ascii="Arial" w:cs="Arial" w:eastAsia="Arial" w:hAnsi="Arial"/>
          <w:sz w:val="21"/>
          <w:szCs w:val="21"/>
          <w:color w:val="auto"/>
        </w:rPr>
        <w:t>(d)Any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Counting Votes and Recording Action of Meetings</w:t>
      </w:r>
      <w:r>
        <w:rPr>
          <w:rFonts w:ascii="Arial" w:cs="Arial" w:eastAsia="Arial" w:hAnsi="Arial"/>
          <w:sz w:val="19"/>
          <w:szCs w:val="19"/>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2" w:name="page233"/>
    <w:bookmarkEnd w:id="232"/>
    <w:p>
      <w:pPr>
        <w:spacing w:after="0" w:line="275" w:lineRule="auto"/>
        <w:rPr>
          <w:sz w:val="20"/>
          <w:szCs w:val="20"/>
          <w:color w:val="auto"/>
        </w:rPr>
      </w:pPr>
      <w:r>
        <w:rPr>
          <w:rFonts w:ascii="Arial" w:cs="Arial" w:eastAsia="Arial" w:hAnsi="Arial"/>
          <w:sz w:val="19"/>
          <w:szCs w:val="19"/>
          <w:color w:val="auto"/>
        </w:rPr>
        <w:t>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SIXTEEN - SUBORDINATION OF SECURITIES</w:t>
      </w:r>
    </w:p>
    <w:p>
      <w:pPr>
        <w:spacing w:after="0" w:line="20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1601. </w:t>
      </w:r>
      <w:r>
        <w:rPr>
          <w:rFonts w:ascii="Arial" w:cs="Arial" w:eastAsia="Arial" w:hAnsi="Arial"/>
          <w:sz w:val="19"/>
          <w:szCs w:val="19"/>
          <w:u w:val="single" w:color="auto"/>
          <w:color w:val="auto"/>
        </w:rPr>
        <w:t>Agreement to Subordinate</w:t>
      </w:r>
      <w:r>
        <w:rPr>
          <w:rFonts w:ascii="Arial" w:cs="Arial" w:eastAsia="Arial" w:hAnsi="Arial"/>
          <w:sz w:val="19"/>
          <w:szCs w:val="19"/>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51"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SECTION 1602. </w:t>
      </w:r>
      <w:r>
        <w:rPr>
          <w:rFonts w:ascii="Arial" w:cs="Arial" w:eastAsia="Arial" w:hAnsi="Arial"/>
          <w:sz w:val="21"/>
          <w:szCs w:val="21"/>
          <w:u w:val="single" w:color="auto"/>
          <w:color w:val="auto"/>
        </w:rPr>
        <w:t>Payment Over of Proceeds upon Dissolution, Etc</w:t>
      </w:r>
      <w:r>
        <w:rPr>
          <w:rFonts w:ascii="Arial" w:cs="Arial" w:eastAsia="Arial" w:hAnsi="Arial"/>
          <w:sz w:val="21"/>
          <w:szCs w:val="21"/>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81" w:lineRule="exact"/>
        <w:rPr>
          <w:sz w:val="20"/>
          <w:szCs w:val="20"/>
          <w:color w:val="auto"/>
        </w:rPr>
      </w:pPr>
    </w:p>
    <w:p>
      <w:pPr>
        <w:ind w:left="660" w:right="120" w:firstLine="1297"/>
        <w:spacing w:after="0" w:line="275" w:lineRule="auto"/>
        <w:rPr>
          <w:sz w:val="20"/>
          <w:szCs w:val="20"/>
          <w:color w:val="auto"/>
        </w:rPr>
      </w:pPr>
      <w:r>
        <w:rPr>
          <w:rFonts w:ascii="Arial" w:cs="Arial" w:eastAsia="Arial" w:hAnsi="Arial"/>
          <w:sz w:val="19"/>
          <w:szCs w:val="19"/>
          <w:color w:val="auto"/>
        </w:rPr>
        <w:t>(1)the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158" w:lineRule="exact"/>
        <w:rPr>
          <w:sz w:val="20"/>
          <w:szCs w:val="20"/>
          <w:color w:val="auto"/>
        </w:rPr>
      </w:pPr>
    </w:p>
    <w:p>
      <w:pPr>
        <w:ind w:left="660" w:right="40" w:firstLine="1297"/>
        <w:spacing w:after="0" w:line="273" w:lineRule="auto"/>
        <w:rPr>
          <w:sz w:val="20"/>
          <w:szCs w:val="20"/>
          <w:color w:val="auto"/>
        </w:rPr>
      </w:pPr>
      <w:r>
        <w:rPr>
          <w:rFonts w:ascii="Arial" w:cs="Arial" w:eastAsia="Arial" w:hAnsi="Arial"/>
          <w:sz w:val="19"/>
          <w:szCs w:val="19"/>
          <w:color w:val="auto"/>
        </w:rPr>
        <w:t>(2)any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3" w:name="page234"/>
    <w:bookmarkEnd w:id="233"/>
    <w:p>
      <w:pPr>
        <w:ind w:left="660" w:right="20"/>
        <w:spacing w:after="0" w:line="252" w:lineRule="auto"/>
        <w:rPr>
          <w:sz w:val="20"/>
          <w:szCs w:val="20"/>
          <w:color w:val="auto"/>
        </w:rPr>
      </w:pPr>
      <w:r>
        <w:rPr>
          <w:rFonts w:ascii="Arial" w:cs="Arial" w:eastAsia="Arial" w:hAnsi="Arial"/>
          <w:sz w:val="21"/>
          <w:szCs w:val="21"/>
          <w:color w:val="auto"/>
        </w:rPr>
        <w:t>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57"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8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9"/>
          <w:szCs w:val="19"/>
          <w:color w:val="auto"/>
        </w:rPr>
        <w:t xml:space="preserve">SECTION 1603. </w:t>
      </w:r>
      <w:r>
        <w:rPr>
          <w:rFonts w:ascii="Arial" w:cs="Arial" w:eastAsia="Arial" w:hAnsi="Arial"/>
          <w:sz w:val="19"/>
          <w:szCs w:val="19"/>
          <w:u w:val="single" w:color="auto"/>
          <w:color w:val="auto"/>
        </w:rPr>
        <w:t>No Payment When Senior Indebtedness in Default</w:t>
      </w:r>
      <w:r>
        <w:rPr>
          <w:rFonts w:ascii="Arial" w:cs="Arial" w:eastAsia="Arial" w:hAnsi="Arial"/>
          <w:sz w:val="19"/>
          <w:szCs w:val="19"/>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w:t>
      </w:r>
    </w:p>
    <w:p>
      <w:pPr>
        <w:spacing w:after="0" w:line="2" w:lineRule="exact"/>
        <w:rPr>
          <w:sz w:val="20"/>
          <w:szCs w:val="20"/>
          <w:color w:val="auto"/>
        </w:rPr>
      </w:pPr>
    </w:p>
    <w:p>
      <w:pPr>
        <w:ind w:right="40" w:firstLine="3"/>
        <w:spacing w:after="0" w:line="267" w:lineRule="auto"/>
        <w:tabs>
          <w:tab w:leader="none" w:pos="31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w:t>
      </w:r>
    </w:p>
    <w:p>
      <w:pPr>
        <w:spacing w:after="0"/>
        <w:rPr>
          <w:rFonts w:ascii="Arial" w:cs="Arial" w:eastAsia="Arial" w:hAnsi="Arial"/>
          <w:sz w:val="19"/>
          <w:szCs w:val="19"/>
          <w:color w:val="auto"/>
        </w:rPr>
      </w:pPr>
      <w:r>
        <w:rPr>
          <w:rFonts w:ascii="Arial" w:cs="Arial" w:eastAsia="Arial" w:hAnsi="Arial"/>
          <w:sz w:val="22"/>
          <w:szCs w:val="22"/>
          <w:color w:val="auto"/>
        </w:rPr>
        <w:t>(A) the date on which such event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4" w:name="page235"/>
    <w:bookmarkEnd w:id="234"/>
    <w:p>
      <w:pPr>
        <w:ind w:right="60"/>
        <w:spacing w:after="0" w:line="272" w:lineRule="auto"/>
        <w:rPr>
          <w:sz w:val="20"/>
          <w:szCs w:val="20"/>
          <w:color w:val="auto"/>
        </w:rPr>
      </w:pPr>
      <w:r>
        <w:rPr>
          <w:rFonts w:ascii="Arial" w:cs="Arial" w:eastAsia="Arial" w:hAnsi="Arial"/>
          <w:sz w:val="19"/>
          <w:szCs w:val="19"/>
          <w:color w:val="auto"/>
        </w:rPr>
        <w:t>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6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9"/>
          <w:szCs w:val="19"/>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5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provisions of this Section shall not apply to any payment with respect to which Section 1602 would be applicable.</w:t>
      </w:r>
    </w:p>
    <w:p>
      <w:pPr>
        <w:spacing w:after="0" w:line="17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 xml:space="preserve">SECTION 1604. </w:t>
      </w:r>
      <w:r>
        <w:rPr>
          <w:rFonts w:ascii="Arial" w:cs="Arial" w:eastAsia="Arial" w:hAnsi="Arial"/>
          <w:sz w:val="21"/>
          <w:szCs w:val="21"/>
          <w:u w:val="single" w:color="auto"/>
          <w:color w:val="auto"/>
        </w:rPr>
        <w:t>Reliance by Senior Indebtedness on Subordination Provisions</w:t>
      </w:r>
      <w:r>
        <w:rPr>
          <w:rFonts w:ascii="Arial" w:cs="Arial" w:eastAsia="Arial" w:hAnsi="Arial"/>
          <w:sz w:val="21"/>
          <w:szCs w:val="21"/>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1605. </w:t>
      </w:r>
      <w:r>
        <w:rPr>
          <w:rFonts w:ascii="Arial" w:cs="Arial" w:eastAsia="Arial" w:hAnsi="Arial"/>
          <w:sz w:val="19"/>
          <w:szCs w:val="19"/>
          <w:u w:val="single" w:color="auto"/>
          <w:color w:val="auto"/>
        </w:rPr>
        <w:t>Subrogation to Rights of Holders of Senior Indebtedness</w:t>
      </w:r>
      <w:r>
        <w:rPr>
          <w:rFonts w:ascii="Arial" w:cs="Arial" w:eastAsia="Arial" w:hAnsi="Arial"/>
          <w:sz w:val="19"/>
          <w:szCs w:val="19"/>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5" w:name="page236"/>
    <w:bookmarkEnd w:id="235"/>
    <w:p>
      <w:pPr>
        <w:ind w:right="80"/>
        <w:spacing w:after="0" w:line="241" w:lineRule="auto"/>
        <w:rPr>
          <w:sz w:val="20"/>
          <w:szCs w:val="20"/>
          <w:color w:val="auto"/>
        </w:rPr>
      </w:pPr>
      <w:r>
        <w:rPr>
          <w:rFonts w:ascii="Arial" w:cs="Arial" w:eastAsia="Arial" w:hAnsi="Arial"/>
          <w:sz w:val="22"/>
          <w:szCs w:val="22"/>
          <w:color w:val="auto"/>
        </w:rPr>
        <w:t>or the Trustee, shall, as among the Company, its creditors other than holders of Senior Indebtedness and the Holders of the Securities, be deemed to be a payment or distribution by the Company to or on account of the Senior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-31750</wp:posOffset>
            </wp:positionV>
            <wp:extent cx="342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9"/>
          <w:szCs w:val="19"/>
          <w:color w:val="auto"/>
        </w:rPr>
        <w:t xml:space="preserve">SECTION 1606. </w:t>
      </w:r>
      <w:r>
        <w:rPr>
          <w:rFonts w:ascii="Arial" w:cs="Arial" w:eastAsia="Arial" w:hAnsi="Arial"/>
          <w:sz w:val="19"/>
          <w:szCs w:val="19"/>
          <w:u w:val="single" w:color="auto"/>
          <w:color w:val="auto"/>
        </w:rPr>
        <w:t>Provisions Solely to Define Relative Rights</w:t>
      </w:r>
      <w:r>
        <w:rPr>
          <w:rFonts w:ascii="Arial" w:cs="Arial" w:eastAsia="Arial" w:hAnsi="Arial"/>
          <w:sz w:val="19"/>
          <w:szCs w:val="19"/>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w:t>
      </w:r>
    </w:p>
    <w:p>
      <w:pPr>
        <w:spacing w:after="0" w:line="4" w:lineRule="exact"/>
        <w:rPr>
          <w:sz w:val="20"/>
          <w:szCs w:val="20"/>
          <w:color w:val="auto"/>
        </w:rPr>
      </w:pPr>
    </w:p>
    <w:p>
      <w:pPr>
        <w:ind w:right="40" w:firstLine="3"/>
        <w:spacing w:after="0" w:line="271" w:lineRule="auto"/>
        <w:tabs>
          <w:tab w:leader="none" w:pos="29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1607. </w:t>
      </w:r>
      <w:r>
        <w:rPr>
          <w:rFonts w:ascii="Arial" w:cs="Arial" w:eastAsia="Arial" w:hAnsi="Arial"/>
          <w:sz w:val="19"/>
          <w:szCs w:val="19"/>
          <w:u w:val="single" w:color="auto"/>
          <w:color w:val="auto"/>
        </w:rPr>
        <w:t>Trustee to Effectuate Subordination.</w:t>
      </w:r>
      <w:r>
        <w:rPr>
          <w:rFonts w:ascii="Arial" w:cs="Arial" w:eastAsia="Arial" w:hAnsi="Arial"/>
          <w:sz w:val="19"/>
          <w:szCs w:val="19"/>
          <w:color w:val="auto"/>
        </w:rPr>
        <w:t xml:space="preserve">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58"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1608.</w:t>
      </w:r>
      <w:r>
        <w:rPr>
          <w:sz w:val="20"/>
          <w:szCs w:val="20"/>
          <w:color w:val="auto"/>
        </w:rPr>
        <w:tab/>
      </w:r>
      <w:r>
        <w:rPr>
          <w:rFonts w:ascii="Arial" w:cs="Arial" w:eastAsia="Arial" w:hAnsi="Arial"/>
          <w:sz w:val="19"/>
          <w:szCs w:val="19"/>
          <w:u w:val="single" w:color="auto"/>
          <w:color w:val="auto"/>
        </w:rPr>
        <w:t>No Waiver of Subordination Provisions</w:t>
      </w:r>
      <w:r>
        <w:rPr>
          <w:rFonts w:ascii="Arial" w:cs="Arial" w:eastAsia="Arial" w:hAnsi="Arial"/>
          <w:sz w:val="19"/>
          <w:szCs w:val="19"/>
          <w:color w:val="auto"/>
        </w:rPr>
        <w:t>. No right of any present or future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holder of any Senior Indebtedness to enforce subordination as herein provided shall at any time in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way be prejudiced or impaired by any act or failure to act on the part of the Company or by any act or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failure to act, in good faith, by any such holder or any representative or trustee therefor, or by any</w:t>
      </w:r>
    </w:p>
    <w:p>
      <w:pPr>
        <w:spacing w:after="0" w:line="2"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compliance by the Company with the terms, provisions and covenants of this Indenture, regardless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any knowledge thereof any such holder may have or be otherwise charged with.</w:t>
      </w:r>
    </w:p>
    <w:p>
      <w:pPr>
        <w:spacing w:after="0" w:line="188"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Without in any way limiting the generality of the foregoing paragraph, the holders of Senior Indebtedness may, at any time from time to time, without the consent of or notice to the Trustee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6" w:name="page237"/>
    <w:bookmarkEnd w:id="236"/>
    <w:p>
      <w:pPr>
        <w:ind w:right="20"/>
        <w:spacing w:after="0" w:line="272" w:lineRule="auto"/>
        <w:rPr>
          <w:sz w:val="20"/>
          <w:szCs w:val="20"/>
          <w:color w:val="auto"/>
        </w:rPr>
      </w:pPr>
      <w:r>
        <w:rPr>
          <w:rFonts w:ascii="Arial" w:cs="Arial" w:eastAsia="Arial" w:hAnsi="Arial"/>
          <w:sz w:val="19"/>
          <w:szCs w:val="19"/>
          <w:color w:val="auto"/>
        </w:rPr>
        <w:t>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1609. </w:t>
      </w:r>
      <w:r>
        <w:rPr>
          <w:rFonts w:ascii="Arial" w:cs="Arial" w:eastAsia="Arial" w:hAnsi="Arial"/>
          <w:sz w:val="19"/>
          <w:szCs w:val="19"/>
          <w:u w:val="single" w:color="auto"/>
          <w:color w:val="auto"/>
        </w:rPr>
        <w:t>Notice to Trustee</w:t>
      </w:r>
      <w:r>
        <w:rPr>
          <w:rFonts w:ascii="Arial" w:cs="Arial" w:eastAsia="Arial" w:hAnsi="Arial"/>
          <w:sz w:val="19"/>
          <w:szCs w:val="19"/>
          <w:color w:val="auto"/>
        </w:rPr>
        <w:t>.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200" w:lineRule="exact"/>
        <w:rPr>
          <w:sz w:val="20"/>
          <w:szCs w:val="20"/>
          <w:color w:val="auto"/>
        </w:rPr>
      </w:pPr>
    </w:p>
    <w:p>
      <w:pPr>
        <w:spacing w:after="0" w:line="220"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7" w:name="page238"/>
    <w:bookmarkEnd w:id="237"/>
    <w:p>
      <w:pPr>
        <w:ind w:right="120"/>
        <w:spacing w:after="0" w:line="241" w:lineRule="auto"/>
        <w:rPr>
          <w:sz w:val="20"/>
          <w:szCs w:val="20"/>
          <w:color w:val="auto"/>
        </w:rPr>
      </w:pPr>
      <w:r>
        <w:rPr>
          <w:rFonts w:ascii="Arial" w:cs="Arial" w:eastAsia="Arial" w:hAnsi="Arial"/>
          <w:sz w:val="22"/>
          <w:szCs w:val="22"/>
          <w:color w:val="auto"/>
        </w:rPr>
        <w:t>such Person under this Article Sixteen, and if such evidence is not furnished, the Trustee may defer any payment to such Person pending judicial determination as to the right of such Person to receive such payment.</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1610. </w:t>
      </w:r>
      <w:r>
        <w:rPr>
          <w:rFonts w:ascii="Arial" w:cs="Arial" w:eastAsia="Arial" w:hAnsi="Arial"/>
          <w:sz w:val="19"/>
          <w:szCs w:val="19"/>
          <w:u w:val="single" w:color="auto"/>
          <w:color w:val="auto"/>
        </w:rPr>
        <w:t>Reliance on Judicial Order or Certificate of Liquidating Agent.</w:t>
      </w:r>
      <w:r>
        <w:rPr>
          <w:rFonts w:ascii="Arial" w:cs="Arial" w:eastAsia="Arial" w:hAnsi="Arial"/>
          <w:sz w:val="19"/>
          <w:szCs w:val="19"/>
          <w:color w:val="auto"/>
        </w:rPr>
        <w:t xml:space="preserve">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62"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u w:val="single" w:color="auto"/>
          <w:color w:val="auto"/>
        </w:rPr>
        <w:t>Trustee Not Fiduciary for Holders of Senior Indebtedness</w:t>
      </w:r>
      <w:r>
        <w:rPr>
          <w:rFonts w:ascii="Arial" w:cs="Arial" w:eastAsia="Arial" w:hAnsi="Arial"/>
          <w:sz w:val="19"/>
          <w:szCs w:val="19"/>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5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1612. </w:t>
      </w:r>
      <w:r>
        <w:rPr>
          <w:rFonts w:ascii="Arial" w:cs="Arial" w:eastAsia="Arial" w:hAnsi="Arial"/>
          <w:sz w:val="22"/>
          <w:szCs w:val="22"/>
          <w:u w:val="single" w:color="auto"/>
          <w:color w:val="auto"/>
        </w:rPr>
        <w:t>Rights of Trustee as Holder of Senior Indebtedness; Preservation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Trustee’s Rights</w:t>
      </w:r>
      <w:r>
        <w:rPr>
          <w:rFonts w:ascii="Arial" w:cs="Arial" w:eastAsia="Arial" w:hAnsi="Arial"/>
          <w:sz w:val="22"/>
          <w:szCs w:val="22"/>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8"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Article Applicable to Paying Agents</w:t>
      </w:r>
      <w:r>
        <w:rPr>
          <w:rFonts w:ascii="Arial" w:cs="Arial" w:eastAsia="Arial" w:hAnsi="Arial"/>
          <w:sz w:val="21"/>
          <w:szCs w:val="21"/>
          <w:color w:val="auto"/>
        </w:rPr>
        <w:t>.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1612 shall not apply to the Company or any Affiliate of the Company if it or such Affiliate acts as Paying Agent.</w:t>
      </w:r>
    </w:p>
    <w:p>
      <w:pPr>
        <w:spacing w:after="0" w:line="178"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ARTICLE SEVENTEEN - CONVERSION OF SECURITIES</w:t>
      </w:r>
    </w:p>
    <w:p>
      <w:pPr>
        <w:spacing w:after="0" w:line="206"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1701.</w:t>
      </w:r>
      <w:r>
        <w:rPr>
          <w:sz w:val="20"/>
          <w:szCs w:val="20"/>
          <w:color w:val="auto"/>
        </w:rPr>
        <w:tab/>
      </w:r>
      <w:r>
        <w:rPr>
          <w:rFonts w:ascii="Arial" w:cs="Arial" w:eastAsia="Arial" w:hAnsi="Arial"/>
          <w:sz w:val="19"/>
          <w:szCs w:val="19"/>
          <w:u w:val="single" w:color="auto"/>
          <w:color w:val="auto"/>
        </w:rPr>
        <w:t>Applicability of Article; Conversion Privilege and Conversion</w:t>
      </w:r>
    </w:p>
    <w:p>
      <w:pPr>
        <w:spacing w:after="0" w:line="8"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u w:val="single" w:color="auto"/>
          <w:color w:val="auto"/>
        </w:rPr>
        <w:t>Price</w:t>
      </w:r>
      <w:r>
        <w:rPr>
          <w:rFonts w:ascii="Arial" w:cs="Arial" w:eastAsia="Arial" w:hAnsi="Arial"/>
          <w:sz w:val="19"/>
          <w:szCs w:val="19"/>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8" w:name="page239"/>
    <w:bookmarkEnd w:id="238"/>
    <w:p>
      <w:pPr>
        <w:ind w:right="80"/>
        <w:spacing w:after="0" w:line="277" w:lineRule="auto"/>
        <w:rPr>
          <w:sz w:val="20"/>
          <w:szCs w:val="20"/>
          <w:color w:val="auto"/>
        </w:rPr>
      </w:pPr>
      <w:r>
        <w:rPr>
          <w:rFonts w:ascii="Arial" w:cs="Arial" w:eastAsia="Arial" w:hAnsi="Arial"/>
          <w:sz w:val="19"/>
          <w:szCs w:val="19"/>
          <w:color w:val="auto"/>
        </w:rPr>
        <w:t>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53"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6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9"/>
          <w:szCs w:val="19"/>
          <w:color w:val="auto"/>
        </w:rPr>
        <w:t>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w:t>
      </w:r>
    </w:p>
    <w:p>
      <w:pPr>
        <w:spacing w:after="0" w:line="4" w:lineRule="exact"/>
        <w:rPr>
          <w:sz w:val="20"/>
          <w:szCs w:val="20"/>
          <w:color w:val="auto"/>
        </w:rPr>
      </w:pPr>
    </w:p>
    <w:p>
      <w:pPr>
        <w:ind w:firstLine="3"/>
        <w:spacing w:after="0" w:line="269" w:lineRule="auto"/>
        <w:tabs>
          <w:tab w:leader="none" w:pos="30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of Section 1704,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200" w:lineRule="exact"/>
        <w:rPr>
          <w:sz w:val="20"/>
          <w:szCs w:val="20"/>
          <w:color w:val="auto"/>
        </w:rPr>
      </w:pPr>
    </w:p>
    <w:p>
      <w:pPr>
        <w:spacing w:after="0" w:line="21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 xml:space="preserve">SECTION 1702. </w:t>
      </w:r>
      <w:r>
        <w:rPr>
          <w:rFonts w:ascii="Arial" w:cs="Arial" w:eastAsia="Arial" w:hAnsi="Arial"/>
          <w:sz w:val="19"/>
          <w:szCs w:val="19"/>
          <w:u w:val="single" w:color="auto"/>
          <w:color w:val="auto"/>
        </w:rPr>
        <w:t>Exercise of Conversion Privilege</w:t>
      </w:r>
      <w:r>
        <w:rPr>
          <w:rFonts w:ascii="Arial" w:cs="Arial" w:eastAsia="Arial" w:hAnsi="Arial"/>
          <w:sz w:val="19"/>
          <w:szCs w:val="19"/>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9" w:name="page240"/>
    <w:bookmarkEnd w:id="239"/>
    <w:p>
      <w:pPr>
        <w:ind w:right="500"/>
        <w:spacing w:after="0" w:line="238" w:lineRule="auto"/>
        <w:rPr>
          <w:sz w:val="20"/>
          <w:szCs w:val="20"/>
          <w:color w:val="auto"/>
        </w:rPr>
      </w:pPr>
      <w:r>
        <w:rPr>
          <w:rFonts w:ascii="Arial" w:cs="Arial" w:eastAsia="Arial" w:hAnsi="Arial"/>
          <w:sz w:val="22"/>
          <w:szCs w:val="22"/>
          <w:color w:val="auto"/>
        </w:rPr>
        <w:t>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5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58"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4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1703. </w:t>
      </w:r>
      <w:r>
        <w:rPr>
          <w:rFonts w:ascii="Arial" w:cs="Arial" w:eastAsia="Arial" w:hAnsi="Arial"/>
          <w:sz w:val="21"/>
          <w:szCs w:val="21"/>
          <w:u w:val="single" w:color="auto"/>
          <w:color w:val="auto"/>
        </w:rPr>
        <w:t>Fractions of Shares</w:t>
      </w:r>
      <w:r>
        <w:rPr>
          <w:rFonts w:ascii="Arial" w:cs="Arial" w:eastAsia="Arial" w:hAnsi="Arial"/>
          <w:sz w:val="21"/>
          <w:szCs w:val="21"/>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2"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1704. </w:t>
      </w:r>
      <w:r>
        <w:rPr>
          <w:rFonts w:ascii="Arial" w:cs="Arial" w:eastAsia="Arial" w:hAnsi="Arial"/>
          <w:sz w:val="22"/>
          <w:szCs w:val="22"/>
          <w:u w:val="single" w:color="auto"/>
          <w:color w:val="auto"/>
        </w:rPr>
        <w:t>Adjustment of Conversion Price.</w:t>
      </w:r>
      <w:r>
        <w:rPr>
          <w:rFonts w:ascii="Arial" w:cs="Arial" w:eastAsia="Arial" w:hAnsi="Arial"/>
          <w:sz w:val="22"/>
          <w:szCs w:val="22"/>
          <w:color w:val="auto"/>
        </w:rPr>
        <w:t xml:space="preserve"> The Conversion Price shall be subject to adjustment from time to time as follows:</w:t>
      </w:r>
    </w:p>
    <w:p>
      <w:pPr>
        <w:spacing w:after="0" w:line="173" w:lineRule="exact"/>
        <w:rPr>
          <w:sz w:val="20"/>
          <w:szCs w:val="20"/>
          <w:color w:val="auto"/>
        </w:rPr>
      </w:pPr>
    </w:p>
    <w:p>
      <w:pPr>
        <w:ind w:left="660" w:right="240" w:firstLine="639"/>
        <w:spacing w:after="0" w:line="287" w:lineRule="auto"/>
        <w:tabs>
          <w:tab w:leader="none" w:pos="200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0" w:name="page241"/>
    <w:bookmarkEnd w:id="240"/>
    <w:p>
      <w:pPr>
        <w:ind w:left="640" w:right="19"/>
        <w:spacing w:after="0" w:line="272" w:lineRule="auto"/>
        <w:rPr>
          <w:sz w:val="20"/>
          <w:szCs w:val="20"/>
          <w:color w:val="auto"/>
        </w:rPr>
      </w:pPr>
      <w:r>
        <w:rPr>
          <w:rFonts w:ascii="Arial" w:cs="Arial" w:eastAsia="Arial" w:hAnsi="Arial"/>
          <w:sz w:val="19"/>
          <w:szCs w:val="19"/>
          <w:color w:val="auto"/>
        </w:rPr>
        <w:t>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200" w:lineRule="exact"/>
        <w:rPr>
          <w:sz w:val="20"/>
          <w:szCs w:val="20"/>
          <w:color w:val="auto"/>
        </w:rPr>
      </w:pPr>
    </w:p>
    <w:p>
      <w:pPr>
        <w:spacing w:after="0" w:line="210" w:lineRule="exact"/>
        <w:rPr>
          <w:sz w:val="20"/>
          <w:szCs w:val="20"/>
          <w:color w:val="auto"/>
        </w:rPr>
      </w:pPr>
    </w:p>
    <w:p>
      <w:pPr>
        <w:ind w:left="640" w:right="19" w:firstLine="639"/>
        <w:spacing w:after="0" w:line="269" w:lineRule="auto"/>
        <w:tabs>
          <w:tab w:leader="none" w:pos="198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40" w:right="99" w:firstLine="639"/>
        <w:spacing w:after="0" w:line="275" w:lineRule="auto"/>
        <w:tabs>
          <w:tab w:leader="none" w:pos="198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1" w:name="page242"/>
    <w:bookmarkEnd w:id="241"/>
    <w:p>
      <w:pPr>
        <w:ind w:left="640" w:right="580"/>
        <w:spacing w:after="0" w:line="251" w:lineRule="auto"/>
        <w:rPr>
          <w:sz w:val="20"/>
          <w:szCs w:val="20"/>
          <w:color w:val="auto"/>
        </w:rPr>
      </w:pPr>
      <w:r>
        <w:rPr>
          <w:rFonts w:ascii="Arial" w:cs="Arial" w:eastAsia="Arial" w:hAnsi="Arial"/>
          <w:sz w:val="22"/>
          <w:szCs w:val="22"/>
          <w:color w:val="auto"/>
        </w:rPr>
        <w:t>after the opening of business on the day following the day upon which such subdivision or combination becomes effective.</w:t>
      </w:r>
    </w:p>
    <w:p>
      <w:pPr>
        <w:spacing w:after="0" w:line="174" w:lineRule="exact"/>
        <w:rPr>
          <w:sz w:val="20"/>
          <w:szCs w:val="20"/>
          <w:color w:val="auto"/>
        </w:rPr>
      </w:pPr>
    </w:p>
    <w:p>
      <w:pPr>
        <w:ind w:left="640" w:firstLine="639"/>
        <w:spacing w:after="0" w:line="269" w:lineRule="auto"/>
        <w:tabs>
          <w:tab w:leader="none" w:pos="198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40" w:right="60" w:firstLine="639"/>
        <w:spacing w:after="0" w:line="246" w:lineRule="auto"/>
        <w:tabs>
          <w:tab w:leader="none" w:pos="1986"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0" w:lineRule="exact"/>
        <w:rPr>
          <w:rFonts w:ascii="Arial" w:cs="Arial" w:eastAsia="Arial" w:hAnsi="Arial"/>
          <w:sz w:val="21"/>
          <w:szCs w:val="21"/>
          <w:color w:val="auto"/>
        </w:rPr>
      </w:pPr>
    </w:p>
    <w:p>
      <w:pPr>
        <w:ind w:left="640" w:right="20" w:firstLine="639"/>
        <w:spacing w:after="0" w:line="279" w:lineRule="auto"/>
        <w:tabs>
          <w:tab w:leader="none" w:pos="198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242" w:name="page243"/>
    <w:bookmarkEnd w:id="242"/>
    <w:p>
      <w:pPr>
        <w:ind w:left="640" w:right="20"/>
        <w:spacing w:after="0" w:line="269" w:lineRule="auto"/>
        <w:rPr>
          <w:sz w:val="20"/>
          <w:szCs w:val="20"/>
          <w:color w:val="auto"/>
        </w:rPr>
      </w:pPr>
      <w:r>
        <w:rPr>
          <w:rFonts w:ascii="Arial" w:cs="Arial" w:eastAsia="Arial" w:hAnsi="Arial"/>
          <w:sz w:val="19"/>
          <w:szCs w:val="19"/>
          <w:color w:val="auto"/>
        </w:rPr>
        <w:t>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w:t>
      </w:r>
    </w:p>
    <w:p>
      <w:pPr>
        <w:spacing w:after="0" w:line="2" w:lineRule="exact"/>
        <w:rPr>
          <w:sz w:val="20"/>
          <w:szCs w:val="20"/>
          <w:color w:val="auto"/>
        </w:rPr>
      </w:pPr>
    </w:p>
    <w:p>
      <w:pPr>
        <w:ind w:left="640" w:right="20"/>
        <w:spacing w:after="0" w:line="308" w:lineRule="auto"/>
        <w:rPr>
          <w:sz w:val="20"/>
          <w:szCs w:val="20"/>
          <w:color w:val="auto"/>
        </w:rPr>
      </w:pPr>
      <w:r>
        <w:rPr>
          <w:rFonts w:ascii="Arial" w:cs="Arial" w:eastAsia="Arial" w:hAnsi="Arial"/>
          <w:sz w:val="19"/>
          <w:szCs w:val="19"/>
          <w:color w:val="auto"/>
        </w:rPr>
        <w:t>Rights. No adjustment in the Conversion Price need be made for rights to purchase or the sale of Common Stock pursuant to a Company plan providing for reinvestment of dividends or interest.</w:t>
      </w:r>
    </w:p>
    <w:p>
      <w:pPr>
        <w:spacing w:after="0" w:line="123" w:lineRule="exact"/>
        <w:rPr>
          <w:sz w:val="20"/>
          <w:szCs w:val="20"/>
          <w:color w:val="auto"/>
        </w:rPr>
      </w:pPr>
    </w:p>
    <w:p>
      <w:pPr>
        <w:ind w:left="640" w:right="40" w:firstLine="639"/>
        <w:spacing w:after="0" w:line="236" w:lineRule="auto"/>
        <w:tabs>
          <w:tab w:leader="none" w:pos="198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7" w:lineRule="exact"/>
        <w:rPr>
          <w:rFonts w:ascii="Arial" w:cs="Arial" w:eastAsia="Arial" w:hAnsi="Arial"/>
          <w:sz w:val="22"/>
          <w:szCs w:val="22"/>
          <w:color w:val="auto"/>
        </w:rPr>
      </w:pPr>
    </w:p>
    <w:p>
      <w:pPr>
        <w:ind w:left="640" w:firstLine="639"/>
        <w:spacing w:after="0" w:line="248" w:lineRule="auto"/>
        <w:tabs>
          <w:tab w:leader="none" w:pos="198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No adjustment in the Conversion Price shall be required unless such adjustment would require an increase or decrease of at least 1% in the Conversion Price;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77" w:lineRule="exact"/>
        <w:rPr>
          <w:rFonts w:ascii="Arial" w:cs="Arial" w:eastAsia="Arial" w:hAnsi="Arial"/>
          <w:sz w:val="21"/>
          <w:szCs w:val="21"/>
          <w:color w:val="auto"/>
        </w:rPr>
      </w:pPr>
    </w:p>
    <w:p>
      <w:pPr>
        <w:ind w:left="640" w:right="40" w:firstLine="639"/>
        <w:spacing w:after="0" w:line="245" w:lineRule="auto"/>
        <w:tabs>
          <w:tab w:leader="none" w:pos="198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85" w:lineRule="exact"/>
        <w:rPr>
          <w:rFonts w:ascii="Arial" w:cs="Arial" w:eastAsia="Arial" w:hAnsi="Arial"/>
          <w:sz w:val="21"/>
          <w:szCs w:val="21"/>
          <w:color w:val="auto"/>
        </w:rPr>
      </w:pPr>
    </w:p>
    <w:p>
      <w:pPr>
        <w:ind w:left="640" w:right="160" w:firstLine="639"/>
        <w:spacing w:after="0" w:line="247" w:lineRule="auto"/>
        <w:tabs>
          <w:tab w:leader="none" w:pos="202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8" w:lineRule="exact"/>
        <w:rPr>
          <w:rFonts w:ascii="Arial" w:cs="Arial" w:eastAsia="Arial" w:hAnsi="Arial"/>
          <w:sz w:val="21"/>
          <w:szCs w:val="21"/>
          <w:color w:val="auto"/>
        </w:rPr>
      </w:pPr>
    </w:p>
    <w:p>
      <w:pPr>
        <w:jc w:val="both"/>
        <w:ind w:left="640" w:right="20" w:firstLine="639"/>
        <w:spacing w:after="0" w:line="287" w:lineRule="auto"/>
        <w:tabs>
          <w:tab w:leader="none" w:pos="201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243" w:name="page244"/>
    <w:bookmarkEnd w:id="243"/>
    <w:p>
      <w:pPr>
        <w:ind w:left="660"/>
        <w:spacing w:after="0" w:line="272" w:lineRule="auto"/>
        <w:rPr>
          <w:sz w:val="20"/>
          <w:szCs w:val="20"/>
          <w:color w:val="auto"/>
        </w:rPr>
      </w:pPr>
      <w:r>
        <w:rPr>
          <w:rFonts w:ascii="Arial" w:cs="Arial" w:eastAsia="Arial" w:hAnsi="Arial"/>
          <w:sz w:val="19"/>
          <w:szCs w:val="19"/>
          <w:color w:val="auto"/>
        </w:rPr>
        <w:t>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200" w:lineRule="exact"/>
        <w:rPr>
          <w:sz w:val="20"/>
          <w:szCs w:val="20"/>
          <w:color w:val="auto"/>
        </w:rPr>
      </w:pPr>
    </w:p>
    <w:p>
      <w:pPr>
        <w:spacing w:after="0" w:line="210"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 xml:space="preserve">SECTION 1705. </w:t>
      </w:r>
      <w:r>
        <w:rPr>
          <w:rFonts w:ascii="Arial" w:cs="Arial" w:eastAsia="Arial" w:hAnsi="Arial"/>
          <w:sz w:val="22"/>
          <w:szCs w:val="22"/>
          <w:u w:val="single" w:color="auto"/>
          <w:color w:val="auto"/>
        </w:rPr>
        <w:t>Notice of Adjustments of Conversion Price</w:t>
      </w:r>
      <w:r>
        <w:rPr>
          <w:rFonts w:ascii="Arial" w:cs="Arial" w:eastAsia="Arial" w:hAnsi="Arial"/>
          <w:sz w:val="22"/>
          <w:szCs w:val="22"/>
          <w:color w:val="auto"/>
        </w:rPr>
        <w:t>. Whenever the Conversion Price is adjusted as herein provided:</w:t>
      </w:r>
    </w:p>
    <w:p>
      <w:pPr>
        <w:spacing w:after="0" w:line="173" w:lineRule="exact"/>
        <w:rPr>
          <w:sz w:val="20"/>
          <w:szCs w:val="20"/>
          <w:color w:val="auto"/>
        </w:rPr>
      </w:pPr>
    </w:p>
    <w:p>
      <w:pPr>
        <w:ind w:left="660" w:right="40" w:firstLine="639"/>
        <w:spacing w:after="0" w:line="282" w:lineRule="auto"/>
        <w:tabs>
          <w:tab w:leader="none" w:pos="200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47" w:lineRule="exact"/>
        <w:rPr>
          <w:rFonts w:ascii="Arial" w:cs="Arial" w:eastAsia="Arial" w:hAnsi="Arial"/>
          <w:sz w:val="19"/>
          <w:szCs w:val="19"/>
          <w:color w:val="auto"/>
        </w:rPr>
      </w:pPr>
    </w:p>
    <w:p>
      <w:pPr>
        <w:ind w:left="660" w:right="140" w:firstLine="639"/>
        <w:spacing w:after="0" w:line="238" w:lineRule="auto"/>
        <w:tabs>
          <w:tab w:leader="none" w:pos="200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5"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1706.</w:t>
      </w:r>
      <w:r>
        <w:rPr>
          <w:sz w:val="20"/>
          <w:szCs w:val="20"/>
          <w:color w:val="auto"/>
        </w:rPr>
        <w:tab/>
      </w:r>
      <w:r>
        <w:rPr>
          <w:rFonts w:ascii="Arial" w:cs="Arial" w:eastAsia="Arial" w:hAnsi="Arial"/>
          <w:sz w:val="19"/>
          <w:szCs w:val="19"/>
          <w:u w:val="single" w:color="auto"/>
          <w:color w:val="auto"/>
        </w:rPr>
        <w:t>Notice of Certain Corporate Action</w:t>
      </w:r>
      <w:r>
        <w:rPr>
          <w:rFonts w:ascii="Arial" w:cs="Arial" w:eastAsia="Arial" w:hAnsi="Arial"/>
          <w:sz w:val="19"/>
          <w:szCs w:val="19"/>
          <w:color w:val="auto"/>
        </w:rPr>
        <w:t>. In case:</w:t>
      </w:r>
    </w:p>
    <w:p>
      <w:pPr>
        <w:spacing w:after="0" w:line="206" w:lineRule="exact"/>
        <w:rPr>
          <w:sz w:val="20"/>
          <w:szCs w:val="20"/>
          <w:color w:val="auto"/>
        </w:rPr>
      </w:pPr>
    </w:p>
    <w:p>
      <w:pPr>
        <w:ind w:left="660" w:right="740" w:firstLine="639"/>
        <w:spacing w:after="0" w:line="251" w:lineRule="auto"/>
        <w:tabs>
          <w:tab w:leader="none" w:pos="200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Company shall take any action that would require a Conversion Price adjustment pursuant to Section 1704 or Section 1711; or</w:t>
      </w:r>
    </w:p>
    <w:p>
      <w:pPr>
        <w:spacing w:after="0" w:line="173" w:lineRule="exact"/>
        <w:rPr>
          <w:rFonts w:ascii="Arial" w:cs="Arial" w:eastAsia="Arial" w:hAnsi="Arial"/>
          <w:sz w:val="22"/>
          <w:szCs w:val="22"/>
          <w:color w:val="auto"/>
        </w:rPr>
      </w:pPr>
    </w:p>
    <w:p>
      <w:pPr>
        <w:ind w:left="660" w:right="120" w:firstLine="639"/>
        <w:spacing w:after="0" w:line="236" w:lineRule="auto"/>
        <w:tabs>
          <w:tab w:leader="none" w:pos="207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7" w:lineRule="exact"/>
        <w:rPr>
          <w:rFonts w:ascii="Arial" w:cs="Arial" w:eastAsia="Arial" w:hAnsi="Arial"/>
          <w:sz w:val="22"/>
          <w:szCs w:val="22"/>
          <w:color w:val="auto"/>
        </w:rPr>
      </w:pPr>
    </w:p>
    <w:p>
      <w:pPr>
        <w:ind w:left="660" w:right="20" w:firstLine="639"/>
        <w:spacing w:after="0" w:line="273" w:lineRule="auto"/>
        <w:tabs>
          <w:tab w:leader="none" w:pos="200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4" w:name="page245"/>
    <w:bookmarkEnd w:id="244"/>
    <w:p>
      <w:pPr>
        <w:ind w:left="660" w:right="300"/>
        <w:spacing w:after="0" w:line="287" w:lineRule="auto"/>
        <w:rPr>
          <w:sz w:val="20"/>
          <w:szCs w:val="20"/>
          <w:color w:val="auto"/>
        </w:rPr>
      </w:pPr>
      <w:r>
        <w:rPr>
          <w:rFonts w:ascii="Arial" w:cs="Arial" w:eastAsia="Arial" w:hAnsi="Arial"/>
          <w:sz w:val="19"/>
          <w:szCs w:val="19"/>
          <w:color w:val="auto"/>
        </w:rPr>
        <w:t>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44"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 xml:space="preserve">SECTION 1707. </w:t>
      </w:r>
      <w:r>
        <w:rPr>
          <w:rFonts w:ascii="Arial" w:cs="Arial" w:eastAsia="Arial" w:hAnsi="Arial"/>
          <w:sz w:val="19"/>
          <w:szCs w:val="19"/>
          <w:u w:val="single" w:color="auto"/>
          <w:color w:val="auto"/>
        </w:rPr>
        <w:t>Company to Reserve Common Stock</w:t>
      </w:r>
      <w:r>
        <w:rPr>
          <w:rFonts w:ascii="Arial" w:cs="Arial" w:eastAsia="Arial" w:hAnsi="Arial"/>
          <w:sz w:val="19"/>
          <w:szCs w:val="19"/>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1708. </w:t>
      </w:r>
      <w:r>
        <w:rPr>
          <w:rFonts w:ascii="Arial" w:cs="Arial" w:eastAsia="Arial" w:hAnsi="Arial"/>
          <w:sz w:val="19"/>
          <w:szCs w:val="19"/>
          <w:u w:val="single" w:color="auto"/>
          <w:color w:val="auto"/>
        </w:rPr>
        <w:t>Taxes on Conversion</w:t>
      </w:r>
      <w:r>
        <w:rPr>
          <w:rFonts w:ascii="Arial" w:cs="Arial" w:eastAsia="Arial" w:hAnsi="Arial"/>
          <w:sz w:val="19"/>
          <w:szCs w:val="19"/>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5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1709. </w:t>
      </w:r>
      <w:r>
        <w:rPr>
          <w:rFonts w:ascii="Arial" w:cs="Arial" w:eastAsia="Arial" w:hAnsi="Arial"/>
          <w:sz w:val="19"/>
          <w:szCs w:val="19"/>
          <w:u w:val="single" w:color="auto"/>
          <w:color w:val="auto"/>
        </w:rPr>
        <w:t>Covenants as to Common Stock.</w:t>
      </w:r>
      <w:r>
        <w:rPr>
          <w:rFonts w:ascii="Arial" w:cs="Arial" w:eastAsia="Arial" w:hAnsi="Arial"/>
          <w:sz w:val="19"/>
          <w:szCs w:val="19"/>
          <w:color w:val="auto"/>
        </w:rPr>
        <w:t xml:space="preserve">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43"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8"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u w:val="single" w:color="auto"/>
          <w:color w:val="auto"/>
        </w:rPr>
        <w:t>Cancellation of Converted Securities</w:t>
      </w:r>
      <w:r>
        <w:rPr>
          <w:rFonts w:ascii="Arial" w:cs="Arial" w:eastAsia="Arial" w:hAnsi="Arial"/>
          <w:sz w:val="22"/>
          <w:szCs w:val="22"/>
          <w:color w:val="auto"/>
        </w:rPr>
        <w:t>. All Securities delivered for conversion shall be delivered to the Trustee to be cancelled by or at the direction of the Trustee, which shall dispose of the same as provided in Section 309.</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1711. </w:t>
      </w:r>
      <w:r>
        <w:rPr>
          <w:rFonts w:ascii="Arial" w:cs="Arial" w:eastAsia="Arial" w:hAnsi="Arial"/>
          <w:sz w:val="19"/>
          <w:szCs w:val="19"/>
          <w:u w:val="single" w:color="auto"/>
          <w:color w:val="auto"/>
        </w:rPr>
        <w:t>Provisions in Case of Consolidation, Merger or Sale of Assets;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Distributions</w:t>
      </w:r>
      <w:r>
        <w:rPr>
          <w:rFonts w:ascii="Arial" w:cs="Arial" w:eastAsia="Arial" w:hAnsi="Arial"/>
          <w:sz w:val="19"/>
          <w:szCs w:val="19"/>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5" w:name="page246"/>
    <w:bookmarkEnd w:id="245"/>
    <w:p>
      <w:pPr>
        <w:ind w:right="20"/>
        <w:spacing w:after="0" w:line="246" w:lineRule="auto"/>
        <w:rPr>
          <w:sz w:val="20"/>
          <w:szCs w:val="20"/>
          <w:color w:val="auto"/>
        </w:rPr>
      </w:pPr>
      <w:r>
        <w:rPr>
          <w:rFonts w:ascii="Arial" w:cs="Arial" w:eastAsia="Arial" w:hAnsi="Arial"/>
          <w:sz w:val="21"/>
          <w:szCs w:val="21"/>
          <w:color w:val="auto"/>
        </w:rPr>
        <w:t>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81" w:lineRule="exact"/>
        <w:rPr>
          <w:sz w:val="20"/>
          <w:szCs w:val="20"/>
          <w:color w:val="auto"/>
        </w:rPr>
      </w:pPr>
    </w:p>
    <w:p>
      <w:pPr>
        <w:ind w:left="660" w:right="40" w:firstLine="639"/>
        <w:spacing w:after="0" w:line="287" w:lineRule="auto"/>
        <w:tabs>
          <w:tab w:leader="none" w:pos="200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43" w:lineRule="exact"/>
        <w:rPr>
          <w:rFonts w:ascii="Arial" w:cs="Arial" w:eastAsia="Arial" w:hAnsi="Arial"/>
          <w:sz w:val="19"/>
          <w:szCs w:val="19"/>
          <w:color w:val="auto"/>
        </w:rPr>
      </w:pPr>
    </w:p>
    <w:p>
      <w:pPr>
        <w:ind w:left="660" w:right="20" w:firstLine="639"/>
        <w:spacing w:after="0" w:line="275" w:lineRule="auto"/>
        <w:tabs>
          <w:tab w:leader="none" w:pos="200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5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48"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6" w:name="page247"/>
    <w:bookmarkEnd w:id="246"/>
    <w:p>
      <w:pPr>
        <w:ind w:right="140"/>
        <w:spacing w:after="0" w:line="282" w:lineRule="auto"/>
        <w:rPr>
          <w:sz w:val="20"/>
          <w:szCs w:val="20"/>
          <w:color w:val="auto"/>
        </w:rPr>
      </w:pPr>
      <w:r>
        <w:rPr>
          <w:rFonts w:ascii="Arial" w:cs="Arial" w:eastAsia="Arial" w:hAnsi="Arial"/>
          <w:sz w:val="19"/>
          <w:szCs w:val="19"/>
          <w:color w:val="auto"/>
        </w:rPr>
        <w:t>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48"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SECTION 1712. </w:t>
      </w:r>
      <w:r>
        <w:rPr>
          <w:rFonts w:ascii="Arial" w:cs="Arial" w:eastAsia="Arial" w:hAnsi="Arial"/>
          <w:sz w:val="21"/>
          <w:szCs w:val="21"/>
          <w:u w:val="single" w:color="auto"/>
          <w:color w:val="auto"/>
        </w:rPr>
        <w:t>Trustee Adjustment Disclaimer; Company Determination Final.</w:t>
      </w:r>
      <w:r>
        <w:rPr>
          <w:rFonts w:ascii="Arial" w:cs="Arial" w:eastAsia="Arial" w:hAnsi="Arial"/>
          <w:sz w:val="21"/>
          <w:szCs w:val="21"/>
          <w:color w:val="auto"/>
        </w:rPr>
        <w:t xml:space="preserve">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1713. </w:t>
      </w:r>
      <w:r>
        <w:rPr>
          <w:rFonts w:ascii="Arial" w:cs="Arial" w:eastAsia="Arial" w:hAnsi="Arial"/>
          <w:sz w:val="22"/>
          <w:szCs w:val="22"/>
          <w:u w:val="single" w:color="auto"/>
          <w:color w:val="auto"/>
        </w:rPr>
        <w:t>When No Adjustment Required.</w:t>
      </w:r>
      <w:r>
        <w:rPr>
          <w:rFonts w:ascii="Arial" w:cs="Arial" w:eastAsia="Arial" w:hAnsi="Arial"/>
          <w:sz w:val="22"/>
          <w:szCs w:val="22"/>
          <w:color w:val="auto"/>
        </w:rPr>
        <w:t xml:space="preserve">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8" w:lineRule="exact"/>
        <w:rPr>
          <w:sz w:val="20"/>
          <w:szCs w:val="20"/>
          <w:color w:val="auto"/>
        </w:rPr>
      </w:pPr>
    </w:p>
    <w:p>
      <w:pPr>
        <w:ind w:left="660" w:right="80" w:firstLine="639"/>
        <w:spacing w:after="0" w:line="235" w:lineRule="auto"/>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8" w:lineRule="exact"/>
        <w:rPr>
          <w:sz w:val="20"/>
          <w:szCs w:val="20"/>
          <w:color w:val="auto"/>
        </w:rPr>
      </w:pPr>
    </w:p>
    <w:p>
      <w:pPr>
        <w:ind w:right="200" w:firstLine="648"/>
        <w:spacing w:after="0" w:line="234" w:lineRule="auto"/>
        <w:rPr>
          <w:sz w:val="20"/>
          <w:szCs w:val="20"/>
          <w:color w:val="auto"/>
        </w:rPr>
      </w:pPr>
      <w:r>
        <w:rPr>
          <w:rFonts w:ascii="Arial" w:cs="Arial" w:eastAsia="Arial" w:hAnsi="Arial"/>
          <w:sz w:val="22"/>
          <w:szCs w:val="22"/>
          <w:color w:val="auto"/>
        </w:rPr>
        <w:t xml:space="preserve">SECTION 1714. </w:t>
      </w:r>
      <w:r>
        <w:rPr>
          <w:rFonts w:ascii="Arial" w:cs="Arial" w:eastAsia="Arial" w:hAnsi="Arial"/>
          <w:sz w:val="22"/>
          <w:szCs w:val="22"/>
          <w:u w:val="single" w:color="auto"/>
          <w:color w:val="auto"/>
        </w:rPr>
        <w:t>Equivalent Adjustments</w:t>
      </w:r>
      <w:r>
        <w:rPr>
          <w:rFonts w:ascii="Arial" w:cs="Arial" w:eastAsia="Arial" w:hAnsi="Arial"/>
          <w:sz w:val="22"/>
          <w:szCs w:val="22"/>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7" w:name="page248"/>
    <w:bookmarkEnd w:id="247"/>
    <w:p>
      <w:pPr>
        <w:ind w:right="160" w:firstLine="648"/>
        <w:spacing w:after="0" w:line="251" w:lineRule="auto"/>
        <w:rPr>
          <w:sz w:val="20"/>
          <w:szCs w:val="20"/>
          <w:color w:val="auto"/>
        </w:rPr>
      </w:pPr>
      <w:r>
        <w:rPr>
          <w:rFonts w:ascii="Arial" w:cs="Arial" w:eastAsia="Arial" w:hAnsi="Arial"/>
          <w:sz w:val="22"/>
          <w:szCs w:val="22"/>
          <w:color w:val="auto"/>
        </w:rPr>
        <w:t>IN WITNESS WHEREOF, the parties hereto have caused this Indenture to be duly executed all as of the day and year first above written.</w:t>
      </w:r>
    </w:p>
    <w:p>
      <w:pPr>
        <w:spacing w:after="0" w:line="17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CORPORATION</w:t>
      </w: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456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Name:</w:t>
            </w:r>
          </w:p>
        </w:tc>
        <w:tc>
          <w:tcPr>
            <w:tcW w:w="1940" w:type="dxa"/>
            <w:vAlign w:val="bottom"/>
            <w:tcBorders>
              <w:top w:val="single" w:sz="8" w:color="auto"/>
            </w:tcBorders>
          </w:tcPr>
          <w:p>
            <w:pPr>
              <w:spacing w:after="0"/>
              <w:rPr>
                <w:sz w:val="18"/>
                <w:szCs w:val="18"/>
                <w:color w:val="auto"/>
              </w:rPr>
            </w:pPr>
          </w:p>
        </w:tc>
      </w:tr>
      <w:tr>
        <w:trPr>
          <w:trHeight w:val="27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spacing w:after="0"/>
              <w:rPr>
                <w:sz w:val="23"/>
                <w:szCs w:val="23"/>
                <w:color w:val="auto"/>
              </w:rPr>
            </w:pPr>
          </w:p>
        </w:tc>
      </w:tr>
      <w:tr>
        <w:trPr>
          <w:trHeight w:val="436"/>
        </w:trPr>
        <w:tc>
          <w:tcPr>
            <w:tcW w:w="60" w:type="dxa"/>
            <w:vAlign w:val="bottom"/>
          </w:tcPr>
          <w:p>
            <w:pPr>
              <w:spacing w:after="0"/>
              <w:rPr>
                <w:sz w:val="20"/>
                <w:szCs w:val="20"/>
                <w:color w:val="auto"/>
              </w:rPr>
            </w:pPr>
            <w:r>
              <w:rPr>
                <w:rFonts w:ascii="Arial" w:cs="Arial" w:eastAsia="Arial" w:hAnsi="Arial"/>
                <w:sz w:val="19"/>
                <w:szCs w:val="19"/>
                <w:color w:val="auto"/>
                <w:w w:val="74"/>
              </w:rPr>
              <w:t>[</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40" w:type="dxa"/>
            <w:vAlign w:val="bottom"/>
          </w:tcPr>
          <w:p>
            <w:pPr>
              <w:jc w:val="right"/>
              <w:ind w:right="1712"/>
              <w:spacing w:after="0"/>
              <w:rPr>
                <w:sz w:val="20"/>
                <w:szCs w:val="20"/>
                <w:color w:val="auto"/>
              </w:rPr>
            </w:pPr>
            <w:r>
              <w:rPr>
                <w:rFonts w:ascii="Arial" w:cs="Arial" w:eastAsia="Arial" w:hAnsi="Arial"/>
                <w:sz w:val="22"/>
                <w:szCs w:val="22"/>
                <w:color w:val="auto"/>
                <w:w w:val="81"/>
              </w:rPr>
              <w:t>],</w:t>
            </w:r>
          </w:p>
        </w:tc>
      </w:tr>
      <w:tr>
        <w:trPr>
          <w:trHeight w:val="274"/>
        </w:trPr>
        <w:tc>
          <w:tcPr>
            <w:tcW w:w="2560" w:type="dxa"/>
            <w:vAlign w:val="bottom"/>
            <w:gridSpan w:val="4"/>
          </w:tcPr>
          <w:p>
            <w:pPr>
              <w:spacing w:after="0"/>
              <w:rPr>
                <w:sz w:val="20"/>
                <w:szCs w:val="20"/>
                <w:color w:val="auto"/>
              </w:rPr>
            </w:pPr>
            <w:r>
              <w:rPr>
                <w:rFonts w:ascii="Arial" w:cs="Arial" w:eastAsia="Arial" w:hAnsi="Arial"/>
                <w:sz w:val="22"/>
                <w:szCs w:val="22"/>
                <w:color w:val="auto"/>
              </w:rPr>
              <w:t>as Trustee</w:t>
            </w:r>
          </w:p>
        </w:tc>
        <w:tc>
          <w:tcPr>
            <w:tcW w:w="1940" w:type="dxa"/>
            <w:vAlign w:val="bottom"/>
          </w:tcPr>
          <w:p>
            <w:pPr>
              <w:spacing w:after="0"/>
              <w:rPr>
                <w:sz w:val="23"/>
                <w:szCs w:val="23"/>
                <w:color w:val="auto"/>
              </w:rPr>
            </w:pPr>
          </w:p>
        </w:tc>
      </w:tr>
      <w:tr>
        <w:trPr>
          <w:trHeight w:val="476"/>
        </w:trPr>
        <w:tc>
          <w:tcPr>
            <w:tcW w:w="2560" w:type="dxa"/>
            <w:vAlign w:val="bottom"/>
            <w:gridSpan w:val="4"/>
          </w:tcPr>
          <w:p>
            <w:pPr>
              <w:spacing w:after="0"/>
              <w:rPr>
                <w:sz w:val="20"/>
                <w:szCs w:val="20"/>
                <w:color w:val="auto"/>
              </w:rPr>
            </w:pPr>
            <w:r>
              <w:rPr>
                <w:rFonts w:ascii="Arial" w:cs="Arial" w:eastAsia="Arial" w:hAnsi="Arial"/>
                <w:sz w:val="22"/>
                <w:szCs w:val="22"/>
                <w:color w:val="auto"/>
              </w:rPr>
              <w:t>By:</w:t>
            </w:r>
          </w:p>
        </w:tc>
        <w:tc>
          <w:tcPr>
            <w:tcW w:w="1940" w:type="dxa"/>
            <w:vAlign w:val="bottom"/>
          </w:tcPr>
          <w:p>
            <w:pPr>
              <w:spacing w:after="0"/>
              <w:rPr>
                <w:sz w:val="24"/>
                <w:szCs w:val="24"/>
                <w:color w:val="auto"/>
              </w:rPr>
            </w:pPr>
          </w:p>
        </w:tc>
      </w:tr>
      <w:tr>
        <w:trPr>
          <w:trHeight w:val="215"/>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1940" w:type="dxa"/>
            <w:vAlign w:val="bottom"/>
            <w:tcBorders>
              <w:top w:val="single" w:sz="8" w:color="auto"/>
            </w:tcBorders>
          </w:tcPr>
          <w:p>
            <w:pPr>
              <w:spacing w:after="0"/>
              <w:rPr>
                <w:sz w:val="18"/>
                <w:szCs w:val="18"/>
                <w:color w:val="auto"/>
              </w:rPr>
            </w:pPr>
          </w:p>
        </w:tc>
      </w:tr>
      <w:tr>
        <w:trPr>
          <w:trHeight w:val="27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REDEEMABLE OR NON-REDEEMABLE SUBORDINATED SECURITY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Security]</w:t>
      </w:r>
    </w:p>
    <w:p>
      <w:pPr>
        <w:spacing w:after="0" w:line="206" w:lineRule="exact"/>
        <w:rPr>
          <w:sz w:val="20"/>
          <w:szCs w:val="20"/>
          <w:color w:val="auto"/>
        </w:rPr>
      </w:pPr>
    </w:p>
    <w:p>
      <w:pPr>
        <w:ind w:right="480"/>
        <w:spacing w:after="0" w:line="274" w:lineRule="auto"/>
        <w:rPr>
          <w:sz w:val="20"/>
          <w:szCs w:val="20"/>
          <w:color w:val="auto"/>
        </w:rPr>
      </w:pPr>
      <w:r>
        <w:rPr>
          <w:rFonts w:ascii="Arial" w:cs="Arial" w:eastAsia="Arial" w:hAnsi="Arial"/>
          <w:sz w:val="21"/>
          <w:szCs w:val="21"/>
          <w:color w:val="auto"/>
        </w:rPr>
        <w:t>[If the Holder of this Security (as indicated below) is The Depository Trust Company (“DTC”) or a nominee of DTC, this Security is a Global Security and the following two legends apply:</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21"/>
          <w:szCs w:val="21"/>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22"/>
          <w:szCs w:val="22"/>
          <w:color w:val="auto"/>
        </w:rPr>
        <w:t>]</w:t>
      </w:r>
    </w:p>
    <w:p>
      <w:pPr>
        <w:spacing w:after="0" w:line="187" w:lineRule="exact"/>
        <w:rPr>
          <w:sz w:val="20"/>
          <w:szCs w:val="20"/>
          <w:color w:val="auto"/>
        </w:rPr>
      </w:pPr>
    </w:p>
    <w:p>
      <w:pPr>
        <w:ind w:right="20"/>
        <w:spacing w:after="0" w:line="24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this Security is an Original Issue Discount Security,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FOR PURPOSES OF SECTION 1273 and 1275 OF THE UNITED STATES INTERNAL REVENUE CODE, THE AMOUNT OF ORIGINAL ISSUE DISCOUNT ON THIS SECURITY IS ___% OF ITS PRINCIPAL AMOUNT, THE ISSUE DATE IS __________, 20__, AND THE YIELD TO MATURITY IS ___%. THE METHOD</w:t>
      </w:r>
    </w:p>
    <w:p>
      <w:pPr>
        <w:spacing w:after="0" w:line="4"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USED TO DETERMINE THE AMOUNT OF ORIGINAL ISSUE DISCOUNT APPLICABLE TO THE SHORT ACCRUAL PERIOD OF __________, 20__ TO __________, 20__, IS ___% OF THE PRINCIPAL AMOUNT OF THIS SECURITY.]</w:t>
      </w:r>
    </w:p>
    <w:p>
      <w:pPr>
        <w:spacing w:after="0" w:line="18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[Designation of Series]</w:t>
      </w:r>
    </w:p>
    <w:p>
      <w:pPr>
        <w:sectPr>
          <w:pgSz w:w="11900" w:h="16838" w:orient="portrait"/>
          <w:cols w:equalWidth="0" w:num="1">
            <w:col w:w="9060"/>
          </w:cols>
          <w:pgMar w:left="1420" w:top="361" w:right="14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 __________</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200" w:lineRule="exact"/>
        <w:rPr>
          <w:sz w:val="20"/>
          <w:szCs w:val="20"/>
          <w:color w:val="auto"/>
        </w:rPr>
      </w:pPr>
    </w:p>
    <w:p>
      <w:pPr>
        <w:sectPr>
          <w:pgSz w:w="11900" w:h="16838" w:orient="portrait"/>
          <w:cols w:equalWidth="0" w:num="2">
            <w:col w:w="7160" w:space="720"/>
            <w:col w:w="1180"/>
          </w:cols>
          <w:pgMar w:left="1420" w:top="361" w:right="14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CUSIP No. __________</w:t>
      </w:r>
    </w:p>
    <w:p>
      <w:pPr>
        <w:sectPr>
          <w:pgSz w:w="11900" w:h="16838" w:orient="portrait"/>
          <w:cols w:equalWidth="0" w:num="1">
            <w:col w:w="9060"/>
          </w:cols>
          <w:pgMar w:left="1420" w:top="361" w:right="1419" w:bottom="1440" w:gutter="0" w:footer="0" w:header="0"/>
          <w:type w:val="continuous"/>
        </w:sectPr>
      </w:pPr>
    </w:p>
    <w:p>
      <w:pPr>
        <w:spacing w:after="0" w:line="295" w:lineRule="exact"/>
        <w:rPr>
          <w:sz w:val="20"/>
          <w:szCs w:val="20"/>
          <w:color w:val="auto"/>
        </w:rPr>
      </w:pPr>
    </w:p>
    <w:p>
      <w:pPr>
        <w:ind w:right="480"/>
        <w:spacing w:after="0" w:line="273" w:lineRule="auto"/>
        <w:rPr>
          <w:sz w:val="20"/>
          <w:szCs w:val="20"/>
          <w:color w:val="auto"/>
        </w:rPr>
      </w:pPr>
      <w:r>
        <w:rPr>
          <w:rFonts w:ascii="Arial" w:cs="Arial" w:eastAsia="Arial" w:hAnsi="Arial"/>
          <w:sz w:val="19"/>
          <w:szCs w:val="19"/>
          <w:color w:val="auto"/>
        </w:rPr>
        <w:t>BLUEPRINT MEDICINES CORPORATION, a Delaware corporation (herein referred to as the “Company,” which term includes any successor corporation under the Indenture referred to on the reverse hereof), for value received, hereby promises to pay to __________ or registered assigns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principal sum of __________ Dollars on __________ (the “Stated Maturity Date”) [or </w:t>
      </w:r>
      <w:r>
        <w:rPr>
          <w:rFonts w:ascii="Arial" w:cs="Arial" w:eastAsia="Arial" w:hAnsi="Arial"/>
          <w:sz w:val="19"/>
          <w:szCs w:val="19"/>
          <w:u w:val="single" w:color="auto"/>
          <w:color w:val="auto"/>
        </w:rPr>
        <w:t>insert date fixed</w:t>
      </w:r>
    </w:p>
    <w:p>
      <w:pPr>
        <w:spacing w:after="0" w:line="25"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u w:val="single" w:color="auto"/>
          <w:color w:val="auto"/>
        </w:rPr>
        <w:t>for earlier redemption</w:t>
      </w:r>
      <w:r>
        <w:rPr>
          <w:rFonts w:ascii="Arial" w:cs="Arial" w:eastAsia="Arial" w:hAnsi="Arial"/>
          <w:sz w:val="22"/>
          <w:szCs w:val="22"/>
          <w:color w:val="auto"/>
        </w:rPr>
        <w:t xml:space="preserve"> (the “Redemption Date,” and together with the Stated Maturity Date with respect to principal repayable on such date, the “Maturity Date.”)]</w:t>
      </w:r>
    </w:p>
    <w:p>
      <w:pPr>
        <w:spacing w:after="0" w:line="185"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the Security is to bear interest prior to Maturity,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and to pay interest thereon from</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__________ or from the most recent Interest Payment Date to which interest has been paid or</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type w:val="continuous"/>
        </w:sectPr>
      </w:pPr>
    </w:p>
    <w:bookmarkStart w:id="249" w:name="page250"/>
    <w:bookmarkEnd w:id="249"/>
    <w:p>
      <w:pPr>
        <w:spacing w:after="0" w:line="219" w:lineRule="exact"/>
        <w:rPr>
          <w:sz w:val="20"/>
          <w:szCs w:val="20"/>
          <w:color w:val="auto"/>
        </w:rPr>
      </w:pPr>
      <w:r>
        <w:rPr>
          <w:rFonts w:ascii="Arial" w:cs="Arial" w:eastAsia="Arial" w:hAnsi="Arial"/>
          <w:sz w:val="19"/>
          <w:szCs w:val="19"/>
          <w:color w:val="auto"/>
        </w:rPr>
        <w:t>duly provided for, semi</w:t>
      </w:r>
      <w:r>
        <w:rPr>
          <w:rFonts w:ascii="MS PGothic" w:cs="MS PGothic" w:eastAsia="MS PGothic" w:hAnsi="MS PGothic"/>
          <w:sz w:val="19"/>
          <w:szCs w:val="19"/>
          <w:color w:val="auto"/>
        </w:rPr>
        <w:t>‑</w:t>
      </w:r>
      <w:r>
        <w:rPr>
          <w:rFonts w:ascii="Arial" w:cs="Arial" w:eastAsia="Arial" w:hAnsi="Arial"/>
          <w:sz w:val="19"/>
          <w:szCs w:val="19"/>
          <w:color w:val="auto"/>
        </w:rPr>
        <w:t>annually on __________ and __________ in each year (each, an “Interest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Payment Date”), commencing __________, at the rate of ___% per annum, until the principal hereof is</w:t>
      </w:r>
    </w:p>
    <w:p>
      <w:pPr>
        <w:spacing w:after="0" w:line="25" w:lineRule="exact"/>
        <w:rPr>
          <w:sz w:val="20"/>
          <w:szCs w:val="20"/>
          <w:color w:val="auto"/>
        </w:rPr>
      </w:pPr>
    </w:p>
    <w:p>
      <w:pPr>
        <w:jc w:val="both"/>
        <w:ind w:right="380"/>
        <w:spacing w:after="0" w:line="267" w:lineRule="auto"/>
        <w:rPr>
          <w:sz w:val="20"/>
          <w:szCs w:val="20"/>
          <w:color w:val="auto"/>
        </w:rPr>
      </w:pPr>
      <w:r>
        <w:rPr>
          <w:rFonts w:ascii="Arial" w:cs="Arial" w:eastAsia="Arial" w:hAnsi="Arial"/>
          <w:sz w:val="19"/>
          <w:szCs w:val="19"/>
          <w:color w:val="auto"/>
        </w:rPr>
        <w:t>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__________ or __________ (whether or not a</w:t>
      </w:r>
    </w:p>
    <w:p>
      <w:pPr>
        <w:ind w:right="60"/>
        <w:spacing w:after="0" w:line="244" w:lineRule="exact"/>
        <w:rPr>
          <w:sz w:val="20"/>
          <w:szCs w:val="20"/>
          <w:color w:val="auto"/>
        </w:rPr>
      </w:pPr>
      <w:r>
        <w:rPr>
          <w:rFonts w:ascii="Arial" w:cs="Arial" w:eastAsia="Arial" w:hAnsi="Arial"/>
          <w:sz w:val="19"/>
          <w:szCs w:val="19"/>
          <w:color w:val="auto"/>
        </w:rPr>
        <w:t xml:space="preserve">Business Day), as the case may be, next preceding such Interest Payment Date [at the office or agency of the Company maintained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of twelve 30</w:t>
      </w:r>
      <w:r>
        <w:rPr>
          <w:rFonts w:ascii="MS PGothic" w:cs="MS PGothic" w:eastAsia="MS PGothic" w:hAnsi="MS PGothic"/>
          <w:sz w:val="19"/>
          <w:szCs w:val="19"/>
          <w:color w:val="auto"/>
        </w:rPr>
        <w:t>‑</w:t>
      </w:r>
      <w:r>
        <w:rPr>
          <w:rFonts w:ascii="Arial" w:cs="Arial" w:eastAsia="Arial" w:hAnsi="Arial"/>
          <w:sz w:val="19"/>
          <w:szCs w:val="19"/>
          <w:color w:val="auto"/>
        </w:rPr>
        <w:t>day months.]</w:t>
      </w:r>
    </w:p>
    <w:p>
      <w:pPr>
        <w:spacing w:after="0" w:line="187" w:lineRule="exact"/>
        <w:rPr>
          <w:sz w:val="20"/>
          <w:szCs w:val="20"/>
          <w:color w:val="auto"/>
        </w:rPr>
      </w:pPr>
    </w:p>
    <w:p>
      <w:pPr>
        <w:ind w:right="20"/>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not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9"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of the United States of America as at the time of payment is legal tender for the payment of public and private debts.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 been paid on this Security) to but excluding such Interest</w:t>
      </w:r>
    </w:p>
    <w:p>
      <w:pPr>
        <w:spacing w:after="0" w:line="4" w:lineRule="exact"/>
        <w:rPr>
          <w:sz w:val="20"/>
          <w:szCs w:val="20"/>
          <w:color w:val="auto"/>
        </w:rPr>
      </w:pPr>
    </w:p>
    <w:p>
      <w:pPr>
        <w:jc w:val="both"/>
        <w:ind w:right="220"/>
        <w:spacing w:after="0" w:line="234" w:lineRule="auto"/>
        <w:rPr>
          <w:sz w:val="20"/>
          <w:szCs w:val="20"/>
          <w:color w:val="auto"/>
        </w:rPr>
      </w:pPr>
      <w:r>
        <w:rPr>
          <w:rFonts w:ascii="Arial" w:cs="Arial" w:eastAsia="Arial" w:hAnsi="Arial"/>
          <w:sz w:val="22"/>
          <w:szCs w:val="22"/>
          <w:color w:val="auto"/>
        </w:rPr>
        <w:t>Payment Date or the [Stated] Maturity Date [or Redemption Date, as the case may be.] If any Interest Payment Date or the [Stated] Maturity Date or [Redemption Date] falls on a day that is not a Business Day, as defined below, principal, premium or Make-Whole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50" w:name="page251"/>
    <w:bookmarkEnd w:id="250"/>
    <w:p>
      <w:pPr>
        <w:spacing w:after="0" w:line="277" w:lineRule="auto"/>
        <w:rPr>
          <w:sz w:val="20"/>
          <w:szCs w:val="20"/>
          <w:color w:val="auto"/>
        </w:rPr>
      </w:pPr>
      <w:r>
        <w:rPr>
          <w:rFonts w:ascii="Arial" w:cs="Arial" w:eastAsia="Arial" w:hAnsi="Arial"/>
          <w:sz w:val="19"/>
          <w:szCs w:val="19"/>
          <w:color w:val="auto"/>
        </w:rPr>
        <w:t>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53" w:lineRule="exact"/>
        <w:rPr>
          <w:sz w:val="20"/>
          <w:szCs w:val="20"/>
          <w:color w:val="auto"/>
        </w:rPr>
      </w:pPr>
    </w:p>
    <w:p>
      <w:pPr>
        <w:ind w:right="38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this Security is a Global Security,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All payments of principal, premium or Make-Whole Amount, if any, and interest in respect of this Security will be made by the Company in immediately available funds.]</w:t>
      </w:r>
    </w:p>
    <w:p>
      <w:pPr>
        <w:spacing w:after="0" w:line="186"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Reference is hereby made to the further provisions of this Security set forth on the reverse hereof, which further provisions shall for all purposes have the same effect as if set forth at this place.</w:t>
      </w:r>
    </w:p>
    <w:p>
      <w:pPr>
        <w:spacing w:after="0" w:line="10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8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 WITNESS WHEREOF, the Company has caused this instrument to be duly executed under its facsimile corporate seal.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7620</wp:posOffset>
            </wp:positionV>
            <wp:extent cx="9779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13"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BLUEPRINT MEDICINES CORPORATION</w:t>
      </w: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26327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w:t>
      </w:r>
    </w:p>
    <w:p>
      <w:pPr>
        <w:ind w:left="492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28898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22"/>
          <w:szCs w:val="22"/>
          <w:color w:val="auto"/>
        </w:rPr>
        <w:t>[Reverse of Security]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right="980"/>
        <w:spacing w:after="0" w:line="251" w:lineRule="auto"/>
        <w:rPr>
          <w:sz w:val="20"/>
          <w:szCs w:val="20"/>
          <w:color w:val="auto"/>
        </w:rPr>
      </w:pPr>
      <w:r>
        <w:rPr>
          <w:rFonts w:ascii="Arial" w:cs="Arial" w:eastAsia="Arial" w:hAnsi="Arial"/>
          <w:sz w:val="22"/>
          <w:szCs w:val="22"/>
          <w:color w:val="auto"/>
        </w:rPr>
        <w:t>This Security is one of a duly authorized issue of securities of the Company (herein called the “Securities”), issued and to be issued in one or more series under an</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Indenture, dated as of __________, 20__ (herein called the “Indenture”) between the Company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 as Trustee (herein called the “Trustee,” which term includes any successor trustee</w:t>
      </w:r>
    </w:p>
    <w:p>
      <w:pPr>
        <w:spacing w:after="0" w:line="25" w:lineRule="exact"/>
        <w:rPr>
          <w:sz w:val="20"/>
          <w:szCs w:val="20"/>
          <w:color w:val="auto"/>
        </w:rPr>
      </w:pPr>
    </w:p>
    <w:p>
      <w:pPr>
        <w:ind w:right="60"/>
        <w:spacing w:after="0" w:line="244" w:lineRule="exact"/>
        <w:rPr>
          <w:sz w:val="20"/>
          <w:szCs w:val="20"/>
          <w:color w:val="auto"/>
        </w:rPr>
      </w:pPr>
      <w:r>
        <w:rPr>
          <w:rFonts w:ascii="Arial" w:cs="Arial" w:eastAsia="Arial" w:hAnsi="Arial"/>
          <w:sz w:val="19"/>
          <w:szCs w:val="19"/>
          <w:color w:val="auto"/>
        </w:rPr>
        <w:t>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the aggregate principal amount of the Securities to be issued under such series is limited to $__________ (except for Securities authenticated</w:t>
      </w:r>
    </w:p>
    <w:p>
      <w:pPr>
        <w:ind w:right="120"/>
        <w:spacing w:after="0" w:line="308" w:lineRule="auto"/>
        <w:rPr>
          <w:sz w:val="20"/>
          <w:szCs w:val="20"/>
          <w:color w:val="auto"/>
        </w:rPr>
      </w:pPr>
      <w:r>
        <w:rPr>
          <w:rFonts w:ascii="Arial" w:cs="Arial" w:eastAsia="Arial" w:hAnsi="Arial"/>
          <w:sz w:val="19"/>
          <w:szCs w:val="19"/>
          <w:color w:val="auto"/>
        </w:rPr>
        <w:t>and delivered upon transfer of, or in exchange for, or in lieu of other Securities).] All terms used in this Security which are defined in the Indenture shall have the meanings assigned to them in the Indenture.</w:t>
      </w:r>
    </w:p>
    <w:p>
      <w:pPr>
        <w:spacing w:after="0" w:line="12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8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may not be redeemed prior to the Stated Maturity Date.]</w:t>
      </w:r>
    </w:p>
    <w:p>
      <w:pPr>
        <w:spacing w:after="0" w:line="20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are subject to redemption [ (l)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in any year commencing with the year __________ and ending with the year __________</w:t>
      </w:r>
    </w:p>
    <w:p>
      <w:pPr>
        <w:spacing w:after="0" w:line="25" w:lineRule="exact"/>
        <w:rPr>
          <w:sz w:val="20"/>
          <w:szCs w:val="20"/>
          <w:color w:val="auto"/>
        </w:rPr>
      </w:pPr>
    </w:p>
    <w:p>
      <w:pPr>
        <w:ind w:right="40"/>
        <w:spacing w:after="0" w:line="244" w:lineRule="exact"/>
        <w:rPr>
          <w:sz w:val="20"/>
          <w:szCs w:val="20"/>
          <w:color w:val="auto"/>
        </w:rPr>
      </w:pPr>
      <w:r>
        <w:rPr>
          <w:rFonts w:ascii="Arial" w:cs="Arial" w:eastAsia="Arial" w:hAnsi="Arial"/>
          <w:sz w:val="19"/>
          <w:szCs w:val="19"/>
          <w:color w:val="auto"/>
        </w:rPr>
        <w:t>through operation of the sinking fund for this series at a Redemption Price equal to 100% of the principal amount, and (2) ]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at any time [on or after __________], as a whole or in</w:t>
      </w:r>
    </w:p>
    <w:p>
      <w:pPr>
        <w:ind w:right="300"/>
        <w:spacing w:after="0" w:line="237" w:lineRule="auto"/>
        <w:rPr>
          <w:sz w:val="20"/>
          <w:szCs w:val="20"/>
          <w:color w:val="auto"/>
        </w:rPr>
      </w:pPr>
      <w:r>
        <w:rPr>
          <w:rFonts w:ascii="Arial" w:cs="Arial" w:eastAsia="Arial" w:hAnsi="Arial"/>
          <w:sz w:val="22"/>
          <w:szCs w:val="22"/>
          <w:color w:val="auto"/>
        </w:rPr>
        <w:t>part, at the election of the Company, at the following Redemption Prices (expressed as percentages of the principal amount):</w:t>
      </w:r>
    </w:p>
    <w:p>
      <w:pPr>
        <w:spacing w:after="0" w:line="18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If redeemed on or before __________, ___% and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 of the years indicated at the Redemption Prices indicated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Year</w:t>
            </w:r>
          </w:p>
        </w:tc>
        <w:tc>
          <w:tcPr>
            <w:tcW w:w="3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Redemption Price</w:t>
            </w:r>
          </w:p>
        </w:tc>
        <w:tc>
          <w:tcPr>
            <w:tcW w:w="1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Year</w:t>
            </w:r>
          </w:p>
        </w:tc>
        <w:tc>
          <w:tcPr>
            <w:tcW w:w="3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Redemption Price</w:t>
            </w:r>
          </w:p>
        </w:tc>
      </w:tr>
      <w:tr>
        <w:trPr>
          <w:trHeight w:val="185"/>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r>
      <w:tr>
        <w:trPr>
          <w:trHeight w:val="453"/>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bl>
    <w:p>
      <w:pPr>
        <w:spacing w:after="0" w:line="222" w:lineRule="exact"/>
        <w:rPr>
          <w:sz w:val="20"/>
          <w:szCs w:val="20"/>
          <w:color w:val="auto"/>
        </w:rPr>
      </w:pPr>
    </w:p>
    <w:p>
      <w:pPr>
        <w:ind w:right="120"/>
        <w:spacing w:after="0" w:line="248" w:lineRule="exact"/>
        <w:rPr>
          <w:sz w:val="20"/>
          <w:szCs w:val="20"/>
          <w:color w:val="auto"/>
        </w:rPr>
      </w:pPr>
      <w:r>
        <w:rPr>
          <w:rFonts w:ascii="Arial" w:cs="Arial" w:eastAsia="Arial" w:hAnsi="Arial"/>
          <w:sz w:val="19"/>
          <w:szCs w:val="19"/>
          <w:color w:val="auto"/>
        </w:rPr>
        <w:t>and thereafter at a Redemption Price equal to ___% of the principal amount, together in the case of any such redemption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(whether through operation of the sinking fund or otherwise)] with accrued interest to the Redemption Date;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252" w:name="page253"/>
    <w:bookmarkEnd w:id="252"/>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(1) on __________ in any year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commencing with the year __________ and ending with the year __________ through operation of the</w:t>
      </w:r>
    </w:p>
    <w:p>
      <w:pPr>
        <w:spacing w:after="0" w:line="25"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sinking fund for this series at the Redemption Prices for redemption through operation of the sinking fund (expressed as percentages of the principal amount) set forth in the table below, and (2) at any time [on or after __________], as a whole or in part, at the election of the Company, at the Redemption</w:t>
      </w:r>
    </w:p>
    <w:p>
      <w:pPr>
        <w:ind w:right="80"/>
        <w:spacing w:after="0" w:line="244" w:lineRule="exact"/>
        <w:rPr>
          <w:sz w:val="20"/>
          <w:szCs w:val="20"/>
          <w:color w:val="auto"/>
        </w:rPr>
      </w:pPr>
      <w:r>
        <w:rPr>
          <w:rFonts w:ascii="Arial" w:cs="Arial" w:eastAsia="Arial" w:hAnsi="Arial"/>
          <w:sz w:val="19"/>
          <w:szCs w:val="19"/>
          <w:color w:val="auto"/>
        </w:rPr>
        <w:t>Prices for redemption otherwise than through operation of the sinking fund (expressed as percentages of the principal amount) set forth in the table below: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w:t>
      </w:r>
    </w:p>
    <w:p>
      <w:pPr>
        <w:spacing w:after="0"/>
        <w:rPr>
          <w:sz w:val="20"/>
          <w:szCs w:val="20"/>
          <w:color w:val="auto"/>
        </w:rPr>
      </w:pPr>
      <w:r>
        <w:rPr>
          <w:rFonts w:ascii="Arial" w:cs="Arial" w:eastAsia="Arial" w:hAnsi="Arial"/>
          <w:sz w:val="22"/>
          <w:szCs w:val="22"/>
          <w:color w:val="auto"/>
        </w:rPr>
        <w:t>__________ of the years indicated,</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320" w:type="dxa"/>
            <w:vAlign w:val="bottom"/>
            <w:tcBorders>
              <w:top w:val="single" w:sz="8" w:color="auto"/>
              <w:left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0" w:type="dxa"/>
            <w:vAlign w:val="bottom"/>
            <w:tcBorders>
              <w:top w:val="single" w:sz="8" w:color="auto"/>
              <w:right w:val="single" w:sz="8" w:color="auto"/>
            </w:tcBorders>
            <w:gridSpan w:val="4"/>
          </w:tcPr>
          <w:p>
            <w:pPr>
              <w:jc w:val="center"/>
              <w:ind w:right="460"/>
              <w:spacing w:after="0" w:line="236" w:lineRule="exact"/>
              <w:rPr>
                <w:sz w:val="20"/>
                <w:szCs w:val="20"/>
                <w:color w:val="auto"/>
              </w:rPr>
            </w:pPr>
            <w:r>
              <w:rPr>
                <w:rFonts w:ascii="Arial" w:cs="Arial" w:eastAsia="Arial" w:hAnsi="Arial"/>
                <w:sz w:val="22"/>
                <w:szCs w:val="22"/>
                <w:color w:val="auto"/>
                <w:w w:val="89"/>
              </w:rPr>
              <w:t>Redemption Price for</w:t>
            </w:r>
          </w:p>
        </w:tc>
        <w:tc>
          <w:tcPr>
            <w:tcW w:w="3000" w:type="dxa"/>
            <w:vAlign w:val="bottom"/>
            <w:tcBorders>
              <w:top w:val="single" w:sz="8" w:color="auto"/>
              <w:right w:val="single" w:sz="8" w:color="auto"/>
            </w:tcBorders>
            <w:gridSpan w:val="3"/>
          </w:tcPr>
          <w:p>
            <w:pPr>
              <w:jc w:val="center"/>
              <w:ind w:right="20"/>
              <w:spacing w:after="0" w:line="236" w:lineRule="exact"/>
              <w:rPr>
                <w:sz w:val="20"/>
                <w:szCs w:val="20"/>
                <w:color w:val="auto"/>
              </w:rPr>
            </w:pPr>
            <w:r>
              <w:rPr>
                <w:rFonts w:ascii="Arial" w:cs="Arial" w:eastAsia="Arial" w:hAnsi="Arial"/>
                <w:sz w:val="22"/>
                <w:szCs w:val="22"/>
                <w:color w:val="auto"/>
                <w:w w:val="89"/>
              </w:rPr>
              <w:t>Redemption Price for</w:t>
            </w:r>
          </w:p>
        </w:tc>
      </w:tr>
      <w:tr>
        <w:trPr>
          <w:trHeight w:val="243"/>
        </w:trPr>
        <w:tc>
          <w:tcPr>
            <w:tcW w:w="13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0" w:type="dxa"/>
            <w:vAlign w:val="bottom"/>
            <w:tcBorders>
              <w:right w:val="single" w:sz="8" w:color="auto"/>
            </w:tcBorders>
            <w:gridSpan w:val="4"/>
          </w:tcPr>
          <w:p>
            <w:pPr>
              <w:jc w:val="center"/>
              <w:ind w:right="460"/>
              <w:spacing w:after="0" w:line="243" w:lineRule="exact"/>
              <w:rPr>
                <w:sz w:val="20"/>
                <w:szCs w:val="20"/>
                <w:color w:val="auto"/>
              </w:rPr>
            </w:pPr>
            <w:r>
              <w:rPr>
                <w:rFonts w:ascii="Arial" w:cs="Arial" w:eastAsia="Arial" w:hAnsi="Arial"/>
                <w:sz w:val="22"/>
                <w:szCs w:val="22"/>
                <w:color w:val="auto"/>
                <w:w w:val="89"/>
              </w:rPr>
              <w:t>Redemption Through</w:t>
            </w:r>
          </w:p>
        </w:tc>
        <w:tc>
          <w:tcPr>
            <w:tcW w:w="3000" w:type="dxa"/>
            <w:vAlign w:val="bottom"/>
            <w:tcBorders>
              <w:right w:val="single" w:sz="8" w:color="auto"/>
            </w:tcBorders>
            <w:gridSpan w:val="3"/>
          </w:tcPr>
          <w:p>
            <w:pPr>
              <w:jc w:val="center"/>
              <w:ind w:right="20"/>
              <w:spacing w:after="0" w:line="243" w:lineRule="exact"/>
              <w:rPr>
                <w:sz w:val="20"/>
                <w:szCs w:val="20"/>
                <w:color w:val="auto"/>
              </w:rPr>
            </w:pPr>
            <w:r>
              <w:rPr>
                <w:rFonts w:ascii="Arial" w:cs="Arial" w:eastAsia="Arial" w:hAnsi="Arial"/>
                <w:sz w:val="22"/>
                <w:szCs w:val="22"/>
                <w:color w:val="auto"/>
                <w:w w:val="89"/>
              </w:rPr>
              <w:t>Redemption Otherwise Than</w:t>
            </w:r>
          </w:p>
        </w:tc>
      </w:tr>
      <w:tr>
        <w:trPr>
          <w:trHeight w:val="224"/>
        </w:trPr>
        <w:tc>
          <w:tcPr>
            <w:tcW w:w="13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Borders>
              <w:bottom w:val="single" w:sz="8" w:color="auto"/>
            </w:tcBorders>
            <w:gridSpan w:val="3"/>
          </w:tcPr>
          <w:p>
            <w:pPr>
              <w:jc w:val="center"/>
              <w:spacing w:after="0" w:line="224" w:lineRule="exact"/>
              <w:rPr>
                <w:sz w:val="20"/>
                <w:szCs w:val="20"/>
                <w:color w:val="auto"/>
              </w:rPr>
            </w:pPr>
            <w:r>
              <w:rPr>
                <w:rFonts w:ascii="Arial" w:cs="Arial" w:eastAsia="Arial" w:hAnsi="Arial"/>
                <w:sz w:val="22"/>
                <w:szCs w:val="22"/>
                <w:color w:val="auto"/>
                <w:w w:val="90"/>
              </w:rPr>
              <w:t>Operation of the Sinking</w:t>
            </w:r>
          </w:p>
        </w:tc>
        <w:tc>
          <w:tcPr>
            <w:tcW w:w="46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gridSpan w:val="3"/>
          </w:tcPr>
          <w:p>
            <w:pPr>
              <w:jc w:val="center"/>
              <w:ind w:right="20"/>
              <w:spacing w:after="0" w:line="224" w:lineRule="exact"/>
              <w:rPr>
                <w:sz w:val="20"/>
                <w:szCs w:val="20"/>
                <w:color w:val="auto"/>
              </w:rPr>
            </w:pPr>
            <w:r>
              <w:rPr>
                <w:rFonts w:ascii="Arial" w:cs="Arial" w:eastAsia="Arial" w:hAnsi="Arial"/>
                <w:sz w:val="22"/>
                <w:szCs w:val="22"/>
                <w:color w:val="auto"/>
                <w:w w:val="90"/>
              </w:rPr>
              <w:t>Through Operation of the</w:t>
            </w:r>
          </w:p>
        </w:tc>
      </w:tr>
      <w:tr>
        <w:trPr>
          <w:trHeight w:val="223"/>
        </w:trPr>
        <w:tc>
          <w:tcPr>
            <w:tcW w:w="1320" w:type="dxa"/>
            <w:vAlign w:val="bottom"/>
            <w:tcBorders>
              <w:left w:val="single" w:sz="8" w:color="auto"/>
            </w:tcBorders>
          </w:tcPr>
          <w:p>
            <w:pPr>
              <w:spacing w:after="0"/>
              <w:rPr>
                <w:sz w:val="19"/>
                <w:szCs w:val="19"/>
                <w:color w:val="auto"/>
              </w:rPr>
            </w:pPr>
          </w:p>
        </w:tc>
        <w:tc>
          <w:tcPr>
            <w:tcW w:w="1720" w:type="dxa"/>
            <w:vAlign w:val="bottom"/>
            <w:tcBorders>
              <w:right w:val="single" w:sz="8" w:color="auto"/>
            </w:tcBorders>
            <w:gridSpan w:val="2"/>
          </w:tcPr>
          <w:p>
            <w:pPr>
              <w:spacing w:after="0" w:line="223" w:lineRule="exact"/>
              <w:rPr>
                <w:sz w:val="20"/>
                <w:szCs w:val="20"/>
                <w:color w:val="auto"/>
              </w:rPr>
            </w:pPr>
            <w:r>
              <w:rPr>
                <w:rFonts w:ascii="Arial" w:cs="Arial" w:eastAsia="Arial" w:hAnsi="Arial"/>
                <w:sz w:val="22"/>
                <w:szCs w:val="22"/>
                <w:color w:val="auto"/>
              </w:rPr>
              <w:t>Year</w:t>
            </w:r>
          </w:p>
        </w:tc>
        <w:tc>
          <w:tcPr>
            <w:tcW w:w="440" w:type="dxa"/>
            <w:vAlign w:val="bottom"/>
          </w:tcPr>
          <w:p>
            <w:pPr>
              <w:spacing w:after="0"/>
              <w:rPr>
                <w:sz w:val="19"/>
                <w:szCs w:val="19"/>
                <w:color w:val="auto"/>
              </w:rPr>
            </w:pPr>
          </w:p>
        </w:tc>
        <w:tc>
          <w:tcPr>
            <w:tcW w:w="2600" w:type="dxa"/>
            <w:vAlign w:val="bottom"/>
            <w:tcBorders>
              <w:right w:val="single" w:sz="8" w:color="auto"/>
            </w:tcBorders>
            <w:gridSpan w:val="4"/>
          </w:tcPr>
          <w:p>
            <w:pPr>
              <w:jc w:val="center"/>
              <w:ind w:right="480"/>
              <w:spacing w:after="0" w:line="223" w:lineRule="exact"/>
              <w:rPr>
                <w:sz w:val="20"/>
                <w:szCs w:val="20"/>
                <w:color w:val="auto"/>
              </w:rPr>
            </w:pPr>
            <w:r>
              <w:rPr>
                <w:rFonts w:ascii="Arial" w:cs="Arial" w:eastAsia="Arial" w:hAnsi="Arial"/>
                <w:sz w:val="22"/>
                <w:szCs w:val="22"/>
                <w:color w:val="auto"/>
                <w:w w:val="87"/>
              </w:rPr>
              <w:t>Fund</w:t>
            </w:r>
          </w:p>
        </w:tc>
        <w:tc>
          <w:tcPr>
            <w:tcW w:w="900" w:type="dxa"/>
            <w:vAlign w:val="bottom"/>
          </w:tcPr>
          <w:p>
            <w:pPr>
              <w:spacing w:after="0"/>
              <w:rPr>
                <w:sz w:val="19"/>
                <w:szCs w:val="19"/>
                <w:color w:val="auto"/>
              </w:rPr>
            </w:pPr>
          </w:p>
        </w:tc>
        <w:tc>
          <w:tcPr>
            <w:tcW w:w="2100" w:type="dxa"/>
            <w:vAlign w:val="bottom"/>
            <w:tcBorders>
              <w:right w:val="single" w:sz="8" w:color="auto"/>
            </w:tcBorders>
            <w:gridSpan w:val="2"/>
          </w:tcPr>
          <w:p>
            <w:pPr>
              <w:jc w:val="center"/>
              <w:ind w:right="920"/>
              <w:spacing w:after="0" w:line="223" w:lineRule="exact"/>
              <w:rPr>
                <w:sz w:val="20"/>
                <w:szCs w:val="20"/>
                <w:color w:val="auto"/>
              </w:rPr>
            </w:pPr>
            <w:r>
              <w:rPr>
                <w:rFonts w:ascii="Arial" w:cs="Arial" w:eastAsia="Arial" w:hAnsi="Arial"/>
                <w:sz w:val="22"/>
                <w:szCs w:val="22"/>
                <w:color w:val="auto"/>
                <w:w w:val="91"/>
              </w:rPr>
              <w:t>Sinking Fund</w:t>
            </w:r>
          </w:p>
        </w:tc>
      </w:tr>
      <w:tr>
        <w:trPr>
          <w:trHeight w:val="264"/>
        </w:trPr>
        <w:tc>
          <w:tcPr>
            <w:tcW w:w="1320" w:type="dxa"/>
            <w:vAlign w:val="bottom"/>
            <w:tcBorders>
              <w:left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r>
      <w:tr>
        <w:trPr>
          <w:trHeight w:val="480"/>
        </w:trPr>
        <w:tc>
          <w:tcPr>
            <w:tcW w:w="13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bl>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7"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Notwithstanding the foregoing, the Company may not, prior to</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redeem any Securities as contemplated by [Clause (2) of] the preceding paragraph as a part</w:t>
      </w:r>
    </w:p>
    <w:p>
      <w:pPr>
        <w:spacing w:after="0" w:line="25" w:lineRule="exact"/>
        <w:rPr>
          <w:sz w:val="20"/>
          <w:szCs w:val="20"/>
          <w:color w:val="auto"/>
        </w:rPr>
      </w:pPr>
    </w:p>
    <w:p>
      <w:pPr>
        <w:jc w:val="both"/>
        <w:ind w:right="400"/>
        <w:spacing w:after="0" w:line="234" w:lineRule="auto"/>
        <w:rPr>
          <w:sz w:val="20"/>
          <w:szCs w:val="20"/>
          <w:color w:val="auto"/>
        </w:rPr>
      </w:pPr>
      <w:r>
        <w:rPr>
          <w:rFonts w:ascii="Arial" w:cs="Arial" w:eastAsia="Arial" w:hAnsi="Arial"/>
          <w:sz w:val="22"/>
          <w:szCs w:val="22"/>
          <w:color w:val="auto"/>
        </w:rPr>
        <w:t>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87" w:lineRule="exact"/>
        <w:rPr>
          <w:sz w:val="20"/>
          <w:szCs w:val="20"/>
          <w:color w:val="auto"/>
        </w:rPr>
      </w:pPr>
    </w:p>
    <w:p>
      <w:pPr>
        <w:jc w:val="center"/>
        <w:ind w:right="4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sinking fund for the Securities provides for the redemption 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in each year, beginning with the year __________ and ending with the year __________,</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[not less than] $__________] [(“mandatory sinking fund”) and not more than $__________]</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22"/>
          <w:szCs w:val="22"/>
          <w:u w:val="single" w:color="auto"/>
          <w:color w:val="auto"/>
        </w:rPr>
        <w:t>describe order</w:t>
      </w:r>
      <w:r>
        <w:rPr>
          <w:rFonts w:ascii="Arial" w:cs="Arial" w:eastAsia="Arial" w:hAnsi="Arial"/>
          <w:sz w:val="22"/>
          <w:szCs w:val="22"/>
          <w:color w:val="auto"/>
        </w:rPr>
        <w:t>] order in which they become due.]]</w:t>
      </w:r>
    </w:p>
    <w:p>
      <w:pPr>
        <w:spacing w:after="0" w:line="188" w:lineRule="exact"/>
        <w:rPr>
          <w:sz w:val="20"/>
          <w:szCs w:val="20"/>
          <w:color w:val="auto"/>
        </w:rPr>
      </w:pPr>
    </w:p>
    <w:p>
      <w:pPr>
        <w:ind w:right="300" w:firstLine="648"/>
        <w:spacing w:after="0" w:line="251" w:lineRule="auto"/>
        <w:rPr>
          <w:sz w:val="20"/>
          <w:szCs w:val="20"/>
          <w:color w:val="auto"/>
        </w:rPr>
      </w:pPr>
      <w:r>
        <w:rPr>
          <w:rFonts w:ascii="Arial" w:cs="Arial" w:eastAsia="Arial" w:hAnsi="Arial"/>
          <w:sz w:val="22"/>
          <w:szCs w:val="22"/>
          <w:color w:val="auto"/>
        </w:rPr>
        <w:t>Notice of redemption will be given by mail to Holders of Securities, not less than 30 nor more than 60 days prior to the Redemption Date, all as provided in the Indenture.</w:t>
      </w:r>
    </w:p>
    <w:p>
      <w:pPr>
        <w:spacing w:after="0" w:line="173" w:lineRule="exact"/>
        <w:rPr>
          <w:sz w:val="20"/>
          <w:szCs w:val="20"/>
          <w:color w:val="auto"/>
        </w:rPr>
      </w:pPr>
    </w:p>
    <w:p>
      <w:pPr>
        <w:jc w:val="both"/>
        <w:ind w:right="560" w:firstLine="648"/>
        <w:spacing w:after="0"/>
        <w:rPr>
          <w:sz w:val="20"/>
          <w:szCs w:val="20"/>
          <w:color w:val="auto"/>
        </w:rPr>
      </w:pPr>
      <w:r>
        <w:rPr>
          <w:rFonts w:ascii="Arial" w:cs="Arial" w:eastAsia="Arial" w:hAnsi="Arial"/>
          <w:sz w:val="22"/>
          <w:szCs w:val="22"/>
          <w:color w:val="auto"/>
        </w:rPr>
        <w:t>In the event of redemption of this Security in part only, a new Security or Securities for the unredeemed portion hereof shall be issued in the name of the Holder hereof upon the cancellation hereof.</w:t>
      </w:r>
    </w:p>
    <w:p>
      <w:pPr>
        <w:spacing w:after="0" w:line="186" w:lineRule="exact"/>
        <w:rPr>
          <w:sz w:val="20"/>
          <w:szCs w:val="20"/>
          <w:color w:val="auto"/>
        </w:rPr>
      </w:pPr>
    </w:p>
    <w:p>
      <w:pPr>
        <w:ind w:right="700" w:firstLine="648"/>
        <w:spacing w:after="0" w:line="251" w:lineRule="auto"/>
        <w:rPr>
          <w:sz w:val="20"/>
          <w:szCs w:val="20"/>
          <w:color w:val="auto"/>
        </w:rPr>
      </w:pPr>
      <w:r>
        <w:rPr>
          <w:rFonts w:ascii="Arial" w:cs="Arial" w:eastAsia="Arial" w:hAnsi="Arial"/>
          <w:sz w:val="22"/>
          <w:szCs w:val="22"/>
          <w:color w:val="auto"/>
        </w:rPr>
        <w:t>[If applicable, insert conversion provisions set forth in any Board Resolution or indenture supplemental to the Indenture.]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253" w:name="page254"/>
    <w:bookmarkEnd w:id="253"/>
    <w:p>
      <w:pPr>
        <w:ind w:firstLine="648"/>
        <w:spacing w:after="0" w:line="271"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66"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58"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5"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This Security is subordinated to the prior payment in full in cash of Senior Indebtedness to the extent set forth in Article Sixteen of the Indenture.</w:t>
      </w:r>
    </w:p>
    <w:p>
      <w:pPr>
        <w:spacing w:after="0" w:line="173" w:lineRule="exact"/>
        <w:rPr>
          <w:sz w:val="20"/>
          <w:szCs w:val="20"/>
          <w:color w:val="auto"/>
        </w:rPr>
      </w:pPr>
    </w:p>
    <w:p>
      <w:pPr>
        <w:ind w:right="1040" w:firstLine="648"/>
        <w:spacing w:after="0" w:line="251" w:lineRule="auto"/>
        <w:rPr>
          <w:sz w:val="20"/>
          <w:szCs w:val="20"/>
          <w:color w:val="auto"/>
        </w:rPr>
      </w:pPr>
      <w:r>
        <w:rPr>
          <w:rFonts w:ascii="Arial" w:cs="Arial" w:eastAsia="Arial" w:hAnsi="Arial"/>
          <w:sz w:val="22"/>
          <w:szCs w:val="22"/>
          <w:color w:val="auto"/>
        </w:rPr>
        <w:t>The Securities of this series are issuable only in registered form [without coupons] in denominations of $__________ and any integral multiple thereof.</w:t>
      </w:r>
    </w:p>
    <w:p>
      <w:pPr>
        <w:spacing w:after="0" w:line="17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8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54" w:name="page255"/>
    <w:bookmarkEnd w:id="254"/>
    <w:p>
      <w:pPr>
        <w:ind w:right="179" w:firstLine="648"/>
        <w:spacing w:after="0" w:line="246" w:lineRule="auto"/>
        <w:rPr>
          <w:sz w:val="20"/>
          <w:szCs w:val="20"/>
          <w:color w:val="auto"/>
        </w:rPr>
      </w:pPr>
      <w:r>
        <w:rPr>
          <w:rFonts w:ascii="Arial" w:cs="Arial" w:eastAsia="Arial" w:hAnsi="Arial"/>
          <w:sz w:val="21"/>
          <w:szCs w:val="21"/>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1" w:lineRule="exact"/>
        <w:rPr>
          <w:sz w:val="20"/>
          <w:szCs w:val="20"/>
          <w:color w:val="auto"/>
        </w:rPr>
      </w:pPr>
    </w:p>
    <w:p>
      <w:pPr>
        <w:ind w:right="19" w:firstLine="648"/>
        <w:spacing w:after="0" w:line="328" w:lineRule="auto"/>
        <w:rPr>
          <w:sz w:val="20"/>
          <w:szCs w:val="20"/>
          <w:color w:val="auto"/>
        </w:rPr>
      </w:pPr>
      <w:r>
        <w:rPr>
          <w:rFonts w:ascii="Arial" w:cs="Arial" w:eastAsia="Arial" w:hAnsi="Arial"/>
          <w:sz w:val="19"/>
          <w:szCs w:val="19"/>
          <w:color w:val="auto"/>
        </w:rPr>
        <w:t>The Indenture and the Securities shall be governed by and construed in accordance with the laws of the State of New York applicable to agreements made and to be performed entirely 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FORMS OF CERTIFICATION</w:t>
      </w:r>
    </w:p>
    <w:p>
      <w:pPr>
        <w:spacing w:after="0" w:line="206"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206" w:lineRule="exact"/>
        <w:rPr>
          <w:sz w:val="20"/>
          <w:szCs w:val="20"/>
          <w:color w:val="auto"/>
        </w:rPr>
      </w:pPr>
    </w:p>
    <w:p>
      <w:pPr>
        <w:jc w:val="center"/>
        <w:ind w:left="1440" w:right="380"/>
        <w:spacing w:after="0" w:line="328" w:lineRule="auto"/>
        <w:rPr>
          <w:sz w:val="20"/>
          <w:szCs w:val="20"/>
          <w:color w:val="auto"/>
        </w:rPr>
      </w:pPr>
      <w:r>
        <w:rPr>
          <w:rFonts w:ascii="Arial" w:cs="Arial" w:eastAsia="Arial" w:hAnsi="Arial"/>
          <w:sz w:val="19"/>
          <w:szCs w:val="19"/>
          <w:color w:val="auto"/>
        </w:rPr>
        <w:t>FORM OF CERTIFICATE TO BE GIVEN BY PERSON ENTITLED TO RECEIVE BEARER SECURITY OR TO OBTAIN INTEREST PAYABLE PRIOR TO THE EXCHANGE DATE</w:t>
      </w:r>
    </w:p>
    <w:p>
      <w:pPr>
        <w:spacing w:after="0" w:line="10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This is to certify that, as of the date hereof, and except as set forth below,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Blueprint Medicines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211" w:lineRule="exact"/>
        <w:rPr>
          <w:sz w:val="20"/>
          <w:szCs w:val="20"/>
          <w:color w:val="auto"/>
        </w:rPr>
      </w:pPr>
    </w:p>
    <w:p>
      <w:pPr>
        <w:jc w:val="both"/>
        <w:ind w:right="30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right="20" w:firstLine="648"/>
        <w:spacing w:after="0" w:line="249" w:lineRule="exact"/>
        <w:rPr>
          <w:sz w:val="20"/>
          <w:szCs w:val="20"/>
          <w:color w:val="auto"/>
        </w:rPr>
      </w:pPr>
      <w:r>
        <w:rPr>
          <w:rFonts w:ascii="Arial" w:cs="Arial" w:eastAsia="Arial" w:hAnsi="Arial"/>
          <w:sz w:val="22"/>
          <w:szCs w:val="22"/>
          <w:color w:val="auto"/>
        </w:rPr>
        <w:t>We undertake to advise you promptly by tested telex or by telecopy on or prior to the date on which you intend to submit your certification relating to the above</w:t>
      </w:r>
      <w:r>
        <w:rPr>
          <w:rFonts w:ascii="MS PGothic" w:cs="MS PGothic" w:eastAsia="MS PGothic" w:hAnsi="MS PGothic"/>
          <w:sz w:val="22"/>
          <w:szCs w:val="22"/>
          <w:color w:val="auto"/>
        </w:rPr>
        <w:t>‑</w:t>
      </w:r>
      <w:r>
        <w:rPr>
          <w:rFonts w:ascii="Arial" w:cs="Arial" w:eastAsia="Arial" w:hAnsi="Arial"/>
          <w:sz w:val="22"/>
          <w:szCs w:val="22"/>
          <w:color w:val="auto"/>
        </w:rPr>
        <w:t>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8" w:lineRule="exact"/>
        <w:rPr>
          <w:sz w:val="20"/>
          <w:szCs w:val="20"/>
          <w:color w:val="auto"/>
        </w:rPr>
      </w:pPr>
    </w:p>
    <w:p>
      <w:pPr>
        <w:ind w:firstLine="648"/>
        <w:spacing w:after="0" w:line="251" w:lineRule="exact"/>
        <w:rPr>
          <w:sz w:val="20"/>
          <w:szCs w:val="20"/>
          <w:color w:val="auto"/>
        </w:rPr>
      </w:pPr>
      <w:r>
        <w:rPr>
          <w:rFonts w:ascii="Arial" w:cs="Arial" w:eastAsia="Arial" w:hAnsi="Arial"/>
          <w:sz w:val="19"/>
          <w:szCs w:val="19"/>
          <w:color w:val="auto"/>
        </w:rPr>
        <w:t>This certificate excepts and does not relate to [U.S.$] of such interest in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256" w:name="page257"/>
    <w:bookmarkEnd w:id="256"/>
    <w:p>
      <w:pPr>
        <w:ind w:right="179" w:firstLine="648"/>
        <w:spacing w:after="0" w:line="287" w:lineRule="auto"/>
        <w:rPr>
          <w:sz w:val="20"/>
          <w:szCs w:val="20"/>
          <w:color w:val="auto"/>
        </w:rPr>
      </w:pPr>
      <w:r>
        <w:rPr>
          <w:rFonts w:ascii="Arial" w:cs="Arial" w:eastAsia="Arial" w:hAnsi="Arial"/>
          <w:sz w:val="19"/>
          <w:szCs w:val="19"/>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619" w:firstLine="648"/>
        <w:spacing w:after="0" w:line="274" w:lineRule="auto"/>
        <w:rPr>
          <w:sz w:val="20"/>
          <w:szCs w:val="20"/>
          <w:color w:val="auto"/>
        </w:rPr>
      </w:pPr>
      <w:r>
        <w:rPr>
          <w:rFonts w:ascii="Arial" w:cs="Arial" w:eastAsia="Arial" w:hAnsi="Arial"/>
          <w:sz w:val="21"/>
          <w:szCs w:val="21"/>
          <w:color w:val="auto"/>
        </w:rPr>
        <w:t>[To be dated no earlier than the 15th day prior to (i) the Exchange Date or (ii) the relevant Interest Payment Date occurring prior to the Exchange Date, as applicable]</w:t>
      </w:r>
    </w:p>
    <w:p>
      <w:pPr>
        <w:spacing w:after="0" w:line="21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of Person Making Certification]</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-154940</wp:posOffset>
            </wp:positionV>
            <wp:extent cx="28727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7" w:name="page258"/>
    <w:bookmarkEnd w:id="257"/>
    <w:p>
      <w:pPr>
        <w:jc w:val="center"/>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7" w:lineRule="exact"/>
        <w:rPr>
          <w:sz w:val="20"/>
          <w:szCs w:val="20"/>
          <w:color w:val="auto"/>
        </w:rPr>
      </w:pPr>
    </w:p>
    <w:p>
      <w:pPr>
        <w:jc w:val="both"/>
        <w:ind w:left="480" w:right="360" w:hanging="108"/>
        <w:spacing w:after="0" w:line="297" w:lineRule="auto"/>
        <w:rPr>
          <w:sz w:val="20"/>
          <w:szCs w:val="20"/>
          <w:color w:val="auto"/>
        </w:rPr>
      </w:pPr>
      <w:r>
        <w:rPr>
          <w:rFonts w:ascii="Arial" w:cs="Arial" w:eastAsia="Arial" w:hAnsi="Arial"/>
          <w:sz w:val="19"/>
          <w:szCs w:val="19"/>
          <w:color w:val="auto"/>
        </w:rPr>
        <w:t>FORM OF CERTIFICATE TO BE GIVEN BY EUROCLEAR AND CLEARSTREAM S.A. IN CONNECTION WITH THE EXCHANGE OF A PORTION OF A TEMPORARY GLOBAL SECURITY OR TO OBTAIN INTEREST PAYABLE PRIOR TO THE EXCHANGE DATE</w:t>
      </w:r>
    </w:p>
    <w:p>
      <w:pPr>
        <w:spacing w:after="0" w:line="13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4" w:lineRule="exact"/>
        <w:rPr>
          <w:sz w:val="20"/>
          <w:szCs w:val="20"/>
          <w:color w:val="auto"/>
        </w:rPr>
      </w:pPr>
      <w:r>
        <w:rPr>
          <w:rFonts w:ascii="Arial" w:cs="Arial" w:eastAsia="Arial" w:hAnsi="Arial"/>
          <w:sz w:val="19"/>
          <w:szCs w:val="19"/>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7" w:lineRule="exact"/>
        <w:rPr>
          <w:sz w:val="20"/>
          <w:szCs w:val="20"/>
          <w:color w:val="auto"/>
        </w:rPr>
      </w:pPr>
    </w:p>
    <w:p>
      <w:pPr>
        <w:ind w:right="20" w:firstLine="3"/>
        <w:spacing w:after="0" w:line="245" w:lineRule="exact"/>
        <w:tabs>
          <w:tab w:leader="none" w:pos="29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or (b), each such financial institution has agreed, on its own behalf or through its agent, that we may advise Blueprint Medicines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w:t>
      </w:r>
      <w:r>
        <w:rPr>
          <w:rFonts w:ascii="MS PGothic" w:cs="MS PGothic" w:eastAsia="MS PGothic" w:hAnsi="MS PGothic"/>
          <w:sz w:val="21"/>
          <w:szCs w:val="21"/>
          <w:color w:val="auto"/>
        </w:rPr>
        <w:t>‑</w:t>
      </w:r>
      <w:r>
        <w:rPr>
          <w:rFonts w:ascii="Arial" w:cs="Arial" w:eastAsia="Arial" w:hAnsi="Arial"/>
          <w:sz w:val="21"/>
          <w:szCs w:val="21"/>
          <w:color w:val="auto"/>
        </w:rPr>
        <w:t>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jc w:val="both"/>
        <w:ind w:right="30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further certify that (i) we are not making available herewith for exchange (or, if relevant,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collection of any interest) any portion of the temporary Global Security representing the</w:t>
      </w:r>
    </w:p>
    <w:p>
      <w:pPr>
        <w:spacing w:after="0" w:line="219" w:lineRule="exact"/>
        <w:rPr>
          <w:sz w:val="20"/>
          <w:szCs w:val="20"/>
          <w:color w:val="auto"/>
        </w:rPr>
      </w:pPr>
      <w:r>
        <w:rPr>
          <w:rFonts w:ascii="Arial" w:cs="Arial" w:eastAsia="Arial" w:hAnsi="Arial"/>
          <w:sz w:val="19"/>
          <w:szCs w:val="19"/>
          <w:color w:val="auto"/>
        </w:rPr>
        <w:t>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excepted in the above</w:t>
      </w:r>
      <w:r>
        <w:rPr>
          <w:rFonts w:ascii="MS PGothic" w:cs="MS PGothic" w:eastAsia="MS PGothic" w:hAnsi="MS PGothic"/>
          <w:sz w:val="19"/>
          <w:szCs w:val="19"/>
          <w:color w:val="auto"/>
        </w:rPr>
        <w:t>‑</w:t>
      </w:r>
      <w:r>
        <w:rPr>
          <w:rFonts w:ascii="Arial" w:cs="Arial" w:eastAsia="Arial" w:hAnsi="Arial"/>
          <w:sz w:val="19"/>
          <w:szCs w:val="19"/>
          <w:color w:val="auto"/>
        </w:rPr>
        <w:t>referenced certificates of Member Organizations and</w:t>
      </w:r>
    </w:p>
    <w:p>
      <w:pPr>
        <w:spacing w:after="0" w:line="25" w:lineRule="exact"/>
        <w:rPr>
          <w:sz w:val="20"/>
          <w:szCs w:val="20"/>
          <w:color w:val="auto"/>
        </w:rPr>
      </w:pPr>
    </w:p>
    <w:p>
      <w:pPr>
        <w:ind w:firstLine="3"/>
        <w:spacing w:after="0" w:line="233" w:lineRule="auto"/>
        <w:tabs>
          <w:tab w:leader="none" w:pos="31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ind w:right="80" w:firstLine="648"/>
        <w:spacing w:after="0" w:line="252" w:lineRule="auto"/>
        <w:rPr>
          <w:sz w:val="20"/>
          <w:szCs w:val="20"/>
          <w:color w:val="auto"/>
        </w:rPr>
      </w:pPr>
      <w:r>
        <w:rPr>
          <w:rFonts w:ascii="Arial" w:cs="Arial" w:eastAsia="Arial" w:hAnsi="Arial"/>
          <w:sz w:val="21"/>
          <w:szCs w:val="21"/>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Dated: __________</w:t>
      </w:r>
    </w:p>
    <w:p>
      <w:pPr>
        <w:spacing w:after="0" w:line="207" w:lineRule="exact"/>
        <w:rPr>
          <w:sz w:val="20"/>
          <w:szCs w:val="20"/>
          <w:color w:val="auto"/>
        </w:rPr>
      </w:pPr>
    </w:p>
    <w:p>
      <w:pPr>
        <w:ind w:right="159" w:firstLine="648"/>
        <w:spacing w:after="0" w:line="251" w:lineRule="auto"/>
        <w:rPr>
          <w:sz w:val="20"/>
          <w:szCs w:val="20"/>
          <w:color w:val="auto"/>
        </w:rPr>
      </w:pPr>
      <w:r>
        <w:rPr>
          <w:rFonts w:ascii="Arial" w:cs="Arial" w:eastAsia="Arial" w:hAnsi="Arial"/>
          <w:sz w:val="22"/>
          <w:szCs w:val="22"/>
          <w:color w:val="auto"/>
        </w:rPr>
        <w:t>[To be dated no earlier than the Exchange Date or the relevant Interest Payment Date occurring prior to the Exchange Date, as applicable]</w:t>
      </w:r>
    </w:p>
    <w:p>
      <w:pPr>
        <w:spacing w:after="0" w:line="173" w:lineRule="exact"/>
        <w:rPr>
          <w:sz w:val="20"/>
          <w:szCs w:val="20"/>
          <w:color w:val="auto"/>
        </w:rPr>
      </w:pPr>
    </w:p>
    <w:p>
      <w:pPr>
        <w:ind w:right="219" w:firstLine="648"/>
        <w:spacing w:after="0" w:line="251" w:lineRule="auto"/>
        <w:rPr>
          <w:sz w:val="20"/>
          <w:szCs w:val="20"/>
          <w:color w:val="auto"/>
        </w:rPr>
      </w:pPr>
      <w:r>
        <w:rPr>
          <w:rFonts w:ascii="Arial" w:cs="Arial" w:eastAsia="Arial" w:hAnsi="Arial"/>
          <w:sz w:val="22"/>
          <w:szCs w:val="22"/>
          <w:color w:val="auto"/>
        </w:rPr>
        <w:t>[Morgan Guaranty Trust Company of New York, Brussels Office, as Operator of the Euroclear System Clearstream Banking Luxembourg]</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26327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w:t>
      </w:r>
    </w:p>
    <w:p>
      <w:pPr>
        <w:ind w:left="4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9" w:name="page260"/>
    <w:bookmarkEnd w:id="259"/>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92" w:lineRule="exact"/>
        <w:rPr>
          <w:sz w:val="20"/>
          <w:szCs w:val="20"/>
          <w:color w:val="auto"/>
        </w:rPr>
      </w:pPr>
    </w:p>
    <w:p>
      <w:pPr>
        <w:jc w:val="right"/>
        <w:ind w:right="139"/>
        <w:spacing w:after="0"/>
        <w:rPr>
          <w:sz w:val="20"/>
          <w:szCs w:val="20"/>
          <w:color w:val="auto"/>
        </w:rPr>
      </w:pPr>
      <w:r>
        <w:rPr>
          <w:rFonts w:ascii="Arial" w:cs="Arial" w:eastAsia="Arial" w:hAnsi="Arial"/>
          <w:sz w:val="22"/>
          <w:szCs w:val="22"/>
          <w:color w:val="auto"/>
        </w:rPr>
        <w:t>March 9, 2017</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38 Sidney Street, Suite 200</w:t>
      </w:r>
    </w:p>
    <w:p>
      <w:pPr>
        <w:ind w:left="16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Re: Securities Being Registered under Registration Statement on Form S-3</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60" w:right="199"/>
        <w:spacing w:after="0" w:line="269" w:lineRule="auto"/>
        <w:rPr>
          <w:sz w:val="20"/>
          <w:szCs w:val="20"/>
          <w:color w:val="auto"/>
        </w:rPr>
      </w:pPr>
      <w:r>
        <w:rPr>
          <w:rFonts w:ascii="Arial" w:cs="Arial" w:eastAsia="Arial" w:hAnsi="Arial"/>
          <w:sz w:val="19"/>
          <w:szCs w:val="19"/>
          <w:color w:val="auto"/>
        </w:rPr>
        <w:t>We have acted as counsel to you in connection with your filing of an automatic shelf Registration Statement on Form S-3 (as amended or supplemented,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pursuant to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relating to the registration of an indeterminate amount of (i)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Blueprint Medicines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(ii) preferred stock, par value $0.001 per share, of the Company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which may be issued as such or in the form of depositary shares (the “</w:t>
      </w:r>
      <w:r>
        <w:rPr>
          <w:rFonts w:ascii="Arial" w:cs="Arial" w:eastAsia="Arial" w:hAnsi="Arial"/>
          <w:sz w:val="19"/>
          <w:szCs w:val="19"/>
          <w:u w:val="single" w:color="auto"/>
          <w:color w:val="auto"/>
        </w:rPr>
        <w:t>Depositary Shares</w:t>
      </w:r>
      <w:r>
        <w:rPr>
          <w:rFonts w:ascii="Arial" w:cs="Arial" w:eastAsia="Arial" w:hAnsi="Arial"/>
          <w:sz w:val="19"/>
          <w:szCs w:val="19"/>
          <w:color w:val="auto"/>
        </w:rPr>
        <w:t>”), evidenced by depositary receipts issued against deposit of shares of Preferred Stock pursuant to a deposit agreement to be entered into between the Company and a bank or trust company selected by the Company (the “</w:t>
      </w:r>
      <w:r>
        <w:rPr>
          <w:rFonts w:ascii="Arial" w:cs="Arial" w:eastAsia="Arial" w:hAnsi="Arial"/>
          <w:sz w:val="19"/>
          <w:szCs w:val="19"/>
          <w:u w:val="single" w:color="auto"/>
          <w:color w:val="auto"/>
        </w:rPr>
        <w:t>Depositary</w:t>
      </w:r>
      <w:r>
        <w:rPr>
          <w:rFonts w:ascii="Arial" w:cs="Arial" w:eastAsia="Arial" w:hAnsi="Arial"/>
          <w:sz w:val="19"/>
          <w:szCs w:val="19"/>
          <w:color w:val="auto"/>
        </w:rPr>
        <w:t>”),</w:t>
      </w:r>
    </w:p>
    <w:p>
      <w:pPr>
        <w:spacing w:after="0" w:line="2" w:lineRule="exact"/>
        <w:rPr>
          <w:sz w:val="20"/>
          <w:szCs w:val="20"/>
          <w:color w:val="auto"/>
        </w:rPr>
      </w:pPr>
    </w:p>
    <w:p>
      <w:pPr>
        <w:ind w:left="160" w:right="359" w:hanging="9"/>
        <w:spacing w:after="0" w:line="267" w:lineRule="auto"/>
        <w:tabs>
          <w:tab w:leader="none" w:pos="53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debt securities of the Company (“</w:t>
      </w:r>
      <w:r>
        <w:rPr>
          <w:rFonts w:ascii="Arial" w:cs="Arial" w:eastAsia="Arial" w:hAnsi="Arial"/>
          <w:sz w:val="19"/>
          <w:szCs w:val="19"/>
          <w:u w:val="single" w:color="auto"/>
          <w:color w:val="auto"/>
        </w:rPr>
        <w:t>Debt Securities</w:t>
      </w:r>
      <w:r>
        <w:rPr>
          <w:rFonts w:ascii="Arial" w:cs="Arial" w:eastAsia="Arial" w:hAnsi="Arial"/>
          <w:sz w:val="19"/>
          <w:szCs w:val="19"/>
          <w:color w:val="auto"/>
        </w:rPr>
        <w:t>”), (iv) warrants to purchase Common Stock, Preferred Stock, Debt Securities, Depositary Shares or Units (as defined below ) (“</w:t>
      </w:r>
      <w:r>
        <w:rPr>
          <w:rFonts w:ascii="Arial" w:cs="Arial" w:eastAsia="Arial" w:hAnsi="Arial"/>
          <w:sz w:val="19"/>
          <w:szCs w:val="19"/>
          <w:u w:val="single" w:color="auto"/>
          <w:color w:val="auto"/>
        </w:rPr>
        <w:t>Warrants</w:t>
      </w:r>
      <w:r>
        <w:rPr>
          <w:rFonts w:ascii="Arial" w:cs="Arial" w:eastAsia="Arial" w:hAnsi="Arial"/>
          <w:sz w:val="19"/>
          <w:szCs w:val="19"/>
          <w:color w:val="auto"/>
        </w:rPr>
        <w:t>”),</w:t>
      </w:r>
    </w:p>
    <w:p>
      <w:pPr>
        <w:ind w:left="160" w:right="179" w:hanging="9"/>
        <w:spacing w:after="0" w:line="270" w:lineRule="auto"/>
        <w:tabs>
          <w:tab w:leader="none" w:pos="52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units comprised of Common Stock, Preferred Stock, Debt Securities, Depositary Shares, Stock Purchase Contracts (as defined below), Warrants and other securities in any combination (“</w:t>
      </w:r>
      <w:r>
        <w:rPr>
          <w:rFonts w:ascii="Arial" w:cs="Arial" w:eastAsia="Arial" w:hAnsi="Arial"/>
          <w:sz w:val="19"/>
          <w:szCs w:val="19"/>
          <w:u w:val="single" w:color="auto"/>
          <w:color w:val="auto"/>
        </w:rPr>
        <w:t>Units</w:t>
      </w:r>
      <w:r>
        <w:rPr>
          <w:rFonts w:ascii="Arial" w:cs="Arial" w:eastAsia="Arial" w:hAnsi="Arial"/>
          <w:sz w:val="19"/>
          <w:szCs w:val="19"/>
          <w:color w:val="auto"/>
        </w:rPr>
        <w:t>”) and (vi) purchase contracts of the Company (the “</w:t>
      </w:r>
      <w:r>
        <w:rPr>
          <w:rFonts w:ascii="Arial" w:cs="Arial" w:eastAsia="Arial" w:hAnsi="Arial"/>
          <w:sz w:val="19"/>
          <w:szCs w:val="19"/>
          <w:u w:val="single" w:color="auto"/>
          <w:color w:val="auto"/>
        </w:rPr>
        <w:t>Stock Purchase Contracts</w:t>
      </w:r>
      <w:r>
        <w:rPr>
          <w:rFonts w:ascii="Arial" w:cs="Arial" w:eastAsia="Arial" w:hAnsi="Arial"/>
          <w:sz w:val="19"/>
          <w:szCs w:val="19"/>
          <w:color w:val="auto"/>
        </w:rPr>
        <w:t>”), obligating the holders thereof to purchase from or sell to the Company, or the Company to sell to or purchase from such holders, Common Stock, Preferred Stock or other securities at a future date or dates. The Common Stock, Preferred Stock, Debt Securities, Depositary Shares, Warrants, Units and Stock Purchase Contracts are sometimes referred to collectively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 Securities may be issued in an unspecified number (with respect to Common Stock, Preferred Stock, Warrants, Units and Stock Purchase Contracts)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to the prospectus contained in the Registration Statement.</w:t>
      </w:r>
    </w:p>
    <w:p>
      <w:pPr>
        <w:spacing w:after="0" w:line="200" w:lineRule="exact"/>
        <w:rPr>
          <w:sz w:val="20"/>
          <w:szCs w:val="20"/>
          <w:color w:val="auto"/>
        </w:rPr>
      </w:pPr>
    </w:p>
    <w:p>
      <w:pPr>
        <w:spacing w:after="0" w:line="236" w:lineRule="exact"/>
        <w:rPr>
          <w:sz w:val="20"/>
          <w:szCs w:val="20"/>
          <w:color w:val="auto"/>
        </w:rPr>
      </w:pPr>
    </w:p>
    <w:p>
      <w:pPr>
        <w:ind w:left="160" w:right="359"/>
        <w:spacing w:after="0" w:line="238"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and on certificates of officers of the Company.</w:t>
      </w:r>
    </w:p>
    <w:p>
      <w:pPr>
        <w:spacing w:after="0" w:line="212" w:lineRule="exact"/>
        <w:rPr>
          <w:sz w:val="20"/>
          <w:szCs w:val="20"/>
          <w:color w:val="auto"/>
        </w:rPr>
      </w:pPr>
    </w:p>
    <w:p>
      <w:pPr>
        <w:ind w:left="160" w:right="279"/>
        <w:spacing w:after="0" w:line="238" w:lineRule="auto"/>
        <w:rPr>
          <w:sz w:val="20"/>
          <w:szCs w:val="20"/>
          <w:color w:val="auto"/>
        </w:rPr>
      </w:pPr>
      <w:r>
        <w:rPr>
          <w:rFonts w:ascii="Arial" w:cs="Arial" w:eastAsia="Arial" w:hAnsi="Arial"/>
          <w:sz w:val="22"/>
          <w:szCs w:val="22"/>
          <w:color w:val="auto"/>
        </w:rPr>
        <w:t>The opinions set forth below are limited to the Delaware General Corporation Law, the law of New York, and the federal law of the United States. Without limiting the generality of the foregoing, we express no opinion with respect to (i) state securities or “blue sky” laws, or (ii) state or federal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285750</wp:posOffset>
            </wp:positionV>
            <wp:extent cx="554863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0" w:name="page261"/>
    <w:bookmarkEnd w:id="260"/>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March 9, 2017</w:t>
      </w:r>
    </w:p>
    <w:p>
      <w:pPr>
        <w:ind w:left="160"/>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left="160" w:right="239"/>
        <w:spacing w:after="0" w:line="245" w:lineRule="auto"/>
        <w:rPr>
          <w:sz w:val="20"/>
          <w:szCs w:val="20"/>
          <w:color w:val="auto"/>
        </w:rPr>
      </w:pPr>
      <w:r>
        <w:rPr>
          <w:rFonts w:ascii="Arial" w:cs="Arial" w:eastAsia="Arial" w:hAnsi="Arial"/>
          <w:sz w:val="21"/>
          <w:szCs w:val="21"/>
          <w:color w:val="auto"/>
        </w:rPr>
        <w:t>For purposes of the opinions set forth below, without limiting any other exceptions or qualifications set forth herein, we have assumed that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or Stock Purchase Contract), as the case may be, then outstanding, will not exceed the total number of authorized shares of Common Stock or Preferred Stock, as applicable, under the Company’s certificate of incorporation as then in effect (the “</w:t>
      </w:r>
      <w:r>
        <w:rPr>
          <w:rFonts w:ascii="Arial" w:cs="Arial" w:eastAsia="Arial" w:hAnsi="Arial"/>
          <w:sz w:val="21"/>
          <w:szCs w:val="21"/>
          <w:u w:val="single" w:color="auto"/>
          <w:color w:val="auto"/>
        </w:rPr>
        <w:t>Charter</w:t>
      </w:r>
      <w:r>
        <w:rPr>
          <w:rFonts w:ascii="Arial" w:cs="Arial" w:eastAsia="Arial" w:hAnsi="Arial"/>
          <w:sz w:val="21"/>
          <w:szCs w:val="21"/>
          <w:color w:val="auto"/>
        </w:rPr>
        <w:t>”).</w:t>
      </w:r>
    </w:p>
    <w:p>
      <w:pPr>
        <w:spacing w:after="0" w:line="212" w:lineRule="exact"/>
        <w:rPr>
          <w:sz w:val="20"/>
          <w:szCs w:val="20"/>
          <w:color w:val="auto"/>
        </w:rPr>
      </w:pPr>
    </w:p>
    <w:p>
      <w:pPr>
        <w:ind w:left="160" w:right="279"/>
        <w:spacing w:after="0" w:line="251" w:lineRule="auto"/>
        <w:rPr>
          <w:sz w:val="20"/>
          <w:szCs w:val="20"/>
          <w:color w:val="auto"/>
        </w:rPr>
      </w:pPr>
      <w:r>
        <w:rPr>
          <w:rFonts w:ascii="Arial" w:cs="Arial" w:eastAsia="Arial" w:hAnsi="Arial"/>
          <w:sz w:val="22"/>
          <w:szCs w:val="22"/>
          <w:color w:val="auto"/>
        </w:rPr>
        <w:t>For purposes of the opinions set forth below, we refer to the following as the “Future Authorization and Issuance” of Securities:</w:t>
      </w:r>
    </w:p>
    <w:p>
      <w:pPr>
        <w:spacing w:after="0" w:line="200" w:lineRule="exact"/>
        <w:rPr>
          <w:sz w:val="20"/>
          <w:szCs w:val="20"/>
          <w:color w:val="auto"/>
        </w:rPr>
      </w:pPr>
    </w:p>
    <w:p>
      <w:pPr>
        <w:ind w:left="1180" w:right="179" w:hanging="53"/>
        <w:spacing w:after="0" w:line="235" w:lineRule="auto"/>
        <w:rPr>
          <w:sz w:val="20"/>
          <w:szCs w:val="20"/>
          <w:color w:val="auto"/>
        </w:rPr>
      </w:pPr>
      <w:r>
        <w:rPr>
          <w:rFonts w:ascii="Arial" w:cs="Arial" w:eastAsia="Arial" w:hAnsi="Arial"/>
          <w:sz w:val="22"/>
          <w:szCs w:val="22"/>
          <w:color w:val="auto"/>
        </w:rPr>
        <w:t>·with respect to any of the Securities, (a) the authorization by the Company of the amount, terms and issuance of such Securities (the “</w:t>
      </w:r>
      <w:r>
        <w:rPr>
          <w:rFonts w:ascii="Arial" w:cs="Arial" w:eastAsia="Arial" w:hAnsi="Arial"/>
          <w:sz w:val="22"/>
          <w:szCs w:val="22"/>
          <w:u w:val="single" w:color="auto"/>
          <w:color w:val="auto"/>
        </w:rPr>
        <w:t>Authorization</w:t>
      </w:r>
      <w:r>
        <w:rPr>
          <w:rFonts w:ascii="Arial" w:cs="Arial" w:eastAsia="Arial" w:hAnsi="Arial"/>
          <w:sz w:val="22"/>
          <w:szCs w:val="22"/>
          <w:color w:val="auto"/>
        </w:rPr>
        <w:t>”)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215" w:lineRule="exact"/>
        <w:rPr>
          <w:sz w:val="20"/>
          <w:szCs w:val="20"/>
          <w:color w:val="auto"/>
        </w:rPr>
      </w:pPr>
    </w:p>
    <w:p>
      <w:pPr>
        <w:ind w:left="1180" w:right="459" w:hanging="53"/>
        <w:spacing w:after="0" w:line="282" w:lineRule="auto"/>
        <w:rPr>
          <w:sz w:val="20"/>
          <w:szCs w:val="20"/>
          <w:color w:val="auto"/>
        </w:rPr>
      </w:pPr>
      <w:r>
        <w:rPr>
          <w:rFonts w:ascii="Arial" w:cs="Arial" w:eastAsia="Arial" w:hAnsi="Arial"/>
          <w:sz w:val="19"/>
          <w:szCs w:val="19"/>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75" w:lineRule="exact"/>
        <w:rPr>
          <w:sz w:val="20"/>
          <w:szCs w:val="20"/>
          <w:color w:val="auto"/>
        </w:rPr>
      </w:pPr>
    </w:p>
    <w:p>
      <w:pPr>
        <w:ind w:left="1180" w:right="239" w:hanging="53"/>
        <w:spacing w:after="0" w:line="279" w:lineRule="auto"/>
        <w:rPr>
          <w:sz w:val="20"/>
          <w:szCs w:val="20"/>
          <w:color w:val="auto"/>
        </w:rPr>
      </w:pPr>
      <w:r>
        <w:rPr>
          <w:rFonts w:ascii="Arial" w:cs="Arial" w:eastAsia="Arial" w:hAnsi="Arial"/>
          <w:sz w:val="19"/>
          <w:szCs w:val="19"/>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w:t>
      </w:r>
    </w:p>
    <w:p>
      <w:pPr>
        <w:spacing w:after="0" w:line="178" w:lineRule="exact"/>
        <w:rPr>
          <w:sz w:val="20"/>
          <w:szCs w:val="20"/>
          <w:color w:val="auto"/>
        </w:rPr>
      </w:pPr>
    </w:p>
    <w:p>
      <w:pPr>
        <w:ind w:left="1180" w:right="199" w:hanging="53"/>
        <w:spacing w:after="0" w:line="277" w:lineRule="auto"/>
        <w:rPr>
          <w:sz w:val="20"/>
          <w:szCs w:val="20"/>
          <w:color w:val="auto"/>
        </w:rPr>
      </w:pPr>
      <w:r>
        <w:rPr>
          <w:rFonts w:ascii="Arial" w:cs="Arial" w:eastAsia="Arial" w:hAnsi="Arial"/>
          <w:sz w:val="19"/>
          <w:szCs w:val="19"/>
          <w:color w:val="auto"/>
        </w:rPr>
        <w:t>·with respect to Depositary Shares, (a) the authorization, execution and delivery by the Company and the Depositary of the depositary agreement under which such Depositary Shares are to be issued, (b) the establishment of the terms of such Depositary Shares by the Company in conformity with the deposit agreement and applicable law, (c) the authorization, issuance and delivery to the Depositary of the shares of Preferred Stock represented by the Depositary Shares in accordance with the Charter and applicable law, and (d) the execution, countersignature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110490</wp:posOffset>
            </wp:positionV>
            <wp:extent cx="554863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1" w:name="page262"/>
    <w:bookmarkEnd w:id="261"/>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March 9, 2017</w:t>
      </w:r>
    </w:p>
    <w:p>
      <w:pPr>
        <w:ind w:left="160"/>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ind w:left="1440" w:right="279"/>
        <w:spacing w:after="0" w:line="251" w:lineRule="auto"/>
        <w:rPr>
          <w:sz w:val="20"/>
          <w:szCs w:val="20"/>
          <w:color w:val="auto"/>
        </w:rPr>
      </w:pPr>
      <w:r>
        <w:rPr>
          <w:rFonts w:ascii="Arial" w:cs="Arial" w:eastAsia="Arial" w:hAnsi="Arial"/>
          <w:sz w:val="22"/>
          <w:szCs w:val="22"/>
          <w:color w:val="auto"/>
        </w:rPr>
        <w:t>issuance of depositary receipts evidencing the Depositary Shares in accordance with the deposit agreement and applicable law; and</w:t>
      </w:r>
    </w:p>
    <w:p>
      <w:pPr>
        <w:spacing w:after="0" w:line="200" w:lineRule="exact"/>
        <w:rPr>
          <w:sz w:val="20"/>
          <w:szCs w:val="20"/>
          <w:color w:val="auto"/>
        </w:rPr>
      </w:pPr>
    </w:p>
    <w:p>
      <w:pPr>
        <w:ind w:left="1180" w:right="379" w:hanging="53"/>
        <w:spacing w:after="0" w:line="235" w:lineRule="auto"/>
        <w:rPr>
          <w:sz w:val="20"/>
          <w:szCs w:val="20"/>
          <w:color w:val="auto"/>
        </w:rPr>
      </w:pPr>
      <w:r>
        <w:rPr>
          <w:rFonts w:ascii="Arial" w:cs="Arial" w:eastAsia="Arial" w:hAnsi="Arial"/>
          <w:sz w:val="22"/>
          <w:szCs w:val="22"/>
          <w:color w:val="auto"/>
        </w:rPr>
        <w:t>·with respect to Warrants, Units and Stock Purchase Contracts, (a) the authorization, execution and delivery by the Company and the other parties thereto of any agreement under which such Securities are to be issued and (b) the establishment of the terms of such Securities, and the execution and delivery of such Securities, in conformity with any applicable agreement under which such Securities are to be issued and applicable law.</w:t>
      </w:r>
    </w:p>
    <w:p>
      <w:pPr>
        <w:spacing w:after="0" w:line="215" w:lineRule="exact"/>
        <w:rPr>
          <w:sz w:val="20"/>
          <w:szCs w:val="20"/>
          <w:color w:val="auto"/>
        </w:rPr>
      </w:pPr>
    </w:p>
    <w:p>
      <w:pPr>
        <w:ind w:left="160" w:right="299"/>
        <w:spacing w:after="0" w:line="251" w:lineRule="auto"/>
        <w:rPr>
          <w:sz w:val="20"/>
          <w:szCs w:val="20"/>
          <w:color w:val="auto"/>
        </w:rPr>
      </w:pPr>
      <w:r>
        <w:rPr>
          <w:rFonts w:ascii="Arial" w:cs="Arial" w:eastAsia="Arial" w:hAnsi="Arial"/>
          <w:sz w:val="22"/>
          <w:szCs w:val="22"/>
          <w:color w:val="auto"/>
        </w:rPr>
        <w:t>Based upon the foregoing, and subject to the additional qualifications set forth below, we are of the opinion that:</w:t>
      </w:r>
    </w:p>
    <w:p>
      <w:pPr>
        <w:spacing w:after="0" w:line="200" w:lineRule="exact"/>
        <w:rPr>
          <w:sz w:val="20"/>
          <w:szCs w:val="20"/>
          <w:color w:val="auto"/>
        </w:rPr>
      </w:pPr>
    </w:p>
    <w:p>
      <w:pPr>
        <w:ind w:left="160" w:right="739" w:firstLine="639"/>
        <w:spacing w:after="0" w:line="328" w:lineRule="auto"/>
        <w:tabs>
          <w:tab w:leader="none" w:pos="148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Upon the Future Authorization and Issuance of shares of Common Stock, such shares of Common Stock will be validly issued, fully paid and non-assessable.</w:t>
      </w:r>
    </w:p>
    <w:p>
      <w:pPr>
        <w:spacing w:after="0" w:line="132" w:lineRule="exact"/>
        <w:rPr>
          <w:rFonts w:ascii="Arial" w:cs="Arial" w:eastAsia="Arial" w:hAnsi="Arial"/>
          <w:sz w:val="19"/>
          <w:szCs w:val="19"/>
          <w:color w:val="auto"/>
        </w:rPr>
      </w:pPr>
    </w:p>
    <w:p>
      <w:pPr>
        <w:ind w:left="160" w:right="739" w:firstLine="639"/>
        <w:spacing w:after="0" w:line="328" w:lineRule="auto"/>
        <w:tabs>
          <w:tab w:leader="none" w:pos="148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Upon the Future Authorization and Issuance of shares of Preferred Stock, such shares of Preferred Stock will be validly issued, fully paid and non-assessable.</w:t>
      </w:r>
    </w:p>
    <w:p>
      <w:pPr>
        <w:spacing w:after="0" w:line="132" w:lineRule="exact"/>
        <w:rPr>
          <w:rFonts w:ascii="Arial" w:cs="Arial" w:eastAsia="Arial" w:hAnsi="Arial"/>
          <w:sz w:val="19"/>
          <w:szCs w:val="19"/>
          <w:color w:val="auto"/>
        </w:rPr>
      </w:pPr>
    </w:p>
    <w:p>
      <w:pPr>
        <w:ind w:left="160" w:right="219" w:firstLine="639"/>
        <w:spacing w:after="0" w:line="251" w:lineRule="auto"/>
        <w:tabs>
          <w:tab w:leader="none" w:pos="14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Future Authorization and Issuance of Debt Securities, such Debt Securities will be valid and binding obligations of the Company.</w:t>
      </w:r>
    </w:p>
    <w:p>
      <w:pPr>
        <w:spacing w:after="0" w:line="200" w:lineRule="exact"/>
        <w:rPr>
          <w:rFonts w:ascii="Arial" w:cs="Arial" w:eastAsia="Arial" w:hAnsi="Arial"/>
          <w:sz w:val="22"/>
          <w:szCs w:val="22"/>
          <w:color w:val="auto"/>
        </w:rPr>
      </w:pPr>
    </w:p>
    <w:p>
      <w:pPr>
        <w:ind w:left="160" w:right="339" w:firstLine="639"/>
        <w:spacing w:after="0"/>
        <w:tabs>
          <w:tab w:leader="none" w:pos="14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Future Authorization and Issuance of Depositary Shares, such Depositary Shares will be validly issued and will entitle the holders thereof to the rights specified in such Depositary Shares and the deposit agreement.</w:t>
      </w:r>
    </w:p>
    <w:p>
      <w:pPr>
        <w:spacing w:after="0" w:line="213" w:lineRule="exact"/>
        <w:rPr>
          <w:rFonts w:ascii="Arial" w:cs="Arial" w:eastAsia="Arial" w:hAnsi="Arial"/>
          <w:sz w:val="22"/>
          <w:szCs w:val="22"/>
          <w:color w:val="auto"/>
        </w:rPr>
      </w:pPr>
    </w:p>
    <w:p>
      <w:pPr>
        <w:ind w:left="160" w:right="179" w:firstLine="639"/>
        <w:spacing w:after="0" w:line="251" w:lineRule="auto"/>
        <w:tabs>
          <w:tab w:leader="none" w:pos="14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Future Authorization and Issuance of Warrants, such Warrants will be valid and binding obligations of the Company.</w:t>
      </w:r>
    </w:p>
    <w:p>
      <w:pPr>
        <w:spacing w:after="0" w:line="200" w:lineRule="exact"/>
        <w:rPr>
          <w:rFonts w:ascii="Arial" w:cs="Arial" w:eastAsia="Arial" w:hAnsi="Arial"/>
          <w:sz w:val="22"/>
          <w:szCs w:val="22"/>
          <w:color w:val="auto"/>
        </w:rPr>
      </w:pPr>
    </w:p>
    <w:p>
      <w:pPr>
        <w:ind w:left="160" w:right="419" w:firstLine="639"/>
        <w:spacing w:after="0" w:line="251" w:lineRule="auto"/>
        <w:tabs>
          <w:tab w:leader="none" w:pos="14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Future Authorization and Issuance of Units, such Units will be valid and binding obligations of the Company.</w:t>
      </w:r>
    </w:p>
    <w:p>
      <w:pPr>
        <w:spacing w:after="0" w:line="200" w:lineRule="exact"/>
        <w:rPr>
          <w:rFonts w:ascii="Arial" w:cs="Arial" w:eastAsia="Arial" w:hAnsi="Arial"/>
          <w:sz w:val="22"/>
          <w:szCs w:val="22"/>
          <w:color w:val="auto"/>
        </w:rPr>
      </w:pPr>
    </w:p>
    <w:p>
      <w:pPr>
        <w:ind w:left="160" w:right="159" w:firstLine="639"/>
        <w:spacing w:after="0" w:line="251" w:lineRule="auto"/>
        <w:tabs>
          <w:tab w:leader="none" w:pos="14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Future Authorization and Issuance of Stock Purchase Contracts, such Stock Purchase Contracts will be valid and binding obligations of the Company.</w:t>
      </w:r>
    </w:p>
    <w:p>
      <w:pPr>
        <w:spacing w:after="0" w:line="200" w:lineRule="exact"/>
        <w:rPr>
          <w:sz w:val="20"/>
          <w:szCs w:val="20"/>
          <w:color w:val="auto"/>
        </w:rPr>
      </w:pPr>
    </w:p>
    <w:p>
      <w:pPr>
        <w:ind w:left="160" w:right="539"/>
        <w:spacing w:after="0"/>
        <w:rPr>
          <w:sz w:val="20"/>
          <w:szCs w:val="20"/>
          <w:color w:val="auto"/>
        </w:rPr>
      </w:pPr>
      <w:r>
        <w:rPr>
          <w:rFonts w:ascii="Arial" w:cs="Arial" w:eastAsia="Arial" w:hAnsi="Arial"/>
          <w:sz w:val="22"/>
          <w:szCs w:val="22"/>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213" w:lineRule="exact"/>
        <w:rPr>
          <w:sz w:val="20"/>
          <w:szCs w:val="20"/>
          <w:color w:val="auto"/>
        </w:rPr>
      </w:pPr>
    </w:p>
    <w:p>
      <w:pPr>
        <w:ind w:left="160" w:right="339"/>
        <w:spacing w:after="0" w:line="258" w:lineRule="auto"/>
        <w:rPr>
          <w:sz w:val="20"/>
          <w:szCs w:val="20"/>
          <w:color w:val="auto"/>
        </w:rPr>
      </w:pPr>
      <w:r>
        <w:rPr>
          <w:rFonts w:ascii="Arial" w:cs="Arial" w:eastAsia="Arial" w:hAnsi="Arial"/>
          <w:sz w:val="21"/>
          <w:szCs w:val="21"/>
          <w:color w:val="auto"/>
        </w:rPr>
        <w:t>This opinion letter and the opinions it contains shall be interpreted in accordance with the Legal Opinion Principles issued by the Committee on Legal Opinions of the American Bar Association’s Business Law Section as published in 53 Business Lawyer 831 (May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273685</wp:posOffset>
            </wp:positionV>
            <wp:extent cx="554863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2" w:name="page263"/>
    <w:bookmarkEnd w:id="262"/>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March 9, 2017</w:t>
      </w:r>
    </w:p>
    <w:p>
      <w:pPr>
        <w:ind w:left="160"/>
        <w:spacing w:after="0"/>
        <w:rPr>
          <w:sz w:val="20"/>
          <w:szCs w:val="20"/>
          <w:color w:val="auto"/>
        </w:rPr>
      </w:pPr>
      <w:r>
        <w:rPr>
          <w:rFonts w:ascii="Arial" w:cs="Arial" w:eastAsia="Arial" w:hAnsi="Arial"/>
          <w:sz w:val="22"/>
          <w:szCs w:val="22"/>
          <w:color w:val="auto"/>
        </w:rPr>
        <w:t>Page 4</w:t>
      </w:r>
    </w:p>
    <w:p>
      <w:pPr>
        <w:spacing w:after="0" w:line="188" w:lineRule="exact"/>
        <w:rPr>
          <w:sz w:val="20"/>
          <w:szCs w:val="20"/>
          <w:color w:val="auto"/>
        </w:rPr>
      </w:pPr>
    </w:p>
    <w:p>
      <w:pPr>
        <w:ind w:left="160" w:right="179"/>
        <w:spacing w:after="0" w:line="287"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 Goodwin Procter LLP</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453390</wp:posOffset>
            </wp:positionV>
            <wp:extent cx="554863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3" w:name="page264"/>
    <w:bookmarkEnd w:id="263"/>
    <w:tbl>
      <w:tblPr>
        <w:tblLayout w:type="fixed"/>
        <w:tblInd w:w="1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432"/>
        </w:trPr>
        <w:tc>
          <w:tcPr>
            <w:tcW w:w="7100" w:type="dxa"/>
            <w:vAlign w:val="bottom"/>
            <w:gridSpan w:val="7"/>
          </w:tcPr>
          <w:p>
            <w:pPr>
              <w:ind w:left="1880"/>
              <w:spacing w:after="0"/>
              <w:rPr>
                <w:sz w:val="20"/>
                <w:szCs w:val="20"/>
                <w:color w:val="auto"/>
              </w:rPr>
            </w:pPr>
            <w:r>
              <w:rPr>
                <w:rFonts w:ascii="Arial" w:cs="Arial" w:eastAsia="Arial" w:hAnsi="Arial"/>
                <w:sz w:val="18"/>
                <w:szCs w:val="18"/>
                <w:b w:val="1"/>
                <w:bCs w:val="1"/>
                <w:color w:val="auto"/>
                <w:w w:val="94"/>
              </w:rPr>
              <w:t>Calculation of Consolidated Ratios of Earnings to Fixed Charges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61"/>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1"/>
        </w:trPr>
        <w:tc>
          <w:tcPr>
            <w:tcW w:w="5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Fixed Charges: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Interest expense on indebtedness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 and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2"/>
        </w:trPr>
        <w:tc>
          <w:tcPr>
            <w:tcW w:w="5120" w:type="dxa"/>
            <w:vAlign w:val="bottom"/>
          </w:tcPr>
          <w:p>
            <w:pPr>
              <w:ind w:left="220"/>
              <w:spacing w:after="0" w:line="201" w:lineRule="exact"/>
              <w:rPr>
                <w:sz w:val="20"/>
                <w:szCs w:val="20"/>
                <w:color w:val="auto"/>
              </w:rPr>
            </w:pPr>
            <w:r>
              <w:rPr>
                <w:rFonts w:ascii="Arial" w:cs="Arial" w:eastAsia="Arial" w:hAnsi="Arial"/>
                <w:sz w:val="18"/>
                <w:szCs w:val="18"/>
                <w:color w:val="auto"/>
              </w:rPr>
              <w:t>Interest expense on portion of rent expense representative of</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Charges</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Earnings (loss):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before benefit for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(72,495)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(52,769)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(40,285)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(20,912)</w:t>
            </w: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Fixed charges per above</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(loss)</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(71,793)</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(51,927)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(39,831)</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(20,726)</w:t>
            </w:r>
          </w:p>
        </w:tc>
      </w:tr>
      <w:tr>
        <w:trPr>
          <w:trHeight w:val="210"/>
        </w:trPr>
        <w:tc>
          <w:tcPr>
            <w:tcW w:w="51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Ratio of earnings to fixed charges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Deficiency of earnings available to cover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(72,495)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(52,769)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(40,285)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(20,912)</w:t>
            </w:r>
          </w:p>
        </w:tc>
      </w:tr>
      <w:tr>
        <w:trPr>
          <w:trHeight w:val="453"/>
        </w:trPr>
        <w:tc>
          <w:tcPr>
            <w:tcW w:w="5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64" w:name="page265"/>
    <w:bookmarkEnd w:id="264"/>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Blueprint Medicines Corporation for the registration of common stock, preferred stock, debt securities, depository shares, purchase contracts, purchase units, and warrants and to the incorporation by reference therein of our report dated March 9, 2017, with respect to the consolidated financial statements of Blueprint Medicines Corporation included in its Annual Report (Form 10-K) for the year ended December 31, 2016, filed with the Securities and Exchange Commission.</w:t>
      </w:r>
    </w:p>
    <w:p>
      <w:pPr>
        <w:spacing w:after="0" w:line="16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ind w:left="160"/>
        <w:spacing w:after="0"/>
        <w:rPr>
          <w:sz w:val="20"/>
          <w:szCs w:val="20"/>
          <w:color w:val="auto"/>
        </w:rPr>
      </w:pPr>
      <w:r>
        <w:rPr>
          <w:rFonts w:ascii="Arial" w:cs="Arial" w:eastAsia="Arial" w:hAnsi="Arial"/>
          <w:sz w:val="18"/>
          <w:szCs w:val="18"/>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313690</wp:posOffset>
            </wp:positionV>
            <wp:extent cx="554863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1)"/>
      <w:numFmt w:val="lowerRoman"/>
      <w:start w:val="2"/>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1)"/>
      <w:numFmt w:val="lowerRoman"/>
      <w:start w:val="1"/>
    </w:lvl>
    <w:lvl w:ilvl="1">
      <w:lvlJc w:val="left"/>
      <w:lvlText w:val="·"/>
      <w:numFmt w:val="bullet"/>
      <w:start w:val="1"/>
    </w:lvl>
  </w:abstractNum>
  <w:abstractNum w:abstractNumId="19">
    <w:nsid w:val="53299938"/>
    <w:multiLevelType w:val="hybridMultilevel"/>
    <w:lvl w:ilvl="0">
      <w:lvlJc w:val="left"/>
      <w:lvlText w:val="(%1)"/>
      <w:numFmt w:val="lowerRoman"/>
      <w:start w:val="2"/>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lvl w:ilvl="1">
      <w:lvlJc w:val="left"/>
      <w:lvlText w:val="(%2)"/>
      <w:numFmt w:val="lowerLetter"/>
      <w:start w:val="35"/>
    </w:lvl>
  </w:abstractNum>
  <w:abstractNum w:abstractNumId="31">
    <w:nsid w:val="415E286C"/>
    <w:multiLevelType w:val="hybridMultilevel"/>
    <w:lvl w:ilvl="0">
      <w:lvlJc w:val="left"/>
      <w:lvlText w:val="·"/>
      <w:numFmt w:val="bullet"/>
      <w:start w:val="1"/>
    </w:lvl>
    <w:lvl w:ilvl="1">
      <w:lvlJc w:val="left"/>
      <w:lvlText w:val="(%2)"/>
      <w:numFmt w:val="lowerLetter"/>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
      <w:numFmt w:val="bullet"/>
      <w:start w:val="1"/>
    </w:lvl>
  </w:abstractNum>
  <w:abstractNum w:abstractNumId="37">
    <w:nsid w:val="3C5991AA"/>
    <w:multiLevelType w:val="hybridMultilevel"/>
    <w:lvl w:ilvl="0">
      <w:lvlJc w:val="left"/>
      <w:lvlText w:val="·"/>
      <w:numFmt w:val="bullet"/>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1)"/>
      <w:numFmt w:val="decimal"/>
      <w:start w:val="1"/>
    </w:lvl>
    <w:lvl w:ilvl="1">
      <w:lvlJc w:val="left"/>
      <w:lvlText w:val="(%2)"/>
      <w:numFmt w:val="lowerRoman"/>
      <w:start w:val="1"/>
    </w:lvl>
  </w:abstractNum>
  <w:abstractNum w:abstractNumId="43">
    <w:nsid w:val="379E21B5"/>
    <w:multiLevelType w:val="hybridMultilevel"/>
    <w:lvl w:ilvl="0">
      <w:lvlJc w:val="left"/>
      <w:lvlText w:val="(%1)"/>
      <w:numFmt w:val="decimal"/>
      <w:start w:val="2"/>
    </w:lvl>
    <w:lvl w:ilvl="1">
      <w:lvlJc w:val="left"/>
      <w:lvlText w:val="(%2)"/>
      <w:numFmt w:val="lowerRoman"/>
      <w:start w:val="1"/>
    </w:lvl>
  </w:abstractNum>
  <w:abstractNum w:abstractNumId="44">
    <w:nsid w:val="69E373"/>
    <w:multiLevelType w:val="hybridMultilevel"/>
    <w:lvl w:ilvl="0">
      <w:lvlJc w:val="left"/>
      <w:lvlText w:val="(%1)"/>
      <w:numFmt w:val="decimal"/>
      <w:start w:val="5"/>
    </w:lvl>
    <w:lvl w:ilvl="1">
      <w:lvlJc w:val="left"/>
      <w:lvlText w:val="(%2)"/>
      <w:numFmt w:val="lowerRoman"/>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1)"/>
      <w:numFmt w:val="decimal"/>
      <w:start w:val="1"/>
    </w:lvl>
  </w:abstractNum>
  <w:abstractNum w:abstractNumId="48">
    <w:nsid w:val="1DF029D3"/>
    <w:multiLevelType w:val="hybridMultilevel"/>
    <w:lvl w:ilvl="0">
      <w:lvlJc w:val="left"/>
      <w:lvlText w:val="(%1)"/>
      <w:numFmt w:val="lowerRoman"/>
      <w:start w:val="1"/>
    </w:lvl>
  </w:abstractNum>
  <w:abstractNum w:abstractNumId="49">
    <w:nsid w:val="5675FF36"/>
    <w:multiLevelType w:val="hybridMultilevel"/>
    <w:lvl w:ilvl="0">
      <w:lvlJc w:val="left"/>
      <w:lvlText w:val="(%1)"/>
      <w:numFmt w:val="lowerRoman"/>
      <w:start w:val="3"/>
    </w:lvl>
  </w:abstractNum>
  <w:abstractNum w:abstractNumId="50">
    <w:nsid w:val="3DD15094"/>
    <w:multiLevelType w:val="hybridMultilevel"/>
    <w:lvl w:ilvl="0">
      <w:lvlJc w:val="left"/>
      <w:lvlText w:val="(%1)"/>
      <w:numFmt w:val="decimal"/>
      <w:start w:val="1"/>
    </w:lvl>
  </w:abstractNum>
  <w:abstractNum w:abstractNumId="51">
    <w:nsid w:val="3DB012B3"/>
    <w:multiLevelType w:val="hybridMultilevel"/>
    <w:lvl w:ilvl="0">
      <w:lvlJc w:val="left"/>
      <w:lvlText w:val="(%1)"/>
      <w:numFmt w:val="lowerLetter"/>
      <w:start w:val="1"/>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Letter"/>
      <w:start w:val="6"/>
    </w:lvl>
  </w:abstractNum>
  <w:abstractNum w:abstractNumId="54">
    <w:nsid w:val="175DFCF0"/>
    <w:multiLevelType w:val="hybridMultilevel"/>
    <w:lvl w:ilvl="0">
      <w:lvlJc w:val="left"/>
      <w:lvlText w:val="(%1)"/>
      <w:numFmt w:val="decimal"/>
      <w:start w:val="1"/>
    </w:lvl>
  </w:abstractNum>
  <w:abstractNum w:abstractNumId="55">
    <w:nsid w:val="4F97E3E4"/>
    <w:multiLevelType w:val="hybridMultilevel"/>
    <w:lvl w:ilvl="0">
      <w:lvlJc w:val="left"/>
      <w:lvlText w:val="(%1)"/>
      <w:numFmt w:val="decimal"/>
      <w:start w:val="1"/>
    </w:lvl>
  </w:abstractNum>
  <w:abstractNum w:abstractNumId="56">
    <w:nsid w:val="53B0A9E"/>
    <w:multiLevelType w:val="hybridMultilevel"/>
    <w:lvl w:ilvl="0">
      <w:lvlJc w:val="left"/>
      <w:lvlText w:val="(%1)"/>
      <w:numFmt w:val="decimal"/>
      <w:start w:val="9"/>
    </w:lvl>
  </w:abstractNum>
  <w:abstractNum w:abstractNumId="57">
    <w:nsid w:val="34FD6B4F"/>
    <w:multiLevelType w:val="hybridMultilevel"/>
    <w:lvl w:ilvl="0">
      <w:lvlJc w:val="left"/>
      <w:lvlText w:val="(%1)"/>
      <w:numFmt w:val="decimal"/>
      <w:start w:val="17"/>
    </w:lvl>
  </w:abstractNum>
  <w:abstractNum w:abstractNumId="58">
    <w:nsid w:val="5915FF32"/>
    <w:multiLevelType w:val="hybridMultilevel"/>
    <w:lvl w:ilvl="0">
      <w:lvlJc w:val="left"/>
      <w:lvlText w:val="(%1)"/>
      <w:numFmt w:val="decimal"/>
      <w:start w:val="24"/>
    </w:lvl>
  </w:abstractNum>
  <w:abstractNum w:abstractNumId="59">
    <w:nsid w:val="56438D15"/>
    <w:multiLevelType w:val="hybridMultilevel"/>
    <w:lvl w:ilvl="0">
      <w:lvlJc w:val="left"/>
      <w:lvlText w:val="(%1)"/>
      <w:numFmt w:val="lowerLetter"/>
      <w:start w:val="9"/>
    </w:lvl>
    <w:lvl w:ilvl="1">
      <w:lvlJc w:val="left"/>
      <w:lvlText w:val="(%2)"/>
      <w:numFmt w:val="lowerLetter"/>
      <w:start w:val="1"/>
    </w:lvl>
  </w:abstractNum>
  <w:abstractNum w:abstractNumId="60">
    <w:nsid w:val="519E3149"/>
    <w:multiLevelType w:val="hybridMultilevel"/>
    <w:lvl w:ilvl="0">
      <w:lvlJc w:val="left"/>
      <w:lvlText w:val="(%1)"/>
      <w:numFmt w:val="lowerRoman"/>
      <w:start w:val="2"/>
    </w:lvl>
  </w:abstractNum>
  <w:abstractNum w:abstractNumId="61">
    <w:nsid w:val="2C6E4AFD"/>
    <w:multiLevelType w:val="hybridMultilevel"/>
    <w:lvl w:ilvl="0">
      <w:lvlJc w:val="left"/>
      <w:lvlText w:val="(%1)"/>
      <w:numFmt w:val="lowerLetter"/>
      <w:start w:val="1"/>
    </w:lvl>
  </w:abstractNum>
  <w:abstractNum w:abstractNumId="62">
    <w:nsid w:val="17A1B582"/>
    <w:multiLevelType w:val="hybridMultilevel"/>
    <w:lvl w:ilvl="0">
      <w:lvlJc w:val="left"/>
      <w:lvlText w:val="(%1)"/>
      <w:numFmt w:val="lowerLetter"/>
      <w:start w:val="2"/>
    </w:lvl>
  </w:abstractNum>
  <w:abstractNum w:abstractNumId="63">
    <w:nsid w:val="4DF72E4E"/>
    <w:multiLevelType w:val="hybridMultilevel"/>
    <w:lvl w:ilvl="0">
      <w:lvlJc w:val="left"/>
      <w:lvlText w:val="(%1)"/>
      <w:numFmt w:val="decimal"/>
      <w:start w:val="1"/>
    </w:lvl>
  </w:abstractNum>
  <w:abstractNum w:abstractNumId="64">
    <w:nsid w:val="5046B5A9"/>
    <w:multiLevelType w:val="hybridMultilevel"/>
    <w:lvl w:ilvl="0">
      <w:lvlJc w:val="left"/>
      <w:lvlText w:val="(%1)"/>
      <w:numFmt w:val="decimal"/>
      <w:start w:val="2"/>
    </w:lvl>
  </w:abstractNum>
  <w:abstractNum w:abstractNumId="65">
    <w:nsid w:val="5D888A08"/>
    <w:multiLevelType w:val="hybridMultilevel"/>
    <w:lvl w:ilvl="0">
      <w:lvlJc w:val="left"/>
      <w:lvlText w:val="(%1)"/>
      <w:numFmt w:val="decimal"/>
      <w:start w:val="1"/>
    </w:lvl>
    <w:lvl w:ilvl="1">
      <w:lvlJc w:val="left"/>
      <w:lvlText w:val="(%2)"/>
      <w:numFmt w:val="upperLetter"/>
      <w:start w:val="1"/>
    </w:lvl>
  </w:abstractNum>
  <w:abstractNum w:abstractNumId="66">
    <w:nsid w:val="2A082C70"/>
    <w:multiLevelType w:val="hybridMultilevel"/>
    <w:lvl w:ilvl="0">
      <w:lvlJc w:val="left"/>
      <w:lvlText w:val="(%1)"/>
      <w:numFmt w:val="lowerRoman"/>
      <w:start w:val="1"/>
    </w:lvl>
  </w:abstractNum>
  <w:abstractNum w:abstractNumId="67">
    <w:nsid w:val="5EC6AFD4"/>
    <w:multiLevelType w:val="hybridMultilevel"/>
    <w:lvl w:ilvl="0">
      <w:lvlJc w:val="left"/>
      <w:lvlText w:val="(%1)"/>
      <w:numFmt w:val="decimal"/>
      <w:start w:val="2"/>
    </w:lvl>
  </w:abstractNum>
  <w:abstractNum w:abstractNumId="68">
    <w:nsid w:val="19E21BB2"/>
    <w:multiLevelType w:val="hybridMultilevel"/>
    <w:lvl w:ilvl="0">
      <w:lvlJc w:val="left"/>
      <w:lvlText w:val="(%1)"/>
      <w:numFmt w:val="decimal"/>
      <w:start w:val="3"/>
    </w:lvl>
  </w:abstractNum>
  <w:abstractNum w:abstractNumId="69">
    <w:nsid w:val="75E0858A"/>
    <w:multiLevelType w:val="hybridMultilevel"/>
    <w:lvl w:ilvl="0">
      <w:lvlJc w:val="left"/>
      <w:lvlText w:val="(%1)"/>
      <w:numFmt w:val="decimal"/>
      <w:start w:val="1"/>
    </w:lvl>
  </w:abstractNum>
  <w:abstractNum w:abstractNumId="70">
    <w:nsid w:val="57A61A29"/>
    <w:multiLevelType w:val="hybridMultilevel"/>
    <w:lvl w:ilvl="0">
      <w:lvlJc w:val="left"/>
      <w:lvlText w:val="(%1)"/>
      <w:numFmt w:val="decimal"/>
      <w:start w:val="3"/>
    </w:lvl>
    <w:lvl w:ilvl="1">
      <w:lvlJc w:val="left"/>
      <w:lvlText w:val="(%2)"/>
      <w:numFmt w:val="upperLetter"/>
      <w:start w:val="1"/>
    </w:lvl>
  </w:abstractNum>
  <w:abstractNum w:abstractNumId="71">
    <w:nsid w:val="5399C654"/>
    <w:multiLevelType w:val="hybridMultilevel"/>
    <w:lvl w:ilvl="0">
      <w:lvlJc w:val="left"/>
      <w:lvlText w:val="(%1)"/>
      <w:numFmt w:val="decimal"/>
      <w:start w:val="7"/>
    </w:lvl>
    <w:lvl w:ilvl="1">
      <w:lvlJc w:val="left"/>
      <w:lvlText w:val="(%2)"/>
      <w:numFmt w:val="upperLetter"/>
      <w:start w:val="1"/>
    </w:lvl>
  </w:abstractNum>
  <w:abstractNum w:abstractNumId="72">
    <w:nsid w:val="20EE1348"/>
    <w:multiLevelType w:val="hybridMultilevel"/>
    <w:lvl w:ilvl="0">
      <w:lvlJc w:val="left"/>
      <w:lvlText w:val="(%1)"/>
      <w:numFmt w:val="decimal"/>
      <w:start w:val="1"/>
    </w:lvl>
    <w:lvl w:ilvl="1">
      <w:lvlJc w:val="left"/>
      <w:lvlText w:val="(%2)"/>
      <w:numFmt w:val="upperLetter"/>
      <w:start w:val="1"/>
    </w:lvl>
  </w:abstractNum>
  <w:abstractNum w:abstractNumId="73">
    <w:nsid w:val="4427069A"/>
    <w:multiLevelType w:val="hybridMultilevel"/>
    <w:lvl w:ilvl="0">
      <w:lvlJc w:val="left"/>
      <w:lvlText w:val="%1"/>
      <w:numFmt w:val="decimal"/>
      <w:start w:val="1"/>
    </w:lvl>
    <w:lvl w:ilvl="1">
      <w:lvlJc w:val="left"/>
      <w:lvlText w:val="(%2)"/>
      <w:numFmt w:val="upperLetter"/>
      <w:start w:val="3"/>
    </w:lvl>
  </w:abstractNum>
  <w:abstractNum w:abstractNumId="74">
    <w:nsid w:val="B37E80A"/>
    <w:multiLevelType w:val="hybridMultilevel"/>
    <w:lvl w:ilvl="0">
      <w:lvlJc w:val="left"/>
      <w:lvlText w:val="(%1)"/>
      <w:numFmt w:val="decimal"/>
      <w:start w:val="2"/>
    </w:lvl>
    <w:lvl w:ilvl="1">
      <w:lvlJc w:val="left"/>
      <w:lvlText w:val="%2"/>
      <w:numFmt w:val="upperLetter"/>
      <w:start w:val="1"/>
    </w:lvl>
  </w:abstractNum>
  <w:abstractNum w:abstractNumId="75">
    <w:nsid w:val="2157F6BC"/>
    <w:multiLevelType w:val="hybridMultilevel"/>
    <w:lvl w:ilvl="0">
      <w:lvlJc w:val="left"/>
      <w:lvlText w:val="(%1)"/>
      <w:numFmt w:val="decimal"/>
      <w:start w:val="1"/>
    </w:lvl>
  </w:abstractNum>
  <w:abstractNum w:abstractNumId="76">
    <w:nsid w:val="704E1DD5"/>
    <w:multiLevelType w:val="hybridMultilevel"/>
    <w:lvl w:ilvl="0">
      <w:lvlJc w:val="left"/>
      <w:lvlText w:val="(%1)"/>
      <w:numFmt w:val="lowerRoman"/>
      <w:start w:val="1"/>
    </w:lvl>
  </w:abstractNum>
  <w:abstractNum w:abstractNumId="77">
    <w:nsid w:val="57D2F10E"/>
    <w:multiLevelType w:val="hybridMultilevel"/>
    <w:lvl w:ilvl="0">
      <w:lvlJc w:val="left"/>
      <w:lvlText w:val="(%1)"/>
      <w:numFmt w:val="decimal"/>
      <w:start w:val="1"/>
    </w:lvl>
  </w:abstractNum>
  <w:abstractNum w:abstractNumId="78">
    <w:nsid w:val="BFFAE18"/>
    <w:multiLevelType w:val="hybridMultilevel"/>
    <w:lvl w:ilvl="0">
      <w:lvlJc w:val="left"/>
      <w:lvlText w:val="(%1)"/>
      <w:numFmt w:val="decimal"/>
      <w:start w:val="1"/>
    </w:lvl>
  </w:abstractNum>
  <w:abstractNum w:abstractNumId="79">
    <w:nsid w:val="E3E47A8"/>
    <w:multiLevelType w:val="hybridMultilevel"/>
    <w:lvl w:ilvl="0">
      <w:lvlJc w:val="left"/>
      <w:lvlText w:val="(%1)"/>
      <w:numFmt w:val="decimal"/>
      <w:start w:val="3"/>
    </w:lvl>
  </w:abstractNum>
  <w:abstractNum w:abstractNumId="80">
    <w:nsid w:val="2E48F044"/>
    <w:multiLevelType w:val="hybridMultilevel"/>
    <w:lvl w:ilvl="0">
      <w:lvlJc w:val="left"/>
      <w:lvlText w:val="(%1)"/>
      <w:numFmt w:val="decimal"/>
      <w:start w:val="1"/>
    </w:lvl>
  </w:abstractNum>
  <w:abstractNum w:abstractNumId="81">
    <w:nsid w:val="49D0FEAC"/>
    <w:multiLevelType w:val="hybridMultilevel"/>
    <w:lvl w:ilvl="0">
      <w:lvlJc w:val="left"/>
      <w:lvlText w:val="(%1)"/>
      <w:numFmt w:val="decimal"/>
      <w:start w:val="1"/>
    </w:lvl>
  </w:abstractNum>
  <w:abstractNum w:abstractNumId="82">
    <w:nsid w:val="4BEE5A5B"/>
    <w:multiLevelType w:val="hybridMultilevel"/>
    <w:lvl w:ilvl="0">
      <w:lvlJc w:val="left"/>
      <w:lvlText w:val="(%1)"/>
      <w:numFmt w:val="decimal"/>
      <w:start w:val="5"/>
    </w:lvl>
  </w:abstractNum>
  <w:abstractNum w:abstractNumId="83">
    <w:nsid w:val="5551B9F3"/>
    <w:multiLevelType w:val="hybridMultilevel"/>
    <w:lvl w:ilvl="0">
      <w:lvlJc w:val="left"/>
      <w:lvlText w:val="(%1)"/>
      <w:numFmt w:val="decimal"/>
      <w:start w:val="13"/>
    </w:lvl>
  </w:abstractNum>
  <w:abstractNum w:abstractNumId="84">
    <w:nsid w:val="24F6AB8E"/>
    <w:multiLevelType w:val="hybridMultilevel"/>
    <w:lvl w:ilvl="0">
      <w:lvlJc w:val="left"/>
      <w:lvlText w:val="(%1)"/>
      <w:numFmt w:val="decimal"/>
      <w:start w:val="1"/>
    </w:lvl>
  </w:abstractNum>
  <w:abstractNum w:abstractNumId="85">
    <w:nsid w:val="634C574C"/>
    <w:multiLevelType w:val="hybridMultilevel"/>
    <w:lvl w:ilvl="0">
      <w:lvlJc w:val="left"/>
      <w:lvlText w:val="(%1)"/>
      <w:numFmt w:val="decimal"/>
      <w:start w:val="2"/>
    </w:lvl>
  </w:abstractNum>
  <w:abstractNum w:abstractNumId="86">
    <w:nsid w:val="24E99DD7"/>
    <w:multiLevelType w:val="hybridMultilevel"/>
    <w:lvl w:ilvl="0">
      <w:lvlJc w:val="left"/>
      <w:lvlText w:val="(%1)"/>
      <w:numFmt w:val="lowerLetter"/>
      <w:start w:val="1"/>
    </w:lvl>
  </w:abstractNum>
  <w:abstractNum w:abstractNumId="87">
    <w:nsid w:val="2A31B62D"/>
    <w:multiLevelType w:val="hybridMultilevel"/>
    <w:lvl w:ilvl="0">
      <w:lvlJc w:val="left"/>
      <w:lvlText w:val="(%1)"/>
      <w:numFmt w:val="lowerLetter"/>
      <w:start w:val="2"/>
    </w:lvl>
  </w:abstractNum>
  <w:abstractNum w:abstractNumId="88">
    <w:nsid w:val="1849C29B"/>
    <w:multiLevelType w:val="hybridMultilevel"/>
    <w:lvl w:ilvl="0">
      <w:lvlJc w:val="left"/>
      <w:lvlText w:val="(%1)"/>
      <w:numFmt w:val="decimal"/>
      <w:start w:val="1"/>
    </w:lvl>
  </w:abstractNum>
  <w:abstractNum w:abstractNumId="89">
    <w:nsid w:val="7DFF9D09"/>
    <w:multiLevelType w:val="hybridMultilevel"/>
    <w:lvl w:ilvl="0">
      <w:lvlJc w:val="left"/>
      <w:lvlText w:val="(%1)"/>
      <w:numFmt w:val="lowerLetter"/>
      <w:start w:val="5"/>
    </w:lvl>
  </w:abstractNum>
  <w:abstractNum w:abstractNumId="90">
    <w:nsid w:val="754342"/>
    <w:multiLevelType w:val="hybridMultilevel"/>
    <w:lvl w:ilvl="0">
      <w:lvlJc w:val="left"/>
      <w:lvlText w:val="(%1)"/>
      <w:numFmt w:val="lowerLetter"/>
      <w:start w:val="6"/>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3"/>
    </w:lvl>
  </w:abstractNum>
  <w:abstractNum w:abstractNumId="93">
    <w:nsid w:val="1816F8C4"/>
    <w:multiLevelType w:val="hybridMultilevel"/>
    <w:lvl w:ilvl="0">
      <w:lvlJc w:val="left"/>
      <w:lvlText w:val="(%1)"/>
      <w:numFmt w:val="lowerLetter"/>
      <w:start w:val="1"/>
    </w:lvl>
  </w:abstractNum>
  <w:abstractNum w:abstractNumId="94">
    <w:nsid w:val="37DF2233"/>
    <w:multiLevelType w:val="hybridMultilevel"/>
    <w:lvl w:ilvl="0">
      <w:lvlJc w:val="left"/>
      <w:lvlText w:val="(%1)"/>
      <w:numFmt w:val="decimal"/>
      <w:start w:val="1"/>
    </w:lvl>
  </w:abstractNum>
  <w:abstractNum w:abstractNumId="95">
    <w:nsid w:val="7AB49DAF"/>
    <w:multiLevelType w:val="hybridMultilevel"/>
    <w:lvl w:ilvl="0">
      <w:lvlJc w:val="left"/>
      <w:lvlText w:val="(%1)"/>
      <w:numFmt w:val="lowerLetter"/>
      <w:start w:val="2"/>
    </w:lvl>
  </w:abstractNum>
  <w:abstractNum w:abstractNumId="96">
    <w:nsid w:val="759F82CD"/>
    <w:multiLevelType w:val="hybridMultilevel"/>
    <w:lvl w:ilvl="0">
      <w:lvlJc w:val="left"/>
      <w:lvlText w:val="(%1)"/>
      <w:numFmt w:val="decimal"/>
      <w:start w:val="1"/>
    </w:lvl>
  </w:abstractNum>
  <w:abstractNum w:abstractNumId="97">
    <w:nsid w:val="61E74EA3"/>
    <w:multiLevelType w:val="hybridMultilevel"/>
    <w:lvl w:ilvl="0">
      <w:lvlJc w:val="left"/>
      <w:lvlText w:val="(%1)"/>
      <w:numFmt w:val="decimal"/>
      <w:start w:val="4"/>
    </w:lvl>
  </w:abstractNum>
  <w:abstractNum w:abstractNumId="98">
    <w:nsid w:val="597B4D84"/>
    <w:multiLevelType w:val="hybridMultilevel"/>
    <w:lvl w:ilvl="0">
      <w:lvlJc w:val="left"/>
      <w:lvlText w:val="(%1)"/>
      <w:numFmt w:val="lowerLetter"/>
      <w:start w:val="4"/>
    </w:lvl>
  </w:abstractNum>
  <w:abstractNum w:abstractNumId="99">
    <w:nsid w:val="F819E7F"/>
    <w:multiLevelType w:val="hybridMultilevel"/>
    <w:lvl w:ilvl="0">
      <w:lvlJc w:val="left"/>
      <w:lvlText w:val="(%1)"/>
      <w:numFmt w:val="decimal"/>
      <w:start w:val="1"/>
    </w:lvl>
  </w:abstractNum>
  <w:abstractNum w:abstractNumId="100">
    <w:nsid w:val="57C7D42D"/>
    <w:multiLevelType w:val="hybridMultilevel"/>
    <w:lvl w:ilvl="0">
      <w:lvlJc w:val="left"/>
      <w:lvlText w:val="(%1)"/>
      <w:numFmt w:val="decimal"/>
      <w:start w:val="2"/>
    </w:lvl>
  </w:abstractNum>
  <w:abstractNum w:abstractNumId="101">
    <w:nsid w:val="312167AD"/>
    <w:multiLevelType w:val="hybridMultilevel"/>
    <w:lvl w:ilvl="0">
      <w:lvlJc w:val="left"/>
      <w:lvlText w:val="(%1)"/>
      <w:numFmt w:val="lowerLetter"/>
      <w:start w:val="1"/>
    </w:lvl>
  </w:abstractNum>
  <w:abstractNum w:abstractNumId="102">
    <w:nsid w:val="631B64D4"/>
    <w:multiLevelType w:val="hybridMultilevel"/>
    <w:lvl w:ilvl="0">
      <w:lvlJc w:val="left"/>
      <w:lvlText w:val="(%1)"/>
      <w:numFmt w:val="decimal"/>
      <w:start w:val="1"/>
    </w:lvl>
  </w:abstractNum>
  <w:abstractNum w:abstractNumId="103">
    <w:nsid w:val="78B5E776"/>
    <w:multiLevelType w:val="hybridMultilevel"/>
    <w:lvl w:ilvl="0">
      <w:lvlJc w:val="left"/>
      <w:lvlText w:val="(%1)"/>
      <w:numFmt w:val="decimal"/>
      <w:start w:val="9"/>
    </w:lvl>
  </w:abstractNum>
  <w:abstractNum w:abstractNumId="104">
    <w:nsid w:val="75486E47"/>
    <w:multiLevelType w:val="hybridMultilevel"/>
    <w:lvl w:ilvl="0">
      <w:lvlJc w:val="left"/>
      <w:lvlText w:val="(%1)"/>
      <w:numFmt w:val="decimal"/>
      <w:start w:val="1"/>
    </w:lvl>
  </w:abstractNum>
  <w:abstractNum w:abstractNumId="105">
    <w:nsid w:val="6E534CDE"/>
    <w:multiLevelType w:val="hybridMultilevel"/>
    <w:lvl w:ilvl="0">
      <w:lvlJc w:val="left"/>
      <w:lvlText w:val="(%1)"/>
      <w:numFmt w:val="decimal"/>
      <w:start w:val="3"/>
    </w:lvl>
  </w:abstractNum>
  <w:abstractNum w:abstractNumId="106">
    <w:nsid w:val="1A0DDE32"/>
    <w:multiLevelType w:val="hybridMultilevel"/>
    <w:lvl w:ilvl="0">
      <w:lvlJc w:val="left"/>
      <w:lvlText w:val="(%1)"/>
      <w:numFmt w:val="decimal"/>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1)"/>
      <w:numFmt w:val="decimal"/>
      <w:start w:val="1"/>
    </w:lvl>
  </w:abstractNum>
  <w:abstractNum w:abstractNumId="109">
    <w:nsid w:val="260D8C4A"/>
    <w:multiLevelType w:val="hybridMultilevel"/>
    <w:lvl w:ilvl="0">
      <w:lvlJc w:val="left"/>
      <w:lvlText w:val="(%1)"/>
      <w:numFmt w:val="decimal"/>
      <w:start w:val="9"/>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1)"/>
      <w:numFmt w:val="lowerLetter"/>
      <w:start w:val="4"/>
    </w:lvl>
  </w:abstractNum>
  <w:abstractNum w:abstractNumId="112">
    <w:nsid w:val="6FDE8AF6"/>
    <w:multiLevelType w:val="hybridMultilevel"/>
    <w:lvl w:ilvl="0">
      <w:lvlJc w:val="left"/>
      <w:lvlText w:val="(%1)"/>
      <w:numFmt w:val="lowerLetter"/>
      <w:start w:val="1"/>
    </w:lvl>
  </w:abstractNum>
  <w:abstractNum w:abstractNumId="113">
    <w:nsid w:val="3FC32E20"/>
    <w:multiLevelType w:val="hybridMultilevel"/>
    <w:lvl w:ilvl="0">
      <w:lvlJc w:val="left"/>
      <w:lvlText w:val="(%1)"/>
      <w:numFmt w:val="lowerRoman"/>
      <w:start w:val="1"/>
    </w:lvl>
  </w:abstractNum>
  <w:abstractNum w:abstractNumId="114">
    <w:nsid w:val="49C0E823"/>
    <w:multiLevelType w:val="hybridMultilevel"/>
    <w:lvl w:ilvl="0">
      <w:lvlJc w:val="left"/>
      <w:lvlText w:val="(%1)"/>
      <w:numFmt w:val="lowerLetter"/>
      <w:start w:val="1"/>
    </w:lvl>
  </w:abstractNum>
  <w:abstractNum w:abstractNumId="115">
    <w:nsid w:val="14D53685"/>
    <w:multiLevelType w:val="hybridMultilevel"/>
    <w:lvl w:ilvl="0">
      <w:lvlJc w:val="left"/>
      <w:lvlText w:val="(%1)"/>
      <w:numFmt w:val="lowerLetter"/>
      <w:start w:val="2"/>
    </w:lvl>
  </w:abstractNum>
  <w:abstractNum w:abstractNumId="116">
    <w:nsid w:val="230F856C"/>
    <w:multiLevelType w:val="hybridMultilevel"/>
    <w:lvl w:ilvl="0">
      <w:lvlJc w:val="left"/>
      <w:lvlText w:val="(%1)"/>
      <w:numFmt w:val="decimal"/>
      <w:start w:val="1"/>
    </w:lvl>
  </w:abstractNum>
  <w:abstractNum w:abstractNumId="117">
    <w:nsid w:val="6EAA85FB"/>
    <w:multiLevelType w:val="hybridMultilevel"/>
    <w:lvl w:ilvl="0">
      <w:lvlJc w:val="left"/>
      <w:lvlText w:val="(%1)"/>
      <w:numFmt w:val="decimal"/>
      <w:start w:val="3"/>
    </w:lvl>
  </w:abstractNum>
  <w:abstractNum w:abstractNumId="118">
    <w:nsid w:val="3F06ECB2"/>
    <w:multiLevelType w:val="hybridMultilevel"/>
    <w:lvl w:ilvl="0">
      <w:lvlJc w:val="left"/>
      <w:lvlText w:val="%1"/>
      <w:numFmt w:val="lowerLetter"/>
      <w:start w:val="1"/>
    </w:lvl>
    <w:lvl w:ilvl="1">
      <w:lvlJc w:val="left"/>
      <w:lvlText w:val="(%2)"/>
      <w:numFmt w:val="decimal"/>
      <w:start w:val="4"/>
    </w:lvl>
  </w:abstractNum>
  <w:abstractNum w:abstractNumId="119">
    <w:nsid w:val="3B594807"/>
    <w:multiLevelType w:val="hybridMultilevel"/>
    <w:lvl w:ilvl="0">
      <w:lvlJc w:val="left"/>
      <w:lvlText w:val="(%1)"/>
      <w:numFmt w:val="lowerLetter"/>
      <w:start w:val="2"/>
    </w:lvl>
    <w:lvl w:ilvl="1">
      <w:lvlJc w:val="left"/>
      <w:lvlText w:val="%2"/>
      <w:numFmt w:val="decimal"/>
      <w:start w:val="1"/>
    </w:lvl>
  </w:abstractNum>
  <w:abstractNum w:abstractNumId="120">
    <w:nsid w:val="6CAA2304"/>
    <w:multiLevelType w:val="hybridMultilevel"/>
    <w:lvl w:ilvl="0">
      <w:lvlJc w:val="left"/>
      <w:lvlText w:val="(%1)"/>
      <w:numFmt w:val="decimal"/>
      <w:start w:val="5"/>
    </w:lvl>
  </w:abstractNum>
  <w:abstractNum w:abstractNumId="121">
    <w:nsid w:val="3F7C2FF4"/>
    <w:multiLevelType w:val="hybridMultilevel"/>
    <w:lvl w:ilvl="0">
      <w:lvlJc w:val="left"/>
      <w:lvlText w:val="(%1)"/>
      <w:numFmt w:val="decimal"/>
      <w:start w:val="6"/>
    </w:lvl>
  </w:abstractNum>
  <w:abstractNum w:abstractNumId="122">
    <w:nsid w:val="25413BEC"/>
    <w:multiLevelType w:val="hybridMultilevel"/>
    <w:lvl w:ilvl="0">
      <w:lvlJc w:val="left"/>
      <w:lvlText w:val="(%1)"/>
      <w:numFmt w:val="decimal"/>
      <w:start w:val="11"/>
    </w:lvl>
  </w:abstractNum>
  <w:abstractNum w:abstractNumId="123">
    <w:nsid w:val="17180B0B"/>
    <w:multiLevelType w:val="hybridMultilevel"/>
    <w:lvl w:ilvl="0">
      <w:lvlJc w:val="left"/>
      <w:lvlText w:val="(%1)"/>
      <w:numFmt w:val="decimal"/>
      <w:start w:val="1"/>
    </w:lvl>
  </w:abstractNum>
  <w:abstractNum w:abstractNumId="124">
    <w:nsid w:val="579328B9"/>
    <w:multiLevelType w:val="hybridMultilevel"/>
    <w:lvl w:ilvl="0">
      <w:lvlJc w:val="left"/>
      <w:lvlText w:val="(%1)"/>
      <w:numFmt w:val="decimal"/>
      <w:start w:val="1"/>
    </w:lvl>
  </w:abstractNum>
  <w:abstractNum w:abstractNumId="125">
    <w:nsid w:val="5D205E20"/>
    <w:multiLevelType w:val="hybridMultilevel"/>
    <w:lvl w:ilvl="0">
      <w:lvlJc w:val="left"/>
      <w:lvlText w:val="(%1)"/>
      <w:numFmt w:val="decimal"/>
      <w:start w:val="3"/>
    </w:lvl>
  </w:abstractNum>
  <w:abstractNum w:abstractNumId="126">
    <w:nsid w:val="11CCA8BA"/>
    <w:multiLevelType w:val="hybridMultilevel"/>
    <w:lvl w:ilvl="0">
      <w:lvlJc w:val="left"/>
      <w:lvlText w:val="%1"/>
      <w:numFmt w:val="lowerLetter"/>
      <w:start w:val="1"/>
    </w:lvl>
    <w:lvl w:ilvl="1">
      <w:lvlJc w:val="left"/>
      <w:lvlText w:val="(%2)"/>
      <w:numFmt w:val="decimal"/>
      <w:start w:val="1"/>
    </w:lvl>
  </w:abstractNum>
  <w:abstractNum w:abstractNumId="127">
    <w:nsid w:val="4D32AB86"/>
    <w:multiLevelType w:val="hybridMultilevel"/>
    <w:lvl w:ilvl="0">
      <w:lvlJc w:val="left"/>
      <w:lvlText w:val="(%1)"/>
      <w:numFmt w:val="lowerLetter"/>
      <w:start w:val="4"/>
    </w:lvl>
    <w:lvl w:ilvl="1">
      <w:lvlJc w:val="left"/>
      <w:lvlText w:val="(%2)"/>
      <w:numFmt w:val="decimal"/>
      <w:start w:val="2"/>
    </w:lvl>
  </w:abstractNum>
  <w:abstractNum w:abstractNumId="128">
    <w:nsid w:val="3F07ACC3"/>
    <w:multiLevelType w:val="hybridMultilevel"/>
    <w:lvl w:ilvl="0">
      <w:lvlJc w:val="left"/>
      <w:lvlText w:val="(%1)"/>
      <w:numFmt w:val="decimal"/>
      <w:start w:val="1"/>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decimal"/>
      <w:start w:val="1"/>
    </w:lvl>
  </w:abstractNum>
  <w:abstractNum w:abstractNumId="131">
    <w:nsid w:val="16CF80F1"/>
    <w:multiLevelType w:val="hybridMultilevel"/>
    <w:lvl w:ilvl="0">
      <w:lvlJc w:val="left"/>
      <w:lvlText w:val="(%1)"/>
      <w:numFmt w:val="decimal"/>
      <w:start w:val="2"/>
    </w:lvl>
  </w:abstractNum>
  <w:abstractNum w:abstractNumId="132">
    <w:nsid w:val="1C695DEC"/>
    <w:multiLevelType w:val="hybridMultilevel"/>
    <w:lvl w:ilvl="0">
      <w:lvlJc w:val="left"/>
      <w:lvlText w:val="(%1)"/>
      <w:numFmt w:val="lowerRoman"/>
      <w:start w:val="1"/>
    </w:lvl>
  </w:abstractNum>
  <w:abstractNum w:abstractNumId="133">
    <w:nsid w:val="3FCFAED9"/>
    <w:multiLevelType w:val="hybridMultilevel"/>
    <w:lvl w:ilvl="0">
      <w:lvlJc w:val="left"/>
      <w:lvlText w:val="(%1)"/>
      <w:numFmt w:val="decimal"/>
      <w:start w:val="1"/>
    </w:lvl>
  </w:abstractNum>
  <w:abstractNum w:abstractNumId="134">
    <w:nsid w:val="F856867"/>
    <w:multiLevelType w:val="hybridMultilevel"/>
    <w:lvl w:ilvl="0">
      <w:lvlJc w:val="left"/>
      <w:lvlText w:val="(%1)"/>
      <w:numFmt w:val="decimal"/>
      <w:start w:val="1"/>
    </w:lvl>
  </w:abstractNum>
  <w:abstractNum w:abstractNumId="135">
    <w:nsid w:val="11B1CC33"/>
    <w:multiLevelType w:val="hybridMultilevel"/>
    <w:lvl w:ilvl="0">
      <w:lvlJc w:val="left"/>
      <w:lvlText w:val="(%1)"/>
      <w:numFmt w:val="lowerRoman"/>
      <w:start w:val="1"/>
    </w:lvl>
  </w:abstractNum>
  <w:abstractNum w:abstractNumId="136">
    <w:nsid w:val="2E22FBB7"/>
    <w:multiLevelType w:val="hybridMultilevel"/>
    <w:lvl w:ilvl="0">
      <w:lvlJc w:val="left"/>
      <w:lvlText w:val="(%1)"/>
      <w:numFmt w:val="decimal"/>
      <w:start w:val="1"/>
    </w:lvl>
  </w:abstractNum>
  <w:abstractNum w:abstractNumId="137">
    <w:nsid w:val="29934699"/>
    <w:multiLevelType w:val="hybridMultilevel"/>
    <w:lvl w:ilvl="0">
      <w:lvlJc w:val="left"/>
      <w:lvlText w:val="(%1)"/>
      <w:numFmt w:val="decimal"/>
      <w:start w:val="4"/>
    </w:lvl>
  </w:abstractNum>
  <w:abstractNum w:abstractNumId="138">
    <w:nsid w:val="77485850"/>
    <w:multiLevelType w:val="hybridMultilevel"/>
    <w:lvl w:ilvl="0">
      <w:lvlJc w:val="left"/>
      <w:lvlText w:val="(%1)"/>
      <w:numFmt w:val="decimal"/>
      <w:start w:val="14"/>
    </w:lvl>
  </w:abstractNum>
  <w:abstractNum w:abstractNumId="139">
    <w:nsid w:val="744939A3"/>
    <w:multiLevelType w:val="hybridMultilevel"/>
    <w:lvl w:ilvl="0">
      <w:lvlJc w:val="left"/>
      <w:lvlText w:val="(%1)"/>
      <w:numFmt w:val="decimal"/>
      <w:start w:val="21"/>
    </w:lvl>
  </w:abstractNum>
  <w:abstractNum w:abstractNumId="140">
    <w:nsid w:val="4FA0D2E3"/>
    <w:multiLevelType w:val="hybridMultilevel"/>
    <w:lvl w:ilvl="0">
      <w:lvlJc w:val="left"/>
      <w:lvlText w:val="(%1)"/>
      <w:numFmt w:val="lowerLetter"/>
      <w:start w:val="9"/>
    </w:lvl>
    <w:lvl w:ilvl="1">
      <w:lvlJc w:val="left"/>
      <w:lvlText w:val="(%2)"/>
      <w:numFmt w:val="lowerLetter"/>
      <w:start w:val="1"/>
    </w:lvl>
  </w:abstractNum>
  <w:abstractNum w:abstractNumId="141">
    <w:nsid w:val="6B1D2C14"/>
    <w:multiLevelType w:val="hybridMultilevel"/>
    <w:lvl w:ilvl="0">
      <w:lvlJc w:val="left"/>
      <w:lvlText w:val="(%1)"/>
      <w:numFmt w:val="lowerRoman"/>
      <w:start w:val="2"/>
    </w:lvl>
  </w:abstractNum>
  <w:abstractNum w:abstractNumId="142">
    <w:nsid w:val="68B867D3"/>
    <w:multiLevelType w:val="hybridMultilevel"/>
    <w:lvl w:ilvl="0">
      <w:lvlJc w:val="left"/>
      <w:lvlText w:val="(%1)"/>
      <w:numFmt w:val="decimal"/>
      <w:start w:val="1"/>
    </w:lvl>
  </w:abstractNum>
  <w:abstractNum w:abstractNumId="143">
    <w:nsid w:val="3F7F5DD9"/>
    <w:multiLevelType w:val="hybridMultilevel"/>
    <w:lvl w:ilvl="0">
      <w:lvlJc w:val="left"/>
      <w:lvlText w:val="(%1)"/>
      <w:numFmt w:val="decimal"/>
      <w:start w:val="2"/>
    </w:lvl>
  </w:abstractNum>
  <w:abstractNum w:abstractNumId="144">
    <w:nsid w:val="2AE05A34"/>
    <w:multiLevelType w:val="hybridMultilevel"/>
    <w:lvl w:ilvl="0">
      <w:lvlJc w:val="left"/>
      <w:lvlText w:val="(%1)"/>
      <w:numFmt w:val="decimal"/>
      <w:start w:val="1"/>
    </w:lvl>
    <w:lvl w:ilvl="1">
      <w:lvlJc w:val="left"/>
      <w:lvlText w:val="(%2)"/>
      <w:numFmt w:val="upperLetter"/>
      <w:start w:val="1"/>
    </w:lvl>
  </w:abstractNum>
  <w:abstractNum w:abstractNumId="145">
    <w:nsid w:val="32794FF7"/>
    <w:multiLevelType w:val="hybridMultilevel"/>
    <w:lvl w:ilvl="0">
      <w:lvlJc w:val="left"/>
      <w:lvlText w:val="(%1)"/>
      <w:numFmt w:val="lowerRoman"/>
      <w:start w:val="1"/>
    </w:lvl>
  </w:abstractNum>
  <w:abstractNum w:abstractNumId="146">
    <w:nsid w:val="5454945E"/>
    <w:multiLevelType w:val="hybridMultilevel"/>
    <w:lvl w:ilvl="0">
      <w:lvlJc w:val="left"/>
      <w:lvlText w:val="(%1)"/>
      <w:numFmt w:val="decimal"/>
      <w:start w:val="2"/>
    </w:lvl>
  </w:abstractNum>
  <w:abstractNum w:abstractNumId="147">
    <w:nsid w:val="4DEFDFA0"/>
    <w:multiLevelType w:val="hybridMultilevel"/>
    <w:lvl w:ilvl="0">
      <w:lvlJc w:val="left"/>
      <w:lvlText w:val="(%1)"/>
      <w:numFmt w:val="decimal"/>
      <w:start w:val="1"/>
    </w:lvl>
  </w:abstractNum>
  <w:abstractNum w:abstractNumId="148">
    <w:nsid w:val="2123D5F2"/>
    <w:multiLevelType w:val="hybridMultilevel"/>
    <w:lvl w:ilvl="0">
      <w:lvlJc w:val="left"/>
      <w:lvlText w:val="(%1)"/>
      <w:numFmt w:val="decimal"/>
      <w:start w:val="5"/>
    </w:lvl>
    <w:lvl w:ilvl="1">
      <w:lvlJc w:val="left"/>
      <w:lvlText w:val="(%2)"/>
      <w:numFmt w:val="upperLetter"/>
      <w:start w:val="1"/>
    </w:lvl>
  </w:abstractNum>
  <w:abstractNum w:abstractNumId="149">
    <w:nsid w:val="135B8110"/>
    <w:multiLevelType w:val="hybridMultilevel"/>
    <w:lvl w:ilvl="0">
      <w:lvlJc w:val="left"/>
      <w:lvlText w:val="(%1)"/>
      <w:numFmt w:val="decimal"/>
      <w:start w:val="8"/>
    </w:lvl>
  </w:abstractNum>
  <w:abstractNum w:abstractNumId="150">
    <w:nsid w:val="94927A8"/>
    <w:multiLevelType w:val="hybridMultilevel"/>
    <w:lvl w:ilvl="0">
      <w:lvlJc w:val="left"/>
      <w:lvlText w:val="(%1)"/>
      <w:numFmt w:val="decimal"/>
      <w:start w:val="1"/>
    </w:lvl>
    <w:lvl w:ilvl="1">
      <w:lvlJc w:val="left"/>
      <w:lvlText w:val="(%2)"/>
      <w:numFmt w:val="upperLetter"/>
      <w:start w:val="1"/>
    </w:lvl>
  </w:abstractNum>
  <w:abstractNum w:abstractNumId="151">
    <w:nsid w:val="DCDF8F6"/>
    <w:multiLevelType w:val="hybridMultilevel"/>
    <w:lvl w:ilvl="0">
      <w:lvlJc w:val="left"/>
      <w:lvlText w:val="(%1)"/>
      <w:numFmt w:val="decimal"/>
      <w:start w:val="1"/>
    </w:lvl>
  </w:abstractNum>
  <w:abstractNum w:abstractNumId="152">
    <w:nsid w:val="52D7B105"/>
    <w:multiLevelType w:val="hybridMultilevel"/>
    <w:lvl w:ilvl="0">
      <w:lvlJc w:val="left"/>
      <w:lvlText w:val="(%1)"/>
      <w:numFmt w:val="lowerRoman"/>
      <w:start w:val="1"/>
    </w:lvl>
  </w:abstractNum>
  <w:abstractNum w:abstractNumId="153">
    <w:nsid w:val="2E8A6394"/>
    <w:multiLevelType w:val="hybridMultilevel"/>
    <w:lvl w:ilvl="0">
      <w:lvlJc w:val="left"/>
      <w:lvlText w:val="(%1)"/>
      <w:numFmt w:val="lowerRoman"/>
      <w:start w:val="2"/>
    </w:lvl>
  </w:abstractNum>
  <w:abstractNum w:abstractNumId="154">
    <w:nsid w:val="24E60401"/>
    <w:multiLevelType w:val="hybridMultilevel"/>
    <w:lvl w:ilvl="0">
      <w:lvlJc w:val="left"/>
      <w:lvlText w:val="(%1)"/>
      <w:numFmt w:val="decimal"/>
      <w:start w:val="1"/>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decimal"/>
      <w:start w:val="1"/>
    </w:lvl>
  </w:abstractNum>
  <w:abstractNum w:abstractNumId="157">
    <w:nsid w:val="36B2ACBC"/>
    <w:multiLevelType w:val="hybridMultilevel"/>
    <w:lvl w:ilvl="0">
      <w:lvlJc w:val="left"/>
      <w:lvlText w:val="(%1)"/>
      <w:numFmt w:val="decimal"/>
      <w:start w:val="3"/>
    </w:lvl>
  </w:abstractNum>
  <w:abstractNum w:abstractNumId="158">
    <w:nsid w:val="779D8544"/>
    <w:multiLevelType w:val="hybridMultilevel"/>
    <w:lvl w:ilvl="0">
      <w:lvlJc w:val="left"/>
      <w:lvlText w:val="(%1)"/>
      <w:numFmt w:val="decimal"/>
      <w:start w:val="1"/>
    </w:lvl>
  </w:abstractNum>
  <w:abstractNum w:abstractNumId="159">
    <w:nsid w:val="4AB26E78"/>
    <w:multiLevelType w:val="hybridMultilevel"/>
    <w:lvl w:ilvl="0">
      <w:lvlJc w:val="left"/>
      <w:lvlText w:val="(%1)"/>
      <w:numFmt w:val="decimal"/>
      <w:start w:val="7"/>
    </w:lvl>
  </w:abstractNum>
  <w:abstractNum w:abstractNumId="160">
    <w:nsid w:val="21FAA2FA"/>
    <w:multiLevelType w:val="hybridMultilevel"/>
    <w:lvl w:ilvl="0">
      <w:lvlJc w:val="left"/>
      <w:lvlText w:val="(%1)"/>
      <w:numFmt w:val="decimal"/>
      <w:start w:val="1"/>
    </w:lvl>
  </w:abstractNum>
  <w:abstractNum w:abstractNumId="161">
    <w:nsid w:val="5451CF49"/>
    <w:multiLevelType w:val="hybridMultilevel"/>
    <w:lvl w:ilvl="0">
      <w:lvlJc w:val="left"/>
      <w:lvlText w:val="(%1)"/>
      <w:numFmt w:val="decimal"/>
      <w:start w:val="1"/>
    </w:lvl>
  </w:abstractNum>
  <w:abstractNum w:abstractNumId="162">
    <w:nsid w:val="6181EF69"/>
    <w:multiLevelType w:val="hybridMultilevel"/>
    <w:lvl w:ilvl="0">
      <w:lvlJc w:val="left"/>
      <w:lvlText w:val="(%1)"/>
      <w:numFmt w:val="decimal"/>
      <w:start w:val="3"/>
    </w:lvl>
  </w:abstractNum>
  <w:abstractNum w:abstractNumId="163">
    <w:nsid w:val="3E6400E6"/>
    <w:multiLevelType w:val="hybridMultilevel"/>
    <w:lvl w:ilvl="0">
      <w:lvlJc w:val="left"/>
      <w:lvlText w:val="%1."/>
      <w:numFmt w:val="decimal"/>
      <w:start w:val="106"/>
    </w:lvl>
  </w:abstractNum>
  <w:abstractNum w:abstractNumId="164">
    <w:nsid w:val="14217E23"/>
    <w:multiLevelType w:val="hybridMultilevel"/>
    <w:lvl w:ilvl="0">
      <w:lvlJc w:val="left"/>
      <w:lvlText w:val="(%1)"/>
      <w:numFmt w:val="lowerLetter"/>
      <w:start w:val="1"/>
    </w:lvl>
  </w:abstractNum>
  <w:abstractNum w:abstractNumId="165">
    <w:nsid w:val="710757D0"/>
    <w:multiLevelType w:val="hybridMultilevel"/>
    <w:lvl w:ilvl="0">
      <w:lvlJc w:val="left"/>
      <w:lvlText w:val="(%1)"/>
      <w:numFmt w:val="decimal"/>
      <w:start w:val="1"/>
    </w:lvl>
  </w:abstractNum>
  <w:abstractNum w:abstractNumId="166">
    <w:nsid w:val="5015CD1A"/>
    <w:multiLevelType w:val="hybridMultilevel"/>
    <w:lvl w:ilvl="0">
      <w:lvlJc w:val="left"/>
      <w:lvlText w:val="(%1)"/>
      <w:numFmt w:val="decimal"/>
      <w:start w:val="1"/>
    </w:lvl>
  </w:abstractNum>
  <w:abstractNum w:abstractNumId="167">
    <w:nsid w:val="424479DA"/>
    <w:multiLevelType w:val="hybridMultilevel"/>
    <w:lvl w:ilvl="0">
      <w:lvlJc w:val="left"/>
      <w:lvlText w:val="(%1)"/>
      <w:numFmt w:val="decimal"/>
      <w:start w:val="1"/>
    </w:lvl>
  </w:abstractNum>
  <w:abstractNum w:abstractNumId="168">
    <w:nsid w:val="1A9A9E69"/>
    <w:multiLevelType w:val="hybridMultilevel"/>
    <w:lvl w:ilvl="0">
      <w:lvlJc w:val="left"/>
      <w:lvlText w:val="(%1)"/>
      <w:numFmt w:val="decimal"/>
      <w:start w:val="6"/>
    </w:lvl>
  </w:abstractNum>
  <w:abstractNum w:abstractNumId="169">
    <w:nsid w:val="475E256A"/>
    <w:multiLevelType w:val="hybridMultilevel"/>
    <w:lvl w:ilvl="0">
      <w:lvlJc w:val="left"/>
      <w:lvlText w:val="(%1)"/>
      <w:numFmt w:val="decimal"/>
      <w:start w:val="1"/>
    </w:lvl>
  </w:abstractNum>
  <w:abstractNum w:abstractNumId="170">
    <w:nsid w:val="368DB37E"/>
    <w:multiLevelType w:val="hybridMultilevel"/>
    <w:lvl w:ilvl="0">
      <w:lvlJc w:val="left"/>
      <w:lvlText w:val="(%1)"/>
      <w:numFmt w:val="decimal"/>
      <w:start w:val="2"/>
    </w:lvl>
  </w:abstractNum>
  <w:abstractNum w:abstractNumId="171">
    <w:nsid w:val="6A3B714C"/>
    <w:multiLevelType w:val="hybridMultilevel"/>
    <w:lvl w:ilvl="0">
      <w:lvlJc w:val="left"/>
      <w:lvlText w:val="(%1)"/>
      <w:numFmt w:val="decimal"/>
      <w:start w:val="1"/>
    </w:lvl>
  </w:abstractNum>
  <w:abstractNum w:abstractNumId="172">
    <w:nsid w:val="327B517E"/>
    <w:multiLevelType w:val="hybridMultilevel"/>
    <w:lvl w:ilvl="0">
      <w:lvlJc w:val="left"/>
      <w:lvlText w:val="(%1)"/>
      <w:numFmt w:val="decimal"/>
      <w:start w:val="1"/>
    </w:lvl>
  </w:abstractNum>
  <w:abstractNum w:abstractNumId="173">
    <w:nsid w:val="1F461B51"/>
    <w:multiLevelType w:val="hybridMultilevel"/>
    <w:lvl w:ilvl="0">
      <w:lvlJc w:val="left"/>
      <w:lvlText w:val="(%1)"/>
      <w:numFmt w:val="decimal"/>
      <w:start w:val="10"/>
    </w:lvl>
  </w:abstractNum>
  <w:abstractNum w:abstractNumId="174">
    <w:nsid w:val="29BACF25"/>
    <w:multiLevelType w:val="hybridMultilevel"/>
    <w:lvl w:ilvl="0">
      <w:lvlJc w:val="left"/>
      <w:lvlText w:val="(%1)"/>
      <w:numFmt w:val="lowerRoman"/>
      <w:start w:val="1"/>
    </w:lvl>
  </w:abstractNum>
  <w:abstractNum w:abstractNumId="175">
    <w:nsid w:val="5D5BABB3"/>
    <w:multiLevelType w:val="hybridMultilevel"/>
    <w:lvl w:ilvl="0">
      <w:lvlJc w:val="left"/>
      <w:lvlText w:val="(%1)"/>
      <w:numFmt w:val="lowerRoman"/>
      <w:start w:val="2"/>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decimal"/>
      <w:start w:val="4"/>
    </w:lvl>
  </w:abstractNum>
  <w:abstractNum w:abstractNumId="178">
    <w:nsid w:val="2B4B8B53"/>
    <w:multiLevelType w:val="hybridMultilevel"/>
    <w:lvl w:ilvl="0">
      <w:lvlJc w:val="left"/>
      <w:lvlText w:val="(%1)"/>
      <w:numFmt w:val="decimal"/>
      <w:start w:val="1"/>
    </w:lvl>
  </w:abstractNum>
  <w:abstractNum w:abstractNumId="179">
    <w:nsid w:val="72E3413A"/>
    <w:multiLevelType w:val="hybridMultilevel"/>
    <w:lvl w:ilvl="0">
      <w:lvlJc w:val="left"/>
      <w:lvlText w:val="(%1)"/>
      <w:numFmt w:val="decimal"/>
      <w:start w:val="2"/>
    </w:lvl>
  </w:abstractNum>
  <w:abstractNum w:abstractNumId="180">
    <w:nsid w:val="116AE494"/>
    <w:multiLevelType w:val="hybridMultilevel"/>
    <w:lvl w:ilvl="0">
      <w:lvlJc w:val="left"/>
      <w:lvlText w:val="(%1)"/>
      <w:numFmt w:val="decimal"/>
      <w:start w:val="4"/>
    </w:lvl>
  </w:abstractNum>
  <w:abstractNum w:abstractNumId="181">
    <w:nsid w:val="3494B2FB"/>
    <w:multiLevelType w:val="hybridMultilevel"/>
    <w:lvl w:ilvl="0">
      <w:lvlJc w:val="left"/>
      <w:lvlText w:val="(%1)"/>
      <w:numFmt w:val="decimal"/>
      <w:start w:val="7"/>
    </w:lvl>
  </w:abstractNum>
  <w:abstractNum w:abstractNumId="182">
    <w:nsid w:val="B13A31"/>
    <w:multiLevelType w:val="hybridMultilevel"/>
    <w:lvl w:ilvl="0">
      <w:lvlJc w:val="left"/>
      <w:lvlText w:val="(%1)"/>
      <w:numFmt w:val="decimal"/>
      <w:start w:val="1"/>
    </w:lvl>
  </w:abstractNum>
  <w:abstractNum w:abstractNumId="183">
    <w:nsid w:val="64429599"/>
    <w:multiLevelType w:val="hybridMultilevel"/>
    <w:lvl w:ilvl="0">
      <w:lvlJc w:val="left"/>
      <w:lvlText w:val="(%1)"/>
      <w:numFmt w:val="decimal"/>
      <w:start w:val="1"/>
    </w:lvl>
  </w:abstractNum>
  <w:abstractNum w:abstractNumId="184">
    <w:nsid w:val="631F1690"/>
    <w:multiLevelType w:val="hybridMultilevel"/>
    <w:lvl w:ilvl="0">
      <w:lvlJc w:val="left"/>
      <w:lvlText w:val="(%1)"/>
      <w:numFmt w:val="decimal"/>
      <w:start w:val="1"/>
    </w:lvl>
  </w:abstractNum>
  <w:abstractNum w:abstractNumId="185">
    <w:nsid w:val="25973E32"/>
    <w:multiLevelType w:val="hybridMultilevel"/>
    <w:lvl w:ilvl="0">
      <w:lvlJc w:val="left"/>
      <w:lvlText w:val="(%1)"/>
      <w:numFmt w:val="decimal"/>
      <w:start w:val="1"/>
    </w:lvl>
  </w:abstractNum>
  <w:abstractNum w:abstractNumId="186">
    <w:nsid w:val="EAD6F57"/>
    <w:multiLevelType w:val="hybridMultilevel"/>
    <w:lvl w:ilvl="0">
      <w:lvlJc w:val="left"/>
      <w:lvlText w:val="(%1)"/>
      <w:numFmt w:val="lowerLetter"/>
      <w:start w:val="1"/>
    </w:lvl>
  </w:abstractNum>
  <w:abstractNum w:abstractNumId="187">
    <w:nsid w:val="6EC9D844"/>
    <w:multiLevelType w:val="hybridMultilevel"/>
    <w:lvl w:ilvl="0">
      <w:lvlJc w:val="left"/>
      <w:lvlText w:val="(%1)"/>
      <w:numFmt w:val="lowerRoman"/>
      <w:start w:val="2"/>
    </w:lvl>
  </w:abstractNum>
  <w:abstractNum w:abstractNumId="188">
    <w:nsid w:val="5C49EAEE"/>
    <w:multiLevelType w:val="hybridMultilevel"/>
    <w:lvl w:ilvl="0">
      <w:lvlJc w:val="left"/>
      <w:lvlText w:val="(%1)"/>
      <w:numFmt w:val="lowerRoman"/>
      <w:start w:val="3"/>
    </w:lvl>
  </w:abstractNum>
  <w:abstractNum w:abstractNumId="189">
    <w:nsid w:val="64AF49B"/>
    <w:multiLevelType w:val="hybridMultilevel"/>
    <w:lvl w:ilvl="0">
      <w:lvlJc w:val="left"/>
      <w:lvlText w:val="(%1)"/>
      <w:numFmt w:val="lowerRoman"/>
      <w:start w:val="5"/>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2019-12-07T22:27:53Z</dcterms:created>
  <dcterms:modified xsi:type="dcterms:W3CDTF">2019-12-07T22:27:53Z</dcterms:modified>
</cp:coreProperties>
</file>