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Pursuant to Section 13 or 15(d)</w:t>
      </w: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20" w:space="720"/>
            <w:col w:w="3020" w:space="720"/>
            <w:col w:w="2200"/>
          </w:cols>
          <w:pgMar w:left="920" w:top="206" w:right="999" w:bottom="1440" w:gutter="0" w:footer="0" w:header="0"/>
          <w:type w:val="continuous"/>
        </w:sectPr>
      </w:pPr>
    </w:p>
    <w:p>
      <w:pPr>
        <w:spacing w:after="0" w:line="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780"/>
          </w:cols>
          <w:pgMar w:left="920" w:top="206" w:right="99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00" w:lineRule="exact"/>
        <w:rPr>
          <w:sz w:val="24"/>
          <w:szCs w:val="24"/>
          <w:color w:val="auto"/>
        </w:rPr>
      </w:pP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220980</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460" w:hanging="812"/>
        <w:spacing w:after="0"/>
        <w:tabs>
          <w:tab w:leader="none" w:pos="1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500" w:hanging="852"/>
        <w:spacing w:after="0"/>
        <w:tabs>
          <w:tab w:leader="none" w:pos="1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500" w:hanging="852"/>
        <w:spacing w:after="0"/>
        <w:tabs>
          <w:tab w:leader="none" w:pos="15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 w:lineRule="exact"/>
        <w:rPr>
          <w:rFonts w:ascii="MS PGothic" w:cs="MS PGothic" w:eastAsia="MS PGothic" w:hAnsi="MS PGothic"/>
          <w:sz w:val="17"/>
          <w:szCs w:val="17"/>
          <w:color w:val="auto"/>
        </w:rPr>
      </w:pPr>
    </w:p>
    <w:p>
      <w:pPr>
        <w:ind w:left="1500" w:hanging="852"/>
        <w:spacing w:after="0"/>
        <w:tabs>
          <w:tab w:leader="none" w:pos="15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440690</wp:posOffset>
            </wp:positionV>
            <wp:extent cx="6388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November 10, 2016, Blueprint Medicines Corporation (the “Company”) announced its financial results for the quarter ended September 30, 2016. The full text of the press release issued in connection with the announcement is furnished as Exhibit 99.1 to this Current Report on Form 8-K and is incorporated by reference herein.</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exhibit relating to Item 2.02 of this Current Report on Form 8-K shall be deemed to be furnished and not filed: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74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3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74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Press release issued by Blueprint Medicines Corporation on November 10,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5460" w:type="dxa"/>
            <w:vAlign w:val="bottom"/>
            <w:gridSpan w:val="2"/>
          </w:tcPr>
          <w:p>
            <w:pPr>
              <w:ind w:left="1360"/>
              <w:spacing w:after="0"/>
              <w:rPr>
                <w:sz w:val="20"/>
                <w:szCs w:val="20"/>
                <w:color w:val="auto"/>
              </w:rPr>
            </w:pPr>
            <w:r>
              <w:rPr>
                <w:rFonts w:ascii="Arial" w:cs="Arial" w:eastAsia="Arial" w:hAnsi="Arial"/>
                <w:sz w:val="18"/>
                <w:szCs w:val="18"/>
                <w:b w:val="1"/>
                <w:bCs w:val="1"/>
                <w:color w:val="auto"/>
              </w:rPr>
              <w:t>BLUEPRINT MEDICINES CORPORATION</w:t>
            </w:r>
          </w:p>
        </w:tc>
        <w:tc>
          <w:tcPr>
            <w:tcW w:w="420" w:type="dxa"/>
            <w:vAlign w:val="bottom"/>
          </w:tcPr>
          <w:p>
            <w:pPr>
              <w:spacing w:after="0"/>
              <w:rPr>
                <w:sz w:val="20"/>
                <w:szCs w:val="20"/>
                <w:color w:val="auto"/>
              </w:rPr>
            </w:pPr>
          </w:p>
        </w:tc>
      </w:tr>
      <w:tr>
        <w:trPr>
          <w:trHeight w:val="661"/>
        </w:trPr>
        <w:tc>
          <w:tcPr>
            <w:tcW w:w="3180" w:type="dxa"/>
            <w:vAlign w:val="bottom"/>
          </w:tcPr>
          <w:p>
            <w:pPr>
              <w:spacing w:after="0"/>
              <w:rPr>
                <w:sz w:val="20"/>
                <w:szCs w:val="20"/>
                <w:color w:val="auto"/>
              </w:rPr>
            </w:pPr>
            <w:r>
              <w:rPr>
                <w:rFonts w:ascii="Arial" w:cs="Arial" w:eastAsia="Arial" w:hAnsi="Arial"/>
                <w:sz w:val="18"/>
                <w:szCs w:val="18"/>
                <w:color w:val="auto"/>
              </w:rPr>
              <w:t>Date: November 10, 2016</w:t>
            </w:r>
          </w:p>
        </w:tc>
        <w:tc>
          <w:tcPr>
            <w:tcW w:w="5460" w:type="dxa"/>
            <w:vAlign w:val="bottom"/>
            <w:gridSpan w:val="2"/>
          </w:tcPr>
          <w:p>
            <w:pPr>
              <w:ind w:left="1360"/>
              <w:spacing w:after="0"/>
              <w:rPr>
                <w:sz w:val="20"/>
                <w:szCs w:val="20"/>
                <w:color w:val="auto"/>
              </w:rPr>
            </w:pPr>
            <w:r>
              <w:rPr>
                <w:rFonts w:ascii="Arial" w:cs="Arial" w:eastAsia="Arial" w:hAnsi="Arial"/>
                <w:sz w:val="18"/>
                <w:szCs w:val="18"/>
                <w:color w:val="auto"/>
              </w:rPr>
              <w:t>By: /s/ Jeffrey W.</w:t>
            </w:r>
          </w:p>
        </w:tc>
        <w:tc>
          <w:tcPr>
            <w:tcW w:w="420" w:type="dxa"/>
            <w:vAlign w:val="bottom"/>
          </w:tcPr>
          <w:p>
            <w:pPr>
              <w:spacing w:after="0"/>
              <w:rPr>
                <w:sz w:val="24"/>
                <w:szCs w:val="24"/>
                <w:color w:val="auto"/>
              </w:rPr>
            </w:pPr>
          </w:p>
        </w:tc>
      </w:tr>
      <w:tr>
        <w:trPr>
          <w:trHeight w:val="230"/>
        </w:trPr>
        <w:tc>
          <w:tcPr>
            <w:tcW w:w="3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20" w:type="dxa"/>
            <w:vAlign w:val="bottom"/>
          </w:tcPr>
          <w:p>
            <w:pPr>
              <w:spacing w:after="0"/>
              <w:rPr>
                <w:sz w:val="20"/>
                <w:szCs w:val="20"/>
                <w:color w:val="auto"/>
              </w:rPr>
            </w:pPr>
          </w:p>
        </w:tc>
      </w:tr>
      <w:tr>
        <w:trPr>
          <w:trHeight w:val="195"/>
        </w:trPr>
        <w:tc>
          <w:tcPr>
            <w:tcW w:w="3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7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20" w:type="dxa"/>
            <w:vAlign w:val="bottom"/>
          </w:tcPr>
          <w:p>
            <w:pPr>
              <w:spacing w:after="0"/>
              <w:rPr>
                <w:sz w:val="16"/>
                <w:szCs w:val="16"/>
                <w:color w:val="auto"/>
              </w:rPr>
            </w:pPr>
          </w:p>
        </w:tc>
      </w:tr>
      <w:tr>
        <w:trPr>
          <w:trHeight w:val="230"/>
        </w:trPr>
        <w:tc>
          <w:tcPr>
            <w:tcW w:w="3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20" w:type="dxa"/>
            <w:vAlign w:val="bottom"/>
          </w:tcPr>
          <w:p>
            <w:pPr>
              <w:spacing w:after="0"/>
              <w:rPr>
                <w:sz w:val="20"/>
                <w:szCs w:val="20"/>
                <w:color w:val="auto"/>
              </w:rPr>
            </w:pPr>
          </w:p>
        </w:tc>
      </w:tr>
      <w:tr>
        <w:trPr>
          <w:trHeight w:val="891"/>
        </w:trPr>
        <w:tc>
          <w:tcPr>
            <w:tcW w:w="3180" w:type="dxa"/>
            <w:vAlign w:val="bottom"/>
          </w:tcPr>
          <w:p>
            <w:pPr>
              <w:spacing w:after="0"/>
              <w:rPr>
                <w:sz w:val="24"/>
                <w:szCs w:val="24"/>
                <w:color w:val="auto"/>
              </w:rPr>
            </w:pPr>
          </w:p>
        </w:tc>
        <w:tc>
          <w:tcPr>
            <w:tcW w:w="172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3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29"/>
        </w:trPr>
        <w:tc>
          <w:tcPr>
            <w:tcW w:w="31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80" w:type="dxa"/>
            <w:vAlign w:val="bottom"/>
          </w:tcPr>
          <w:p>
            <w:pPr>
              <w:jc w:val="center"/>
              <w:ind w:right="1470"/>
              <w:spacing w:after="0"/>
              <w:rPr>
                <w:sz w:val="20"/>
                <w:szCs w:val="20"/>
                <w:color w:val="auto"/>
              </w:rPr>
            </w:pPr>
            <w:r>
              <w:rPr>
                <w:rFonts w:ascii="Arial" w:cs="Arial" w:eastAsia="Arial" w:hAnsi="Arial"/>
                <w:sz w:val="18"/>
                <w:szCs w:val="18"/>
                <w:b w:val="1"/>
                <w:bCs w:val="1"/>
                <w:color w:val="auto"/>
              </w:rPr>
              <w:t>EXHIBIT INDEX</w:t>
            </w:r>
          </w:p>
        </w:tc>
      </w:tr>
      <w:tr>
        <w:trPr>
          <w:trHeight w:val="581"/>
        </w:trPr>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74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3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74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Press release issued by Blueprint Medicines Corporation on November 10, 2016</w:t>
            </w:r>
          </w:p>
        </w:tc>
      </w:tr>
      <w:tr>
        <w:trPr>
          <w:trHeight w:val="877"/>
        </w:trPr>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80" w:type="dxa"/>
            <w:vAlign w:val="bottom"/>
          </w:tcPr>
          <w:p>
            <w:pPr>
              <w:jc w:val="right"/>
              <w:ind w:right="4390"/>
              <w:spacing w:after="0"/>
              <w:rPr>
                <w:sz w:val="20"/>
                <w:szCs w:val="20"/>
                <w:color w:val="auto"/>
              </w:rPr>
            </w:pPr>
            <w:r>
              <w:rPr>
                <w:rFonts w:ascii="Arial" w:cs="Arial" w:eastAsia="Arial" w:hAnsi="Arial"/>
                <w:sz w:val="18"/>
                <w:szCs w:val="18"/>
                <w:color w:val="auto"/>
              </w:rPr>
              <w:t>4</w:t>
            </w:r>
          </w:p>
        </w:tc>
      </w:tr>
      <w:tr>
        <w:trPr>
          <w:trHeight w:val="129"/>
        </w:trPr>
        <w:tc>
          <w:tcPr>
            <w:tcW w:w="1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635</wp:posOffset>
            </wp:positionV>
            <wp:extent cx="172402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Blueprint Medicines Reports Third Quarter 2016 Financial Results</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 Preliminary data from BLU-285 in systemic mastocytosis (SM) to be presented at 2016 ASH Annual</w:t>
      </w:r>
    </w:p>
    <w:p>
      <w:pPr>
        <w:ind w:left="4120"/>
        <w:spacing w:after="0" w:line="197" w:lineRule="auto"/>
        <w:rPr>
          <w:sz w:val="20"/>
          <w:szCs w:val="20"/>
          <w:color w:val="auto"/>
        </w:rPr>
      </w:pPr>
      <w:r>
        <w:rPr>
          <w:rFonts w:ascii="Arial" w:cs="Arial" w:eastAsia="Arial" w:hAnsi="Arial"/>
          <w:sz w:val="20"/>
          <w:szCs w:val="20"/>
          <w:i w:val="1"/>
          <w:iCs w:val="1"/>
          <w:color w:val="auto"/>
        </w:rPr>
        <w:t>Meeting –</w:t>
      </w:r>
    </w:p>
    <w:p>
      <w:pPr>
        <w:ind w:left="200"/>
        <w:spacing w:after="0" w:line="219" w:lineRule="auto"/>
        <w:rPr>
          <w:sz w:val="20"/>
          <w:szCs w:val="20"/>
          <w:color w:val="auto"/>
        </w:rPr>
      </w:pPr>
      <w:r>
        <w:rPr>
          <w:rFonts w:ascii="Arial" w:cs="Arial" w:eastAsia="Arial" w:hAnsi="Arial"/>
          <w:sz w:val="18"/>
          <w:szCs w:val="18"/>
          <w:i w:val="1"/>
          <w:iCs w:val="1"/>
          <w:color w:val="auto"/>
        </w:rPr>
        <w:t>– Preliminary data from BLU-285 in gastrointestinal stromal tumors (GIST) and BLU-554 in hepatocellular</w:t>
      </w:r>
    </w:p>
    <w:p>
      <w:pPr>
        <w:ind w:left="1700"/>
        <w:spacing w:after="0"/>
        <w:rPr>
          <w:sz w:val="20"/>
          <w:szCs w:val="20"/>
          <w:color w:val="auto"/>
        </w:rPr>
      </w:pPr>
      <w:r>
        <w:rPr>
          <w:rFonts w:ascii="Arial" w:cs="Arial" w:eastAsia="Arial" w:hAnsi="Arial"/>
          <w:sz w:val="20"/>
          <w:szCs w:val="20"/>
          <w:i w:val="1"/>
          <w:iCs w:val="1"/>
          <w:color w:val="auto"/>
        </w:rPr>
        <w:t>carcinoma (HCC) to be presented at EORTC-NCI-AACR Symposium –</w:t>
      </w:r>
    </w:p>
    <w:p>
      <w:pPr>
        <w:spacing w:after="0" w:line="132" w:lineRule="exact"/>
        <w:rPr>
          <w:sz w:val="20"/>
          <w:szCs w:val="20"/>
          <w:color w:val="auto"/>
        </w:rPr>
      </w:pPr>
    </w:p>
    <w:p>
      <w:pPr>
        <w:ind w:left="160" w:right="179"/>
        <w:spacing w:after="0" w:line="213" w:lineRule="auto"/>
        <w:rPr>
          <w:sz w:val="20"/>
          <w:szCs w:val="20"/>
          <w:color w:val="auto"/>
        </w:rPr>
      </w:pPr>
      <w:r>
        <w:rPr>
          <w:rFonts w:ascii="Arial" w:cs="Arial" w:eastAsia="Arial" w:hAnsi="Arial"/>
          <w:sz w:val="20"/>
          <w:szCs w:val="20"/>
          <w:color w:val="auto"/>
        </w:rPr>
        <w:t>CAMBRIDGE, Mass., November 10, 2016 – Blueprint Medicines Corporation (NASDAQ: BPMC), a leader in discovering and developing targeted kinase medicines for patients with genomically defined diseases, today reported financial results and provided a business update for the third quarter ended September 30, 2016.</w:t>
      </w:r>
    </w:p>
    <w:p>
      <w:pPr>
        <w:spacing w:after="0" w:line="129" w:lineRule="exact"/>
        <w:rPr>
          <w:sz w:val="20"/>
          <w:szCs w:val="20"/>
          <w:color w:val="auto"/>
        </w:rPr>
      </w:pPr>
    </w:p>
    <w:p>
      <w:pPr>
        <w:ind w:left="160" w:right="159"/>
        <w:spacing w:after="0" w:line="230" w:lineRule="auto"/>
        <w:rPr>
          <w:sz w:val="20"/>
          <w:szCs w:val="20"/>
          <w:color w:val="auto"/>
        </w:rPr>
      </w:pPr>
      <w:r>
        <w:rPr>
          <w:rFonts w:ascii="Arial" w:cs="Arial" w:eastAsia="Arial" w:hAnsi="Arial"/>
          <w:sz w:val="19"/>
          <w:szCs w:val="19"/>
          <w:color w:val="auto"/>
        </w:rPr>
        <w:t>“During the third quarter of 2016, we made significant progress on our pipeline and were pleased to announce our newest drug discovery program for the treatment of fibrolamellar carcinoma, a rare liver cancer with a recognized genomic driver. This program highlights how quickly our science is moving to identify new and promising kinase drug targets, and our continued commitment to patients who need new treatment options,” said Jeff Albers, Chief Executive Officer of Blueprint Medicines. “We believe the breadth of our pipeline is unique for a company of our size, and we are looking forward to announcing the early stage data on our three Phase 1 clinical trials before year-end.”</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Corporate Highlights:</w:t>
      </w:r>
    </w:p>
    <w:p>
      <w:pPr>
        <w:spacing w:after="0" w:line="148" w:lineRule="exact"/>
        <w:rPr>
          <w:sz w:val="20"/>
          <w:szCs w:val="20"/>
          <w:color w:val="auto"/>
        </w:rPr>
      </w:pPr>
    </w:p>
    <w:p>
      <w:pPr>
        <w:ind w:left="520" w:right="199" w:hanging="53"/>
        <w:spacing w:after="0" w:line="21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Announced a new drug discovery program targeting PRKACA kinase fusions for the treatment of</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fibrolamellar carcinoma (FLC): </w:t>
      </w:r>
      <w:r>
        <w:rPr>
          <w:rFonts w:ascii="Arial" w:cs="Arial" w:eastAsia="Arial" w:hAnsi="Arial"/>
          <w:sz w:val="19"/>
          <w:szCs w:val="19"/>
          <w:color w:val="auto"/>
        </w:rPr>
        <w:t>In September 2016, at the 10</w:t>
      </w:r>
      <w:r>
        <w:rPr>
          <w:rFonts w:ascii="Arial" w:cs="Arial" w:eastAsia="Arial" w:hAnsi="Arial"/>
          <w:sz w:val="19"/>
          <w:szCs w:val="19"/>
          <w:color w:val="auto"/>
          <w:vertAlign w:val="superscript"/>
        </w:rPr>
        <w:t>th</w:t>
      </w:r>
      <w:r>
        <w:rPr>
          <w:rFonts w:ascii="Arial" w:cs="Arial" w:eastAsia="Arial" w:hAnsi="Arial"/>
          <w:sz w:val="19"/>
          <w:szCs w:val="19"/>
          <w:b w:val="1"/>
          <w:bCs w:val="1"/>
          <w:color w:val="auto"/>
        </w:rPr>
        <w:t xml:space="preserve"> </w:t>
      </w:r>
      <w:r>
        <w:rPr>
          <w:rFonts w:ascii="Arial" w:cs="Arial" w:eastAsia="Arial" w:hAnsi="Arial"/>
          <w:sz w:val="19"/>
          <w:szCs w:val="19"/>
          <w:color w:val="auto"/>
        </w:rPr>
        <w:t>International Liver Cancer Association</w:t>
      </w:r>
      <w:r>
        <w:rPr>
          <w:rFonts w:ascii="Arial" w:cs="Arial" w:eastAsia="Arial" w:hAnsi="Arial"/>
          <w:sz w:val="19"/>
          <w:szCs w:val="19"/>
          <w:b w:val="1"/>
          <w:bCs w:val="1"/>
          <w:color w:val="auto"/>
        </w:rPr>
        <w:t xml:space="preserve"> </w:t>
      </w:r>
      <w:r>
        <w:rPr>
          <w:rFonts w:ascii="Arial" w:cs="Arial" w:eastAsia="Arial" w:hAnsi="Arial"/>
          <w:sz w:val="19"/>
          <w:szCs w:val="19"/>
          <w:color w:val="auto"/>
        </w:rPr>
        <w:t>(ILCA) Annual Conference, Blueprint Medicines announced a new drug discovery program targeting PRKACA fusions for the treatment of FLC. Blueprint Medicines estimates that more than ninety percent of patients with FLC harbor the PRKACA fusion, which is the only known recurrent genomic event in FLC and considered the driver gene of the disease.</w:t>
      </w:r>
    </w:p>
    <w:p>
      <w:pPr>
        <w:spacing w:after="0" w:line="4" w:lineRule="exact"/>
        <w:rPr>
          <w:sz w:val="20"/>
          <w:szCs w:val="20"/>
          <w:color w:val="auto"/>
        </w:rPr>
      </w:pPr>
    </w:p>
    <w:p>
      <w:pPr>
        <w:ind w:left="520" w:right="199" w:hanging="53"/>
        <w:spacing w:after="0" w:line="207" w:lineRule="auto"/>
        <w:rPr>
          <w:sz w:val="20"/>
          <w:szCs w:val="20"/>
          <w:color w:val="auto"/>
        </w:rPr>
      </w:pPr>
      <w:r>
        <w:rPr>
          <w:rFonts w:ascii="Arial" w:cs="Arial" w:eastAsia="Arial" w:hAnsi="Arial"/>
          <w:sz w:val="18"/>
          <w:szCs w:val="18"/>
          <w:color w:val="auto"/>
        </w:rPr>
        <w:t>·</w:t>
      </w:r>
      <w:r>
        <w:rPr>
          <w:rFonts w:ascii="Arial" w:cs="Arial" w:eastAsia="Arial" w:hAnsi="Arial"/>
          <w:sz w:val="19"/>
          <w:szCs w:val="19"/>
          <w:b w:val="1"/>
          <w:bCs w:val="1"/>
          <w:color w:val="auto"/>
        </w:rPr>
        <w:t>Granted Fast Track Designation for BLU-285:</w:t>
      </w:r>
      <w:r>
        <w:rPr>
          <w:rFonts w:ascii="Arial" w:cs="Arial" w:eastAsia="Arial" w:hAnsi="Arial"/>
          <w:sz w:val="18"/>
          <w:szCs w:val="18"/>
          <w:color w:val="auto"/>
        </w:rPr>
        <w:t xml:space="preserve"> </w:t>
      </w:r>
      <w:r>
        <w:rPr>
          <w:rFonts w:ascii="Arial" w:cs="Arial" w:eastAsia="Arial" w:hAnsi="Arial"/>
          <w:sz w:val="19"/>
          <w:szCs w:val="19"/>
          <w:color w:val="auto"/>
        </w:rPr>
        <w:t>In October 2016, the U.S. Food &amp; Drug</w:t>
      </w:r>
      <w:r>
        <w:rPr>
          <w:rFonts w:ascii="Arial" w:cs="Arial" w:eastAsia="Arial" w:hAnsi="Arial"/>
          <w:sz w:val="18"/>
          <w:szCs w:val="18"/>
          <w:color w:val="auto"/>
        </w:rPr>
        <w:t xml:space="preserve"> </w:t>
      </w:r>
      <w:r>
        <w:rPr>
          <w:rFonts w:ascii="Arial" w:cs="Arial" w:eastAsia="Arial" w:hAnsi="Arial"/>
          <w:sz w:val="19"/>
          <w:szCs w:val="19"/>
          <w:color w:val="auto"/>
        </w:rPr>
        <w:t>Administration (FDA) granted Fast Track designation to BLU-285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The FDA's Fast Track Drug Development Program is designed to expedite clinical development and submission of New Drug Applications (NDA) for medicines with the potential to treat serious or life-threatening conditions and address unmet medical needs.</w:t>
      </w:r>
    </w:p>
    <w:p>
      <w:pPr>
        <w:spacing w:after="0" w:line="5" w:lineRule="exact"/>
        <w:rPr>
          <w:sz w:val="20"/>
          <w:szCs w:val="20"/>
          <w:color w:val="auto"/>
        </w:rPr>
      </w:pPr>
    </w:p>
    <w:p>
      <w:pPr>
        <w:ind w:left="520" w:right="159" w:hanging="53"/>
        <w:spacing w:after="0" w:line="207" w:lineRule="auto"/>
        <w:rPr>
          <w:sz w:val="20"/>
          <w:szCs w:val="20"/>
          <w:color w:val="auto"/>
        </w:rPr>
      </w:pPr>
      <w:r>
        <w:rPr>
          <w:rFonts w:ascii="Arial" w:cs="Arial" w:eastAsia="Arial" w:hAnsi="Arial"/>
          <w:sz w:val="18"/>
          <w:szCs w:val="18"/>
          <w:color w:val="auto"/>
        </w:rPr>
        <w:t>·</w:t>
      </w:r>
      <w:r>
        <w:rPr>
          <w:rFonts w:ascii="Arial" w:cs="Arial" w:eastAsia="Arial" w:hAnsi="Arial"/>
          <w:sz w:val="19"/>
          <w:szCs w:val="19"/>
          <w:b w:val="1"/>
          <w:bCs w:val="1"/>
          <w:color w:val="auto"/>
        </w:rPr>
        <w:t>Entered into a companion diagnostic collaboration with QIAGEN:</w:t>
      </w:r>
      <w:r>
        <w:rPr>
          <w:rFonts w:ascii="Arial" w:cs="Arial" w:eastAsia="Arial" w:hAnsi="Arial"/>
          <w:sz w:val="18"/>
          <w:szCs w:val="18"/>
          <w:color w:val="auto"/>
        </w:rPr>
        <w:t xml:space="preserve"> </w:t>
      </w:r>
      <w:r>
        <w:rPr>
          <w:rFonts w:ascii="Arial" w:cs="Arial" w:eastAsia="Arial" w:hAnsi="Arial"/>
          <w:sz w:val="19"/>
          <w:szCs w:val="19"/>
          <w:color w:val="auto"/>
        </w:rPr>
        <w:t>In August 2016, Blueprint</w:t>
      </w:r>
      <w:r>
        <w:rPr>
          <w:rFonts w:ascii="Arial" w:cs="Arial" w:eastAsia="Arial" w:hAnsi="Arial"/>
          <w:sz w:val="18"/>
          <w:szCs w:val="18"/>
          <w:color w:val="auto"/>
        </w:rPr>
        <w:t xml:space="preserve"> </w:t>
      </w:r>
      <w:r>
        <w:rPr>
          <w:rFonts w:ascii="Arial" w:cs="Arial" w:eastAsia="Arial" w:hAnsi="Arial"/>
          <w:sz w:val="19"/>
          <w:szCs w:val="19"/>
          <w:color w:val="auto"/>
        </w:rPr>
        <w:t>Medicines entered into a collaboration with QIAGEN Manchester Limited to develop and commercialize a companion diagnostic test to identify GIST patients with the PDGFRα D842V mutation for use with BLU-285.</w:t>
      </w:r>
    </w:p>
    <w:p>
      <w:pPr>
        <w:spacing w:after="0" w:line="3" w:lineRule="exact"/>
        <w:rPr>
          <w:sz w:val="20"/>
          <w:szCs w:val="20"/>
          <w:color w:val="auto"/>
        </w:rPr>
      </w:pPr>
    </w:p>
    <w:p>
      <w:pPr>
        <w:ind w:left="520" w:right="599" w:hanging="5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8"/>
          <w:szCs w:val="18"/>
          <w:b w:val="1"/>
          <w:bCs w:val="1"/>
          <w:color w:val="auto"/>
        </w:rPr>
        <w:t>Strengthened executive leadership team:</w:t>
      </w:r>
      <w:r>
        <w:rPr>
          <w:rFonts w:ascii="Arial" w:cs="Arial" w:eastAsia="Arial" w:hAnsi="Arial"/>
          <w:sz w:val="17"/>
          <w:szCs w:val="17"/>
          <w:color w:val="auto"/>
        </w:rPr>
        <w:t xml:space="preserve"> </w:t>
      </w:r>
      <w:r>
        <w:rPr>
          <w:rFonts w:ascii="Arial" w:cs="Arial" w:eastAsia="Arial" w:hAnsi="Arial"/>
          <w:sz w:val="18"/>
          <w:szCs w:val="18"/>
          <w:color w:val="auto"/>
        </w:rPr>
        <w:t>In September 2016, Blueprint Medicines announced the</w:t>
      </w:r>
      <w:r>
        <w:rPr>
          <w:rFonts w:ascii="Arial" w:cs="Arial" w:eastAsia="Arial" w:hAnsi="Arial"/>
          <w:sz w:val="17"/>
          <w:szCs w:val="17"/>
          <w:color w:val="auto"/>
        </w:rPr>
        <w:t xml:space="preserve"> </w:t>
      </w:r>
      <w:r>
        <w:rPr>
          <w:rFonts w:ascii="Arial" w:cs="Arial" w:eastAsia="Arial" w:hAnsi="Arial"/>
          <w:sz w:val="18"/>
          <w:szCs w:val="18"/>
          <w:color w:val="auto"/>
        </w:rPr>
        <w:t>appointment of Tracey McCain as Chief Legal Officer and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540385</wp:posOffset>
            </wp:positionV>
            <wp:extent cx="55486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160"/>
        <w:spacing w:after="0"/>
        <w:rPr>
          <w:sz w:val="20"/>
          <w:szCs w:val="20"/>
          <w:color w:val="auto"/>
        </w:rPr>
      </w:pPr>
      <w:r>
        <w:rPr>
          <w:rFonts w:ascii="Arial" w:cs="Arial" w:eastAsia="Arial" w:hAnsi="Arial"/>
          <w:sz w:val="20"/>
          <w:szCs w:val="20"/>
          <w:b w:val="1"/>
          <w:bCs w:val="1"/>
          <w:color w:val="auto"/>
        </w:rPr>
        <w:t>Clinical Programs:</w:t>
      </w:r>
    </w:p>
    <w:p>
      <w:pPr>
        <w:spacing w:after="0" w:line="154" w:lineRule="exact"/>
        <w:rPr>
          <w:sz w:val="20"/>
          <w:szCs w:val="20"/>
          <w:color w:val="auto"/>
        </w:rPr>
      </w:pPr>
    </w:p>
    <w:p>
      <w:pPr>
        <w:ind w:left="160" w:right="139"/>
        <w:spacing w:after="0" w:line="213" w:lineRule="auto"/>
        <w:rPr>
          <w:sz w:val="20"/>
          <w:szCs w:val="20"/>
          <w:color w:val="auto"/>
        </w:rPr>
      </w:pPr>
      <w:r>
        <w:rPr>
          <w:rFonts w:ascii="Arial" w:cs="Arial" w:eastAsia="Arial" w:hAnsi="Arial"/>
          <w:sz w:val="20"/>
          <w:szCs w:val="20"/>
          <w:color w:val="auto"/>
        </w:rPr>
        <w:t>Blueprint Medicines’ lead drug candidates are BLU-285, a targeted inhibitor of both Exon 17 mutant KIT and D842V mutant PDGFRα, and BLU-554, a targeted inhibitor of the FGFR4 receptor. Enrollment continues to progress in Blueprint Medicines’ Phase 1 clinical trials for BLU-285 in unresectable, treatment-resistant GIST and advanced SM and BLU-554 in advanced HCC.</w:t>
      </w:r>
    </w:p>
    <w:p>
      <w:pPr>
        <w:spacing w:after="0" w:line="129" w:lineRule="exact"/>
        <w:rPr>
          <w:sz w:val="20"/>
          <w:szCs w:val="20"/>
          <w:color w:val="auto"/>
        </w:rPr>
      </w:pPr>
    </w:p>
    <w:p>
      <w:pPr>
        <w:ind w:left="160" w:right="159"/>
        <w:spacing w:after="0" w:line="221" w:lineRule="auto"/>
        <w:rPr>
          <w:sz w:val="20"/>
          <w:szCs w:val="20"/>
          <w:color w:val="auto"/>
        </w:rPr>
      </w:pPr>
      <w:r>
        <w:rPr>
          <w:rFonts w:ascii="Arial" w:cs="Arial" w:eastAsia="Arial" w:hAnsi="Arial"/>
          <w:sz w:val="19"/>
          <w:szCs w:val="19"/>
          <w:color w:val="auto"/>
        </w:rPr>
        <w:t>A poster presentation of preliminary data from the dose escalation portion of Blueprint Medicines’ Phase 1 clinical trial for BLU-554 in HCC will be presented at the 28</w:t>
      </w:r>
      <w:r>
        <w:rPr>
          <w:rFonts w:ascii="Arial" w:cs="Arial" w:eastAsia="Arial" w:hAnsi="Arial"/>
          <w:sz w:val="19"/>
          <w:szCs w:val="19"/>
          <w:color w:val="auto"/>
          <w:vertAlign w:val="superscript"/>
        </w:rPr>
        <w:t>th</w:t>
      </w:r>
      <w:r>
        <w:rPr>
          <w:rFonts w:ascii="Arial" w:cs="Arial" w:eastAsia="Arial" w:hAnsi="Arial"/>
          <w:sz w:val="19"/>
          <w:szCs w:val="19"/>
          <w:color w:val="auto"/>
        </w:rPr>
        <w:t xml:space="preserve"> EORTC-NCI-AACR Symposium on Molecular Targets and Cancer Therapeutics in Munich, Germany. The presentation, “First-in-Human Study of BLU-554, a Potent, Highly-Selective FGFR4 Inhibitor Designed for Hepatocellular Carcinoma (HCC) with FGFR4 Pathway Activation,” will be presented on November 29, 2016.</w:t>
      </w:r>
    </w:p>
    <w:p>
      <w:pPr>
        <w:spacing w:after="0" w:line="128" w:lineRule="exact"/>
        <w:rPr>
          <w:sz w:val="20"/>
          <w:szCs w:val="20"/>
          <w:color w:val="auto"/>
        </w:rPr>
      </w:pPr>
    </w:p>
    <w:p>
      <w:pPr>
        <w:ind w:left="160" w:right="239"/>
        <w:spacing w:after="0" w:line="207" w:lineRule="auto"/>
        <w:rPr>
          <w:sz w:val="20"/>
          <w:szCs w:val="20"/>
          <w:color w:val="auto"/>
        </w:rPr>
      </w:pPr>
      <w:r>
        <w:rPr>
          <w:rFonts w:ascii="Arial" w:cs="Arial" w:eastAsia="Arial" w:hAnsi="Arial"/>
          <w:sz w:val="20"/>
          <w:szCs w:val="20"/>
          <w:color w:val="auto"/>
        </w:rPr>
        <w:t>A late-breaking oral presentation of preliminary data from the dose escalation portion of Blueprint Medicines’ Phase 1 clinical trial for BLU-285 in GIST will also be presented at the 28</w:t>
      </w:r>
      <w:r>
        <w:rPr>
          <w:rFonts w:ascii="Arial" w:cs="Arial" w:eastAsia="Arial" w:hAnsi="Arial"/>
          <w:sz w:val="20"/>
          <w:szCs w:val="20"/>
          <w:color w:val="auto"/>
          <w:vertAlign w:val="superscript"/>
        </w:rPr>
        <w:t>th</w:t>
      </w:r>
      <w:r>
        <w:rPr>
          <w:rFonts w:ascii="Arial" w:cs="Arial" w:eastAsia="Arial" w:hAnsi="Arial"/>
          <w:sz w:val="20"/>
          <w:szCs w:val="20"/>
          <w:color w:val="auto"/>
        </w:rPr>
        <w:t xml:space="preserve"> EORTC-NCI-AACR Symposium on Molecular Targets and Cancer Therapeutics. The presentation, “Preliminary Safety and Activity in a First-in-Human Phase 1 Study of BLU-285, a Potent, Highly-Selective Inhibitor of KIT and PDGFRα Activation Loop Mutants in Advanced Gastrointestinal Stromal Tumor (GIST),” will be presented on December 1, 2016.</w:t>
      </w:r>
    </w:p>
    <w:p>
      <w:pPr>
        <w:spacing w:after="0" w:line="133" w:lineRule="exact"/>
        <w:rPr>
          <w:sz w:val="20"/>
          <w:szCs w:val="20"/>
          <w:color w:val="auto"/>
        </w:rPr>
      </w:pPr>
    </w:p>
    <w:p>
      <w:pPr>
        <w:jc w:val="both"/>
        <w:ind w:left="160" w:right="299"/>
        <w:spacing w:after="0" w:line="210" w:lineRule="auto"/>
        <w:rPr>
          <w:sz w:val="20"/>
          <w:szCs w:val="20"/>
          <w:color w:val="auto"/>
        </w:rPr>
      </w:pPr>
      <w:r>
        <w:rPr>
          <w:rFonts w:ascii="Arial" w:cs="Arial" w:eastAsia="Arial" w:hAnsi="Arial"/>
          <w:sz w:val="20"/>
          <w:szCs w:val="20"/>
          <w:color w:val="auto"/>
        </w:rPr>
        <w:t>An oral presentation of preliminary data from the dose escalation portion of Blueprint Medicines’ Phase 1 clinical trial for BLU-285 in advanced SM will be presented at the 2016 American Society of Hematology (ASH) Annual Meeting in San Diego, CA. The presentation, “Preliminary Safety and Activity in a Phase 1 Study of BLU-285, a Potent, Highly-Selective Inhibitor of KIT D816V in Advanced Systemic Mastocytosis (SM),” will be presented on December 4, 2016.</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Third Quarter 2016 Financial Results:</w:t>
      </w:r>
    </w:p>
    <w:p>
      <w:pPr>
        <w:spacing w:after="0" w:line="148" w:lineRule="exact"/>
        <w:rPr>
          <w:sz w:val="20"/>
          <w:szCs w:val="20"/>
          <w:color w:val="auto"/>
        </w:rPr>
      </w:pPr>
    </w:p>
    <w:p>
      <w:pPr>
        <w:ind w:left="520" w:right="159" w:hanging="53"/>
        <w:spacing w:after="0" w:line="2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 Position</w:t>
      </w:r>
      <w:r>
        <w:rPr>
          <w:rFonts w:ascii="Arial" w:cs="Arial" w:eastAsia="Arial" w:hAnsi="Arial"/>
          <w:sz w:val="19"/>
          <w:szCs w:val="19"/>
          <w:color w:val="auto"/>
        </w:rPr>
        <w:t>: As of September 30, 2016, cash, cash equivalents, and investments were $152.5 million, as compared to $162.7 million as of December 31, 2015. This decrease was primarily related to cash used in operating activities, partially offset by the $45.0 million upfront payment received in March 2016 under Blueprint Medicines’ cancer immunotherapy collaboration with F. Hoffmann-La Roche Ltd and Hoffmann-La Roche Inc. (collectively, Roche).</w:t>
      </w:r>
    </w:p>
    <w:p>
      <w:pPr>
        <w:spacing w:after="0" w:line="2" w:lineRule="exact"/>
        <w:rPr>
          <w:sz w:val="20"/>
          <w:szCs w:val="20"/>
          <w:color w:val="auto"/>
        </w:rPr>
      </w:pPr>
    </w:p>
    <w:p>
      <w:pPr>
        <w:ind w:left="520" w:right="319" w:hanging="53"/>
        <w:spacing w:after="0" w:line="19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Collaboration Revenue</w:t>
      </w:r>
      <w:r>
        <w:rPr>
          <w:rFonts w:ascii="Arial" w:cs="Arial" w:eastAsia="Arial" w:hAnsi="Arial"/>
          <w:sz w:val="20"/>
          <w:szCs w:val="20"/>
          <w:color w:val="auto"/>
        </w:rPr>
        <w:t>: Collaboration revenues were $6.2 million for the third quarter of 2016, as compared to $3.4 million for the third quarter of 2015. This increase was due to increased activity in Blueprint Medicines’ collaboration with Alexion and Blueprint Medicines entering into a collaboration with Roche in March 2016.</w:t>
      </w:r>
    </w:p>
    <w:p>
      <w:pPr>
        <w:spacing w:after="0" w:line="1" w:lineRule="exact"/>
        <w:rPr>
          <w:sz w:val="20"/>
          <w:szCs w:val="20"/>
          <w:color w:val="auto"/>
        </w:rPr>
      </w:pPr>
    </w:p>
    <w:p>
      <w:pPr>
        <w:ind w:left="520" w:right="219" w:hanging="53"/>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R&amp;D Expenses</w:t>
      </w:r>
      <w:r>
        <w:rPr>
          <w:rFonts w:ascii="Arial" w:cs="Arial" w:eastAsia="Arial" w:hAnsi="Arial"/>
          <w:sz w:val="18"/>
          <w:szCs w:val="18"/>
          <w:color w:val="auto"/>
        </w:rPr>
        <w:t>: Research and development expenses were $18.2 million for the third quarter of 2016, as compared to $11.7 million for the same period in 2015. This increase was primarily attributable to increased manufacturing and clinical expenses associated with advancing BLU-285 and BLU-554 into clinical trials, continuing to build Blueprint Medicines’ platform and advance its discovery pipeline, and increased personnel-related expenses, including stock-based compensation expenses.</w:t>
      </w:r>
    </w:p>
    <w:p>
      <w:pPr>
        <w:spacing w:after="0" w:line="1" w:lineRule="exact"/>
        <w:rPr>
          <w:sz w:val="20"/>
          <w:szCs w:val="20"/>
          <w:color w:val="auto"/>
        </w:rPr>
      </w:pPr>
    </w:p>
    <w:p>
      <w:pPr>
        <w:ind w:left="520" w:right="159" w:hanging="53"/>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G&amp;A Expenses</w:t>
      </w:r>
      <w:r>
        <w:rPr>
          <w:rFonts w:ascii="Arial" w:cs="Arial" w:eastAsia="Arial" w:hAnsi="Arial"/>
          <w:sz w:val="18"/>
          <w:szCs w:val="18"/>
          <w:color w:val="auto"/>
        </w:rPr>
        <w:t>: General and administrative expenses were $4.9 million for the third quarter of 2016, as compared to $4.2 million for the same period in 2015. This increase was primarily attributable to increased personnel-related expenses, including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307340</wp:posOffset>
            </wp:positionV>
            <wp:extent cx="55486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6" w:name="page7"/>
    <w:bookmarkEnd w:id="6"/>
    <w:p>
      <w:pPr>
        <w:ind w:left="520" w:right="159" w:hanging="5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Loss</w:t>
      </w:r>
      <w:r>
        <w:rPr>
          <w:rFonts w:ascii="Arial" w:cs="Arial" w:eastAsia="Arial" w:hAnsi="Arial"/>
          <w:sz w:val="16"/>
          <w:szCs w:val="16"/>
          <w:color w:val="auto"/>
        </w:rPr>
        <w:t>: Net loss was $16.8 million for the third quarter of 2016, or a basic and diluted net loss per share available to common stockholders of $0.62, as compared to a net loss of $12.6 million for the same period in 2015, or a basic and diluted net loss per share available to common stockholders of $0.47.</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Financial Guidance:</w:t>
      </w:r>
    </w:p>
    <w:p>
      <w:pPr>
        <w:spacing w:after="0" w:line="154" w:lineRule="exact"/>
        <w:rPr>
          <w:sz w:val="20"/>
          <w:szCs w:val="20"/>
          <w:color w:val="auto"/>
        </w:rPr>
      </w:pPr>
    </w:p>
    <w:p>
      <w:pPr>
        <w:ind w:left="160" w:right="219"/>
        <w:spacing w:after="0" w:line="213" w:lineRule="auto"/>
        <w:rPr>
          <w:sz w:val="20"/>
          <w:szCs w:val="20"/>
          <w:color w:val="auto"/>
        </w:rPr>
      </w:pPr>
      <w:r>
        <w:rPr>
          <w:rFonts w:ascii="Arial" w:cs="Arial" w:eastAsia="Arial" w:hAnsi="Arial"/>
          <w:sz w:val="20"/>
          <w:szCs w:val="20"/>
          <w:color w:val="auto"/>
        </w:rPr>
        <w:t>Blueprint Medicines expects that its cash, cash equivalents and investments balance will be at least $120 million at December 31, 2016. Blueprint Medicines expects that its existing cash, cash equivalents and investments will be sufficient to enable it to fund its operating expenses and capital expenditure requirements into early 2018.</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Conference Call Information</w:t>
      </w:r>
    </w:p>
    <w:p>
      <w:pPr>
        <w:spacing w:after="0" w:line="154" w:lineRule="exact"/>
        <w:rPr>
          <w:sz w:val="20"/>
          <w:szCs w:val="20"/>
          <w:color w:val="auto"/>
        </w:rPr>
      </w:pPr>
    </w:p>
    <w:p>
      <w:pPr>
        <w:ind w:left="160" w:right="179"/>
        <w:spacing w:after="0" w:line="218" w:lineRule="auto"/>
        <w:rPr>
          <w:sz w:val="20"/>
          <w:szCs w:val="20"/>
          <w:color w:val="auto"/>
        </w:rPr>
      </w:pPr>
      <w:r>
        <w:rPr>
          <w:rFonts w:ascii="Arial" w:cs="Arial" w:eastAsia="Arial" w:hAnsi="Arial"/>
          <w:sz w:val="19"/>
          <w:szCs w:val="19"/>
          <w:color w:val="auto"/>
        </w:rPr>
        <w:t>Blueprint Medicines will host a live conference call and audio webcast today at 8:30 a.m. ET. The conference call may be accessed by dialing 855-728-4793 (domestic) or 503-343-6666 (international) and referring to conference ID 98230163. An audio webcast of the conference call will also be available in the Investors section of Blueprint Medicines’ website at http://ir.blueprintmedicines.com. The archived webcast will be available on Blueprint Medicines’ website approximately two hours after the conference call and will be available for 30 days following the call.</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spacing w:after="0" w:line="154" w:lineRule="exact"/>
        <w:rPr>
          <w:sz w:val="20"/>
          <w:szCs w:val="20"/>
          <w:color w:val="auto"/>
        </w:rPr>
      </w:pPr>
    </w:p>
    <w:p>
      <w:pPr>
        <w:ind w:left="160" w:right="179"/>
        <w:spacing w:after="0" w:line="206" w:lineRule="auto"/>
        <w:rPr>
          <w:sz w:val="20"/>
          <w:szCs w:val="20"/>
          <w:color w:val="auto"/>
        </w:rPr>
      </w:pPr>
      <w:r>
        <w:rPr>
          <w:rFonts w:ascii="Arial" w:cs="Arial" w:eastAsia="Arial" w:hAnsi="Arial"/>
          <w:sz w:val="20"/>
          <w:szCs w:val="20"/>
          <w:color w:val="auto"/>
        </w:rPr>
        <w:t>Blueprint Medicines is developing a new generation of targeted and potent kinase medicines to improve the lives of patients with genomically defined diseases. The Company’s approach is rooted in a deep understanding of the genetic blueprint of cancer and other diseases driven by the abnormal activation of kinases. Blueprint Medicines is advancing three programs in clinical development for subsets of patients with gastrointestinal stromal tumors, hepatocellular carcinoma and systemic mastocytosis, as well as multiple programs in research and preclinical development. For more information, please visit www.blueprintmedicines.com.</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54" w:lineRule="exact"/>
        <w:rPr>
          <w:sz w:val="20"/>
          <w:szCs w:val="20"/>
          <w:color w:val="auto"/>
        </w:rPr>
      </w:pPr>
    </w:p>
    <w:p>
      <w:pPr>
        <w:ind w:left="160" w:right="139"/>
        <w:spacing w:after="0" w:line="226"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as amended, including, without limitation, statements regarding plans and timelines for the clinical development of BLU-285 and BLU-554; the timing of clinical data or proof of concept for preclinical and clinical programs, including, without limitation, the timing of preliminary clinical data for Blueprint Medicines’ Phase 1 clinical trials for BLU-285 and BLU-554; the potential benefits of Blueprint Medicines’ new drug discovery program targeting protein kinase cAMP-activated catalytic subunit alpha fusions for the treatment of fibrolamellar carcinoma; the potential benefits of Blueprint Medicines’ companion diagnostic collaboration with QIAGEN Manchester Limited (QIAGEN); expectations regarding Blueprint Medicines’ existing cash, cash equivalents and investments;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316865</wp:posOffset>
            </wp:positionV>
            <wp:extent cx="55486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7" w:name="page8"/>
    <w:bookmarkEnd w:id="7"/>
    <w:p>
      <w:pPr>
        <w:ind w:left="160" w:right="179"/>
        <w:spacing w:after="0" w:line="237" w:lineRule="auto"/>
        <w:rPr>
          <w:sz w:val="20"/>
          <w:szCs w:val="20"/>
          <w:color w:val="auto"/>
        </w:rPr>
      </w:pPr>
      <w:r>
        <w:rPr>
          <w:rFonts w:ascii="Arial" w:cs="Arial" w:eastAsia="Arial" w:hAnsi="Arial"/>
          <w:sz w:val="18"/>
          <w:szCs w:val="18"/>
          <w:color w:val="auto"/>
        </w:rPr>
        <w:t>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product candidates, including BLU-285 and BLU-554; Blueprint Medicines’ advancement of multiple early-stage efforts; Blueprint Medicines’ ability to successfully demonstrate the efficacy and safety of its drug product candidates; the preclinical and clinical results for Blueprint Medicines’ drug product candidates, which may not support further development of such drug product candidates; and actions of regulatory agencies, which may affect the initiation, timing and progress of clinical trials; Blueprint Medicines’ ability to develop and commercialize companion diagnostics for its current and future drug candidates, including companion diagnostics for BLU-554 with Ventana Medical Systems, Inc. and for BLU-285 with QIAGEN; and the success of Blueprint Medicines’ rare genetic disease collaboration with Alexion Pharma Holding and its cancer immunotherapy collaboration with F. Hoffmann-La Roche Ltd and Hoffmann-La Roche Inc. These and other risks and uncertainties are described in greater detail in the section entitled “Risk Factors” in Blueprint Medicines’ Quarterly Report on Form 10-Q for the quarter ended June 30, 2016, as filed with the Securities and Exchange Commission (SEC) on August 9, 2016,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323215</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98" w:right="1440" w:bottom="1440" w:gutter="0" w:footer="0" w:header="0"/>
        </w:sectPr>
      </w:pPr>
    </w:p>
    <w:bookmarkStart w:id="8" w:name="page9"/>
    <w:bookmarkEnd w:id="8"/>
    <w:tbl>
      <w:tblPr>
        <w:tblLayout w:type="fixed"/>
        <w:tblInd w:w="140" w:type="dxa"/>
        <w:tblCellMar>
          <w:top w:w="0" w:type="dxa"/>
          <w:left w:w="0" w:type="dxa"/>
          <w:bottom w:w="0" w:type="dxa"/>
          <w:right w:w="0" w:type="dxa"/>
        </w:tblCellMar>
      </w:tblPr>
      <w:tr>
        <w:trPr>
          <w:trHeight w:val="230"/>
        </w:trPr>
        <w:tc>
          <w:tcPr>
            <w:tcW w:w="2900" w:type="dxa"/>
            <w:vAlign w:val="bottom"/>
          </w:tcPr>
          <w:p>
            <w:pPr>
              <w:spacing w:after="0"/>
              <w:rPr>
                <w:sz w:val="19"/>
                <w:szCs w:val="19"/>
                <w:color w:val="auto"/>
              </w:rPr>
            </w:pPr>
          </w:p>
        </w:tc>
        <w:tc>
          <w:tcPr>
            <w:tcW w:w="4080" w:type="dxa"/>
            <w:vAlign w:val="bottom"/>
            <w:gridSpan w:val="6"/>
          </w:tcPr>
          <w:p>
            <w:pPr>
              <w:jc w:val="center"/>
              <w:ind w:right="1050"/>
              <w:spacing w:after="0"/>
              <w:rPr>
                <w:sz w:val="20"/>
                <w:szCs w:val="20"/>
                <w:color w:val="auto"/>
              </w:rPr>
            </w:pPr>
            <w:r>
              <w:rPr>
                <w:rFonts w:ascii="Arial" w:cs="Arial" w:eastAsia="Arial" w:hAnsi="Arial"/>
                <w:sz w:val="20"/>
                <w:szCs w:val="20"/>
                <w:b w:val="1"/>
                <w:bCs w:val="1"/>
                <w:color w:val="auto"/>
                <w:w w:val="90"/>
              </w:rPr>
              <w:t>Blueprint Medicines Corporation</w:t>
            </w:r>
          </w:p>
        </w:tc>
      </w:tr>
      <w:tr>
        <w:trPr>
          <w:trHeight w:val="203"/>
        </w:trPr>
        <w:tc>
          <w:tcPr>
            <w:tcW w:w="6980" w:type="dxa"/>
            <w:vAlign w:val="bottom"/>
            <w:gridSpan w:val="7"/>
          </w:tcPr>
          <w:p>
            <w:pPr>
              <w:jc w:val="center"/>
              <w:ind w:left="1689"/>
              <w:spacing w:after="0" w:line="203" w:lineRule="exact"/>
              <w:rPr>
                <w:sz w:val="20"/>
                <w:szCs w:val="20"/>
                <w:color w:val="auto"/>
              </w:rPr>
            </w:pPr>
            <w:r>
              <w:rPr>
                <w:rFonts w:ascii="Arial" w:cs="Arial" w:eastAsia="Arial" w:hAnsi="Arial"/>
                <w:sz w:val="20"/>
                <w:szCs w:val="20"/>
                <w:b w:val="1"/>
                <w:bCs w:val="1"/>
                <w:color w:val="auto"/>
                <w:w w:val="86"/>
              </w:rPr>
              <w:t>Selected Condensed Consolidated Balance Sheet Data</w:t>
            </w:r>
          </w:p>
        </w:tc>
      </w:tr>
      <w:tr>
        <w:trPr>
          <w:trHeight w:val="209"/>
        </w:trPr>
        <w:tc>
          <w:tcPr>
            <w:tcW w:w="2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80"/>
              <w:spacing w:after="0" w:line="208" w:lineRule="exact"/>
              <w:rPr>
                <w:sz w:val="20"/>
                <w:szCs w:val="20"/>
                <w:color w:val="auto"/>
              </w:rPr>
            </w:pPr>
            <w:r>
              <w:rPr>
                <w:rFonts w:ascii="Arial" w:cs="Arial" w:eastAsia="Arial" w:hAnsi="Arial"/>
                <w:sz w:val="20"/>
                <w:szCs w:val="20"/>
                <w:b w:val="1"/>
                <w:bCs w:val="1"/>
                <w:color w:val="auto"/>
                <w:w w:val="87"/>
              </w:rPr>
              <w:t>(in thousands)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0"/>
        </w:trPr>
        <w:tc>
          <w:tcPr>
            <w:tcW w:w="2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20"/>
                <w:szCs w:val="20"/>
                <w:b w:val="1"/>
                <w:bCs w:val="1"/>
                <w:i w:val="1"/>
                <w:iCs w:val="1"/>
                <w:color w:val="auto"/>
                <w:w w:val="88"/>
              </w:rPr>
              <w:t>(unaudited)</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55"/>
        </w:trPr>
        <w:tc>
          <w:tcPr>
            <w:tcW w:w="2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December 31,</w:t>
            </w:r>
          </w:p>
        </w:tc>
      </w:tr>
      <w:tr>
        <w:trPr>
          <w:trHeight w:val="237"/>
        </w:trPr>
        <w:tc>
          <w:tcPr>
            <w:tcW w:w="2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2015</w:t>
            </w:r>
          </w:p>
        </w:tc>
      </w:tr>
      <w:tr>
        <w:trPr>
          <w:trHeight w:val="237"/>
        </w:trPr>
        <w:tc>
          <w:tcPr>
            <w:tcW w:w="2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3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8"/>
              </w:rPr>
              <w:t>Cash, cash equivalents and investments</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152,544</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162,707</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3,455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3,414</w:t>
            </w:r>
          </w:p>
        </w:tc>
      </w:tr>
      <w:tr>
        <w:trPr>
          <w:trHeight w:val="26"/>
        </w:trPr>
        <w:tc>
          <w:tcPr>
            <w:tcW w:w="2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 (1)</w:t>
            </w:r>
          </w:p>
        </w:tc>
        <w:tc>
          <w:tcPr>
            <w:tcW w:w="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135,068</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151,776</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167,849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178,898</w:t>
            </w:r>
          </w:p>
        </w:tc>
      </w:tr>
      <w:tr>
        <w:trPr>
          <w:trHeight w:val="26"/>
        </w:trPr>
        <w:tc>
          <w:tcPr>
            <w:tcW w:w="2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51,347</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13,640</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Term loan payable</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4,887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7,338</w:t>
            </w:r>
          </w:p>
        </w:tc>
      </w:tr>
      <w:tr>
        <w:trPr>
          <w:trHeight w:val="26"/>
        </w:trPr>
        <w:tc>
          <w:tcPr>
            <w:tcW w:w="2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incentive obligation</w:t>
            </w:r>
          </w:p>
        </w:tc>
        <w:tc>
          <w:tcPr>
            <w:tcW w:w="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3,948</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97,710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143,979</w:t>
            </w:r>
          </w:p>
        </w:tc>
      </w:tr>
    </w:tbl>
    <w:p>
      <w:pPr>
        <w:spacing w:after="0" w:line="336" w:lineRule="exact"/>
        <w:rPr>
          <w:sz w:val="20"/>
          <w:szCs w:val="20"/>
          <w:color w:val="auto"/>
        </w:rPr>
      </w:pPr>
    </w:p>
    <w:p>
      <w:pPr>
        <w:ind w:left="1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Blueprint Medicines defines working capital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13" w:right="1440" w:bottom="1440" w:gutter="0" w:footer="0" w:header="0"/>
        </w:sectPr>
      </w:pPr>
    </w:p>
    <w:bookmarkStart w:id="9" w:name="page10"/>
    <w:bookmarkEnd w:id="9"/>
    <w:p>
      <w:pPr>
        <w:jc w:val="center"/>
        <w:ind w:left="1880" w:right="1700"/>
        <w:spacing w:after="0"/>
        <w:rPr>
          <w:sz w:val="20"/>
          <w:szCs w:val="20"/>
          <w:color w:val="auto"/>
        </w:rPr>
      </w:pPr>
      <w:r>
        <w:rPr>
          <w:rFonts w:ascii="Arial" w:cs="Arial" w:eastAsia="Arial" w:hAnsi="Arial"/>
          <w:sz w:val="20"/>
          <w:szCs w:val="20"/>
          <w:b w:val="1"/>
          <w:bCs w:val="1"/>
          <w:color w:val="auto"/>
        </w:rPr>
        <w:t xml:space="preserve">Blueprint Medicines Corporation Condensed Consolidated Statements of Operations Data (in thousands, except per share data)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49"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17"/>
                <w:szCs w:val="17"/>
                <w:color w:val="auto"/>
              </w:rPr>
            </w:pPr>
          </w:p>
        </w:tc>
        <w:tc>
          <w:tcPr>
            <w:tcW w:w="17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7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83"/>
        </w:trPr>
        <w:tc>
          <w:tcPr>
            <w:tcW w:w="47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Arial" w:cs="Arial" w:eastAsia="Arial" w:hAnsi="Arial"/>
                <w:sz w:val="18"/>
                <w:szCs w:val="18"/>
                <w:b w:val="1"/>
                <w:bCs w:val="1"/>
                <w:color w:val="auto"/>
              </w:rPr>
              <w:t>2016</w:t>
            </w:r>
          </w:p>
        </w:tc>
        <w:tc>
          <w:tcPr>
            <w:tcW w:w="18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176"/>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32,157</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42,989</w:t>
            </w:r>
          </w:p>
        </w:tc>
        <w:tc>
          <w:tcPr>
            <w:tcW w:w="0" w:type="dxa"/>
            <w:vAlign w:val="bottom"/>
          </w:tcPr>
          <w:p>
            <w:pPr>
              <w:spacing w:after="0"/>
              <w:rPr>
                <w:sz w:val="1"/>
                <w:szCs w:val="1"/>
                <w:color w:val="auto"/>
              </w:rPr>
            </w:pPr>
          </w:p>
        </w:tc>
      </w:tr>
      <w:tr>
        <w:trPr>
          <w:trHeight w:val="176"/>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(12,642)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(51,232)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(37,194)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dividends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1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(16,834)</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(12,642)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(51,232)</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(40,347)</w:t>
            </w:r>
          </w:p>
        </w:tc>
        <w:tc>
          <w:tcPr>
            <w:tcW w:w="0" w:type="dxa"/>
            <w:vAlign w:val="bottom"/>
          </w:tcPr>
          <w:p>
            <w:pPr>
              <w:spacing w:after="0"/>
              <w:rPr>
                <w:sz w:val="1"/>
                <w:szCs w:val="1"/>
                <w:color w:val="auto"/>
              </w:rPr>
            </w:pPr>
          </w:p>
        </w:tc>
      </w:tr>
      <w:tr>
        <w:trPr>
          <w:trHeight w:val="135"/>
        </w:trPr>
        <w:tc>
          <w:tcPr>
            <w:tcW w:w="4700" w:type="dxa"/>
            <w:vAlign w:val="bottom"/>
            <w:shd w:val="clear" w:color="auto" w:fill="CCEEFF"/>
          </w:tcPr>
          <w:p>
            <w:pPr>
              <w:ind w:left="20"/>
              <w:spacing w:after="0" w:line="135" w:lineRule="exact"/>
              <w:rPr>
                <w:sz w:val="20"/>
                <w:szCs w:val="20"/>
                <w:color w:val="auto"/>
              </w:rPr>
            </w:pPr>
            <w:r>
              <w:rPr>
                <w:rFonts w:ascii="Arial" w:cs="Arial" w:eastAsia="Arial" w:hAnsi="Arial"/>
                <w:sz w:val="15"/>
                <w:szCs w:val="15"/>
                <w:color w:val="auto"/>
              </w:rPr>
              <w:t>Net loss per share applicable to common stockholders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(0.62)</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(1.89)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basic and diluted</w:t>
            </w:r>
          </w:p>
        </w:tc>
        <w:tc>
          <w:tcPr>
            <w:tcW w:w="10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700" w:type="dxa"/>
            <w:vAlign w:val="bottom"/>
            <w:tcBorders>
              <w:top w:val="single" w:sz="8" w:color="CCEEFF"/>
            </w:tcBorders>
          </w:tcPr>
          <w:p>
            <w:pPr>
              <w:ind w:left="20"/>
              <w:spacing w:after="0" w:line="122" w:lineRule="exact"/>
              <w:rPr>
                <w:sz w:val="20"/>
                <w:szCs w:val="20"/>
                <w:color w:val="auto"/>
              </w:rPr>
            </w:pPr>
            <w:r>
              <w:rPr>
                <w:rFonts w:ascii="Arial" w:cs="Arial" w:eastAsia="Arial" w:hAnsi="Arial"/>
                <w:sz w:val="14"/>
                <w:szCs w:val="14"/>
                <w:color w:val="auto"/>
              </w:rPr>
              <w:t>Weighted-average number of common shares used in net loss</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240"/>
              <w:spacing w:after="0" w:line="176" w:lineRule="exact"/>
              <w:rPr>
                <w:sz w:val="20"/>
                <w:szCs w:val="20"/>
                <w:color w:val="auto"/>
              </w:rPr>
            </w:pPr>
            <w:r>
              <w:rPr>
                <w:rFonts w:ascii="Arial" w:cs="Arial" w:eastAsia="Arial" w:hAnsi="Arial"/>
                <w:sz w:val="18"/>
                <w:szCs w:val="18"/>
                <w:color w:val="auto"/>
                <w:w w:val="95"/>
              </w:rPr>
              <w:t>per share applicable to common stockholders — basic and</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27,251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26,835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27,170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15,298</w:t>
            </w:r>
          </w:p>
        </w:tc>
        <w:tc>
          <w:tcPr>
            <w:tcW w:w="0" w:type="dxa"/>
            <w:vAlign w:val="bottom"/>
          </w:tcPr>
          <w:p>
            <w:pPr>
              <w:spacing w:after="0"/>
              <w:rPr>
                <w:sz w:val="1"/>
                <w:szCs w:val="1"/>
                <w:color w:val="auto"/>
              </w:rPr>
            </w:pPr>
          </w:p>
        </w:tc>
      </w:tr>
      <w:tr>
        <w:trPr>
          <w:trHeight w:val="196"/>
        </w:trPr>
        <w:tc>
          <w:tcPr>
            <w:tcW w:w="4700" w:type="dxa"/>
            <w:vAlign w:val="bottom"/>
          </w:tcPr>
          <w:p>
            <w:pPr>
              <w:ind w:left="240"/>
              <w:spacing w:after="0" w:line="189" w:lineRule="exact"/>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Contact:</w:t>
      </w:r>
    </w:p>
    <w:p>
      <w:pPr>
        <w:spacing w:after="0" w:line="337"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Investor Relations: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20"/>
          <w:szCs w:val="20"/>
          <w:color w:val="auto"/>
        </w:rPr>
        <w:t>Kristin Williams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Blueprint Medicines Corporation</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617-714-6674</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KWilliams@blueprintmedicines.com</w:t>
      </w:r>
    </w:p>
    <w:p>
      <w:pPr>
        <w:spacing w:after="0" w:line="331"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Media Relations: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20"/>
          <w:szCs w:val="20"/>
          <w:color w:val="auto"/>
        </w:rPr>
        <w:t>Rachel Hutman</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W20 Group</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301-801-5540</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rhutman@wcgworld.com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679450</wp:posOffset>
            </wp:positionV>
            <wp:extent cx="55486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sectPr>
      <w:pgSz w:w="11900" w:h="16838" w:orient="portrait"/>
      <w:cols w:equalWidth="0" w:num="1">
        <w:col w:w="9019"/>
      </w:cols>
      <w:pgMar w:left="1440" w:top="4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ndash "/>
      <w:numFmt w:val="bullet"/>
      <w:start w:val="1"/>
    </w:lvl>
    <w:lvl w:ilvl="1">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2019-12-09T00:32:23Z</dcterms:created>
  <dcterms:modified xsi:type="dcterms:W3CDTF">2019-12-09T00:32:23Z</dcterms:modified>
</cp:coreProperties>
</file>