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0001840110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LEMUEL BECKER HEWES</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254301.84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62616902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06/01/2024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2424</w:t>
      </w:r>
      <w:r>
        <w:rPr>
          <w:sz w:val="20"/>
          <w:szCs w:val="20"/>
          <w:color w:val="auto"/>
        </w:rPr>
        <w:tab/>
      </w:r>
      <w:r>
        <w:rPr>
          <w:rFonts w:ascii="Times New Roman" w:cs="Times New Roman" w:eastAsia="Times New Roman" w:hAnsi="Times New Roman"/>
          <w:sz w:val="21"/>
          <w:szCs w:val="21"/>
          <w:color w:val="auto"/>
        </w:rPr>
        <w:t>06/01/2024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360" w:type="dxa"/>
            <w:vAlign w:val="bottom"/>
            <w:gridSpan w:val="2"/>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2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06/03/2024 1951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207644.93</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06/03/2024 2971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316203.53</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05/31/2024 5481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580591.37</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05/31/2024 3940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417415.03</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05/31/2024 16302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1726525.26</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05/31/2024 8385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888006.72</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03/07/2024 3097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280860.74</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Lemuel Becker Hewes</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2024-06-04T15:51:44Z</dcterms:created>
  <dcterms:modified xsi:type="dcterms:W3CDTF">2024-06-04T15:51:44Z</dcterms:modified>
</cp:coreProperties>
</file>