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13d-102)</w:t>
      </w:r>
    </w:p>
    <w:p>
      <w:pPr>
        <w:spacing w:after="0" w:line="236" w:lineRule="exact"/>
        <w:rPr>
          <w:sz w:val="24"/>
          <w:szCs w:val="24"/>
          <w:color w:val="auto"/>
        </w:rPr>
      </w:pPr>
    </w:p>
    <w:p>
      <w:pPr>
        <w:jc w:val="center"/>
        <w:ind w:left="260" w:right="2840"/>
        <w:spacing w:after="0" w:line="264"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1)</w:t>
      </w:r>
      <w:r>
        <w:rPr>
          <w:rFonts w:ascii="Arial" w:cs="Arial" w:eastAsia="Arial" w:hAnsi="Arial"/>
          <w:sz w:val="25"/>
          <w:szCs w:val="25"/>
          <w:color w:val="auto"/>
          <w:vertAlign w:val="superscript"/>
        </w:rPr>
        <w:t>1</w:t>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Common Stock, $0.001 par value</w:t>
      </w:r>
    </w:p>
    <w:p>
      <w:pPr>
        <w:spacing w:after="0" w:line="23"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09627Y109</w:t>
      </w:r>
    </w:p>
    <w:p>
      <w:pPr>
        <w:spacing w:after="0" w:line="23"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100" w:hanging="466"/>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252" w:lineRule="exact"/>
        <w:rPr>
          <w:rFonts w:ascii="Arial" w:cs="Arial" w:eastAsia="Arial" w:hAnsi="Arial"/>
          <w:sz w:val="18"/>
          <w:szCs w:val="18"/>
          <w:color w:val="auto"/>
        </w:rPr>
      </w:pPr>
    </w:p>
    <w:p>
      <w:pPr>
        <w:ind w:left="1100" w:hanging="466"/>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w:t>
      </w:r>
    </w:p>
    <w:p>
      <w:pPr>
        <w:spacing w:after="0" w:line="13" w:lineRule="exact"/>
        <w:rPr>
          <w:sz w:val="24"/>
          <w:szCs w:val="24"/>
          <w:color w:val="auto"/>
        </w:rPr>
      </w:pPr>
    </w:p>
    <w:p>
      <w:pPr>
        <w:ind w:firstLine="8"/>
        <w:spacing w:after="0" w:line="211" w:lineRule="auto"/>
        <w:tabs>
          <w:tab w:leader="none" w:pos="140"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30" w:lineRule="exact"/>
        <w:rPr>
          <w:sz w:val="24"/>
          <w:szCs w:val="24"/>
          <w:color w:val="auto"/>
        </w:rPr>
      </w:pPr>
    </w:p>
    <w:p>
      <w:pPr>
        <w:ind w:right="140" w:firstLine="918"/>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00" w:type="dxa"/>
            <w:vAlign w:val="bottom"/>
            <w:tcBorders>
              <w:top w:val="single" w:sz="8" w:color="auto"/>
              <w:bottom w:val="single" w:sz="8" w:color="auto"/>
              <w:right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77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Biotechnology Value Fund, L.P.</w:t>
            </w: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ind w:left="62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2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59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2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59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bottom w:val="single" w:sz="8" w:color="auto"/>
              <w:right w:val="single" w:sz="8" w:color="auto"/>
            </w:tcBorders>
          </w:tcPr>
          <w:p>
            <w:pPr>
              <w:spacing w:after="0"/>
              <w:rPr>
                <w:sz w:val="21"/>
                <w:szCs w:val="21"/>
                <w:color w:val="auto"/>
              </w:rPr>
            </w:pPr>
          </w:p>
        </w:tc>
        <w:tc>
          <w:tcPr>
            <w:tcW w:w="59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1,110,023</w:t>
            </w:r>
          </w:p>
        </w:tc>
        <w:tc>
          <w:tcPr>
            <w:tcW w:w="198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59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59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1,110,023</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1,110,023</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80" w:type="dxa"/>
            <w:vAlign w:val="bottom"/>
            <w:tcBorders>
              <w:right w:val="single" w:sz="8" w:color="auto"/>
            </w:tcBorders>
          </w:tcPr>
          <w:p>
            <w:pPr>
              <w:ind w:left="52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7700" w:type="dxa"/>
            <w:vAlign w:val="bottom"/>
            <w:tcBorders>
              <w:bottom w:val="single" w:sz="8" w:color="auto"/>
            </w:tcBorders>
            <w:gridSpan w:val="2"/>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4.1%</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PN</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980" w:type="dxa"/>
            <w:vAlign w:val="bottom"/>
          </w:tcPr>
          <w:p>
            <w:pPr>
              <w:ind w:left="2200"/>
              <w:spacing w:after="0"/>
              <w:rPr>
                <w:sz w:val="20"/>
                <w:szCs w:val="20"/>
                <w:color w:val="auto"/>
              </w:rPr>
            </w:pPr>
            <w:r>
              <w:rPr>
                <w:rFonts w:ascii="Arial" w:cs="Arial" w:eastAsia="Arial" w:hAnsi="Arial"/>
                <w:sz w:val="18"/>
                <w:szCs w:val="18"/>
                <w:color w:val="auto"/>
              </w:rPr>
              <w:t>2</w:t>
            </w:r>
          </w:p>
        </w:tc>
        <w:tc>
          <w:tcPr>
            <w:tcW w:w="198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600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7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Biotechnology Value Fund II, L.P.</w:t>
            </w:r>
          </w:p>
        </w:tc>
        <w:tc>
          <w:tcPr>
            <w:tcW w:w="19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4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20" w:type="dxa"/>
            <w:vAlign w:val="bottom"/>
            <w:tcBorders>
              <w:right w:val="single" w:sz="8" w:color="auto"/>
            </w:tcBorders>
          </w:tcPr>
          <w:p>
            <w:pPr>
              <w:ind w:left="66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000" w:type="dxa"/>
            <w:vAlign w:val="bottom"/>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4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40" w:type="dxa"/>
            <w:vAlign w:val="bottom"/>
            <w:tcBorders>
              <w:right w:val="single" w:sz="8" w:color="auto"/>
            </w:tcBorders>
          </w:tcPr>
          <w:p>
            <w:pPr>
              <w:spacing w:after="0"/>
              <w:rPr>
                <w:sz w:val="18"/>
                <w:szCs w:val="18"/>
                <w:color w:val="auto"/>
              </w:rPr>
            </w:pPr>
          </w:p>
        </w:tc>
        <w:tc>
          <w:tcPr>
            <w:tcW w:w="600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740" w:type="dxa"/>
            <w:vAlign w:val="bottom"/>
            <w:tcBorders>
              <w:bottom w:val="single" w:sz="8" w:color="auto"/>
              <w:right w:val="single" w:sz="8" w:color="auto"/>
            </w:tcBorders>
          </w:tcPr>
          <w:p>
            <w:pPr>
              <w:spacing w:after="0"/>
              <w:rPr>
                <w:sz w:val="20"/>
                <w:szCs w:val="20"/>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2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4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600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2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40" w:type="dxa"/>
            <w:vAlign w:val="bottom"/>
            <w:tcBorders>
              <w:right w:val="single" w:sz="8" w:color="auto"/>
            </w:tcBorders>
          </w:tcPr>
          <w:p>
            <w:pPr>
              <w:spacing w:after="0"/>
              <w:rPr>
                <w:sz w:val="18"/>
                <w:szCs w:val="18"/>
                <w:color w:val="auto"/>
              </w:rPr>
            </w:pPr>
          </w:p>
        </w:tc>
        <w:tc>
          <w:tcPr>
            <w:tcW w:w="600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40" w:type="dxa"/>
            <w:vAlign w:val="bottom"/>
            <w:tcBorders>
              <w:bottom w:val="single" w:sz="8" w:color="auto"/>
              <w:right w:val="single" w:sz="8" w:color="auto"/>
            </w:tcBorders>
          </w:tcPr>
          <w:p>
            <w:pPr>
              <w:spacing w:after="0"/>
              <w:rPr>
                <w:sz w:val="21"/>
                <w:szCs w:val="21"/>
                <w:color w:val="auto"/>
              </w:rPr>
            </w:pPr>
          </w:p>
        </w:tc>
        <w:tc>
          <w:tcPr>
            <w:tcW w:w="6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606,454</w:t>
            </w:r>
          </w:p>
        </w:tc>
        <w:tc>
          <w:tcPr>
            <w:tcW w:w="192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606,454</w:t>
            </w: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606,454</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20" w:type="dxa"/>
            <w:vAlign w:val="bottom"/>
            <w:tcBorders>
              <w:right w:val="single" w:sz="8" w:color="auto"/>
            </w:tcBorders>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7740" w:type="dxa"/>
            <w:vAlign w:val="bottom"/>
            <w:tcBorders>
              <w:bottom w:val="single" w:sz="8" w:color="auto"/>
            </w:tcBorders>
            <w:gridSpan w:val="2"/>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2.2%</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PN</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0" w:type="dxa"/>
            <w:vAlign w:val="bottom"/>
          </w:tcPr>
          <w:p>
            <w:pPr>
              <w:ind w:left="2160"/>
              <w:spacing w:after="0"/>
              <w:rPr>
                <w:sz w:val="20"/>
                <w:szCs w:val="20"/>
                <w:color w:val="auto"/>
              </w:rPr>
            </w:pPr>
            <w:r>
              <w:rPr>
                <w:rFonts w:ascii="Arial" w:cs="Arial" w:eastAsia="Arial" w:hAnsi="Arial"/>
                <w:sz w:val="18"/>
                <w:szCs w:val="18"/>
                <w:color w:val="auto"/>
              </w:rPr>
              <w:t>3</w:t>
            </w:r>
          </w:p>
        </w:tc>
        <w:tc>
          <w:tcPr>
            <w:tcW w:w="192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600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7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Biotechnology Value Trading Fund OS LP</w:t>
            </w:r>
          </w:p>
        </w:tc>
        <w:tc>
          <w:tcPr>
            <w:tcW w:w="19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4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20" w:type="dxa"/>
            <w:vAlign w:val="bottom"/>
            <w:tcBorders>
              <w:right w:val="single" w:sz="8" w:color="auto"/>
            </w:tcBorders>
          </w:tcPr>
          <w:p>
            <w:pPr>
              <w:ind w:left="66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000" w:type="dxa"/>
            <w:vAlign w:val="bottom"/>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Cayman Islands</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4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40" w:type="dxa"/>
            <w:vAlign w:val="bottom"/>
            <w:tcBorders>
              <w:right w:val="single" w:sz="8" w:color="auto"/>
            </w:tcBorders>
          </w:tcPr>
          <w:p>
            <w:pPr>
              <w:spacing w:after="0"/>
              <w:rPr>
                <w:sz w:val="18"/>
                <w:szCs w:val="18"/>
                <w:color w:val="auto"/>
              </w:rPr>
            </w:pPr>
          </w:p>
        </w:tc>
        <w:tc>
          <w:tcPr>
            <w:tcW w:w="600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740" w:type="dxa"/>
            <w:vAlign w:val="bottom"/>
            <w:tcBorders>
              <w:bottom w:val="single" w:sz="8" w:color="auto"/>
              <w:right w:val="single" w:sz="8" w:color="auto"/>
            </w:tcBorders>
          </w:tcPr>
          <w:p>
            <w:pPr>
              <w:spacing w:after="0"/>
              <w:rPr>
                <w:sz w:val="20"/>
                <w:szCs w:val="20"/>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2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4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600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2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40" w:type="dxa"/>
            <w:vAlign w:val="bottom"/>
            <w:tcBorders>
              <w:right w:val="single" w:sz="8" w:color="auto"/>
            </w:tcBorders>
          </w:tcPr>
          <w:p>
            <w:pPr>
              <w:spacing w:after="0"/>
              <w:rPr>
                <w:sz w:val="18"/>
                <w:szCs w:val="18"/>
                <w:color w:val="auto"/>
              </w:rPr>
            </w:pPr>
          </w:p>
        </w:tc>
        <w:tc>
          <w:tcPr>
            <w:tcW w:w="600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40" w:type="dxa"/>
            <w:vAlign w:val="bottom"/>
            <w:tcBorders>
              <w:bottom w:val="single" w:sz="8" w:color="auto"/>
              <w:right w:val="single" w:sz="8" w:color="auto"/>
            </w:tcBorders>
          </w:tcPr>
          <w:p>
            <w:pPr>
              <w:spacing w:after="0"/>
              <w:rPr>
                <w:sz w:val="21"/>
                <w:szCs w:val="21"/>
                <w:color w:val="auto"/>
              </w:rPr>
            </w:pPr>
          </w:p>
        </w:tc>
        <w:tc>
          <w:tcPr>
            <w:tcW w:w="6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129,448</w:t>
            </w:r>
          </w:p>
        </w:tc>
        <w:tc>
          <w:tcPr>
            <w:tcW w:w="192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129,448</w:t>
            </w: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129,448</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20" w:type="dxa"/>
            <w:vAlign w:val="bottom"/>
            <w:tcBorders>
              <w:right w:val="single" w:sz="8" w:color="auto"/>
            </w:tcBorders>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7740" w:type="dxa"/>
            <w:vAlign w:val="bottom"/>
            <w:tcBorders>
              <w:bottom w:val="single" w:sz="8" w:color="auto"/>
            </w:tcBorders>
            <w:gridSpan w:val="2"/>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Less than 1%</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PN</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0" w:type="dxa"/>
            <w:vAlign w:val="bottom"/>
          </w:tcPr>
          <w:p>
            <w:pPr>
              <w:ind w:left="2160"/>
              <w:spacing w:after="0"/>
              <w:rPr>
                <w:sz w:val="20"/>
                <w:szCs w:val="20"/>
                <w:color w:val="auto"/>
              </w:rPr>
            </w:pPr>
            <w:r>
              <w:rPr>
                <w:rFonts w:ascii="Arial" w:cs="Arial" w:eastAsia="Arial" w:hAnsi="Arial"/>
                <w:sz w:val="18"/>
                <w:szCs w:val="18"/>
                <w:color w:val="auto"/>
              </w:rPr>
              <w:t>4</w:t>
            </w:r>
          </w:p>
        </w:tc>
        <w:tc>
          <w:tcPr>
            <w:tcW w:w="192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600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1"/>
              </w:rPr>
              <w:t>BVF Partners OS Ltd.</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4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20" w:type="dxa"/>
            <w:vAlign w:val="bottom"/>
            <w:tcBorders>
              <w:right w:val="single" w:sz="8" w:color="auto"/>
            </w:tcBorders>
          </w:tcPr>
          <w:p>
            <w:pPr>
              <w:ind w:left="66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000" w:type="dxa"/>
            <w:vAlign w:val="bottom"/>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Cayman Islands</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4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40" w:type="dxa"/>
            <w:vAlign w:val="bottom"/>
            <w:tcBorders>
              <w:right w:val="single" w:sz="8" w:color="auto"/>
            </w:tcBorders>
          </w:tcPr>
          <w:p>
            <w:pPr>
              <w:spacing w:after="0"/>
              <w:rPr>
                <w:sz w:val="18"/>
                <w:szCs w:val="18"/>
                <w:color w:val="auto"/>
              </w:rPr>
            </w:pPr>
          </w:p>
        </w:tc>
        <w:tc>
          <w:tcPr>
            <w:tcW w:w="600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740" w:type="dxa"/>
            <w:vAlign w:val="bottom"/>
            <w:tcBorders>
              <w:bottom w:val="single" w:sz="8" w:color="auto"/>
              <w:right w:val="single" w:sz="8" w:color="auto"/>
            </w:tcBorders>
          </w:tcPr>
          <w:p>
            <w:pPr>
              <w:spacing w:after="0"/>
              <w:rPr>
                <w:sz w:val="20"/>
                <w:szCs w:val="20"/>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2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4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600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2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40" w:type="dxa"/>
            <w:vAlign w:val="bottom"/>
            <w:tcBorders>
              <w:right w:val="single" w:sz="8" w:color="auto"/>
            </w:tcBorders>
          </w:tcPr>
          <w:p>
            <w:pPr>
              <w:spacing w:after="0"/>
              <w:rPr>
                <w:sz w:val="18"/>
                <w:szCs w:val="18"/>
                <w:color w:val="auto"/>
              </w:rPr>
            </w:pPr>
          </w:p>
        </w:tc>
        <w:tc>
          <w:tcPr>
            <w:tcW w:w="600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40" w:type="dxa"/>
            <w:vAlign w:val="bottom"/>
            <w:tcBorders>
              <w:bottom w:val="single" w:sz="8" w:color="auto"/>
              <w:right w:val="single" w:sz="8" w:color="auto"/>
            </w:tcBorders>
          </w:tcPr>
          <w:p>
            <w:pPr>
              <w:spacing w:after="0"/>
              <w:rPr>
                <w:sz w:val="21"/>
                <w:szCs w:val="21"/>
                <w:color w:val="auto"/>
              </w:rPr>
            </w:pPr>
          </w:p>
        </w:tc>
        <w:tc>
          <w:tcPr>
            <w:tcW w:w="6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129,448</w:t>
            </w:r>
          </w:p>
        </w:tc>
        <w:tc>
          <w:tcPr>
            <w:tcW w:w="192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129,448</w:t>
            </w: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129,448</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20" w:type="dxa"/>
            <w:vAlign w:val="bottom"/>
            <w:tcBorders>
              <w:right w:val="single" w:sz="8" w:color="auto"/>
            </w:tcBorders>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7740" w:type="dxa"/>
            <w:vAlign w:val="bottom"/>
            <w:tcBorders>
              <w:bottom w:val="single" w:sz="8" w:color="auto"/>
            </w:tcBorders>
            <w:gridSpan w:val="2"/>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Less than 1%</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0" w:type="dxa"/>
            <w:vAlign w:val="bottom"/>
          </w:tcPr>
          <w:p>
            <w:pPr>
              <w:ind w:left="2160"/>
              <w:spacing w:after="0"/>
              <w:rPr>
                <w:sz w:val="20"/>
                <w:szCs w:val="20"/>
                <w:color w:val="auto"/>
              </w:rPr>
            </w:pPr>
            <w:r>
              <w:rPr>
                <w:rFonts w:ascii="Arial" w:cs="Arial" w:eastAsia="Arial" w:hAnsi="Arial"/>
                <w:sz w:val="18"/>
                <w:szCs w:val="18"/>
                <w:color w:val="auto"/>
              </w:rPr>
              <w:t>5</w:t>
            </w:r>
          </w:p>
        </w:tc>
        <w:tc>
          <w:tcPr>
            <w:tcW w:w="192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6"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5960" w:type="dxa"/>
            <w:vAlign w:val="bottom"/>
            <w:tcBorders>
              <w:top w:val="single" w:sz="8" w:color="auto"/>
              <w:bottom w:val="single" w:sz="8" w:color="auto"/>
            </w:tcBorders>
          </w:tcPr>
          <w:p>
            <w:pPr>
              <w:spacing w:after="0"/>
              <w:rPr>
                <w:sz w:val="3"/>
                <w:szCs w:val="3"/>
                <w:color w:val="auto"/>
              </w:rPr>
            </w:pPr>
          </w:p>
        </w:tc>
        <w:tc>
          <w:tcPr>
            <w:tcW w:w="20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20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BVF Partners L.P.</w:t>
            </w:r>
          </w:p>
        </w:tc>
        <w:tc>
          <w:tcPr>
            <w:tcW w:w="596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2</w:t>
            </w:r>
          </w:p>
        </w:tc>
        <w:tc>
          <w:tcPr>
            <w:tcW w:w="768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20" w:type="dxa"/>
            <w:vAlign w:val="bottom"/>
            <w:tcBorders>
              <w:right w:val="single" w:sz="8" w:color="auto"/>
            </w:tcBorders>
          </w:tcPr>
          <w:p>
            <w:pPr>
              <w:ind w:left="60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96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2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5960" w:type="dxa"/>
            <w:vAlign w:val="bottom"/>
          </w:tcPr>
          <w:p>
            <w:pPr>
              <w:spacing w:after="0"/>
              <w:rPr>
                <w:sz w:val="19"/>
                <w:szCs w:val="19"/>
                <w:color w:val="auto"/>
              </w:rPr>
            </w:pPr>
          </w:p>
        </w:tc>
        <w:tc>
          <w:tcPr>
            <w:tcW w:w="202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960" w:type="dxa"/>
            <w:vAlign w:val="bottom"/>
            <w:tcBorders>
              <w:bottom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20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Delaware</w:t>
            </w:r>
          </w:p>
        </w:tc>
        <w:tc>
          <w:tcPr>
            <w:tcW w:w="596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596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0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596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202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6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2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596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202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right w:val="single" w:sz="8" w:color="auto"/>
            </w:tcBorders>
          </w:tcPr>
          <w:p>
            <w:pPr>
              <w:spacing w:after="0"/>
              <w:rPr>
                <w:sz w:val="18"/>
                <w:szCs w:val="18"/>
                <w:color w:val="auto"/>
              </w:rPr>
            </w:pPr>
          </w:p>
        </w:tc>
        <w:tc>
          <w:tcPr>
            <w:tcW w:w="596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bottom w:val="single" w:sz="8" w:color="auto"/>
              <w:right w:val="single" w:sz="8" w:color="auto"/>
            </w:tcBorders>
          </w:tcPr>
          <w:p>
            <w:pPr>
              <w:spacing w:after="0"/>
              <w:rPr>
                <w:sz w:val="21"/>
                <w:szCs w:val="21"/>
                <w:color w:val="auto"/>
              </w:rPr>
            </w:pPr>
          </w:p>
        </w:tc>
        <w:tc>
          <w:tcPr>
            <w:tcW w:w="5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2,278,459</w:t>
            </w:r>
          </w:p>
        </w:tc>
        <w:tc>
          <w:tcPr>
            <w:tcW w:w="202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596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20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20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59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20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2,278,459</w:t>
            </w:r>
          </w:p>
        </w:tc>
        <w:tc>
          <w:tcPr>
            <w:tcW w:w="20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20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2,278,459</w:t>
            </w:r>
          </w:p>
        </w:tc>
        <w:tc>
          <w:tcPr>
            <w:tcW w:w="596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20" w:type="dxa"/>
            <w:vAlign w:val="bottom"/>
            <w:tcBorders>
              <w:right w:val="single" w:sz="8" w:color="auto"/>
            </w:tcBorders>
          </w:tcPr>
          <w:p>
            <w:pPr>
              <w:ind w:left="50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7680" w:type="dxa"/>
            <w:vAlign w:val="bottom"/>
            <w:tcBorders>
              <w:bottom w:val="single" w:sz="8" w:color="auto"/>
            </w:tcBorders>
            <w:gridSpan w:val="2"/>
          </w:tcPr>
          <w:p>
            <w:pPr>
              <w:spacing w:after="0"/>
              <w:rPr>
                <w:sz w:val="12"/>
                <w:szCs w:val="12"/>
                <w:color w:val="auto"/>
              </w:rPr>
            </w:pPr>
          </w:p>
        </w:tc>
        <w:tc>
          <w:tcPr>
            <w:tcW w:w="202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20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8.4%</w:t>
            </w:r>
          </w:p>
        </w:tc>
        <w:tc>
          <w:tcPr>
            <w:tcW w:w="596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20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PN, IA</w:t>
            </w:r>
          </w:p>
        </w:tc>
        <w:tc>
          <w:tcPr>
            <w:tcW w:w="596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9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960" w:type="dxa"/>
            <w:vAlign w:val="bottom"/>
          </w:tcPr>
          <w:p>
            <w:pPr>
              <w:ind w:left="2220"/>
              <w:spacing w:after="0"/>
              <w:rPr>
                <w:sz w:val="20"/>
                <w:szCs w:val="20"/>
                <w:color w:val="auto"/>
              </w:rPr>
            </w:pPr>
            <w:r>
              <w:rPr>
                <w:rFonts w:ascii="Arial" w:cs="Arial" w:eastAsia="Arial" w:hAnsi="Arial"/>
                <w:sz w:val="18"/>
                <w:szCs w:val="18"/>
                <w:color w:val="auto"/>
              </w:rPr>
              <w:t>6</w:t>
            </w:r>
          </w:p>
        </w:tc>
        <w:tc>
          <w:tcPr>
            <w:tcW w:w="202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596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6"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00" w:type="dxa"/>
            <w:vAlign w:val="bottom"/>
            <w:tcBorders>
              <w:top w:val="single" w:sz="8" w:color="auto"/>
              <w:bottom w:val="single" w:sz="8" w:color="auto"/>
              <w:right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BVF Inc.</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ind w:left="50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(b) o</w:t>
            </w:r>
          </w:p>
        </w:tc>
      </w:tr>
      <w:tr>
        <w:trPr>
          <w:trHeight w:val="210"/>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59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2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59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bottom w:val="single" w:sz="8" w:color="auto"/>
              <w:right w:val="single" w:sz="8" w:color="auto"/>
            </w:tcBorders>
          </w:tcPr>
          <w:p>
            <w:pPr>
              <w:spacing w:after="0"/>
              <w:rPr>
                <w:sz w:val="21"/>
                <w:szCs w:val="21"/>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2,278,459</w:t>
            </w:r>
          </w:p>
        </w:tc>
        <w:tc>
          <w:tcPr>
            <w:tcW w:w="198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59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59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2,278,459</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2,278,459</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80" w:type="dxa"/>
            <w:vAlign w:val="bottom"/>
            <w:tcBorders>
              <w:right w:val="single" w:sz="8" w:color="auto"/>
            </w:tcBorders>
          </w:tcPr>
          <w:p>
            <w:pPr>
              <w:ind w:left="50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7700" w:type="dxa"/>
            <w:vAlign w:val="bottom"/>
            <w:tcBorders>
              <w:bottom w:val="single" w:sz="8" w:color="auto"/>
            </w:tcBorders>
            <w:gridSpan w:val="2"/>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8.4%</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80" w:type="dxa"/>
            <w:vAlign w:val="bottom"/>
            <w:tcBorders>
              <w:right w:val="single" w:sz="8" w:color="auto"/>
            </w:tcBorders>
          </w:tcPr>
          <w:p>
            <w:pPr>
              <w:spacing w:after="0"/>
              <w:rPr>
                <w:sz w:val="19"/>
                <w:szCs w:val="19"/>
                <w:color w:val="auto"/>
              </w:rPr>
            </w:pPr>
          </w:p>
        </w:tc>
      </w:tr>
      <w:tr>
        <w:trPr>
          <w:trHeight w:val="63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980" w:type="dxa"/>
            <w:vAlign w:val="bottom"/>
          </w:tcPr>
          <w:p>
            <w:pPr>
              <w:ind w:left="2200"/>
              <w:spacing w:after="0"/>
              <w:rPr>
                <w:sz w:val="20"/>
                <w:szCs w:val="20"/>
                <w:color w:val="auto"/>
              </w:rPr>
            </w:pPr>
            <w:r>
              <w:rPr>
                <w:rFonts w:ascii="Arial" w:cs="Arial" w:eastAsia="Arial" w:hAnsi="Arial"/>
                <w:sz w:val="18"/>
                <w:szCs w:val="18"/>
                <w:color w:val="auto"/>
              </w:rPr>
              <w:t>7</w:t>
            </w:r>
          </w:p>
        </w:tc>
        <w:tc>
          <w:tcPr>
            <w:tcW w:w="198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00" w:type="dxa"/>
            <w:vAlign w:val="bottom"/>
            <w:tcBorders>
              <w:top w:val="single" w:sz="8" w:color="auto"/>
              <w:bottom w:val="single" w:sz="8" w:color="auto"/>
              <w:right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Mark N. Lampert</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ind w:left="60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2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59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2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59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bottom w:val="single" w:sz="8" w:color="auto"/>
              <w:right w:val="single" w:sz="8" w:color="auto"/>
            </w:tcBorders>
          </w:tcPr>
          <w:p>
            <w:pPr>
              <w:spacing w:after="0"/>
              <w:rPr>
                <w:sz w:val="21"/>
                <w:szCs w:val="21"/>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2,278,459</w:t>
            </w:r>
          </w:p>
        </w:tc>
        <w:tc>
          <w:tcPr>
            <w:tcW w:w="198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59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59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2,278,459</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2,278,459</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80" w:type="dxa"/>
            <w:vAlign w:val="bottom"/>
            <w:tcBorders>
              <w:right w:val="single" w:sz="8" w:color="auto"/>
            </w:tcBorders>
          </w:tcPr>
          <w:p>
            <w:pPr>
              <w:ind w:left="50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7700" w:type="dxa"/>
            <w:vAlign w:val="bottom"/>
            <w:tcBorders>
              <w:bottom w:val="single" w:sz="8" w:color="auto"/>
            </w:tcBorders>
            <w:gridSpan w:val="2"/>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8.4%</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980" w:type="dxa"/>
            <w:vAlign w:val="bottom"/>
          </w:tcPr>
          <w:p>
            <w:pPr>
              <w:ind w:left="2200"/>
              <w:spacing w:after="0"/>
              <w:rPr>
                <w:sz w:val="20"/>
                <w:szCs w:val="20"/>
                <w:color w:val="auto"/>
              </w:rPr>
            </w:pPr>
            <w:r>
              <w:rPr>
                <w:rFonts w:ascii="Arial" w:cs="Arial" w:eastAsia="Arial" w:hAnsi="Arial"/>
                <w:sz w:val="18"/>
                <w:szCs w:val="18"/>
                <w:color w:val="auto"/>
              </w:rPr>
              <w:t>8</w:t>
            </w:r>
          </w:p>
        </w:tc>
        <w:tc>
          <w:tcPr>
            <w:tcW w:w="198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6"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10400" w:type="dxa"/>
            <w:vAlign w:val="bottom"/>
          </w:tcPr>
          <w:p>
            <w:pPr>
              <w:ind w:left="280"/>
              <w:spacing w:after="0"/>
              <w:rPr>
                <w:sz w:val="20"/>
                <w:szCs w:val="20"/>
                <w:color w:val="auto"/>
              </w:rPr>
            </w:pPr>
            <w:r>
              <w:rPr>
                <w:rFonts w:ascii="Arial" w:cs="Arial" w:eastAsia="Arial" w:hAnsi="Arial"/>
                <w:sz w:val="18"/>
                <w:szCs w:val="18"/>
                <w:color w:val="auto"/>
              </w:rPr>
              <w:t>Name of Issuer:</w:t>
            </w:r>
          </w:p>
        </w:tc>
      </w:tr>
      <w:tr>
        <w:trPr>
          <w:trHeight w:val="459"/>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Blueprint Medicines Corporation, a Delaware corporation (the “Issuer”).</w:t>
            </w: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1040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38 Sidney Street, Suite 200</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Cambridge, Massachusetts 02139</w:t>
            </w:r>
          </w:p>
        </w:tc>
      </w:tr>
      <w:tr>
        <w:trPr>
          <w:trHeight w:val="445"/>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10400" w:type="dxa"/>
            <w:vAlign w:val="bottom"/>
          </w:tcPr>
          <w:p>
            <w:pPr>
              <w:ind w:left="280"/>
              <w:spacing w:after="0"/>
              <w:rPr>
                <w:sz w:val="20"/>
                <w:szCs w:val="20"/>
                <w:color w:val="auto"/>
              </w:rPr>
            </w:pPr>
            <w:r>
              <w:rPr>
                <w:rFonts w:ascii="Arial" w:cs="Arial" w:eastAsia="Arial" w:hAnsi="Arial"/>
                <w:sz w:val="18"/>
                <w:szCs w:val="18"/>
                <w:color w:val="auto"/>
              </w:rPr>
              <w:t>Name of Person Filing</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10400" w:type="dxa"/>
            <w:vAlign w:val="bottom"/>
          </w:tcPr>
          <w:p>
            <w:pPr>
              <w:ind w:left="2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Biotechnology Value Fund, L.P. (“BVF”)</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line="216" w:lineRule="exact"/>
              <w:rPr>
                <w:sz w:val="20"/>
                <w:szCs w:val="20"/>
                <w:color w:val="auto"/>
              </w:rPr>
            </w:pPr>
            <w:r>
              <w:rPr>
                <w:rFonts w:ascii="Arial" w:cs="Arial" w:eastAsia="Arial" w:hAnsi="Arial"/>
                <w:sz w:val="18"/>
                <w:szCs w:val="18"/>
                <w:color w:val="auto"/>
              </w:rPr>
              <w:t>1 Sansome Street,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Biotechnology Value Fund II, L.P. (“BVF2”)</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line="216" w:lineRule="exact"/>
              <w:rPr>
                <w:sz w:val="20"/>
                <w:szCs w:val="20"/>
                <w:color w:val="auto"/>
              </w:rPr>
            </w:pPr>
            <w:r>
              <w:rPr>
                <w:rFonts w:ascii="Arial" w:cs="Arial" w:eastAsia="Arial" w:hAnsi="Arial"/>
                <w:sz w:val="18"/>
                <w:szCs w:val="18"/>
                <w:color w:val="auto"/>
              </w:rPr>
              <w:t>1 Sansome Street,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Biotechnology Value Trading Fund OS LP (“Trading Fund OS”)</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BVF Partners OS Ltd. (“Partners OS”)</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BVF Partners L.P. (“Partners”)</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1 Sansome Street, 30th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BVF Inc.</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line="216" w:lineRule="exact"/>
              <w:rPr>
                <w:sz w:val="20"/>
                <w:szCs w:val="20"/>
                <w:color w:val="auto"/>
              </w:rPr>
            </w:pPr>
            <w:r>
              <w:rPr>
                <w:rFonts w:ascii="Arial" w:cs="Arial" w:eastAsia="Arial" w:hAnsi="Arial"/>
                <w:sz w:val="18"/>
                <w:szCs w:val="18"/>
                <w:color w:val="auto"/>
              </w:rPr>
              <w:t>1 Sansome Street,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Mark N. Lampert (“Mr. Lampert”)</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line="216" w:lineRule="exact"/>
              <w:rPr>
                <w:sz w:val="20"/>
                <w:szCs w:val="20"/>
                <w:color w:val="auto"/>
              </w:rPr>
            </w:pPr>
            <w:r>
              <w:rPr>
                <w:rFonts w:ascii="Arial" w:cs="Arial" w:eastAsia="Arial" w:hAnsi="Arial"/>
                <w:sz w:val="18"/>
                <w:szCs w:val="18"/>
                <w:color w:val="auto"/>
              </w:rPr>
              <w:t>1 Sansome Street,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United States</w:t>
            </w:r>
          </w:p>
        </w:tc>
      </w:tr>
      <w:tr>
        <w:trPr>
          <w:trHeight w:val="459"/>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Each of the foregoing is referred to as a “Reporting Person” and collectively as the “Reporting Persons.”</w:t>
            </w:r>
          </w:p>
        </w:tc>
      </w:tr>
      <w:tr>
        <w:trPr>
          <w:trHeight w:val="608"/>
        </w:trPr>
        <w:tc>
          <w:tcPr>
            <w:tcW w:w="1020" w:type="dxa"/>
            <w:vAlign w:val="bottom"/>
          </w:tcPr>
          <w:p>
            <w:pPr>
              <w:spacing w:after="0"/>
              <w:rPr>
                <w:sz w:val="24"/>
                <w:szCs w:val="24"/>
                <w:color w:val="auto"/>
              </w:rPr>
            </w:pPr>
          </w:p>
        </w:tc>
        <w:tc>
          <w:tcPr>
            <w:tcW w:w="10400" w:type="dxa"/>
            <w:vAlign w:val="bottom"/>
          </w:tcPr>
          <w:p>
            <w:pPr>
              <w:ind w:left="4640"/>
              <w:spacing w:after="0"/>
              <w:rPr>
                <w:sz w:val="20"/>
                <w:szCs w:val="20"/>
                <w:color w:val="auto"/>
              </w:rPr>
            </w:pPr>
            <w:r>
              <w:rPr>
                <w:rFonts w:ascii="Arial" w:cs="Arial" w:eastAsia="Arial" w:hAnsi="Arial"/>
                <w:sz w:val="18"/>
                <w:szCs w:val="18"/>
                <w:color w:val="auto"/>
              </w:rPr>
              <w:t>9</w:t>
            </w:r>
          </w:p>
        </w:tc>
      </w:tr>
      <w:tr>
        <w:trPr>
          <w:trHeight w:val="118"/>
        </w:trPr>
        <w:tc>
          <w:tcPr>
            <w:tcW w:w="1020" w:type="dxa"/>
            <w:vAlign w:val="bottom"/>
            <w:tcBorders>
              <w:bottom w:val="single" w:sz="8" w:color="808080"/>
            </w:tcBorders>
          </w:tcPr>
          <w:p>
            <w:pPr>
              <w:spacing w:after="0"/>
              <w:rPr>
                <w:sz w:val="10"/>
                <w:szCs w:val="10"/>
                <w:color w:val="auto"/>
              </w:rPr>
            </w:pPr>
          </w:p>
        </w:tc>
        <w:tc>
          <w:tcPr>
            <w:tcW w:w="10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2(d).</w:t>
            </w:r>
          </w:p>
        </w:tc>
        <w:tc>
          <w:tcPr>
            <w:tcW w:w="10400" w:type="dxa"/>
            <w:vAlign w:val="bottom"/>
            <w:gridSpan w:val="3"/>
          </w:tcPr>
          <w:p>
            <w:pPr>
              <w:ind w:left="280"/>
              <w:spacing w:after="0"/>
              <w:rPr>
                <w:sz w:val="20"/>
                <w:szCs w:val="20"/>
                <w:color w:val="auto"/>
              </w:rPr>
            </w:pPr>
            <w:r>
              <w:rPr>
                <w:rFonts w:ascii="Arial" w:cs="Arial" w:eastAsia="Arial" w:hAnsi="Arial"/>
                <w:sz w:val="18"/>
                <w:szCs w:val="18"/>
                <w:color w:val="auto"/>
              </w:rPr>
              <w:t>Title of Class of Securities:</w:t>
            </w:r>
          </w:p>
        </w:tc>
      </w:tr>
      <w:tr>
        <w:trPr>
          <w:trHeight w:val="459"/>
        </w:trPr>
        <w:tc>
          <w:tcPr>
            <w:tcW w:w="1020" w:type="dxa"/>
            <w:vAlign w:val="bottom"/>
          </w:tcPr>
          <w:p>
            <w:pPr>
              <w:spacing w:after="0"/>
              <w:rPr>
                <w:sz w:val="24"/>
                <w:szCs w:val="24"/>
                <w:color w:val="auto"/>
              </w:rPr>
            </w:pPr>
          </w:p>
        </w:tc>
        <w:tc>
          <w:tcPr>
            <w:tcW w:w="10400" w:type="dxa"/>
            <w:vAlign w:val="bottom"/>
            <w:gridSpan w:val="3"/>
          </w:tcPr>
          <w:p>
            <w:pPr>
              <w:ind w:left="280"/>
              <w:spacing w:after="0"/>
              <w:rPr>
                <w:sz w:val="20"/>
                <w:szCs w:val="20"/>
                <w:color w:val="auto"/>
              </w:rPr>
            </w:pPr>
            <w:r>
              <w:rPr>
                <w:rFonts w:ascii="Arial" w:cs="Arial" w:eastAsia="Arial" w:hAnsi="Arial"/>
                <w:sz w:val="18"/>
                <w:szCs w:val="18"/>
                <w:color w:val="auto"/>
              </w:rPr>
              <w:t>Common Stock, par value $0.001 per share (the “Common Stock”)</w:t>
            </w: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Item 2(e).</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w w:val="96"/>
              </w:rPr>
              <w:t>CUSIP Number:</w:t>
            </w:r>
          </w:p>
        </w:tc>
        <w:tc>
          <w:tcPr>
            <w:tcW w:w="8860" w:type="dxa"/>
            <w:vAlign w:val="bottom"/>
          </w:tcPr>
          <w:p>
            <w:pPr>
              <w:spacing w:after="0"/>
              <w:rPr>
                <w:sz w:val="24"/>
                <w:szCs w:val="24"/>
                <w:color w:val="auto"/>
              </w:rPr>
            </w:pPr>
          </w:p>
        </w:tc>
      </w:tr>
      <w:tr>
        <w:trPr>
          <w:trHeight w:val="459"/>
        </w:trPr>
        <w:tc>
          <w:tcPr>
            <w:tcW w:w="1020" w:type="dxa"/>
            <w:vAlign w:val="bottom"/>
          </w:tcPr>
          <w:p>
            <w:pPr>
              <w:spacing w:after="0"/>
              <w:rPr>
                <w:sz w:val="24"/>
                <w:szCs w:val="24"/>
                <w:color w:val="auto"/>
              </w:rPr>
            </w:pP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09627Y109</w:t>
            </w:r>
          </w:p>
        </w:tc>
        <w:tc>
          <w:tcPr>
            <w:tcW w:w="8860" w:type="dxa"/>
            <w:vAlign w:val="bottom"/>
          </w:tcPr>
          <w:p>
            <w:pPr>
              <w:spacing w:after="0"/>
              <w:rPr>
                <w:sz w:val="24"/>
                <w:szCs w:val="24"/>
                <w:color w:val="auto"/>
              </w:rPr>
            </w:pP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10400" w:type="dxa"/>
            <w:vAlign w:val="bottom"/>
            <w:gridSpan w:val="3"/>
          </w:tcPr>
          <w:p>
            <w:pPr>
              <w:ind w:left="280"/>
              <w:spacing w:after="0"/>
              <w:rPr>
                <w:sz w:val="20"/>
                <w:szCs w:val="20"/>
                <w:color w:val="auto"/>
              </w:rPr>
            </w:pPr>
            <w:r>
              <w:rPr>
                <w:rFonts w:ascii="Arial" w:cs="Arial" w:eastAsia="Arial" w:hAnsi="Arial"/>
                <w:sz w:val="18"/>
                <w:szCs w:val="18"/>
                <w:color w:val="auto"/>
              </w:rPr>
              <w:t>If This Statement is Filed Pursuant to Rule 13d-1(b), or 13d-2(b) or (c), Check Whether the Person Filing is a:</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/x/</w:t>
            </w:r>
          </w:p>
        </w:tc>
        <w:tc>
          <w:tcPr>
            <w:tcW w:w="9680" w:type="dxa"/>
            <w:vAlign w:val="bottom"/>
            <w:gridSpan w:val="2"/>
          </w:tcPr>
          <w:p>
            <w:pPr>
              <w:ind w:left="220"/>
              <w:spacing w:after="0"/>
              <w:rPr>
                <w:sz w:val="20"/>
                <w:szCs w:val="20"/>
                <w:color w:val="auto"/>
              </w:rPr>
            </w:pPr>
            <w:r>
              <w:rPr>
                <w:rFonts w:ascii="Arial" w:cs="Arial" w:eastAsia="Arial" w:hAnsi="Arial"/>
                <w:sz w:val="18"/>
                <w:szCs w:val="18"/>
                <w:color w:val="auto"/>
              </w:rPr>
              <w:t>Not applicable.</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(a)</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(b)</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Bank as defined in Section 3(a)(6) of the Exchange Act.</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(c)</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(d)</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(e)</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(f)</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(g)</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(h)</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45"/>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(i)</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w w:val="94"/>
              </w:rPr>
              <w:t>A church plan that is excluded from the definition of an investment company under Section 3(c)(14) of the Investment</w:t>
            </w:r>
          </w:p>
        </w:tc>
      </w:tr>
      <w:tr>
        <w:trPr>
          <w:trHeight w:val="230"/>
        </w:trPr>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60" w:type="dxa"/>
            <w:vAlign w:val="bottom"/>
          </w:tcPr>
          <w:p>
            <w:pPr>
              <w:ind w:left="40"/>
              <w:spacing w:after="0"/>
              <w:rPr>
                <w:sz w:val="20"/>
                <w:szCs w:val="20"/>
                <w:color w:val="auto"/>
              </w:rPr>
            </w:pPr>
            <w:r>
              <w:rPr>
                <w:rFonts w:ascii="Arial" w:cs="Arial" w:eastAsia="Arial" w:hAnsi="Arial"/>
                <w:sz w:val="18"/>
                <w:szCs w:val="18"/>
                <w:color w:val="auto"/>
              </w:rPr>
              <w:t>Company Act.</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(j)</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Group, in accordance with Rule 13d-1(b)(1)(ii)(J).</w:t>
            </w:r>
          </w:p>
        </w:tc>
      </w:tr>
      <w:tr>
        <w:trPr>
          <w:trHeight w:val="445"/>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(k)</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Group, in accordance with Rule 240.13d-1(b)(1)(ii)(K). If filing as a non-U.S. institution in accordance with Rule</w:t>
            </w:r>
          </w:p>
        </w:tc>
      </w:tr>
      <w:tr>
        <w:trPr>
          <w:trHeight w:val="230"/>
        </w:trPr>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60" w:type="dxa"/>
            <w:vAlign w:val="bottom"/>
          </w:tcPr>
          <w:p>
            <w:pPr>
              <w:ind w:left="40"/>
              <w:spacing w:after="0"/>
              <w:rPr>
                <w:sz w:val="20"/>
                <w:szCs w:val="20"/>
                <w:color w:val="auto"/>
              </w:rPr>
            </w:pPr>
            <w:r>
              <w:rPr>
                <w:rFonts w:ascii="Arial" w:cs="Arial" w:eastAsia="Arial" w:hAnsi="Arial"/>
                <w:sz w:val="18"/>
                <w:szCs w:val="18"/>
                <w:color w:val="auto"/>
              </w:rPr>
              <w:t>240.13d-1(b)(1)(ii)(J), please specify the type of institution: ____</w:t>
            </w: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Ownership</w:t>
            </w:r>
          </w:p>
        </w:tc>
        <w:tc>
          <w:tcPr>
            <w:tcW w:w="8860" w:type="dxa"/>
            <w:vAlign w:val="bottom"/>
          </w:tcPr>
          <w:p>
            <w:pPr>
              <w:spacing w:after="0"/>
              <w:rPr>
                <w:sz w:val="24"/>
                <w:szCs w:val="24"/>
                <w:color w:val="auto"/>
              </w:rPr>
            </w:pPr>
          </w:p>
        </w:tc>
      </w:tr>
    </w:tbl>
    <w:p>
      <w:pPr>
        <w:spacing w:after="0" w:line="229" w:lineRule="exact"/>
        <w:rPr>
          <w:sz w:val="20"/>
          <w:szCs w:val="20"/>
          <w:color w:val="auto"/>
        </w:rPr>
      </w:pPr>
    </w:p>
    <w:p>
      <w:pPr>
        <w:ind w:left="1960" w:hanging="655"/>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52" w:lineRule="exact"/>
        <w:rPr>
          <w:rFonts w:ascii="Arial" w:cs="Arial" w:eastAsia="Arial" w:hAnsi="Arial"/>
          <w:sz w:val="18"/>
          <w:szCs w:val="18"/>
          <w:color w:val="auto"/>
        </w:rPr>
      </w:pPr>
    </w:p>
    <w:p>
      <w:pPr>
        <w:jc w:val="both"/>
        <w:ind w:left="1960"/>
        <w:spacing w:after="0" w:line="264" w:lineRule="auto"/>
        <w:rPr>
          <w:rFonts w:ascii="Arial" w:cs="Arial" w:eastAsia="Arial" w:hAnsi="Arial"/>
          <w:sz w:val="18"/>
          <w:szCs w:val="18"/>
          <w:color w:val="auto"/>
        </w:rPr>
      </w:pPr>
      <w:r>
        <w:rPr>
          <w:rFonts w:ascii="Arial" w:cs="Arial" w:eastAsia="Arial" w:hAnsi="Arial"/>
          <w:sz w:val="18"/>
          <w:szCs w:val="18"/>
          <w:color w:val="auto"/>
        </w:rPr>
        <w:t>As of the close of business on December 31, 2015 (i) BVF beneficially owned 1,110,023 shares of Common Stock, (ii) BVF2 beneficially owned 606,454 shares of Common Stock, and (iii) Trading Fund OS beneficially owned 129,448 shares of Common Stock.</w:t>
      </w:r>
    </w:p>
    <w:p>
      <w:pPr>
        <w:spacing w:after="0" w:line="208" w:lineRule="exact"/>
        <w:rPr>
          <w:rFonts w:ascii="Arial" w:cs="Arial" w:eastAsia="Arial" w:hAnsi="Arial"/>
          <w:sz w:val="18"/>
          <w:szCs w:val="18"/>
          <w:color w:val="auto"/>
        </w:rPr>
      </w:pPr>
    </w:p>
    <w:p>
      <w:pPr>
        <w:ind w:left="1960"/>
        <w:spacing w:after="0" w:line="277" w:lineRule="auto"/>
        <w:rPr>
          <w:rFonts w:ascii="Arial" w:cs="Arial" w:eastAsia="Arial" w:hAnsi="Arial"/>
          <w:sz w:val="18"/>
          <w:szCs w:val="18"/>
          <w:color w:val="auto"/>
        </w:rPr>
      </w:pPr>
      <w:r>
        <w:rPr>
          <w:rFonts w:ascii="Arial" w:cs="Arial" w:eastAsia="Arial" w:hAnsi="Arial"/>
          <w:sz w:val="18"/>
          <w:szCs w:val="18"/>
          <w:color w:val="auto"/>
        </w:rPr>
        <w:t>Partners OS as the general partner of Trading Fund OS may be deemed to beneficially own the 129,448 shares of Common Stock beneficially owned by Trading Fund OS.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both"/>
        <w:ind w:left="760"/>
        <w:spacing w:after="0" w:line="259" w:lineRule="auto"/>
        <w:rPr>
          <w:sz w:val="20"/>
          <w:szCs w:val="20"/>
          <w:color w:val="auto"/>
        </w:rPr>
      </w:pPr>
      <w:r>
        <w:rPr>
          <w:rFonts w:ascii="Arial" w:cs="Arial" w:eastAsia="Arial" w:hAnsi="Arial"/>
          <w:sz w:val="18"/>
          <w:szCs w:val="18"/>
          <w:color w:val="auto"/>
        </w:rPr>
        <w:t>Partners, as the general partner of BVF, BVF2, the investment manager of Trading Fund OS, and the sole member of Partners OS, may be deemed to beneficially own the 2,278,459 shares of Common Stock beneficially owned in the aggregate by BVF, BVF2, Trading Fund OS, and certain Partners management accounts (the “Partners Management Accounts”), including 432,534 shares of Common Stock held in the Partners Management Accounts.</w:t>
      </w:r>
    </w:p>
    <w:p>
      <w:pPr>
        <w:spacing w:after="0" w:line="214"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BVF Inc., as the general partner of Partners, may be deemed to beneficially own the 2,278,459 shares of Common Stock beneficially owned by Partners.</w:t>
      </w:r>
    </w:p>
    <w:p>
      <w:pPr>
        <w:spacing w:after="0" w:line="197"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Mr. Lampert, as a director and officer of BVF Inc., may be deemed to beneficially own the 2,278,459 shares of Common Stock beneficially owned by BVF Inc.</w:t>
      </w:r>
    </w:p>
    <w:p>
      <w:pPr>
        <w:spacing w:after="0" w:line="197"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The foregoing should not be construed in and of itself as an admission by any Reporting Person as to beneficial ownership of any shares of Common Stock owned by another Reporting Person. Partners OS disclaims beneficial ownership of the shares of Common Stock beneficially owned by Trading Fund OS. Each of Partners, BVF Inc. and Mr. Lampert disclaims beneficial ownership of the shares of Common Stock beneficially owned by BVF, BVF2, Trading Fund OS, and the Partners Management Accounts, and the filing of this statement shall not be construed as an admission that any such person or entity is the beneficial owner of any such securities.</w:t>
      </w:r>
    </w:p>
    <w:p>
      <w:pPr>
        <w:spacing w:after="0" w:line="220" w:lineRule="exact"/>
        <w:rPr>
          <w:sz w:val="20"/>
          <w:szCs w:val="20"/>
          <w:color w:val="auto"/>
        </w:rPr>
      </w:pPr>
    </w:p>
    <w:p>
      <w:pPr>
        <w:ind w:left="760" w:hanging="655"/>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52" w:lineRule="exact"/>
        <w:rPr>
          <w:rFonts w:ascii="Arial" w:cs="Arial" w:eastAsia="Arial" w:hAnsi="Arial"/>
          <w:sz w:val="18"/>
          <w:szCs w:val="18"/>
          <w:color w:val="auto"/>
        </w:rPr>
      </w:pPr>
    </w:p>
    <w:p>
      <w:pPr>
        <w:ind w:left="760"/>
        <w:spacing w:after="0" w:line="342" w:lineRule="auto"/>
        <w:rPr>
          <w:rFonts w:ascii="Arial" w:cs="Arial" w:eastAsia="Arial" w:hAnsi="Arial"/>
          <w:sz w:val="18"/>
          <w:szCs w:val="18"/>
          <w:color w:val="auto"/>
        </w:rPr>
      </w:pPr>
      <w:r>
        <w:rPr>
          <w:rFonts w:ascii="Arial" w:cs="Arial" w:eastAsia="Arial" w:hAnsi="Arial"/>
          <w:sz w:val="16"/>
          <w:szCs w:val="16"/>
          <w:color w:val="auto"/>
        </w:rPr>
        <w:t>The following percentages are based on 27,100,791 shares of Common Stock outstanding as of November 2, 2015, as disclosed in the Issuer’s Quarterly Report filed on Form 10-Q with the Securities and Exchange Commission on November 9, 2015.</w:t>
      </w:r>
    </w:p>
    <w:p>
      <w:pPr>
        <w:spacing w:after="0" w:line="150" w:lineRule="exact"/>
        <w:rPr>
          <w:rFonts w:ascii="Arial" w:cs="Arial" w:eastAsia="Arial" w:hAnsi="Arial"/>
          <w:sz w:val="18"/>
          <w:szCs w:val="18"/>
          <w:color w:val="auto"/>
        </w:rPr>
      </w:pPr>
    </w:p>
    <w:p>
      <w:pPr>
        <w:jc w:val="both"/>
        <w:ind w:left="760"/>
        <w:spacing w:after="0" w:line="255" w:lineRule="auto"/>
        <w:rPr>
          <w:rFonts w:ascii="Arial" w:cs="Arial" w:eastAsia="Arial" w:hAnsi="Arial"/>
          <w:sz w:val="18"/>
          <w:szCs w:val="18"/>
          <w:color w:val="auto"/>
        </w:rPr>
      </w:pPr>
      <w:r>
        <w:rPr>
          <w:rFonts w:ascii="Arial" w:cs="Arial" w:eastAsia="Arial" w:hAnsi="Arial"/>
          <w:sz w:val="18"/>
          <w:szCs w:val="18"/>
          <w:color w:val="auto"/>
        </w:rPr>
        <w:t>As of the close of business on December 31, 2015 (i) BVF beneficially owned approximately 4.1% of the outstanding shares of Common Stock, (ii) BVF2 beneficially owned approximately 2.2% of the outstanding shares of Common Stock, (iii) Trading Fund OS beneficially less than 1% of the outstanding shares of Common Stock (iv) Partners OS may be deemed to beneficially own less than 1% of the outstanding shares of Common Stock, and (v) each of Partners, BVF Inc. and Mr. Lampert may be deemed to beneficially own approximately 8.4% of the outstanding shares of Common Stock (approximately 1.6% of which is held in the Partners Management Accounts).</w:t>
      </w:r>
    </w:p>
    <w:p>
      <w:pPr>
        <w:spacing w:after="0" w:line="220" w:lineRule="exact"/>
        <w:rPr>
          <w:rFonts w:ascii="Arial" w:cs="Arial" w:eastAsia="Arial" w:hAnsi="Arial"/>
          <w:sz w:val="18"/>
          <w:szCs w:val="18"/>
          <w:color w:val="auto"/>
        </w:rPr>
      </w:pPr>
    </w:p>
    <w:p>
      <w:pPr>
        <w:ind w:left="760" w:hanging="655"/>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sz w:val="20"/>
          <w:szCs w:val="20"/>
          <w:color w:val="auto"/>
        </w:rPr>
      </w:pPr>
    </w:p>
    <w:p>
      <w:pPr>
        <w:ind w:left="760" w:right="6660" w:hanging="655"/>
        <w:spacing w:after="0" w:line="532"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ind w:left="760" w:right="6480" w:hanging="655"/>
        <w:spacing w:after="0" w:line="532"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ind w:left="760" w:right="5760" w:hanging="655"/>
        <w:spacing w:after="0" w:line="559"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7" w:right="239" w:bottom="1440" w:gutter="0" w:footer="0" w:header="0"/>
        </w:sectPr>
      </w:pPr>
    </w:p>
    <w:bookmarkStart w:id="11" w:name="page12"/>
    <w:bookmarkEnd w:id="11"/>
    <w:p>
      <w:pPr>
        <w:ind w:left="1960" w:hanging="655"/>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Cover Pages Items 5-9.</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52"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Partners, BVF Inc. and Mr. Lampert share voting and dispositive power over the shares of Common Stock beneficially owned by BVF, BVF2, Trading Fund OS, and the Partners Management Accounts.</w:t>
      </w:r>
    </w:p>
    <w:p>
      <w:pPr>
        <w:spacing w:after="0" w:line="197" w:lineRule="exact"/>
        <w:rPr>
          <w:sz w:val="20"/>
          <w:szCs w:val="20"/>
          <w:color w:val="auto"/>
        </w:rPr>
      </w:pPr>
    </w:p>
    <w:p>
      <w:pPr>
        <w:jc w:val="both"/>
        <w:ind w:left="1300" w:hanging="1296"/>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That Acquired the Security Being Reported on by the Parent Holding Company or Control Person.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99.1</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5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Dated: February 16, 2016</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20" w:type="dxa"/>
            <w:vAlign w:val="bottom"/>
            <w:gridSpan w:val="3"/>
          </w:tcPr>
          <w:p>
            <w:pPr>
              <w:spacing w:after="0"/>
              <w:rPr>
                <w:sz w:val="20"/>
                <w:szCs w:val="20"/>
                <w:color w:val="auto"/>
              </w:rPr>
            </w:pPr>
            <w:r>
              <w:rPr>
                <w:rFonts w:ascii="Arial" w:cs="Arial" w:eastAsia="Arial" w:hAnsi="Arial"/>
                <w:sz w:val="18"/>
                <w:szCs w:val="18"/>
                <w:color w:val="auto"/>
              </w:rPr>
              <w:t>BIOTECHNOLOGY VALUE FUND, L.P.</w:t>
            </w:r>
          </w:p>
        </w:tc>
        <w:tc>
          <w:tcPr>
            <w:tcW w:w="980" w:type="dxa"/>
            <w:vAlign w:val="bottom"/>
          </w:tcPr>
          <w:p>
            <w:pPr>
              <w:spacing w:after="0"/>
              <w:rPr>
                <w:sz w:val="24"/>
                <w:szCs w:val="24"/>
                <w:color w:val="auto"/>
              </w:rPr>
            </w:pPr>
          </w:p>
        </w:tc>
        <w:tc>
          <w:tcPr>
            <w:tcW w:w="5020" w:type="dxa"/>
            <w:vAlign w:val="bottom"/>
            <w:vMerge w:val="restart"/>
          </w:tcPr>
          <w:p>
            <w:pPr>
              <w:spacing w:after="0"/>
              <w:rPr>
                <w:sz w:val="20"/>
                <w:szCs w:val="20"/>
                <w:color w:val="auto"/>
              </w:rPr>
            </w:pPr>
            <w:r>
              <w:rPr>
                <w:rFonts w:ascii="Arial" w:cs="Arial" w:eastAsia="Arial" w:hAnsi="Arial"/>
                <w:sz w:val="18"/>
                <w:szCs w:val="18"/>
                <w:color w:val="auto"/>
              </w:rPr>
              <w:t>BVF INC.</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BVF Partners L.P., its general partner</w:t>
            </w:r>
          </w:p>
        </w:tc>
        <w:tc>
          <w:tcPr>
            <w:tcW w:w="980" w:type="dxa"/>
            <w:vAlign w:val="bottom"/>
          </w:tcPr>
          <w:p>
            <w:pPr>
              <w:spacing w:after="0"/>
              <w:rPr>
                <w:sz w:val="18"/>
                <w:szCs w:val="18"/>
                <w:color w:val="auto"/>
              </w:rPr>
            </w:pPr>
          </w:p>
        </w:tc>
        <w:tc>
          <w:tcPr>
            <w:tcW w:w="5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vMerge w:val="continue"/>
          </w:tcPr>
          <w:p>
            <w:pPr>
              <w:spacing w:after="0"/>
              <w:rPr>
                <w:sz w:val="17"/>
                <w:szCs w:val="17"/>
                <w:color w:val="auto"/>
              </w:rPr>
            </w:pPr>
          </w:p>
        </w:tc>
        <w:tc>
          <w:tcPr>
            <w:tcW w:w="484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BVF Inc., its general partner</w:t>
            </w:r>
          </w:p>
        </w:tc>
        <w:tc>
          <w:tcPr>
            <w:tcW w:w="6000" w:type="dxa"/>
            <w:vAlign w:val="bottom"/>
            <w:gridSpan w:val="2"/>
          </w:tcPr>
          <w:p>
            <w:pPr>
              <w:ind w:left="560"/>
              <w:spacing w:after="0"/>
              <w:rPr>
                <w:sz w:val="20"/>
                <w:szCs w:val="20"/>
                <w:color w:val="auto"/>
              </w:rPr>
            </w:pPr>
            <w:r>
              <w:rPr>
                <w:rFonts w:ascii="Arial" w:cs="Arial" w:eastAsia="Arial" w:hAnsi="Arial"/>
                <w:sz w:val="18"/>
                <w:szCs w:val="18"/>
                <w:color w:val="auto"/>
              </w:rPr>
              <w:t>By:  /s/ Mark N. Lampert</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N. Lampert</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N. Lampert</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Mark N. Lampert</w:t>
            </w: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20" w:type="dxa"/>
            <w:vAlign w:val="bottom"/>
            <w:gridSpan w:val="3"/>
            <w:vMerge w:val="restart"/>
          </w:tcPr>
          <w:p>
            <w:pPr>
              <w:spacing w:after="0"/>
              <w:rPr>
                <w:sz w:val="20"/>
                <w:szCs w:val="20"/>
                <w:color w:val="auto"/>
              </w:rPr>
            </w:pPr>
            <w:r>
              <w:rPr>
                <w:rFonts w:ascii="Arial" w:cs="Arial" w:eastAsia="Arial" w:hAnsi="Arial"/>
                <w:sz w:val="18"/>
                <w:szCs w:val="18"/>
                <w:color w:val="auto"/>
              </w:rPr>
              <w:t>BIOTECHNOLOGY VALUE FUND II, L.P.</w:t>
            </w:r>
          </w:p>
        </w:tc>
        <w:tc>
          <w:tcPr>
            <w:tcW w:w="9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MARK N. LAMPERT</w:t>
            </w:r>
          </w:p>
        </w:tc>
        <w:tc>
          <w:tcPr>
            <w:tcW w:w="0" w:type="dxa"/>
            <w:vAlign w:val="bottom"/>
          </w:tcPr>
          <w:p>
            <w:pPr>
              <w:spacing w:after="0"/>
              <w:rPr>
                <w:sz w:val="1"/>
                <w:szCs w:val="1"/>
                <w:color w:val="auto"/>
              </w:rPr>
            </w:pPr>
          </w:p>
        </w:tc>
      </w:tr>
      <w:tr>
        <w:trPr>
          <w:trHeight w:val="216"/>
        </w:trPr>
        <w:tc>
          <w:tcPr>
            <w:tcW w:w="5420" w:type="dxa"/>
            <w:vAlign w:val="bottom"/>
            <w:gridSpan w:val="3"/>
            <w:vMerge w:val="continue"/>
          </w:tcPr>
          <w:p>
            <w:pPr>
              <w:spacing w:after="0"/>
              <w:rPr>
                <w:sz w:val="18"/>
                <w:szCs w:val="18"/>
                <w:color w:val="auto"/>
              </w:rPr>
            </w:pPr>
          </w:p>
        </w:tc>
        <w:tc>
          <w:tcPr>
            <w:tcW w:w="980" w:type="dxa"/>
            <w:vAlign w:val="bottom"/>
          </w:tcPr>
          <w:p>
            <w:pPr>
              <w:spacing w:after="0"/>
              <w:rPr>
                <w:sz w:val="18"/>
                <w:szCs w:val="18"/>
                <w:color w:val="auto"/>
              </w:rPr>
            </w:pPr>
          </w:p>
        </w:tc>
        <w:tc>
          <w:tcPr>
            <w:tcW w:w="5020" w:type="dxa"/>
            <w:vAlign w:val="bottom"/>
            <w:vMerge w:val="restart"/>
          </w:tcPr>
          <w:p>
            <w:pPr>
              <w:spacing w:after="0"/>
              <w:rPr>
                <w:sz w:val="20"/>
                <w:szCs w:val="20"/>
                <w:color w:val="auto"/>
              </w:rPr>
            </w:pPr>
            <w:r>
              <w:rPr>
                <w:rFonts w:ascii="Arial" w:cs="Arial" w:eastAsia="Arial" w:hAnsi="Arial"/>
                <w:sz w:val="18"/>
                <w:szCs w:val="18"/>
                <w:color w:val="auto"/>
              </w:rPr>
              <w:t>/s/ Mark N. Lampert</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BVF Partners L.P., its general partner</w:t>
            </w: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BVF Inc., its general partner</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N. Lampert</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Mark N. Lampert</w:t>
            </w: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420" w:type="dxa"/>
            <w:vAlign w:val="bottom"/>
            <w:gridSpan w:val="3"/>
          </w:tcPr>
          <w:p>
            <w:pPr>
              <w:spacing w:after="0"/>
              <w:rPr>
                <w:sz w:val="20"/>
                <w:szCs w:val="20"/>
                <w:color w:val="auto"/>
              </w:rPr>
            </w:pPr>
            <w:r>
              <w:rPr>
                <w:rFonts w:ascii="Arial" w:cs="Arial" w:eastAsia="Arial" w:hAnsi="Arial"/>
                <w:sz w:val="18"/>
                <w:szCs w:val="18"/>
                <w:color w:val="auto"/>
              </w:rPr>
              <w:t>BVF PARTNERS L.P.</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BVF Inc., its general partner</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N. Lampert</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Mark N. Lampert</w:t>
            </w: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5420" w:type="dxa"/>
            <w:vAlign w:val="bottom"/>
            <w:gridSpan w:val="3"/>
          </w:tcPr>
          <w:p>
            <w:pPr>
              <w:spacing w:after="0"/>
              <w:rPr>
                <w:sz w:val="20"/>
                <w:szCs w:val="20"/>
                <w:color w:val="auto"/>
              </w:rPr>
            </w:pPr>
            <w:r>
              <w:rPr>
                <w:rFonts w:ascii="Arial" w:cs="Arial" w:eastAsia="Arial" w:hAnsi="Arial"/>
                <w:sz w:val="18"/>
                <w:szCs w:val="18"/>
                <w:color w:val="auto"/>
              </w:rPr>
              <w:t>BVF PARTNERS OS LTD.</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BVF Partners L.P., its sole member</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BVF Inc., its general partner</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Mark N. Lampert</w:t>
            </w: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President</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420" w:type="dxa"/>
            <w:vAlign w:val="bottom"/>
            <w:gridSpan w:val="3"/>
          </w:tcPr>
          <w:p>
            <w:pPr>
              <w:spacing w:after="0"/>
              <w:rPr>
                <w:sz w:val="20"/>
                <w:szCs w:val="20"/>
                <w:color w:val="auto"/>
              </w:rPr>
            </w:pPr>
            <w:r>
              <w:rPr>
                <w:rFonts w:ascii="Arial" w:cs="Arial" w:eastAsia="Arial" w:hAnsi="Arial"/>
                <w:sz w:val="18"/>
                <w:szCs w:val="18"/>
                <w:color w:val="auto"/>
              </w:rPr>
              <w:t>BIOTECHNOLOGY VALUE TRADING FUND OS LP</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BVF Partners L.P., its investment manager</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BVF Inc., its general partner</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Mark N. Lampert</w:t>
            </w: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President</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80" w:type="dxa"/>
            <w:vAlign w:val="bottom"/>
          </w:tcPr>
          <w:p>
            <w:pPr>
              <w:jc w:val="right"/>
              <w:ind w:right="510"/>
              <w:spacing w:after="0"/>
              <w:rPr>
                <w:sz w:val="20"/>
                <w:szCs w:val="20"/>
                <w:color w:val="auto"/>
              </w:rPr>
            </w:pPr>
            <w:r>
              <w:rPr>
                <w:rFonts w:ascii="Arial" w:cs="Arial" w:eastAsia="Arial" w:hAnsi="Arial"/>
                <w:sz w:val="18"/>
                <w:szCs w:val="18"/>
                <w:color w:val="auto"/>
              </w:rPr>
              <w:t>13</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rFonts w:ascii="Arial" w:cs="Arial" w:eastAsia="Arial" w:hAnsi="Arial"/>
          <w:sz w:val="22"/>
          <w:szCs w:val="22"/>
          <w:color w:val="auto"/>
        </w:rPr>
        <w:t>Exhibit 99.1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Filing Agreement</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hereby agree that the Statement on Schedule 13G dated February 16, 2016 with respect to the shares of Common Stock of Blueprint Medicines Corporation, and any further amendments thereto executed by each and any of the undersigned shall be filed on behalf of each of the undersigned pursuant to and in accordance with the provisions of Rule 13d-1(k)(1) under the Securities Exchange Act of 1934, as amended.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Dated: February 16, 2016</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20" w:type="dxa"/>
            <w:vAlign w:val="bottom"/>
            <w:gridSpan w:val="3"/>
          </w:tcPr>
          <w:p>
            <w:pPr>
              <w:spacing w:after="0"/>
              <w:rPr>
                <w:sz w:val="20"/>
                <w:szCs w:val="20"/>
                <w:color w:val="auto"/>
              </w:rPr>
            </w:pPr>
            <w:r>
              <w:rPr>
                <w:rFonts w:ascii="Arial" w:cs="Arial" w:eastAsia="Arial" w:hAnsi="Arial"/>
                <w:sz w:val="18"/>
                <w:szCs w:val="18"/>
                <w:color w:val="auto"/>
              </w:rPr>
              <w:t>BIOTECHNOLOGY VALUE FUND, L.P.</w:t>
            </w:r>
          </w:p>
        </w:tc>
        <w:tc>
          <w:tcPr>
            <w:tcW w:w="980" w:type="dxa"/>
            <w:vAlign w:val="bottom"/>
          </w:tcPr>
          <w:p>
            <w:pPr>
              <w:spacing w:after="0"/>
              <w:rPr>
                <w:sz w:val="24"/>
                <w:szCs w:val="24"/>
                <w:color w:val="auto"/>
              </w:rPr>
            </w:pPr>
          </w:p>
        </w:tc>
        <w:tc>
          <w:tcPr>
            <w:tcW w:w="5020" w:type="dxa"/>
            <w:vAlign w:val="bottom"/>
            <w:vMerge w:val="restart"/>
          </w:tcPr>
          <w:p>
            <w:pPr>
              <w:spacing w:after="0"/>
              <w:rPr>
                <w:sz w:val="20"/>
                <w:szCs w:val="20"/>
                <w:color w:val="auto"/>
              </w:rPr>
            </w:pPr>
            <w:r>
              <w:rPr>
                <w:rFonts w:ascii="Arial" w:cs="Arial" w:eastAsia="Arial" w:hAnsi="Arial"/>
                <w:sz w:val="18"/>
                <w:szCs w:val="18"/>
                <w:color w:val="auto"/>
              </w:rPr>
              <w:t>BVF INC.</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BVF Partners L.P., its general partner</w:t>
            </w:r>
          </w:p>
        </w:tc>
        <w:tc>
          <w:tcPr>
            <w:tcW w:w="980" w:type="dxa"/>
            <w:vAlign w:val="bottom"/>
          </w:tcPr>
          <w:p>
            <w:pPr>
              <w:spacing w:after="0"/>
              <w:rPr>
                <w:sz w:val="18"/>
                <w:szCs w:val="18"/>
                <w:color w:val="auto"/>
              </w:rPr>
            </w:pPr>
          </w:p>
        </w:tc>
        <w:tc>
          <w:tcPr>
            <w:tcW w:w="5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vMerge w:val="continue"/>
          </w:tcPr>
          <w:p>
            <w:pPr>
              <w:spacing w:after="0"/>
              <w:rPr>
                <w:sz w:val="17"/>
                <w:szCs w:val="17"/>
                <w:color w:val="auto"/>
              </w:rPr>
            </w:pPr>
          </w:p>
        </w:tc>
        <w:tc>
          <w:tcPr>
            <w:tcW w:w="484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BVF Inc., its general partner</w:t>
            </w:r>
          </w:p>
        </w:tc>
        <w:tc>
          <w:tcPr>
            <w:tcW w:w="6000" w:type="dxa"/>
            <w:vAlign w:val="bottom"/>
            <w:gridSpan w:val="2"/>
          </w:tcPr>
          <w:p>
            <w:pPr>
              <w:ind w:left="560"/>
              <w:spacing w:after="0"/>
              <w:rPr>
                <w:sz w:val="20"/>
                <w:szCs w:val="20"/>
                <w:color w:val="auto"/>
              </w:rPr>
            </w:pPr>
            <w:r>
              <w:rPr>
                <w:rFonts w:ascii="Arial" w:cs="Arial" w:eastAsia="Arial" w:hAnsi="Arial"/>
                <w:sz w:val="18"/>
                <w:szCs w:val="18"/>
                <w:color w:val="auto"/>
              </w:rPr>
              <w:t>By:  /s/ Mark N. Lampert</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N. Lampert</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N. Lampert</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Mark N. Lampert</w:t>
            </w: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20" w:type="dxa"/>
            <w:vAlign w:val="bottom"/>
            <w:gridSpan w:val="3"/>
            <w:vMerge w:val="restart"/>
          </w:tcPr>
          <w:p>
            <w:pPr>
              <w:spacing w:after="0"/>
              <w:rPr>
                <w:sz w:val="20"/>
                <w:szCs w:val="20"/>
                <w:color w:val="auto"/>
              </w:rPr>
            </w:pPr>
            <w:r>
              <w:rPr>
                <w:rFonts w:ascii="Arial" w:cs="Arial" w:eastAsia="Arial" w:hAnsi="Arial"/>
                <w:sz w:val="18"/>
                <w:szCs w:val="18"/>
                <w:color w:val="auto"/>
              </w:rPr>
              <w:t>BIOTECHNOLOGY VALUE FUND II, L.P.</w:t>
            </w:r>
          </w:p>
        </w:tc>
        <w:tc>
          <w:tcPr>
            <w:tcW w:w="9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MARK N. LAMPERT</w:t>
            </w:r>
          </w:p>
        </w:tc>
        <w:tc>
          <w:tcPr>
            <w:tcW w:w="0" w:type="dxa"/>
            <w:vAlign w:val="bottom"/>
          </w:tcPr>
          <w:p>
            <w:pPr>
              <w:spacing w:after="0"/>
              <w:rPr>
                <w:sz w:val="1"/>
                <w:szCs w:val="1"/>
                <w:color w:val="auto"/>
              </w:rPr>
            </w:pPr>
          </w:p>
        </w:tc>
      </w:tr>
      <w:tr>
        <w:trPr>
          <w:trHeight w:val="216"/>
        </w:trPr>
        <w:tc>
          <w:tcPr>
            <w:tcW w:w="5420" w:type="dxa"/>
            <w:vAlign w:val="bottom"/>
            <w:gridSpan w:val="3"/>
            <w:vMerge w:val="continue"/>
          </w:tcPr>
          <w:p>
            <w:pPr>
              <w:spacing w:after="0"/>
              <w:rPr>
                <w:sz w:val="18"/>
                <w:szCs w:val="18"/>
                <w:color w:val="auto"/>
              </w:rPr>
            </w:pPr>
          </w:p>
        </w:tc>
        <w:tc>
          <w:tcPr>
            <w:tcW w:w="980" w:type="dxa"/>
            <w:vAlign w:val="bottom"/>
          </w:tcPr>
          <w:p>
            <w:pPr>
              <w:spacing w:after="0"/>
              <w:rPr>
                <w:sz w:val="18"/>
                <w:szCs w:val="18"/>
                <w:color w:val="auto"/>
              </w:rPr>
            </w:pPr>
          </w:p>
        </w:tc>
        <w:tc>
          <w:tcPr>
            <w:tcW w:w="5020" w:type="dxa"/>
            <w:vAlign w:val="bottom"/>
            <w:vMerge w:val="restart"/>
          </w:tcPr>
          <w:p>
            <w:pPr>
              <w:spacing w:after="0"/>
              <w:rPr>
                <w:sz w:val="20"/>
                <w:szCs w:val="20"/>
                <w:color w:val="auto"/>
              </w:rPr>
            </w:pPr>
            <w:r>
              <w:rPr>
                <w:rFonts w:ascii="Arial" w:cs="Arial" w:eastAsia="Arial" w:hAnsi="Arial"/>
                <w:sz w:val="18"/>
                <w:szCs w:val="18"/>
                <w:color w:val="auto"/>
              </w:rPr>
              <w:t>/s/ Mark N. Lampert</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BVF Partners L.P., its general partner</w:t>
            </w: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BVF Inc., its general partner</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N. Lampert</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Mark N. Lampert</w:t>
            </w: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420" w:type="dxa"/>
            <w:vAlign w:val="bottom"/>
            <w:gridSpan w:val="3"/>
          </w:tcPr>
          <w:p>
            <w:pPr>
              <w:spacing w:after="0"/>
              <w:rPr>
                <w:sz w:val="20"/>
                <w:szCs w:val="20"/>
                <w:color w:val="auto"/>
              </w:rPr>
            </w:pPr>
            <w:r>
              <w:rPr>
                <w:rFonts w:ascii="Arial" w:cs="Arial" w:eastAsia="Arial" w:hAnsi="Arial"/>
                <w:sz w:val="18"/>
                <w:szCs w:val="18"/>
                <w:color w:val="auto"/>
              </w:rPr>
              <w:t>BVF PARTNERS L.P.</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BVF Inc., its general partner</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N. Lampert</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Mark N. Lampert</w:t>
            </w: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5420" w:type="dxa"/>
            <w:vAlign w:val="bottom"/>
            <w:gridSpan w:val="3"/>
          </w:tcPr>
          <w:p>
            <w:pPr>
              <w:spacing w:after="0"/>
              <w:rPr>
                <w:sz w:val="20"/>
                <w:szCs w:val="20"/>
                <w:color w:val="auto"/>
              </w:rPr>
            </w:pPr>
            <w:r>
              <w:rPr>
                <w:rFonts w:ascii="Arial" w:cs="Arial" w:eastAsia="Arial" w:hAnsi="Arial"/>
                <w:sz w:val="18"/>
                <w:szCs w:val="18"/>
                <w:color w:val="auto"/>
              </w:rPr>
              <w:t>BVF PARTNERS OS LTD.</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BVF Partners L.P., its sole member</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BVF Inc., its general partner</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Mark N. Lampert</w:t>
            </w: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President</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420" w:type="dxa"/>
            <w:vAlign w:val="bottom"/>
            <w:gridSpan w:val="3"/>
          </w:tcPr>
          <w:p>
            <w:pPr>
              <w:spacing w:after="0"/>
              <w:rPr>
                <w:sz w:val="20"/>
                <w:szCs w:val="20"/>
                <w:color w:val="auto"/>
              </w:rPr>
            </w:pPr>
            <w:r>
              <w:rPr>
                <w:rFonts w:ascii="Arial" w:cs="Arial" w:eastAsia="Arial" w:hAnsi="Arial"/>
                <w:sz w:val="18"/>
                <w:szCs w:val="18"/>
                <w:color w:val="auto"/>
              </w:rPr>
              <w:t>BIOTECHNOLOGY VALUE TRADING FUND OS LP</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BVF Partners L.P., its investment manager</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BVF Inc., its general partner</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Mark N. Lampert</w:t>
            </w: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President</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2019-12-09T00:30:27Z</dcterms:created>
  <dcterms:modified xsi:type="dcterms:W3CDTF">2019-12-09T00:30:27Z</dcterms:modified>
</cp:coreProperties>
</file>