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554355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February 3, 2016, the Board of Directors (the “Board”) of Blueprint Medicines Corporation (the “Company”), on the recommendation of the Nominating and Corporate Governance Committee of the Board, elected Lonnel Coats to the Board as a Class II director of the Company, to serve in such capacity until the Company’s 2017 annual meeting of stockholders and until his successor is duly elected and qualified or until his earlier resignation, death or removal. In connection with his election to the Board, Mr. Coats has also been appointed to serve as a member of the Audit Committee of the Board.</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Since July 2014, Mr. Coats has served as president and chief executive officer and a member of the board of directors of Lexicon Pharmaceuticals, Inc. (“Lexicon”), a biopharmaceutical company focused on the development of breakthrough therapies for the treatment of type 1 and type 2 diabetes and carcinoid syndrome. Prior to joining Lexicon, from 1996 through June 2014, Mr. Coats served in a series of leadership positions at Eisai Inc. and Eisai Corporation of North America, U.S. subsidiaries of Tokyo-based Eisai 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holds a B.P.A. from Oakland University.</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accordance with the Company’s non-employee director compensation policy (the “Director Compensation Policy”), Mr. Coats will receive an annual cash retainer of $35,000 for his service on the Board and an annual cash retainer of $7,500 for service on the Audit Committee of the Board, each of which is payable quarterly in arrears. The Company will also reimburse Mr. Coats for all reasonable out-of-pocket expenses incurred in connection with attending meetings of the Board and its committees. In addition, under the Director Compensation Policy, upon his election as a director, Mr. Coats was granted an option on February 3, 2016 to purchase 28,818 shares of the Company’s common stock at an exercise price per share of $15.01, which was the closing price of the Company’s common stock on the date of grant (the “Initial Stock Option”). Subject to Mr. Coats’ continued service on the Board, this Initial Stock Option will vest in equal monthly installments during the three-year period following the date of grant, subject to Mr. Coats’ continued service on the Board. Under the Director Compensation Policy, Mr. Coats will also be eligible to receive an annual grant of an option to purchase 10,909 shares of common stock on the date of the first meeting of the Board held after each annual meeting of stockholders (each, an “Annual Stock Option”). Any Annual Stock Option will vest with respect to 100% of the shares on the earlier of the first anniversary of the date of grant and the Company’s next annual meeting of stockholders, subject to Mr. Coats’ continued service on the Board. In addition, the Initial Stock Option and any Annual Stock Option then held by Mr. Coats will automatically accelerate and become fully vested and exercisable upon Mr. Coats’ death or disability or upon a Sale Event (as defined in the Company’s 2015 Stock Option and Incentive Plan).</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There are no arrangements or understandings between Mr. Coats and any other persons pursuant to which he was elected as a member of the Board. There are no family relationships between Mr. Coats and any director, executive officer or any other person nominated or chosen by the Company to become a director or executive officer. There are no related person transactions (within the meaning of Item 404(a) of Regulation S-K promulgated by the Securities and Exchange Commission) between Mr. Coats and the Company.</w:t>
      </w:r>
    </w:p>
    <w:p>
      <w:pPr>
        <w:spacing w:after="0" w:line="18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connection with Mr. Coats’ election to the Board, Mr. Coats entered into the Company’s standard form of indemnification agreement, a copy of which was filed as Exhibit 10.11 to the Company’s Registration Statement on Form S-1 (File No. 333-202938) filed with the Securities and Exchange Commission on March 23, 2015. Pursuant to the terms of the indemnification agreement, the Company may be required, among other things, to indemnify Mr. Coats for some expenses, including attorneys’ fees, judgments, fines and settlement amounts incurred by him in any action or proceeding arising out of his service as one of the Company’s directors.</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 copy of the Company’s press release announcing Mr. Coat’s election to the Board is attached as Exhibit 99.1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10"/>
              <w:spacing w:after="0"/>
              <w:rPr>
                <w:sz w:val="20"/>
                <w:szCs w:val="20"/>
                <w:color w:val="auto"/>
              </w:rPr>
            </w:pPr>
            <w:r>
              <w:rPr>
                <w:rFonts w:ascii="Arial" w:cs="Arial" w:eastAsia="Arial" w:hAnsi="Arial"/>
                <w:sz w:val="18"/>
                <w:szCs w:val="18"/>
                <w:b w:val="1"/>
                <w:bCs w:val="1"/>
                <w:color w:val="auto"/>
                <w:w w:val="92"/>
              </w:rPr>
              <w:t>Financial Statements and Exhibits.</w:t>
            </w:r>
          </w:p>
        </w:tc>
        <w:tc>
          <w:tcPr>
            <w:tcW w:w="0" w:type="dxa"/>
            <w:vAlign w:val="bottom"/>
          </w:tcPr>
          <w:p>
            <w:pPr>
              <w:spacing w:after="0"/>
              <w:rPr>
                <w:sz w:val="1"/>
                <w:szCs w:val="1"/>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February 4, 2016</w:t>
            </w: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21"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720" w:type="dxa"/>
            <w:vAlign w:val="bottom"/>
            <w:gridSpan w:val="2"/>
          </w:tcPr>
          <w:p>
            <w:pPr>
              <w:ind w:left="1520"/>
              <w:spacing w:after="0"/>
              <w:rPr>
                <w:sz w:val="20"/>
                <w:szCs w:val="20"/>
                <w:color w:val="auto"/>
              </w:rPr>
            </w:pPr>
            <w:r>
              <w:rPr>
                <w:rFonts w:ascii="Arial" w:cs="Arial" w:eastAsia="Arial" w:hAnsi="Arial"/>
                <w:sz w:val="18"/>
                <w:szCs w:val="18"/>
                <w:b w:val="1"/>
                <w:bCs w:val="1"/>
                <w:color w:val="auto"/>
              </w:rPr>
              <w:t>BLUEPRINT MEDICINES CORPORATION</w:t>
            </w:r>
          </w:p>
        </w:tc>
        <w:tc>
          <w:tcPr>
            <w:tcW w:w="440" w:type="dxa"/>
            <w:vAlign w:val="bottom"/>
          </w:tcPr>
          <w:p>
            <w:pPr>
              <w:spacing w:after="0"/>
              <w:rPr>
                <w:sz w:val="20"/>
                <w:szCs w:val="20"/>
                <w:color w:val="auto"/>
              </w:rPr>
            </w:pPr>
          </w:p>
        </w:tc>
      </w:tr>
      <w:tr>
        <w:trPr>
          <w:trHeight w:val="661"/>
        </w:trPr>
        <w:tc>
          <w:tcPr>
            <w:tcW w:w="3120" w:type="dxa"/>
            <w:vAlign w:val="bottom"/>
          </w:tcPr>
          <w:p>
            <w:pPr>
              <w:spacing w:after="0"/>
              <w:rPr>
                <w:sz w:val="20"/>
                <w:szCs w:val="20"/>
                <w:color w:val="auto"/>
              </w:rPr>
            </w:pPr>
            <w:r>
              <w:rPr>
                <w:rFonts w:ascii="Arial" w:cs="Arial" w:eastAsia="Arial" w:hAnsi="Arial"/>
                <w:sz w:val="18"/>
                <w:szCs w:val="18"/>
                <w:color w:val="auto"/>
              </w:rPr>
              <w:t>Date: February 8, 2016</w:t>
            </w:r>
          </w:p>
        </w:tc>
        <w:tc>
          <w:tcPr>
            <w:tcW w:w="5720" w:type="dxa"/>
            <w:vAlign w:val="bottom"/>
            <w:gridSpan w:val="2"/>
          </w:tcPr>
          <w:p>
            <w:pPr>
              <w:ind w:left="1520"/>
              <w:spacing w:after="0"/>
              <w:rPr>
                <w:sz w:val="20"/>
                <w:szCs w:val="20"/>
                <w:color w:val="auto"/>
              </w:rPr>
            </w:pPr>
            <w:r>
              <w:rPr>
                <w:rFonts w:ascii="Arial" w:cs="Arial" w:eastAsia="Arial" w:hAnsi="Arial"/>
                <w:sz w:val="18"/>
                <w:szCs w:val="18"/>
                <w:color w:val="auto"/>
              </w:rPr>
              <w:t>By: /s/ Jeffrey W.</w:t>
            </w:r>
          </w:p>
        </w:tc>
        <w:tc>
          <w:tcPr>
            <w:tcW w:w="44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40" w:type="dxa"/>
            <w:vAlign w:val="bottom"/>
          </w:tcPr>
          <w:p>
            <w:pPr>
              <w:spacing w:after="0"/>
              <w:rPr>
                <w:sz w:val="20"/>
                <w:szCs w:val="20"/>
                <w:color w:val="auto"/>
              </w:rPr>
            </w:pPr>
          </w:p>
        </w:tc>
      </w:tr>
      <w:tr>
        <w:trPr>
          <w:trHeight w:val="195"/>
        </w:trPr>
        <w:tc>
          <w:tcPr>
            <w:tcW w:w="3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4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spacing w:after="0"/>
              <w:rPr>
                <w:sz w:val="20"/>
                <w:szCs w:val="20"/>
                <w:color w:val="auto"/>
              </w:rPr>
            </w:pPr>
          </w:p>
        </w:tc>
      </w:tr>
      <w:tr>
        <w:trPr>
          <w:trHeight w:val="891"/>
        </w:trPr>
        <w:tc>
          <w:tcPr>
            <w:tcW w:w="31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60" w:type="dxa"/>
            <w:vAlign w:val="bottom"/>
          </w:tcPr>
          <w:p>
            <w:pPr>
              <w:jc w:val="center"/>
              <w:ind w:right="15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February 4, 2016</w:t>
            </w:r>
          </w:p>
        </w:tc>
        <w:tc>
          <w:tcPr>
            <w:tcW w:w="0" w:type="dxa"/>
            <w:vAlign w:val="bottom"/>
          </w:tcPr>
          <w:p>
            <w:pPr>
              <w:spacing w:after="0"/>
              <w:rPr>
                <w:sz w:val="1"/>
                <w:szCs w:val="1"/>
                <w:color w:val="auto"/>
              </w:rPr>
            </w:pPr>
          </w:p>
        </w:tc>
      </w:tr>
      <w:tr>
        <w:trPr>
          <w:trHeight w:val="891"/>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jc w:val="right"/>
              <w:ind w:right="45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ind w:left="794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31750</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Appoints Lonnel Coats to Board of Directors</w:t>
      </w:r>
    </w:p>
    <w:p>
      <w:pPr>
        <w:spacing w:after="0" w:line="235" w:lineRule="exact"/>
        <w:rPr>
          <w:sz w:val="20"/>
          <w:szCs w:val="20"/>
          <w:color w:val="auto"/>
        </w:rPr>
      </w:pPr>
    </w:p>
    <w:p>
      <w:pPr>
        <w:jc w:val="both"/>
        <w:ind w:left="160" w:right="139"/>
        <w:spacing w:after="0" w:line="282" w:lineRule="auto"/>
        <w:rPr>
          <w:sz w:val="20"/>
          <w:szCs w:val="20"/>
          <w:color w:val="auto"/>
        </w:rPr>
      </w:pPr>
      <w:r>
        <w:rPr>
          <w:rFonts w:ascii="Arial" w:cs="Arial" w:eastAsia="Arial" w:hAnsi="Arial"/>
          <w:sz w:val="18"/>
          <w:szCs w:val="18"/>
          <w:color w:val="auto"/>
        </w:rPr>
        <w:t>CAMBRIDGE, Mass., February 4, 2016 /PRNewswire/ – Blueprint Medicines Corporation (NASDAQ: BPMC), a leader in discovering and developing highly selective investigational kinase medicines for patients with genomically defined diseases, today announced the appointment to its board of directors of Lonnel Coats, a seasoned pharmaceutical executive with nearly 30 years of industry-related experience.</w:t>
      </w:r>
    </w:p>
    <w:p>
      <w:pPr>
        <w:spacing w:after="0" w:line="175" w:lineRule="exact"/>
        <w:rPr>
          <w:sz w:val="20"/>
          <w:szCs w:val="20"/>
          <w:color w:val="auto"/>
        </w:rPr>
      </w:pPr>
    </w:p>
    <w:p>
      <w:pPr>
        <w:jc w:val="both"/>
        <w:ind w:left="160" w:right="139"/>
        <w:spacing w:after="0" w:line="278" w:lineRule="auto"/>
        <w:rPr>
          <w:sz w:val="20"/>
          <w:szCs w:val="20"/>
          <w:color w:val="auto"/>
        </w:rPr>
      </w:pPr>
      <w:r>
        <w:rPr>
          <w:rFonts w:ascii="Arial" w:cs="Arial" w:eastAsia="Arial" w:hAnsi="Arial"/>
          <w:sz w:val="18"/>
          <w:szCs w:val="18"/>
          <w:color w:val="auto"/>
        </w:rPr>
        <w:t>“We are pleased to welcome Lonnel to Blueprint Medicines’ board. He has an outstanding record of achievements leading prominent biopharmaceutical companies and will be an invaluable asset,” said Jeffrey Albers, Chief Executive Officer of Blueprint Medicines. “Lonnel’s strong strategic experience developing and commercializing numerous oncology products will provide significant insight as we continue to advance Blueprint Medicines’ pipeline and seek to build a fully integrated biopharmaceutical company.”</w:t>
      </w:r>
    </w:p>
    <w:p>
      <w:pPr>
        <w:spacing w:after="0" w:line="179" w:lineRule="exact"/>
        <w:rPr>
          <w:sz w:val="20"/>
          <w:szCs w:val="20"/>
          <w:color w:val="auto"/>
        </w:rPr>
      </w:pPr>
    </w:p>
    <w:p>
      <w:pPr>
        <w:jc w:val="both"/>
        <w:ind w:left="160" w:right="139"/>
        <w:spacing w:after="0" w:line="270" w:lineRule="auto"/>
        <w:rPr>
          <w:sz w:val="20"/>
          <w:szCs w:val="20"/>
          <w:color w:val="auto"/>
        </w:rPr>
      </w:pPr>
      <w:r>
        <w:rPr>
          <w:rFonts w:ascii="Arial" w:cs="Arial" w:eastAsia="Arial" w:hAnsi="Arial"/>
          <w:sz w:val="18"/>
          <w:szCs w:val="18"/>
          <w:color w:val="auto"/>
        </w:rPr>
        <w:t>Currently, Mr. Coats serves as president and chief executive officer and a member of the board of directors of Lexicon Pharmaceuticals, Inc. (NASDAQ: LXRX), a biopharmaceutical company focused on the development of breakthrough therapies for the treatment of type 1 and type 2 diabetes and carcinoid syndrome. Prior to joining Lexicon in July 2014, Mr. Coats served in a series of leadership positions at Eisai Inc. and Eisai Corporation of North America, U.S. subsidiaries of Tokyo-based Eisai Co., Ltd., from 1996 through June 2014, including as chief executive officer of Eisai Inc. from 2010 to June 2014. In this role, Mr. Coats helped establish Eisai as a leading innovator of medicines for oncology and specialty therapeutic areas, and he oversaw the expansion of Eisai’s business across the Americas and improved profitability for all of its U.S.-based operating units. In addition, Mr. Coats served as president and chief operating officer of Eisai Inc. from 2004 to 2010 and led the diversification of its business through over $5 billion in strategic acquisitions and licensing and partnership transactions. Mr. Coats also previously held a variety of sales and management positions at Janssen Pharmaceuticals, Inc., a division of Johnson &amp; Johnson, from 1988 to 1996. Mr. Coats holds a B.P.A. from Oakland University.</w:t>
      </w:r>
    </w:p>
    <w:p>
      <w:pPr>
        <w:spacing w:after="0" w:line="187" w:lineRule="exact"/>
        <w:rPr>
          <w:sz w:val="20"/>
          <w:szCs w:val="20"/>
          <w:color w:val="auto"/>
        </w:rPr>
      </w:pPr>
    </w:p>
    <w:p>
      <w:pPr>
        <w:jc w:val="both"/>
        <w:ind w:left="160" w:right="139"/>
        <w:spacing w:after="0" w:line="269" w:lineRule="auto"/>
        <w:rPr>
          <w:sz w:val="20"/>
          <w:szCs w:val="20"/>
          <w:color w:val="auto"/>
        </w:rPr>
      </w:pPr>
      <w:r>
        <w:rPr>
          <w:rFonts w:ascii="Arial" w:cs="Arial" w:eastAsia="Arial" w:hAnsi="Arial"/>
          <w:sz w:val="19"/>
          <w:szCs w:val="19"/>
          <w:color w:val="auto"/>
        </w:rPr>
        <w:t>“I am delighted to join the Blueprint Medicines board at this exciting time in the company’s development,” said Lonnel Coats. “I look forward to working with its board and talented management team to continue advancing Blueprint Medicines’ pipeline of novel targeted therapies.”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ind w:left="160" w:right="179"/>
        <w:spacing w:after="0" w:line="243" w:lineRule="auto"/>
        <w:rPr>
          <w:sz w:val="20"/>
          <w:szCs w:val="20"/>
          <w:color w:val="auto"/>
        </w:rPr>
      </w:pPr>
      <w:r>
        <w:rPr>
          <w:rFonts w:ascii="Arial" w:cs="Arial" w:eastAsia="Arial" w:hAnsi="Arial"/>
          <w:sz w:val="20"/>
          <w:szCs w:val="20"/>
          <w:color w:val="auto"/>
        </w:rPr>
        <w:t>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279400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20"/>
          <w:szCs w:val="20"/>
          <w:b w:val="1"/>
          <w:bCs w:val="1"/>
          <w:color w:val="auto"/>
        </w:rPr>
        <w:t>Investor Relations:</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Hannah Deresiewicz</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Stern Investor Relations, Inc.</w:t>
      </w:r>
    </w:p>
    <w:p>
      <w:pPr>
        <w:ind w:left="160"/>
        <w:spacing w:after="0"/>
        <w:rPr>
          <w:sz w:val="20"/>
          <w:szCs w:val="20"/>
          <w:color w:val="auto"/>
        </w:rPr>
      </w:pPr>
      <w:r>
        <w:rPr>
          <w:rFonts w:ascii="Arial" w:cs="Arial" w:eastAsia="Arial" w:hAnsi="Arial"/>
          <w:sz w:val="20"/>
          <w:szCs w:val="20"/>
          <w:color w:val="auto"/>
        </w:rPr>
        <w:t>212-362-1200</w:t>
      </w:r>
    </w:p>
    <w:p>
      <w:pPr>
        <w:ind w:left="160"/>
        <w:spacing w:after="0"/>
        <w:rPr>
          <w:sz w:val="20"/>
          <w:szCs w:val="20"/>
          <w:color w:val="auto"/>
        </w:rPr>
      </w:pPr>
      <w:r>
        <w:rPr>
          <w:rFonts w:ascii="Arial" w:cs="Arial" w:eastAsia="Arial" w:hAnsi="Arial"/>
          <w:sz w:val="20"/>
          <w:szCs w:val="20"/>
          <w:color w:val="auto"/>
        </w:rPr>
        <w:t>hannahd@sternir.com</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Dan Quinn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Ten Bridge Communications, Inc.</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781-475-7974</w:t>
      </w:r>
    </w:p>
    <w:p>
      <w:pPr>
        <w:ind w:left="160"/>
        <w:spacing w:after="0"/>
        <w:rPr>
          <w:sz w:val="20"/>
          <w:szCs w:val="20"/>
          <w:color w:val="auto"/>
        </w:rPr>
      </w:pPr>
      <w:r>
        <w:rPr>
          <w:rFonts w:ascii="Arial" w:cs="Arial" w:eastAsia="Arial" w:hAnsi="Arial"/>
          <w:sz w:val="16"/>
          <w:szCs w:val="16"/>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458470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2019-12-09T00:55:47Z</dcterms:created>
  <dcterms:modified xsi:type="dcterms:W3CDTF">2019-12-09T00:55:47Z</dcterms:modified>
</cp:coreProperties>
</file>