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r>
        <w:rPr>
          <w:rFonts w:ascii="Arial" w:cs="Arial" w:eastAsia="Arial" w:hAnsi="Arial"/>
          <w:sz w:val="25"/>
          <w:szCs w:val="25"/>
          <w:color w:val="auto"/>
          <w:vertAlign w:val="superscript"/>
        </w:rPr>
        <w:t>1</w:t>
      </w:r>
    </w:p>
    <w:p>
      <w:pPr>
        <w:spacing w:after="0" w:line="200" w:lineRule="exact"/>
        <w:rPr>
          <w:sz w:val="24"/>
          <w:szCs w:val="24"/>
          <w:color w:val="auto"/>
        </w:rPr>
      </w:pP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09627Y109</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April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52" w:lineRule="exact"/>
        <w:rPr>
          <w:rFonts w:ascii="Arial" w:cs="Arial" w:eastAsia="Arial" w:hAnsi="Arial"/>
          <w:sz w:val="18"/>
          <w:szCs w:val="18"/>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3" w:lineRule="exact"/>
        <w:rPr>
          <w:sz w:val="24"/>
          <w:szCs w:val="24"/>
          <w:color w:val="auto"/>
        </w:rPr>
      </w:pPr>
    </w:p>
    <w:p>
      <w:pPr>
        <w:ind w:right="60" w:firstLine="8"/>
        <w:spacing w:after="0" w:line="211" w:lineRule="auto"/>
        <w:tabs>
          <w:tab w:leader="none" w:pos="12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ind w:firstLine="91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09627Y109</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Biotechnology Value Fund, L.P.</w:t>
            </w: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4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870,111</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870,111</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870,111</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2"/>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3.4%</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PN</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40" w:type="dxa"/>
            <w:vAlign w:val="bottom"/>
          </w:tcPr>
          <w:p>
            <w:pPr>
              <w:ind w:left="2120"/>
              <w:spacing w:after="0"/>
              <w:rPr>
                <w:sz w:val="20"/>
                <w:szCs w:val="20"/>
                <w:color w:val="auto"/>
              </w:rPr>
            </w:pPr>
            <w:r>
              <w:rPr>
                <w:rFonts w:ascii="Arial" w:cs="Arial" w:eastAsia="Arial" w:hAnsi="Arial"/>
                <w:sz w:val="18"/>
                <w:szCs w:val="18"/>
                <w:color w:val="auto"/>
              </w:rPr>
              <w:t>2</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Biotechnology Value Fund II, L.P.</w:t>
            </w: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4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486,809</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486,809</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486,809</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2"/>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1.9%</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PN</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40" w:type="dxa"/>
            <w:vAlign w:val="bottom"/>
          </w:tcPr>
          <w:p>
            <w:pPr>
              <w:ind w:left="2120"/>
              <w:spacing w:after="0"/>
              <w:rPr>
                <w:sz w:val="20"/>
                <w:szCs w:val="20"/>
                <w:color w:val="auto"/>
              </w:rPr>
            </w:pPr>
            <w:r>
              <w:rPr>
                <w:rFonts w:ascii="Arial" w:cs="Arial" w:eastAsia="Arial" w:hAnsi="Arial"/>
                <w:sz w:val="18"/>
                <w:szCs w:val="18"/>
                <w:color w:val="auto"/>
              </w:rPr>
              <w:t>3</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9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2"/>
              </w:rPr>
              <w:t>Investment 10, L.L.C.</w:t>
            </w:r>
          </w:p>
        </w:tc>
        <w:tc>
          <w:tcPr>
            <w:tcW w:w="59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2"/>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Illinois</w:t>
            </w:r>
          </w:p>
        </w:tc>
        <w:tc>
          <w:tcPr>
            <w:tcW w:w="59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594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5940" w:type="dxa"/>
            <w:vAlign w:val="bottom"/>
          </w:tcPr>
          <w:p>
            <w:pPr>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215,872</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215,872</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215,872</w:t>
            </w:r>
          </w:p>
        </w:tc>
        <w:tc>
          <w:tcPr>
            <w:tcW w:w="1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3"/>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Less than 1%</w:t>
            </w:r>
          </w:p>
        </w:tc>
        <w:tc>
          <w:tcPr>
            <w:tcW w:w="59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OO</w:t>
            </w:r>
          </w:p>
        </w:tc>
        <w:tc>
          <w:tcPr>
            <w:tcW w:w="59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tcPr>
          <w:p>
            <w:pPr>
              <w:ind w:left="2020"/>
              <w:spacing w:after="0"/>
              <w:rPr>
                <w:sz w:val="20"/>
                <w:szCs w:val="20"/>
                <w:color w:val="auto"/>
              </w:rPr>
            </w:pPr>
            <w:r>
              <w:rPr>
                <w:rFonts w:ascii="Arial" w:cs="Arial" w:eastAsia="Arial" w:hAnsi="Arial"/>
                <w:sz w:val="18"/>
                <w:szCs w:val="18"/>
                <w:color w:val="auto"/>
              </w:rPr>
              <w:t>4</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9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8"/>
              </w:rPr>
              <w:t>MSI BVF SPV, LLC</w:t>
            </w:r>
          </w:p>
        </w:tc>
        <w:tc>
          <w:tcPr>
            <w:tcW w:w="598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2"/>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59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5"/>
                <w:szCs w:val="15"/>
                <w:color w:val="auto"/>
              </w:rPr>
            </w:pPr>
          </w:p>
        </w:tc>
        <w:tc>
          <w:tcPr>
            <w:tcW w:w="5980" w:type="dxa"/>
            <w:vAlign w:val="bottom"/>
          </w:tcPr>
          <w:p>
            <w:pPr>
              <w:ind w:left="40"/>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122,616</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59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122,616</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122,616</w:t>
            </w:r>
          </w:p>
        </w:tc>
        <w:tc>
          <w:tcPr>
            <w:tcW w:w="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3"/>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Less than 1%</w:t>
            </w:r>
          </w:p>
        </w:tc>
        <w:tc>
          <w:tcPr>
            <w:tcW w:w="598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OO</w:t>
            </w:r>
          </w:p>
        </w:tc>
        <w:tc>
          <w:tcPr>
            <w:tcW w:w="598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80" w:type="dxa"/>
            <w:vAlign w:val="bottom"/>
          </w:tcPr>
          <w:p>
            <w:pPr>
              <w:ind w:left="2060"/>
              <w:spacing w:after="0"/>
              <w:rPr>
                <w:sz w:val="20"/>
                <w:szCs w:val="20"/>
                <w:color w:val="auto"/>
              </w:rPr>
            </w:pPr>
            <w:r>
              <w:rPr>
                <w:rFonts w:ascii="Arial" w:cs="Arial" w:eastAsia="Arial" w:hAnsi="Arial"/>
                <w:sz w:val="18"/>
                <w:szCs w:val="18"/>
                <w:color w:val="auto"/>
              </w:rPr>
              <w:t>5</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BVF Partners L.P.</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4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2"/>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6.6%</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PN, IA</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40" w:type="dxa"/>
            <w:vAlign w:val="bottom"/>
          </w:tcPr>
          <w:p>
            <w:pPr>
              <w:ind w:left="2120"/>
              <w:spacing w:after="0"/>
              <w:rPr>
                <w:sz w:val="20"/>
                <w:szCs w:val="20"/>
                <w:color w:val="auto"/>
              </w:rPr>
            </w:pPr>
            <w:r>
              <w:rPr>
                <w:rFonts w:ascii="Arial" w:cs="Arial" w:eastAsia="Arial" w:hAnsi="Arial"/>
                <w:sz w:val="18"/>
                <w:szCs w:val="18"/>
                <w:color w:val="auto"/>
              </w:rPr>
              <w:t>6</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BVF Inc.</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4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2"/>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6.6%</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40" w:type="dxa"/>
            <w:vAlign w:val="bottom"/>
          </w:tcPr>
          <w:p>
            <w:pPr>
              <w:ind w:left="2120"/>
              <w:spacing w:after="0"/>
              <w:rPr>
                <w:sz w:val="20"/>
                <w:szCs w:val="20"/>
                <w:color w:val="auto"/>
              </w:rPr>
            </w:pPr>
            <w:r>
              <w:rPr>
                <w:rFonts w:ascii="Arial" w:cs="Arial" w:eastAsia="Arial" w:hAnsi="Arial"/>
                <w:sz w:val="18"/>
                <w:szCs w:val="18"/>
                <w:color w:val="auto"/>
              </w:rPr>
              <w:t>7</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4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Mark N. Lampert</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8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840" w:type="dxa"/>
            <w:vAlign w:val="bottom"/>
            <w:tcBorders>
              <w:right w:val="single" w:sz="8" w:color="auto"/>
            </w:tcBorders>
          </w:tcPr>
          <w:p>
            <w:pPr>
              <w:ind w:left="7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6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4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United States</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60" w:type="dxa"/>
            <w:vAlign w:val="bottom"/>
            <w:tcBorders>
              <w:right w:val="single" w:sz="8" w:color="auto"/>
            </w:tcBorders>
          </w:tcPr>
          <w:p>
            <w:pPr>
              <w:ind w:left="820"/>
              <w:spacing w:after="0" w:line="195" w:lineRule="exact"/>
              <w:rPr>
                <w:sz w:val="20"/>
                <w:szCs w:val="20"/>
                <w:color w:val="auto"/>
              </w:rPr>
            </w:pPr>
            <w:r>
              <w:rPr>
                <w:rFonts w:ascii="Arial" w:cs="Arial" w:eastAsia="Arial" w:hAnsi="Arial"/>
                <w:sz w:val="18"/>
                <w:szCs w:val="18"/>
                <w:color w:val="auto"/>
              </w:rPr>
              <w:t>5</w:t>
            </w:r>
          </w:p>
        </w:tc>
        <w:tc>
          <w:tcPr>
            <w:tcW w:w="60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4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60" w:type="dxa"/>
            <w:vAlign w:val="bottom"/>
            <w:tcBorders>
              <w:bottom w:val="single" w:sz="8" w:color="auto"/>
              <w:right w:val="single" w:sz="8" w:color="auto"/>
            </w:tcBorders>
          </w:tcPr>
          <w:p>
            <w:pPr>
              <w:spacing w:after="0"/>
              <w:rPr>
                <w:sz w:val="20"/>
                <w:szCs w:val="20"/>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60" w:type="dxa"/>
            <w:vAlign w:val="bottom"/>
            <w:tcBorders>
              <w:right w:val="single" w:sz="8" w:color="auto"/>
            </w:tcBorders>
          </w:tcPr>
          <w:p>
            <w:pPr>
              <w:ind w:left="820"/>
              <w:spacing w:after="0" w:line="182" w:lineRule="exact"/>
              <w:rPr>
                <w:sz w:val="20"/>
                <w:szCs w:val="20"/>
                <w:color w:val="auto"/>
              </w:rPr>
            </w:pPr>
            <w:r>
              <w:rPr>
                <w:rFonts w:ascii="Arial" w:cs="Arial" w:eastAsia="Arial" w:hAnsi="Arial"/>
                <w:sz w:val="18"/>
                <w:szCs w:val="18"/>
                <w:color w:val="auto"/>
              </w:rPr>
              <w:t>6</w:t>
            </w:r>
          </w:p>
        </w:tc>
        <w:tc>
          <w:tcPr>
            <w:tcW w:w="604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84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60" w:type="dxa"/>
            <w:vAlign w:val="bottom"/>
            <w:tcBorders>
              <w:right w:val="single" w:sz="8" w:color="auto"/>
            </w:tcBorders>
          </w:tcPr>
          <w:p>
            <w:pPr>
              <w:spacing w:after="0"/>
              <w:rPr>
                <w:sz w:val="18"/>
                <w:szCs w:val="18"/>
                <w:color w:val="auto"/>
              </w:rPr>
            </w:pPr>
          </w:p>
        </w:tc>
        <w:tc>
          <w:tcPr>
            <w:tcW w:w="6040" w:type="dxa"/>
            <w:vAlign w:val="bottom"/>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60" w:type="dxa"/>
            <w:vAlign w:val="bottom"/>
            <w:tcBorders>
              <w:bottom w:val="single" w:sz="8" w:color="auto"/>
              <w:right w:val="single" w:sz="8" w:color="auto"/>
            </w:tcBorders>
          </w:tcPr>
          <w:p>
            <w:pPr>
              <w:spacing w:after="0"/>
              <w:rPr>
                <w:sz w:val="21"/>
                <w:szCs w:val="21"/>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184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7</w:t>
            </w:r>
          </w:p>
        </w:tc>
        <w:tc>
          <w:tcPr>
            <w:tcW w:w="60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 shares</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8</w:t>
            </w:r>
          </w:p>
        </w:tc>
        <w:tc>
          <w:tcPr>
            <w:tcW w:w="60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spacing w:after="0"/>
              <w:rPr>
                <w:sz w:val="24"/>
                <w:szCs w:val="24"/>
                <w:color w:val="auto"/>
              </w:rPr>
            </w:pPr>
          </w:p>
        </w:tc>
        <w:tc>
          <w:tcPr>
            <w:tcW w:w="60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1,695,408</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Borders>
              <w:right w:val="single" w:sz="8" w:color="auto"/>
            </w:tcBorders>
          </w:tcPr>
          <w:p>
            <w:pPr>
              <w:ind w:left="62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tcBorders>
            <w:gridSpan w:val="2"/>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6.6%</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4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IN</w:t>
            </w:r>
          </w:p>
        </w:tc>
        <w:tc>
          <w:tcPr>
            <w:tcW w:w="604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40" w:type="dxa"/>
            <w:vAlign w:val="bottom"/>
          </w:tcPr>
          <w:p>
            <w:pPr>
              <w:ind w:left="2120"/>
              <w:spacing w:after="0"/>
              <w:rPr>
                <w:sz w:val="20"/>
                <w:szCs w:val="20"/>
                <w:color w:val="auto"/>
              </w:rPr>
            </w:pPr>
            <w:r>
              <w:rPr>
                <w:rFonts w:ascii="Arial" w:cs="Arial" w:eastAsia="Arial" w:hAnsi="Arial"/>
                <w:sz w:val="18"/>
                <w:szCs w:val="18"/>
                <w:color w:val="auto"/>
              </w:rPr>
              <w:t>8</w:t>
            </w:r>
          </w:p>
        </w:tc>
        <w:tc>
          <w:tcPr>
            <w:tcW w:w="184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60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Blueprint Medicines Corporation, a Delaware corporation (the “Issuer”).</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215 First Street</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Cambridge, Massachusetts 02142</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Investment 10, L.L.C. (“ILL10”)</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900 North Michigan Avenue, Suite 1100</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Chicago, Illinois 60611</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Illinois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MSI BVF SPV, LLC (“MSI”)</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 Magnitude Capital, LLC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601 Lexington Avenue, 59th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New York, NY 10022</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Mark N. Lampert (“Mr. Lampert”)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United States</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608"/>
        </w:trPr>
        <w:tc>
          <w:tcPr>
            <w:tcW w:w="10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8"/>
                <w:szCs w:val="18"/>
                <w:color w:val="auto"/>
              </w:rPr>
              <w:t>9</w:t>
            </w:r>
          </w:p>
        </w:tc>
      </w:tr>
      <w:tr>
        <w:trPr>
          <w:trHeight w:val="118"/>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59"/>
        </w:trPr>
        <w:tc>
          <w:tcPr>
            <w:tcW w:w="1020" w:type="dxa"/>
            <w:vAlign w:val="bottom"/>
          </w:tcPr>
          <w:p>
            <w:pPr>
              <w:spacing w:after="0"/>
              <w:rPr>
                <w:sz w:val="24"/>
                <w:szCs w:val="24"/>
                <w:color w:val="auto"/>
              </w:rPr>
            </w:pP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Common stock, $0.001 par value (the “Common Stock”)</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6"/>
              </w:rPr>
              <w:t>CUSIP Number:</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09627Y109</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9680" w:type="dxa"/>
            <w:vAlign w:val="bottom"/>
            <w:gridSpan w:val="2"/>
          </w:tcPr>
          <w:p>
            <w:pPr>
              <w:ind w:left="220"/>
              <w:spacing w:after="0"/>
              <w:rPr>
                <w:sz w:val="20"/>
                <w:szCs w:val="20"/>
                <w:color w:val="auto"/>
              </w:rPr>
            </w:pPr>
            <w:r>
              <w:rPr>
                <w:rFonts w:ascii="Arial" w:cs="Arial" w:eastAsia="Arial" w:hAnsi="Arial"/>
                <w:sz w:val="18"/>
                <w:szCs w:val="18"/>
                <w:color w:val="auto"/>
              </w:rPr>
              <w:t>Not applicable.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(a)</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(b)</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Bank as defined in Section 3(a)(6)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(c)</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(d)</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(e)</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(f)</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(g)</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(h)</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(i)</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w w:val="94"/>
              </w:rPr>
              <w:t>A church plan that is excluded from the definition of an investment company under Section 3(c)(14) of the Investment</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(j)</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13d-1(b)(1)(ii)(J).</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(k)</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Ownership</w:t>
            </w:r>
          </w:p>
        </w:tc>
        <w:tc>
          <w:tcPr>
            <w:tcW w:w="8860" w:type="dxa"/>
            <w:vAlign w:val="bottom"/>
          </w:tcPr>
          <w:p>
            <w:pPr>
              <w:spacing w:after="0"/>
              <w:rPr>
                <w:sz w:val="24"/>
                <w:szCs w:val="24"/>
                <w:color w:val="auto"/>
              </w:rPr>
            </w:pPr>
          </w:p>
        </w:tc>
      </w:tr>
    </w:tbl>
    <w:p>
      <w:pPr>
        <w:spacing w:after="0" w:line="229"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jc w:val="both"/>
        <w:ind w:left="1960"/>
        <w:spacing w:after="0" w:line="264" w:lineRule="auto"/>
        <w:rPr>
          <w:rFonts w:ascii="Arial" w:cs="Arial" w:eastAsia="Arial" w:hAnsi="Arial"/>
          <w:sz w:val="18"/>
          <w:szCs w:val="18"/>
          <w:color w:val="auto"/>
        </w:rPr>
      </w:pPr>
      <w:r>
        <w:rPr>
          <w:rFonts w:ascii="Arial" w:cs="Arial" w:eastAsia="Arial" w:hAnsi="Arial"/>
          <w:sz w:val="18"/>
          <w:szCs w:val="18"/>
          <w:color w:val="auto"/>
        </w:rPr>
        <w:t>As of the close of business on May 8, 2015 (i) BVF beneficially owned 870,111 shares of Common Stock, (ii) BVF2 beneficially owned 486,809 shares of Common Stock, (iii) ILL10 beneficially owned 215,872 shares of Common Stock, and (iv) MSI beneficially owned 122,616 shares of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jc w:val="both"/>
        <w:ind w:left="1960" w:right="20"/>
        <w:spacing w:after="0" w:line="308" w:lineRule="auto"/>
        <w:rPr>
          <w:sz w:val="20"/>
          <w:szCs w:val="20"/>
          <w:color w:val="auto"/>
        </w:rPr>
      </w:pPr>
      <w:r>
        <w:rPr>
          <w:rFonts w:ascii="Arial" w:cs="Arial" w:eastAsia="Arial" w:hAnsi="Arial"/>
          <w:sz w:val="17"/>
          <w:szCs w:val="17"/>
          <w:color w:val="auto"/>
        </w:rPr>
        <w:t>Partners, as the general partner of BVF and BVF2 and the investment adviser of ILL10 and MSI may be deemed to beneficially own 1,695,408 shares of Common Stock beneficially owned in the aggregate by BVF, BVF2, ILL10 and MSI.</w:t>
      </w:r>
    </w:p>
    <w:p>
      <w:pPr>
        <w:spacing w:after="0" w:line="174"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BVF Inc., as the general partner of Partners, may be deemed to beneficially own the 1,695,408 shares of Common Stock beneficially owned by Partners.</w:t>
      </w:r>
    </w:p>
    <w:p>
      <w:pPr>
        <w:spacing w:after="0" w:line="197" w:lineRule="exact"/>
        <w:rPr>
          <w:sz w:val="20"/>
          <w:szCs w:val="20"/>
          <w:color w:val="auto"/>
        </w:rPr>
      </w:pPr>
    </w:p>
    <w:p>
      <w:pPr>
        <w:jc w:val="both"/>
        <w:ind w:left="1960" w:right="2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1,695,408 shares of Common Stock beneficially owned by BVF Inc.</w:t>
      </w:r>
    </w:p>
    <w:p>
      <w:pPr>
        <w:spacing w:after="0" w:line="197" w:lineRule="exact"/>
        <w:rPr>
          <w:sz w:val="20"/>
          <w:szCs w:val="20"/>
          <w:color w:val="auto"/>
        </w:rPr>
      </w:pPr>
    </w:p>
    <w:p>
      <w:pPr>
        <w:jc w:val="both"/>
        <w:ind w:left="1960"/>
        <w:spacing w:after="0" w:line="302" w:lineRule="auto"/>
        <w:rPr>
          <w:sz w:val="20"/>
          <w:szCs w:val="20"/>
          <w:color w:val="auto"/>
        </w:rPr>
      </w:pPr>
      <w:r>
        <w:rPr>
          <w:rFonts w:ascii="Arial" w:cs="Arial" w:eastAsia="Arial" w:hAnsi="Arial"/>
          <w:sz w:val="16"/>
          <w:szCs w:val="16"/>
          <w:color w:val="auto"/>
        </w:rPr>
        <w:t>The foregoing should not be construed in and of itself as an admission by any Reporting Person as to beneficial ownership of any shares of Common Stock owned by another Reporting Person. Each of Partners, BVF Inc. and Mr. Lampert disclaims beneficial ownership of the shares of Common Stock beneficially owned by BVF, BVF2, ILL10 and MSI and the filing of this statement shall not be construed as an admission that any such person or entity is the beneficial owner of any such securities.</w:t>
      </w:r>
    </w:p>
    <w:p>
      <w:pPr>
        <w:spacing w:after="0" w:line="181"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96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25,831,965 shares of Common Stock outstanding, as disclosed in the Issuer’s Prospectus filed on Form 424B4 with the Securities and Exchange Commission on April 30, 2015.</w:t>
      </w:r>
    </w:p>
    <w:p>
      <w:pPr>
        <w:spacing w:after="0" w:line="197" w:lineRule="exact"/>
        <w:rPr>
          <w:rFonts w:ascii="Arial" w:cs="Arial" w:eastAsia="Arial" w:hAnsi="Arial"/>
          <w:sz w:val="18"/>
          <w:szCs w:val="18"/>
          <w:color w:val="auto"/>
        </w:rPr>
      </w:pPr>
    </w:p>
    <w:p>
      <w:pPr>
        <w:jc w:val="both"/>
        <w:ind w:left="1960"/>
        <w:spacing w:after="0" w:line="257" w:lineRule="auto"/>
        <w:rPr>
          <w:rFonts w:ascii="Arial" w:cs="Arial" w:eastAsia="Arial" w:hAnsi="Arial"/>
          <w:sz w:val="18"/>
          <w:szCs w:val="18"/>
          <w:color w:val="auto"/>
        </w:rPr>
      </w:pPr>
      <w:r>
        <w:rPr>
          <w:rFonts w:ascii="Arial" w:cs="Arial" w:eastAsia="Arial" w:hAnsi="Arial"/>
          <w:sz w:val="18"/>
          <w:szCs w:val="18"/>
          <w:color w:val="auto"/>
        </w:rPr>
        <w:t>As of the close of business on May 8, 2015, (i) BVF beneficially owned approximately 3.4% of the outstanding shares of Common Stock, (ii) BVF2 beneficially owned approximately 1.9% of the outstanding shares of Common Stock, (iii) ILL10 beneficially owned less than 1% of the outstanding shares of Common Stock, (iv) MSI beneficially owned less than 1% of the outstanding shares of Common Stock and (v) each of Partners, BVF Inc. and Mr. Lampert may be deemed to beneficially own approximately 6.6% of the outstanding shares of Common Stock.</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0" w:lineRule="exact"/>
        <w:rPr>
          <w:sz w:val="20"/>
          <w:szCs w:val="20"/>
          <w:color w:val="auto"/>
        </w:rPr>
      </w:pPr>
    </w:p>
    <w:p>
      <w:pPr>
        <w:spacing w:after="0" w:line="295" w:lineRule="exact"/>
        <w:rPr>
          <w:sz w:val="20"/>
          <w:szCs w:val="20"/>
          <w:color w:val="auto"/>
        </w:rPr>
      </w:pPr>
    </w:p>
    <w:p>
      <w:pPr>
        <w:ind w:left="1960" w:right="6660" w:hanging="655"/>
        <w:spacing w:after="0" w:line="532"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960" w:right="6480" w:hanging="655"/>
        <w:spacing w:after="0" w:line="532"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960" w:right="5760" w:hanging="655"/>
        <w:spacing w:after="0" w:line="532"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960" w:right="5580" w:hanging="655"/>
        <w:spacing w:after="0" w:line="559"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1300" w:right="56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BIOTECHNOLOGY VALUE FUND, L.P.</w:t>
            </w:r>
          </w:p>
        </w:tc>
        <w:tc>
          <w:tcPr>
            <w:tcW w:w="6080" w:type="dxa"/>
            <w:vAlign w:val="bottom"/>
            <w:gridSpan w:val="3"/>
          </w:tcPr>
          <w:p>
            <w:pPr>
              <w:ind w:left="560"/>
              <w:spacing w:after="0"/>
              <w:rPr>
                <w:sz w:val="20"/>
                <w:szCs w:val="20"/>
                <w:color w:val="auto"/>
              </w:rPr>
            </w:pPr>
            <w:r>
              <w:rPr>
                <w:rFonts w:ascii="Arial" w:cs="Arial" w:eastAsia="Arial" w:hAnsi="Arial"/>
                <w:sz w:val="18"/>
                <w:szCs w:val="18"/>
                <w:color w:val="auto"/>
              </w:rPr>
              <w:t>INVESTMENT 10,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Partners L.P., its general partner</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BVF Partners L.P., its investment adviser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/s/ Mark N. Lampert</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648"/>
        </w:trPr>
        <w:tc>
          <w:tcPr>
            <w:tcW w:w="5340" w:type="dxa"/>
            <w:vAlign w:val="bottom"/>
            <w:gridSpan w:val="2"/>
          </w:tcPr>
          <w:p>
            <w:pPr>
              <w:spacing w:after="0"/>
              <w:rPr>
                <w:sz w:val="20"/>
                <w:szCs w:val="20"/>
                <w:color w:val="auto"/>
              </w:rPr>
            </w:pPr>
            <w:r>
              <w:rPr>
                <w:rFonts w:ascii="Arial" w:cs="Arial" w:eastAsia="Arial" w:hAnsi="Arial"/>
                <w:sz w:val="18"/>
                <w:szCs w:val="18"/>
                <w:color w:val="auto"/>
              </w:rPr>
              <w:t>BIOTECHNOLOGY VALUE FUND II, L.P.</w:t>
            </w:r>
          </w:p>
        </w:tc>
        <w:tc>
          <w:tcPr>
            <w:tcW w:w="6080" w:type="dxa"/>
            <w:vAlign w:val="bottom"/>
            <w:gridSpan w:val="3"/>
          </w:tcPr>
          <w:p>
            <w:pPr>
              <w:ind w:left="560"/>
              <w:spacing w:after="0"/>
              <w:rPr>
                <w:sz w:val="20"/>
                <w:szCs w:val="20"/>
                <w:color w:val="auto"/>
              </w:rPr>
            </w:pPr>
            <w:r>
              <w:rPr>
                <w:rFonts w:ascii="Arial" w:cs="Arial" w:eastAsia="Arial" w:hAnsi="Arial"/>
                <w:sz w:val="18"/>
                <w:szCs w:val="18"/>
                <w:color w:val="auto"/>
              </w:rPr>
              <w:t>MSI BVF SPV,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Partners L.P., its general partner</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BVF Partners L.P., its investment adviser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/s/ Mark N. Lampert</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80" w:type="dxa"/>
            <w:vAlign w:val="bottom"/>
            <w:gridSpan w:val="3"/>
          </w:tcPr>
          <w:p>
            <w:pPr>
              <w:ind w:left="560"/>
              <w:spacing w:after="0"/>
              <w:rPr>
                <w:sz w:val="20"/>
                <w:szCs w:val="20"/>
                <w:color w:val="auto"/>
              </w:rPr>
            </w:pPr>
            <w:r>
              <w:rPr>
                <w:rFonts w:ascii="Arial" w:cs="Arial" w:eastAsia="Arial" w:hAnsi="Arial"/>
                <w:sz w:val="18"/>
                <w:szCs w:val="18"/>
                <w:color w:val="auto"/>
              </w:rPr>
              <w:t>BVF INC.</w:t>
            </w: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color w:val="auto"/>
              </w:rPr>
              <w:t>BVF PARTNERS L.P.</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c>
          <w:tcPr>
            <w:tcW w:w="114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Mark N. Lampert</w:t>
            </w:r>
          </w:p>
        </w:tc>
        <w:tc>
          <w:tcPr>
            <w:tcW w:w="114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 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N. LAMPERT</w:t>
            </w:r>
          </w:p>
        </w:tc>
      </w:tr>
      <w:tr>
        <w:trPr>
          <w:trHeight w:val="593"/>
        </w:trPr>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5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dated May 8, 2015 with respect to the shares of Common Stock of Blueprint Medicines Corporation, and any further amendments thereto executed by each and any of the undersigned shall be filed on behalf of each of the undersigned pursuant to and in accordance with the provisions of Rule 13d-1(k)(1) under the Securities Exchange Act of 1934, as amended.</w:t>
      </w:r>
    </w:p>
    <w:p>
      <w:pPr>
        <w:sectPr>
          <w:pgSz w:w="11900" w:h="16838" w:orient="portrait"/>
          <w:cols w:equalWidth="0" w:num="1">
            <w:col w:w="11420"/>
          </w:cols>
          <w:pgMar w:left="240" w:top="118"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Partners L.P.,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r>
        <w:trPr>
          <w:trHeight w:val="648"/>
        </w:trPr>
        <w:tc>
          <w:tcPr>
            <w:tcW w:w="5340" w:type="dxa"/>
            <w:vAlign w:val="bottom"/>
            <w:gridSpan w:val="2"/>
          </w:tcPr>
          <w:p>
            <w:pPr>
              <w:spacing w:after="0"/>
              <w:rPr>
                <w:sz w:val="20"/>
                <w:szCs w:val="20"/>
                <w:color w:val="auto"/>
              </w:rPr>
            </w:pPr>
            <w:r>
              <w:rPr>
                <w:rFonts w:ascii="Arial" w:cs="Arial" w:eastAsia="Arial" w:hAnsi="Arial"/>
                <w:sz w:val="18"/>
                <w:szCs w:val="18"/>
                <w:color w:val="auto"/>
              </w:rPr>
              <w:t>BIOTECHNOLOGY VALUE FUND II,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Partners L.P.,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r>
        <w:trPr>
          <w:trHeight w:val="864"/>
        </w:trPr>
        <w:tc>
          <w:tcPr>
            <w:tcW w:w="5340" w:type="dxa"/>
            <w:vAlign w:val="bottom"/>
            <w:gridSpan w:val="2"/>
          </w:tcPr>
          <w:p>
            <w:pPr>
              <w:spacing w:after="0"/>
              <w:rPr>
                <w:sz w:val="20"/>
                <w:szCs w:val="20"/>
                <w:color w:val="auto"/>
              </w:rPr>
            </w:pPr>
            <w:r>
              <w:rPr>
                <w:rFonts w:ascii="Arial" w:cs="Arial" w:eastAsia="Arial" w:hAnsi="Arial"/>
                <w:sz w:val="18"/>
                <w:szCs w:val="18"/>
                <w:color w:val="auto"/>
              </w:rPr>
              <w:t>BVF PARTNERS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29"/>
        </w:trPr>
        <w:tc>
          <w:tcPr>
            <w:tcW w:w="5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INVESTMENT 10,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BVF Partners L.P., its investment adviser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President</w:t>
            </w:r>
          </w:p>
        </w:tc>
      </w:tr>
      <w:tr>
        <w:trPr>
          <w:trHeight w:val="648"/>
        </w:trPr>
        <w:tc>
          <w:tcPr>
            <w:tcW w:w="5520" w:type="dxa"/>
            <w:vAlign w:val="bottom"/>
            <w:gridSpan w:val="2"/>
          </w:tcPr>
          <w:p>
            <w:pPr>
              <w:spacing w:after="0"/>
              <w:rPr>
                <w:sz w:val="20"/>
                <w:szCs w:val="20"/>
                <w:color w:val="auto"/>
              </w:rPr>
            </w:pPr>
            <w:r>
              <w:rPr>
                <w:rFonts w:ascii="Arial" w:cs="Arial" w:eastAsia="Arial" w:hAnsi="Arial"/>
                <w:sz w:val="18"/>
                <w:szCs w:val="18"/>
                <w:color w:val="auto"/>
              </w:rPr>
              <w:t>MSI BVF SPV,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BVF Partners L.P., its investment adviser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BVF INC.</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14605</wp:posOffset>
            </wp:positionV>
            <wp:extent cx="313880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3880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MARK N. LAMPERT</w:t>
      </w:r>
    </w:p>
    <w:sectPr>
      <w:pgSz w:w="11900" w:h="16838" w:orient="portrait"/>
      <w:cols w:equalWidth="0" w:num="2">
        <w:col w:w="5340" w:space="560"/>
        <w:col w:w="55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2019-12-09T03:50:40Z</dcterms:created>
  <dcterms:modified xsi:type="dcterms:W3CDTF">2019-12-09T03:50:40Z</dcterms:modified>
</cp:coreProperties>
</file>