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02529"/>
        </w:rPr>
        <w:t>Item 8.01 Other Events.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previously disclosed on June 30, 2022, Blueprint Medicines Corporation (the “Company”) entered into a Financing Agreement (as amended, restated, supplemented or otherwise modified from time to time, the “Financing Agreement”), for up to $660.0 million, among the Company, certain subsidiaries of the Company, the other lenders from time to time party thereto (the “Lenders” and each a “Lender”) and Tao Talents, LLC, as the administrative agent for the Lenders. Tao Talents, LLC is an affiliate of Sixth Street.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22, 2023, after exceeding the milestone from sales of AYVAKIT, at the Company’s request, the Lenders funded the Tranche A Delayed Draw Term Loan in the aggregate principal amount of $100.0 million.</w:t>
      </w:r>
    </w:p>
    <w:p>
      <w:pPr>
        <w:spacing w:after="0" w:line="170" w:lineRule="exact"/>
        <w:rPr>
          <w:sz w:val="20"/>
          <w:szCs w:val="20"/>
          <w:color w:val="auto"/>
        </w:rPr>
      </w:pPr>
    </w:p>
    <w:p>
      <w:pPr>
        <w:jc w:val="both"/>
        <w:ind w:right="40" w:firstLine="648"/>
        <w:spacing w:after="0" w:line="259" w:lineRule="auto"/>
        <w:rPr>
          <w:rFonts w:ascii="Arial" w:cs="Arial" w:eastAsia="Arial" w:hAnsi="Arial"/>
          <w:sz w:val="18"/>
          <w:szCs w:val="18"/>
          <w:color w:val="000000"/>
        </w:rPr>
      </w:pPr>
      <w:hyperlink r:id="rId15">
        <w:r>
          <w:rPr>
            <w:rFonts w:ascii="Arial" w:cs="Arial" w:eastAsia="Arial" w:hAnsi="Arial"/>
            <w:sz w:val="18"/>
            <w:szCs w:val="18"/>
            <w:color w:val="auto"/>
          </w:rPr>
          <w:t xml:space="preserve">The material terms and conditions of the Financing Agreement are summarized in the </w:t>
        </w:r>
        <w:r>
          <w:rPr>
            <w:rFonts w:ascii="Arial" w:cs="Arial" w:eastAsia="Arial" w:hAnsi="Arial"/>
            <w:sz w:val="18"/>
            <w:szCs w:val="18"/>
            <w:u w:val="single" w:color="auto"/>
            <w:color w:val="0000EE"/>
          </w:rPr>
          <w:t>Current Report on Form 8-K filed by the Company with the</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Securities and Exchange Commission on June 30, 2022</w:t>
        </w:r>
        <w:r>
          <w:rPr>
            <w:rFonts w:ascii="Arial" w:cs="Arial" w:eastAsia="Arial" w:hAnsi="Arial"/>
            <w:sz w:val="18"/>
            <w:szCs w:val="18"/>
            <w:color w:val="000000"/>
          </w:rPr>
          <w:t>, and is incorporated into this Item 8.01 by reference. Such summary of the Financing Agreement is</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qualified in its entirety by reference to the complete text of the Financing Agreement, a copy of which was filed as </w:t>
      </w:r>
      <w:hyperlink r:id="rId16">
        <w:r>
          <w:rPr>
            <w:rFonts w:ascii="Arial" w:cs="Arial" w:eastAsia="Arial" w:hAnsi="Arial"/>
            <w:sz w:val="18"/>
            <w:szCs w:val="18"/>
            <w:u w:val="single" w:color="auto"/>
            <w:color w:val="0000EE"/>
          </w:rPr>
          <w:t>Exhibit 10.3</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to its Quarterly Report on Form 10-Q for the quarter ended June 30, 2022.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25, 2023</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Kathryn Haviland</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Kathryn Haviland</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www.sec.gov/ix?doc=/Archives/edgar/data/1597264/000110465923076594/tm2320288d1_8k.htm" TargetMode="External"/><Relationship Id="rId16" Type="http://schemas.openxmlformats.org/officeDocument/2006/relationships/hyperlink" Target="http://www.sec.gov/Archives/edgar/data/1597264/000155837022011648/bpmc-202206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2023-08-25T07:21:42Z</dcterms:created>
  <dcterms:modified xsi:type="dcterms:W3CDTF">2023-08-25T07:21:42Z</dcterms:modified>
</cp:coreProperties>
</file>