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236220</wp:posOffset>
            </wp:positionV>
            <wp:extent cx="157734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259080</wp:posOffset>
            </wp:positionV>
            <wp:extent cx="157734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7734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0" w:lineRule="exact"/>
        <w:rPr>
          <w:sz w:val="24"/>
          <w:szCs w:val="24"/>
          <w:color w:val="auto"/>
        </w:rPr>
      </w:pPr>
    </w:p>
    <w:p>
      <w:pPr>
        <w:ind w:left="4120"/>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ind w:left="3740"/>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June 18,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251460</wp:posOffset>
            </wp:positionV>
            <wp:extent cx="15773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Blueprint Medicines Corporation</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236220</wp:posOffset>
            </wp:positionV>
            <wp:extent cx="157734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ectPr>
          <w:pgSz w:w="11900" w:h="16838" w:orient="portrait"/>
          <w:cols w:equalWidth="0" w:num="1">
            <w:col w:w="9940"/>
          </w:cols>
          <w:pgMar w:left="980" w:top="632" w:right="97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328" w:lineRule="exact"/>
        <w:rPr>
          <w:sz w:val="24"/>
          <w:szCs w:val="24"/>
          <w:color w:val="auto"/>
        </w:rPr>
      </w:pPr>
    </w:p>
    <w:p>
      <w:pPr>
        <w:ind w:left="124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ind w:left="640"/>
        <w:spacing w:after="0"/>
        <w:rPr>
          <w:sz w:val="20"/>
          <w:szCs w:val="20"/>
          <w:color w:val="auto"/>
        </w:rPr>
      </w:pPr>
      <w:r>
        <w:rPr>
          <w:rFonts w:ascii="Times New Roman" w:cs="Times New Roman" w:eastAsia="Times New Roman" w:hAnsi="Times New Roman"/>
          <w:sz w:val="18"/>
          <w:szCs w:val="18"/>
          <w:color w:val="auto"/>
        </w:rPr>
        <w:t>(State or other jurisdiction</w:t>
      </w:r>
    </w:p>
    <w:p>
      <w:pPr>
        <w:spacing w:after="0" w:line="9" w:lineRule="exact"/>
        <w:rPr>
          <w:sz w:val="24"/>
          <w:szCs w:val="24"/>
          <w:color w:val="auto"/>
        </w:rPr>
      </w:pPr>
    </w:p>
    <w:p>
      <w:pPr>
        <w:ind w:left="980"/>
        <w:spacing w:after="0"/>
        <w:rPr>
          <w:sz w:val="20"/>
          <w:szCs w:val="20"/>
          <w:color w:val="auto"/>
        </w:rPr>
      </w:pPr>
      <w:r>
        <w:rPr>
          <w:rFonts w:ascii="Times New Roman" w:cs="Times New Roman" w:eastAsia="Times New Roman" w:hAnsi="Times New Roman"/>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308"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001-37359</w:t>
      </w:r>
    </w:p>
    <w:p>
      <w:pPr>
        <w:spacing w:after="0" w:line="31"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308" w:lineRule="exact"/>
        <w:rPr>
          <w:sz w:val="24"/>
          <w:szCs w:val="24"/>
          <w:color w:val="auto"/>
        </w:rPr>
      </w:pPr>
    </w:p>
    <w:p>
      <w:pPr>
        <w:jc w:val="center"/>
        <w:ind w:right="940"/>
        <w:spacing w:after="0"/>
        <w:rPr>
          <w:sz w:val="20"/>
          <w:szCs w:val="20"/>
          <w:color w:val="auto"/>
        </w:rPr>
      </w:pPr>
      <w:r>
        <w:rPr>
          <w:rFonts w:ascii="Times New Roman" w:cs="Times New Roman" w:eastAsia="Times New Roman" w:hAnsi="Times New Roman"/>
          <w:sz w:val="18"/>
          <w:szCs w:val="18"/>
          <w:b w:val="1"/>
          <w:bCs w:val="1"/>
          <w:color w:val="auto"/>
        </w:rPr>
        <w:t>26-3632015</w:t>
      </w:r>
    </w:p>
    <w:p>
      <w:pPr>
        <w:spacing w:after="0" w:line="31" w:lineRule="exact"/>
        <w:rPr>
          <w:sz w:val="24"/>
          <w:szCs w:val="24"/>
          <w:color w:val="auto"/>
        </w:rPr>
      </w:pPr>
    </w:p>
    <w:p>
      <w:pPr>
        <w:jc w:val="center"/>
        <w:ind w:right="940"/>
        <w:spacing w:after="0"/>
        <w:rPr>
          <w:sz w:val="20"/>
          <w:szCs w:val="20"/>
          <w:color w:val="auto"/>
        </w:rPr>
      </w:pPr>
      <w:r>
        <w:rPr>
          <w:rFonts w:ascii="Times New Roman" w:cs="Times New Roman" w:eastAsia="Times New Roman" w:hAnsi="Times New Roman"/>
          <w:sz w:val="18"/>
          <w:szCs w:val="18"/>
          <w:color w:val="auto"/>
        </w:rPr>
        <w:t>(I.R.S. Employer</w:t>
      </w:r>
    </w:p>
    <w:p>
      <w:pPr>
        <w:spacing w:after="0" w:line="9" w:lineRule="exact"/>
        <w:rPr>
          <w:sz w:val="24"/>
          <w:szCs w:val="24"/>
          <w:color w:val="auto"/>
        </w:rPr>
      </w:pPr>
    </w:p>
    <w:p>
      <w:pPr>
        <w:jc w:val="center"/>
        <w:ind w:right="940"/>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211" w:lineRule="exact"/>
        <w:rPr>
          <w:sz w:val="24"/>
          <w:szCs w:val="24"/>
          <w:color w:val="auto"/>
        </w:rPr>
      </w:pPr>
    </w:p>
    <w:p>
      <w:pPr>
        <w:sectPr>
          <w:pgSz w:w="11900" w:h="16838" w:orient="portrait"/>
          <w:cols w:equalWidth="0" w:num="3">
            <w:col w:w="3260" w:space="720"/>
            <w:col w:w="2960" w:space="720"/>
            <w:col w:w="2280"/>
          </w:cols>
          <w:pgMar w:left="980" w:top="632" w:right="979" w:bottom="1440" w:gutter="0" w:footer="0" w:header="0"/>
          <w:type w:val="continuous"/>
        </w:sectPr>
      </w:pPr>
    </w:p>
    <w:p>
      <w:pPr>
        <w:spacing w:after="0" w:line="124" w:lineRule="exact"/>
        <w:rPr>
          <w:sz w:val="24"/>
          <w:szCs w:val="24"/>
          <w:color w:val="auto"/>
        </w:rPr>
      </w:pPr>
    </w:p>
    <w:p>
      <w:pPr>
        <w:ind w:left="1840"/>
        <w:spacing w:after="0"/>
        <w:rPr>
          <w:sz w:val="20"/>
          <w:szCs w:val="20"/>
          <w:color w:val="auto"/>
        </w:rPr>
      </w:pPr>
      <w:r>
        <w:rPr>
          <w:rFonts w:ascii="Times New Roman" w:cs="Times New Roman" w:eastAsia="Times New Roman" w:hAnsi="Times New Roman"/>
          <w:sz w:val="18"/>
          <w:szCs w:val="18"/>
          <w:b w:val="1"/>
          <w:bCs w:val="1"/>
          <w:color w:val="auto"/>
        </w:rPr>
        <w:t>45 Sidney Street</w:t>
      </w:r>
    </w:p>
    <w:p>
      <w:pPr>
        <w:spacing w:after="0" w:line="31" w:lineRule="exact"/>
        <w:rPr>
          <w:sz w:val="24"/>
          <w:szCs w:val="24"/>
          <w:color w:val="auto"/>
        </w:rPr>
      </w:pPr>
    </w:p>
    <w:p>
      <w:pPr>
        <w:ind w:left="1400"/>
        <w:spacing w:after="0"/>
        <w:rPr>
          <w:sz w:val="20"/>
          <w:szCs w:val="20"/>
          <w:color w:val="auto"/>
        </w:rPr>
      </w:pPr>
      <w:r>
        <w:rPr>
          <w:rFonts w:ascii="Times New Roman" w:cs="Times New Roman" w:eastAsia="Times New Roman" w:hAnsi="Times New Roman"/>
          <w:sz w:val="18"/>
          <w:szCs w:val="18"/>
          <w:b w:val="1"/>
          <w:bCs w:val="1"/>
          <w:color w:val="auto"/>
        </w:rPr>
        <w:t>Cambridge, Massachusetts</w:t>
      </w:r>
    </w:p>
    <w:p>
      <w:pPr>
        <w:spacing w:after="0" w:line="9" w:lineRule="exact"/>
        <w:rPr>
          <w:sz w:val="24"/>
          <w:szCs w:val="24"/>
          <w:color w:val="auto"/>
        </w:rPr>
      </w:pPr>
    </w:p>
    <w:p>
      <w:pPr>
        <w:ind w:left="1020"/>
        <w:spacing w:after="0"/>
        <w:rPr>
          <w:sz w:val="20"/>
          <w:szCs w:val="20"/>
          <w:color w:val="auto"/>
        </w:rPr>
      </w:pPr>
      <w:r>
        <w:rPr>
          <w:rFonts w:ascii="Times New Roman" w:cs="Times New Roman" w:eastAsia="Times New Roman" w:hAnsi="Times New Roman"/>
          <w:sz w:val="17"/>
          <w:szCs w:val="17"/>
          <w:color w:val="auto"/>
        </w:rPr>
        <w:t>(Address of principal executive offices)</w:t>
      </w:r>
    </w:p>
    <w:p>
      <w:pPr>
        <w:spacing w:after="0" w:line="20" w:lineRule="exact"/>
        <w:rPr>
          <w:sz w:val="24"/>
          <w:szCs w:val="24"/>
          <w:color w:val="auto"/>
        </w:rPr>
      </w:pPr>
      <w:r>
        <w:rPr>
          <w:sz w:val="24"/>
          <w:szCs w:val="24"/>
          <w:color w:val="auto"/>
        </w:rPr>
        <w:br w:type="column"/>
      </w:r>
    </w:p>
    <w:p>
      <w:pPr>
        <w:spacing w:after="0" w:line="320" w:lineRule="exact"/>
        <w:rPr>
          <w:sz w:val="24"/>
          <w:szCs w:val="24"/>
          <w:color w:val="auto"/>
        </w:rPr>
      </w:pPr>
    </w:p>
    <w:p>
      <w:pPr>
        <w:jc w:val="center"/>
        <w:ind w:right="2040"/>
        <w:spacing w:after="0"/>
        <w:rPr>
          <w:sz w:val="20"/>
          <w:szCs w:val="20"/>
          <w:color w:val="auto"/>
        </w:rPr>
      </w:pPr>
      <w:r>
        <w:rPr>
          <w:rFonts w:ascii="Times New Roman" w:cs="Times New Roman" w:eastAsia="Times New Roman" w:hAnsi="Times New Roman"/>
          <w:sz w:val="18"/>
          <w:szCs w:val="18"/>
          <w:b w:val="1"/>
          <w:bCs w:val="1"/>
          <w:color w:val="auto"/>
        </w:rPr>
        <w:t>02139</w:t>
      </w:r>
    </w:p>
    <w:p>
      <w:pPr>
        <w:spacing w:after="0" w:line="31" w:lineRule="exact"/>
        <w:rPr>
          <w:sz w:val="24"/>
          <w:szCs w:val="24"/>
          <w:color w:val="auto"/>
        </w:rPr>
      </w:pPr>
    </w:p>
    <w:p>
      <w:pPr>
        <w:jc w:val="center"/>
        <w:ind w:right="2040"/>
        <w:spacing w:after="0"/>
        <w:rPr>
          <w:sz w:val="20"/>
          <w:szCs w:val="20"/>
          <w:color w:val="auto"/>
        </w:rPr>
      </w:pPr>
      <w:r>
        <w:rPr>
          <w:rFonts w:ascii="Times New Roman" w:cs="Times New Roman" w:eastAsia="Times New Roman" w:hAnsi="Times New Roman"/>
          <w:sz w:val="18"/>
          <w:szCs w:val="18"/>
          <w:color w:val="auto"/>
        </w:rPr>
        <w:t>(Zip Code)</w:t>
      </w:r>
    </w:p>
    <w:p>
      <w:pPr>
        <w:spacing w:after="0" w:line="200" w:lineRule="exact"/>
        <w:rPr>
          <w:sz w:val="24"/>
          <w:szCs w:val="24"/>
          <w:color w:val="auto"/>
        </w:rPr>
      </w:pPr>
    </w:p>
    <w:p>
      <w:pPr>
        <w:sectPr>
          <w:pgSz w:w="11900" w:h="16838" w:orient="portrait"/>
          <w:cols w:equalWidth="0" w:num="2">
            <w:col w:w="6380" w:space="720"/>
            <w:col w:w="2840"/>
          </w:cols>
          <w:pgMar w:left="980" w:top="632" w:right="979" w:bottom="1440" w:gutter="0" w:footer="0" w:header="0"/>
          <w:type w:val="continuous"/>
        </w:sectPr>
      </w:pPr>
    </w:p>
    <w:p>
      <w:pPr>
        <w:spacing w:after="0" w:line="11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(617) 374-7580</w:t>
      </w:r>
    </w:p>
    <w:p>
      <w:pPr>
        <w:spacing w:after="0" w:line="22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102870</wp:posOffset>
            </wp:positionV>
            <wp:extent cx="157734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77340" cy="17145"/>
                    </a:xfrm>
                    <a:prstGeom prst="rect">
                      <a:avLst/>
                    </a:prstGeom>
                    <a:noFill/>
                  </pic:spPr>
                </pic:pic>
              </a:graphicData>
            </a:graphic>
          </wp:anchor>
        </w:drawing>
      </w:r>
    </w:p>
    <w:p>
      <w:pPr>
        <w:spacing w:after="0" w:line="200" w:lineRule="exact"/>
        <w:rPr>
          <w:sz w:val="24"/>
          <w:szCs w:val="24"/>
          <w:color w:val="auto"/>
        </w:rPr>
      </w:pPr>
    </w:p>
    <w:p>
      <w:pPr>
        <w:spacing w:after="0" w:line="289" w:lineRule="exact"/>
        <w:rPr>
          <w:sz w:val="24"/>
          <w:szCs w:val="24"/>
          <w:color w:val="auto"/>
        </w:rPr>
      </w:pPr>
    </w:p>
    <w:p>
      <w:pPr>
        <w:ind w:right="680" w:firstLine="648"/>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900" w:hanging="244"/>
        <w:spacing w:after="0"/>
        <w:tabs>
          <w:tab w:leader="none" w:pos="9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900" w:hanging="244"/>
        <w:spacing w:after="0"/>
        <w:tabs>
          <w:tab w:leader="none" w:pos="9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900" w:hanging="244"/>
        <w:spacing w:after="0"/>
        <w:tabs>
          <w:tab w:leader="none" w:pos="9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900" w:hanging="244"/>
        <w:spacing w:after="0"/>
        <w:tabs>
          <w:tab w:leader="none" w:pos="9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5" w:lineRule="exact"/>
        <w:rPr>
          <w:sz w:val="24"/>
          <w:szCs w:val="24"/>
          <w:color w:val="auto"/>
        </w:rPr>
      </w:pPr>
    </w:p>
    <w:p>
      <w:pPr>
        <w:ind w:right="240" w:firstLine="648"/>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682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right="40" w:firstLine="648"/>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97"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Securities registered pursuant to Section 12(b) of the Exchange Act:</w:t>
      </w:r>
    </w:p>
    <w:p>
      <w:pPr>
        <w:spacing w:after="0" w:line="142" w:lineRule="exact"/>
        <w:rPr>
          <w:sz w:val="24"/>
          <w:szCs w:val="24"/>
          <w:color w:val="auto"/>
        </w:rPr>
      </w:pPr>
    </w:p>
    <w:tbl>
      <w:tblPr>
        <w:tblLayout w:type="fixed"/>
        <w:tblInd w:w="10" w:type="dxa"/>
        <w:tblCellMar>
          <w:top w:w="0" w:type="dxa"/>
          <w:left w:w="0" w:type="dxa"/>
          <w:bottom w:w="0" w:type="dxa"/>
          <w:right w:w="0" w:type="dxa"/>
        </w:tblCellMar>
      </w:tblPr>
      <w:tr>
        <w:trPr>
          <w:trHeight w:val="264"/>
        </w:trPr>
        <w:tc>
          <w:tcPr>
            <w:tcW w:w="392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19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Trading symbol(s)</w:t>
            </w:r>
          </w:p>
        </w:tc>
        <w:tc>
          <w:tcPr>
            <w:tcW w:w="40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50"/>
        </w:trPr>
        <w:tc>
          <w:tcPr>
            <w:tcW w:w="39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1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BPMC</w:t>
            </w:r>
          </w:p>
        </w:tc>
        <w:tc>
          <w:tcPr>
            <w:tcW w:w="4060" w:type="dxa"/>
            <w:vAlign w:val="bottom"/>
            <w:tcBorders>
              <w:bottom w:val="single" w:sz="8" w:color="auto"/>
              <w:right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color w:val="auto"/>
                <w:w w:val="99"/>
              </w:rPr>
              <w:t>Nasdaq Global Select Market</w:t>
            </w:r>
          </w:p>
        </w:tc>
      </w:tr>
      <w:tr>
        <w:trPr>
          <w:trHeight w:val="574"/>
        </w:trPr>
        <w:tc>
          <w:tcPr>
            <w:tcW w:w="392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tcPr>
          <w:p>
            <w:pPr>
              <w:spacing w:after="0"/>
              <w:rPr>
                <w:sz w:val="24"/>
                <w:szCs w:val="24"/>
                <w:color w:val="auto"/>
              </w:rPr>
            </w:pPr>
          </w:p>
        </w:tc>
        <w:tc>
          <w:tcPr>
            <w:tcW w:w="4060" w:type="dxa"/>
            <w:vAlign w:val="bottom"/>
            <w:tcBorders>
              <w:bottom w:val="single" w:sz="8" w:color="auto"/>
            </w:tcBorders>
          </w:tcPr>
          <w:p>
            <w:pPr>
              <w:spacing w:after="0"/>
              <w:rPr>
                <w:sz w:val="24"/>
                <w:szCs w:val="24"/>
                <w:color w:val="auto"/>
              </w:rPr>
            </w:pPr>
          </w:p>
        </w:tc>
      </w:tr>
    </w:tbl>
    <w:p>
      <w:pPr>
        <w:sectPr>
          <w:pgSz w:w="11900" w:h="16838" w:orient="portrait"/>
          <w:cols w:equalWidth="0" w:num="1">
            <w:col w:w="9940"/>
          </w:cols>
          <w:pgMar w:left="980" w:top="632" w:right="97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212529"/>
        </w:rPr>
        <w:t>Item 5.07. Submission of Matters to a Vote of Security Holders.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212529"/>
        </w:rPr>
        <w:t>Blueprint Medicines Corporation (the “Company”) held its Annual Meeting of Stockholders on June 18, 2025. The following is a summary of the matters voted on at that meeting:</w:t>
      </w:r>
    </w:p>
    <w:p>
      <w:pPr>
        <w:spacing w:after="0" w:line="162" w:lineRule="exact"/>
        <w:rPr>
          <w:sz w:val="20"/>
          <w:szCs w:val="20"/>
          <w:color w:val="auto"/>
        </w:rPr>
      </w:pPr>
    </w:p>
    <w:p>
      <w:pPr>
        <w:ind w:left="1000" w:right="120" w:hanging="317"/>
        <w:spacing w:after="0" w:line="261" w:lineRule="auto"/>
        <w:tabs>
          <w:tab w:leader="none" w:pos="1045" w:val="left"/>
        </w:tabs>
        <w:numPr>
          <w:ilvl w:val="0"/>
          <w:numId w:val="2"/>
        </w:numPr>
        <w:rPr>
          <w:rFonts w:ascii="Times New Roman" w:cs="Times New Roman" w:eastAsia="Times New Roman" w:hAnsi="Times New Roman"/>
          <w:sz w:val="18"/>
          <w:szCs w:val="18"/>
          <w:color w:val="212529"/>
        </w:rPr>
      </w:pPr>
      <w:r>
        <w:rPr>
          <w:rFonts w:ascii="Times New Roman" w:cs="Times New Roman" w:eastAsia="Times New Roman" w:hAnsi="Times New Roman"/>
          <w:sz w:val="18"/>
          <w:szCs w:val="18"/>
          <w:color w:val="212529"/>
        </w:rPr>
        <w:t>The Company’s stockholders elected Jeffrey W. Albers, Mark Goldberg, M.D. and John Tsai, M.D. as Class I directors, each to serve for a three-year term expiring at the 2028 annual meeting of stockholders and until their successor has been duly elected and qualified. The results of the stockholders’ vote with respect to the election of such Class I directors were as follows:</w:t>
      </w:r>
    </w:p>
    <w:p>
      <w:pPr>
        <w:spacing w:after="0" w:line="191" w:lineRule="exact"/>
        <w:rPr>
          <w:sz w:val="20"/>
          <w:szCs w:val="20"/>
          <w:color w:val="auto"/>
        </w:rPr>
      </w:pPr>
    </w:p>
    <w:tbl>
      <w:tblPr>
        <w:tblLayout w:type="fixed"/>
        <w:tblInd w:w="1010" w:type="dxa"/>
        <w:tblCellMar>
          <w:top w:w="0" w:type="dxa"/>
          <w:left w:w="0" w:type="dxa"/>
          <w:bottom w:w="0" w:type="dxa"/>
          <w:right w:w="0" w:type="dxa"/>
        </w:tblCellMar>
      </w:tblPr>
      <w:tr>
        <w:trPr>
          <w:trHeight w:val="207"/>
        </w:trPr>
        <w:tc>
          <w:tcPr>
            <w:tcW w:w="3800" w:type="dxa"/>
            <w:vAlign w:val="bottom"/>
            <w:tcBorders>
              <w:top w:val="single" w:sz="8" w:color="auto"/>
              <w:left w:val="single" w:sz="8" w:color="auto"/>
              <w:right w:val="single" w:sz="8" w:color="auto"/>
            </w:tcBorders>
          </w:tcPr>
          <w:p>
            <w:pPr>
              <w:spacing w:after="0"/>
              <w:rPr>
                <w:sz w:val="18"/>
                <w:szCs w:val="18"/>
                <w:color w:val="auto"/>
              </w:rPr>
            </w:pPr>
          </w:p>
        </w:tc>
        <w:tc>
          <w:tcPr>
            <w:tcW w:w="200" w:type="dxa"/>
            <w:vAlign w:val="bottom"/>
            <w:tcBorders>
              <w:top w:val="single" w:sz="8" w:color="auto"/>
              <w:right w:val="single" w:sz="8" w:color="auto"/>
            </w:tcBorders>
          </w:tcPr>
          <w:p>
            <w:pPr>
              <w:spacing w:after="0"/>
              <w:rPr>
                <w:sz w:val="18"/>
                <w:szCs w:val="18"/>
                <w:color w:val="auto"/>
              </w:rPr>
            </w:pPr>
          </w:p>
        </w:tc>
        <w:tc>
          <w:tcPr>
            <w:tcW w:w="11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212529"/>
                <w:w w:val="97"/>
              </w:rPr>
              <w:t>Votes</w:t>
            </w:r>
          </w:p>
        </w:tc>
        <w:tc>
          <w:tcPr>
            <w:tcW w:w="200" w:type="dxa"/>
            <w:vAlign w:val="bottom"/>
            <w:tcBorders>
              <w:top w:val="single" w:sz="8" w:color="auto"/>
              <w:right w:val="single" w:sz="8" w:color="auto"/>
            </w:tcBorders>
          </w:tcPr>
          <w:p>
            <w:pPr>
              <w:spacing w:after="0"/>
              <w:rPr>
                <w:sz w:val="18"/>
                <w:szCs w:val="18"/>
                <w:color w:val="auto"/>
              </w:rPr>
            </w:pPr>
          </w:p>
        </w:tc>
        <w:tc>
          <w:tcPr>
            <w:tcW w:w="11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212529"/>
                <w:w w:val="92"/>
              </w:rPr>
              <w:t>Votes</w:t>
            </w:r>
          </w:p>
        </w:tc>
        <w:tc>
          <w:tcPr>
            <w:tcW w:w="220" w:type="dxa"/>
            <w:vAlign w:val="bottom"/>
            <w:tcBorders>
              <w:top w:val="single" w:sz="8" w:color="auto"/>
              <w:right w:val="single" w:sz="8" w:color="auto"/>
            </w:tcBorders>
          </w:tcPr>
          <w:p>
            <w:pPr>
              <w:spacing w:after="0"/>
              <w:rPr>
                <w:sz w:val="18"/>
                <w:szCs w:val="18"/>
                <w:color w:val="auto"/>
              </w:rPr>
            </w:pPr>
          </w:p>
        </w:tc>
        <w:tc>
          <w:tcPr>
            <w:tcW w:w="12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212529"/>
                <w:w w:val="98"/>
              </w:rPr>
              <w:t>Broker</w:t>
            </w:r>
          </w:p>
        </w:tc>
      </w:tr>
      <w:tr>
        <w:trPr>
          <w:trHeight w:val="238"/>
        </w:trPr>
        <w:tc>
          <w:tcPr>
            <w:tcW w:w="380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212529"/>
              </w:rPr>
              <w:t>Name</w:t>
            </w:r>
          </w:p>
        </w:tc>
        <w:tc>
          <w:tcPr>
            <w:tcW w:w="200" w:type="dxa"/>
            <w:vAlign w:val="bottom"/>
            <w:tcBorders>
              <w:bottom w:val="single" w:sz="8" w:color="auto"/>
              <w:right w:val="single" w:sz="8" w:color="auto"/>
            </w:tcBorders>
          </w:tcPr>
          <w:p>
            <w:pPr>
              <w:spacing w:after="0"/>
              <w:rPr>
                <w:sz w:val="20"/>
                <w:szCs w:val="20"/>
                <w:color w:val="auto"/>
              </w:rPr>
            </w:pPr>
          </w:p>
        </w:tc>
        <w:tc>
          <w:tcPr>
            <w:tcW w:w="11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212529"/>
                <w:w w:val="99"/>
              </w:rPr>
              <w:t>For</w:t>
            </w:r>
          </w:p>
        </w:tc>
        <w:tc>
          <w:tcPr>
            <w:tcW w:w="200" w:type="dxa"/>
            <w:vAlign w:val="bottom"/>
            <w:tcBorders>
              <w:bottom w:val="single" w:sz="8" w:color="auto"/>
              <w:right w:val="single" w:sz="8" w:color="auto"/>
            </w:tcBorders>
          </w:tcPr>
          <w:p>
            <w:pPr>
              <w:spacing w:after="0"/>
              <w:rPr>
                <w:sz w:val="20"/>
                <w:szCs w:val="20"/>
                <w:color w:val="auto"/>
              </w:rPr>
            </w:pPr>
          </w:p>
        </w:tc>
        <w:tc>
          <w:tcPr>
            <w:tcW w:w="11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212529"/>
                <w:w w:val="99"/>
              </w:rPr>
              <w:t>Withheld</w:t>
            </w:r>
          </w:p>
        </w:tc>
        <w:tc>
          <w:tcPr>
            <w:tcW w:w="220" w:type="dxa"/>
            <w:vAlign w:val="bottom"/>
            <w:tcBorders>
              <w:bottom w:val="single" w:sz="8" w:color="auto"/>
              <w:right w:val="single" w:sz="8" w:color="auto"/>
            </w:tcBorders>
          </w:tcPr>
          <w:p>
            <w:pPr>
              <w:spacing w:after="0"/>
              <w:rPr>
                <w:sz w:val="20"/>
                <w:szCs w:val="20"/>
                <w:color w:val="auto"/>
              </w:rPr>
            </w:pPr>
          </w:p>
        </w:tc>
        <w:tc>
          <w:tcPr>
            <w:tcW w:w="12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212529"/>
                <w:w w:val="96"/>
              </w:rPr>
              <w:t>Non-Votes</w:t>
            </w:r>
          </w:p>
        </w:tc>
      </w:tr>
      <w:tr>
        <w:trPr>
          <w:trHeight w:val="209"/>
        </w:trPr>
        <w:tc>
          <w:tcPr>
            <w:tcW w:w="380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212529"/>
              </w:rPr>
              <w:t>Jeffery W. Albers</w:t>
            </w:r>
          </w:p>
        </w:tc>
        <w:tc>
          <w:tcPr>
            <w:tcW w:w="200" w:type="dxa"/>
            <w:vAlign w:val="bottom"/>
            <w:tcBorders>
              <w:bottom w:val="single" w:sz="8" w:color="auto"/>
              <w:right w:val="single" w:sz="8" w:color="auto"/>
            </w:tcBorders>
          </w:tcPr>
          <w:p>
            <w:pPr>
              <w:spacing w:after="0"/>
              <w:rPr>
                <w:sz w:val="18"/>
                <w:szCs w:val="18"/>
                <w:color w:val="auto"/>
              </w:rPr>
            </w:pPr>
          </w:p>
        </w:tc>
        <w:tc>
          <w:tcPr>
            <w:tcW w:w="11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212529"/>
                <w:w w:val="98"/>
              </w:rPr>
              <w:t>44,683,223</w:t>
            </w:r>
          </w:p>
        </w:tc>
        <w:tc>
          <w:tcPr>
            <w:tcW w:w="200" w:type="dxa"/>
            <w:vAlign w:val="bottom"/>
            <w:tcBorders>
              <w:bottom w:val="single" w:sz="8" w:color="auto"/>
              <w:right w:val="single" w:sz="8" w:color="auto"/>
            </w:tcBorders>
          </w:tcPr>
          <w:p>
            <w:pPr>
              <w:spacing w:after="0"/>
              <w:rPr>
                <w:sz w:val="18"/>
                <w:szCs w:val="18"/>
                <w:color w:val="auto"/>
              </w:rPr>
            </w:pPr>
          </w:p>
        </w:tc>
        <w:tc>
          <w:tcPr>
            <w:tcW w:w="11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212529"/>
                <w:w w:val="98"/>
              </w:rPr>
              <w:t>15,507,415</w:t>
            </w:r>
          </w:p>
        </w:tc>
        <w:tc>
          <w:tcPr>
            <w:tcW w:w="220" w:type="dxa"/>
            <w:vAlign w:val="bottom"/>
            <w:tcBorders>
              <w:bottom w:val="single" w:sz="8" w:color="auto"/>
              <w:right w:val="single" w:sz="8" w:color="auto"/>
            </w:tcBorders>
          </w:tcPr>
          <w:p>
            <w:pPr>
              <w:spacing w:after="0"/>
              <w:rPr>
                <w:sz w:val="18"/>
                <w:szCs w:val="18"/>
                <w:color w:val="auto"/>
              </w:rPr>
            </w:pPr>
          </w:p>
        </w:tc>
        <w:tc>
          <w:tcPr>
            <w:tcW w:w="12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212529"/>
                <w:w w:val="99"/>
              </w:rPr>
              <w:t>2,342,656</w:t>
            </w:r>
          </w:p>
        </w:tc>
      </w:tr>
      <w:tr>
        <w:trPr>
          <w:trHeight w:val="209"/>
        </w:trPr>
        <w:tc>
          <w:tcPr>
            <w:tcW w:w="380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212529"/>
              </w:rPr>
              <w:t>Mark Goldberg, M.D.</w:t>
            </w:r>
          </w:p>
        </w:tc>
        <w:tc>
          <w:tcPr>
            <w:tcW w:w="200" w:type="dxa"/>
            <w:vAlign w:val="bottom"/>
            <w:tcBorders>
              <w:bottom w:val="single" w:sz="8" w:color="auto"/>
              <w:right w:val="single" w:sz="8" w:color="auto"/>
            </w:tcBorders>
          </w:tcPr>
          <w:p>
            <w:pPr>
              <w:spacing w:after="0"/>
              <w:rPr>
                <w:sz w:val="18"/>
                <w:szCs w:val="18"/>
                <w:color w:val="auto"/>
              </w:rPr>
            </w:pPr>
          </w:p>
        </w:tc>
        <w:tc>
          <w:tcPr>
            <w:tcW w:w="11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212529"/>
                <w:w w:val="98"/>
              </w:rPr>
              <w:t>46,734,594</w:t>
            </w:r>
          </w:p>
        </w:tc>
        <w:tc>
          <w:tcPr>
            <w:tcW w:w="200" w:type="dxa"/>
            <w:vAlign w:val="bottom"/>
            <w:tcBorders>
              <w:bottom w:val="single" w:sz="8" w:color="auto"/>
              <w:right w:val="single" w:sz="8" w:color="auto"/>
            </w:tcBorders>
          </w:tcPr>
          <w:p>
            <w:pPr>
              <w:spacing w:after="0"/>
              <w:rPr>
                <w:sz w:val="18"/>
                <w:szCs w:val="18"/>
                <w:color w:val="auto"/>
              </w:rPr>
            </w:pPr>
          </w:p>
        </w:tc>
        <w:tc>
          <w:tcPr>
            <w:tcW w:w="11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212529"/>
                <w:w w:val="98"/>
              </w:rPr>
              <w:t>13,456,044</w:t>
            </w:r>
          </w:p>
        </w:tc>
        <w:tc>
          <w:tcPr>
            <w:tcW w:w="220" w:type="dxa"/>
            <w:vAlign w:val="bottom"/>
            <w:tcBorders>
              <w:bottom w:val="single" w:sz="8" w:color="auto"/>
              <w:right w:val="single" w:sz="8" w:color="auto"/>
            </w:tcBorders>
          </w:tcPr>
          <w:p>
            <w:pPr>
              <w:spacing w:after="0"/>
              <w:rPr>
                <w:sz w:val="18"/>
                <w:szCs w:val="18"/>
                <w:color w:val="auto"/>
              </w:rPr>
            </w:pPr>
          </w:p>
        </w:tc>
        <w:tc>
          <w:tcPr>
            <w:tcW w:w="12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212529"/>
                <w:w w:val="99"/>
              </w:rPr>
              <w:t>2,342,656</w:t>
            </w:r>
          </w:p>
        </w:tc>
      </w:tr>
      <w:tr>
        <w:trPr>
          <w:trHeight w:val="210"/>
        </w:trPr>
        <w:tc>
          <w:tcPr>
            <w:tcW w:w="380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212529"/>
              </w:rPr>
              <w:t>John Tsai, M.D.</w:t>
            </w:r>
          </w:p>
        </w:tc>
        <w:tc>
          <w:tcPr>
            <w:tcW w:w="200" w:type="dxa"/>
            <w:vAlign w:val="bottom"/>
            <w:tcBorders>
              <w:bottom w:val="single" w:sz="8" w:color="auto"/>
              <w:right w:val="single" w:sz="8" w:color="auto"/>
            </w:tcBorders>
          </w:tcPr>
          <w:p>
            <w:pPr>
              <w:spacing w:after="0"/>
              <w:rPr>
                <w:sz w:val="18"/>
                <w:szCs w:val="18"/>
                <w:color w:val="auto"/>
              </w:rPr>
            </w:pPr>
          </w:p>
        </w:tc>
        <w:tc>
          <w:tcPr>
            <w:tcW w:w="11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212529"/>
                <w:w w:val="98"/>
              </w:rPr>
              <w:t>47,572,890</w:t>
            </w:r>
          </w:p>
        </w:tc>
        <w:tc>
          <w:tcPr>
            <w:tcW w:w="200" w:type="dxa"/>
            <w:vAlign w:val="bottom"/>
            <w:tcBorders>
              <w:bottom w:val="single" w:sz="8" w:color="auto"/>
              <w:right w:val="single" w:sz="8" w:color="auto"/>
            </w:tcBorders>
          </w:tcPr>
          <w:p>
            <w:pPr>
              <w:spacing w:after="0"/>
              <w:rPr>
                <w:sz w:val="18"/>
                <w:szCs w:val="18"/>
                <w:color w:val="auto"/>
              </w:rPr>
            </w:pPr>
          </w:p>
        </w:tc>
        <w:tc>
          <w:tcPr>
            <w:tcW w:w="11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212529"/>
                <w:w w:val="98"/>
              </w:rPr>
              <w:t>12,617,748</w:t>
            </w:r>
          </w:p>
        </w:tc>
        <w:tc>
          <w:tcPr>
            <w:tcW w:w="220" w:type="dxa"/>
            <w:vAlign w:val="bottom"/>
            <w:tcBorders>
              <w:bottom w:val="single" w:sz="8" w:color="auto"/>
              <w:right w:val="single" w:sz="8" w:color="auto"/>
            </w:tcBorders>
          </w:tcPr>
          <w:p>
            <w:pPr>
              <w:spacing w:after="0"/>
              <w:rPr>
                <w:sz w:val="18"/>
                <w:szCs w:val="18"/>
                <w:color w:val="auto"/>
              </w:rPr>
            </w:pPr>
          </w:p>
        </w:tc>
        <w:tc>
          <w:tcPr>
            <w:tcW w:w="12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212529"/>
                <w:w w:val="99"/>
              </w:rPr>
              <w:t>2,342,656</w:t>
            </w:r>
          </w:p>
        </w:tc>
      </w:tr>
    </w:tbl>
    <w:p>
      <w:pPr>
        <w:spacing w:after="0" w:line="198" w:lineRule="exact"/>
        <w:rPr>
          <w:sz w:val="20"/>
          <w:szCs w:val="20"/>
          <w:color w:val="auto"/>
        </w:rPr>
      </w:pPr>
    </w:p>
    <w:p>
      <w:pPr>
        <w:ind w:left="1000" w:right="140" w:hanging="319"/>
        <w:spacing w:after="0" w:line="266" w:lineRule="auto"/>
        <w:tabs>
          <w:tab w:leader="none" w:pos="980" w:val="left"/>
        </w:tabs>
        <w:rPr>
          <w:sz w:val="20"/>
          <w:szCs w:val="20"/>
          <w:color w:val="auto"/>
        </w:rPr>
      </w:pPr>
      <w:r>
        <w:rPr>
          <w:rFonts w:ascii="Times New Roman" w:cs="Times New Roman" w:eastAsia="Times New Roman" w:hAnsi="Times New Roman"/>
          <w:sz w:val="18"/>
          <w:szCs w:val="18"/>
          <w:color w:val="212529"/>
        </w:rPr>
        <w:t>2.</w:t>
        <w:tab/>
        <w:t>The Company’s stockholders approved the non-binding, advisory vote on the compensation paid to its named executive officers. The results of the stockholders’ non-binding, advisory vote with respect to compensation paid to the Company’s named executive officers were as follows:</w:t>
      </w:r>
    </w:p>
    <w:p>
      <w:pPr>
        <w:spacing w:after="0" w:line="188" w:lineRule="exact"/>
        <w:rPr>
          <w:sz w:val="20"/>
          <w:szCs w:val="20"/>
          <w:color w:val="auto"/>
        </w:rPr>
      </w:pPr>
    </w:p>
    <w:tbl>
      <w:tblPr>
        <w:tblLayout w:type="fixed"/>
        <w:tblInd w:w="1010" w:type="dxa"/>
        <w:tblCellMar>
          <w:top w:w="0" w:type="dxa"/>
          <w:left w:w="0" w:type="dxa"/>
          <w:bottom w:w="0" w:type="dxa"/>
          <w:right w:w="0" w:type="dxa"/>
        </w:tblCellMar>
      </w:tblPr>
      <w:tr>
        <w:trPr>
          <w:trHeight w:val="207"/>
        </w:trPr>
        <w:tc>
          <w:tcPr>
            <w:tcW w:w="380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212529"/>
                <w:w w:val="97"/>
              </w:rPr>
              <w:t>Votes</w:t>
            </w:r>
          </w:p>
        </w:tc>
        <w:tc>
          <w:tcPr>
            <w:tcW w:w="200" w:type="dxa"/>
            <w:vAlign w:val="bottom"/>
            <w:tcBorders>
              <w:top w:val="single" w:sz="8" w:color="auto"/>
              <w:right w:val="single" w:sz="8" w:color="auto"/>
            </w:tcBorders>
          </w:tcPr>
          <w:p>
            <w:pPr>
              <w:spacing w:after="0"/>
              <w:rPr>
                <w:sz w:val="18"/>
                <w:szCs w:val="18"/>
                <w:color w:val="auto"/>
              </w:rPr>
            </w:pPr>
          </w:p>
        </w:tc>
        <w:tc>
          <w:tcPr>
            <w:tcW w:w="11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212529"/>
                <w:w w:val="97"/>
              </w:rPr>
              <w:t>Votes</w:t>
            </w:r>
          </w:p>
        </w:tc>
        <w:tc>
          <w:tcPr>
            <w:tcW w:w="200" w:type="dxa"/>
            <w:vAlign w:val="bottom"/>
            <w:tcBorders>
              <w:top w:val="single" w:sz="8" w:color="auto"/>
              <w:right w:val="single" w:sz="8" w:color="auto"/>
            </w:tcBorders>
          </w:tcPr>
          <w:p>
            <w:pPr>
              <w:spacing w:after="0"/>
              <w:rPr>
                <w:sz w:val="18"/>
                <w:szCs w:val="18"/>
                <w:color w:val="auto"/>
              </w:rPr>
            </w:pPr>
          </w:p>
        </w:tc>
        <w:tc>
          <w:tcPr>
            <w:tcW w:w="11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212529"/>
                <w:w w:val="92"/>
              </w:rPr>
              <w:t>Votes</w:t>
            </w:r>
          </w:p>
        </w:tc>
        <w:tc>
          <w:tcPr>
            <w:tcW w:w="220" w:type="dxa"/>
            <w:vAlign w:val="bottom"/>
            <w:tcBorders>
              <w:top w:val="single" w:sz="8" w:color="auto"/>
              <w:right w:val="single" w:sz="8" w:color="auto"/>
            </w:tcBorders>
          </w:tcPr>
          <w:p>
            <w:pPr>
              <w:spacing w:after="0"/>
              <w:rPr>
                <w:sz w:val="18"/>
                <w:szCs w:val="18"/>
                <w:color w:val="auto"/>
              </w:rPr>
            </w:pPr>
          </w:p>
        </w:tc>
        <w:tc>
          <w:tcPr>
            <w:tcW w:w="12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212529"/>
                <w:w w:val="98"/>
              </w:rPr>
              <w:t>Broker</w:t>
            </w:r>
          </w:p>
        </w:tc>
      </w:tr>
      <w:tr>
        <w:trPr>
          <w:trHeight w:val="238"/>
        </w:trPr>
        <w:tc>
          <w:tcPr>
            <w:tcW w:w="38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212529"/>
                <w:w w:val="99"/>
              </w:rPr>
              <w:t>For</w:t>
            </w:r>
          </w:p>
        </w:tc>
        <w:tc>
          <w:tcPr>
            <w:tcW w:w="200" w:type="dxa"/>
            <w:vAlign w:val="bottom"/>
            <w:tcBorders>
              <w:bottom w:val="single" w:sz="8" w:color="auto"/>
              <w:right w:val="single" w:sz="8" w:color="auto"/>
            </w:tcBorders>
          </w:tcPr>
          <w:p>
            <w:pPr>
              <w:spacing w:after="0"/>
              <w:rPr>
                <w:sz w:val="20"/>
                <w:szCs w:val="20"/>
                <w:color w:val="auto"/>
              </w:rPr>
            </w:pPr>
          </w:p>
        </w:tc>
        <w:tc>
          <w:tcPr>
            <w:tcW w:w="11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212529"/>
              </w:rPr>
              <w:t>Against</w:t>
            </w:r>
          </w:p>
        </w:tc>
        <w:tc>
          <w:tcPr>
            <w:tcW w:w="200" w:type="dxa"/>
            <w:vAlign w:val="bottom"/>
            <w:tcBorders>
              <w:bottom w:val="single" w:sz="8" w:color="auto"/>
              <w:right w:val="single" w:sz="8" w:color="auto"/>
            </w:tcBorders>
          </w:tcPr>
          <w:p>
            <w:pPr>
              <w:spacing w:after="0"/>
              <w:rPr>
                <w:sz w:val="20"/>
                <w:szCs w:val="20"/>
                <w:color w:val="auto"/>
              </w:rPr>
            </w:pPr>
          </w:p>
        </w:tc>
        <w:tc>
          <w:tcPr>
            <w:tcW w:w="11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212529"/>
                <w:w w:val="99"/>
              </w:rPr>
              <w:t>Abstaining</w:t>
            </w:r>
          </w:p>
        </w:tc>
        <w:tc>
          <w:tcPr>
            <w:tcW w:w="220" w:type="dxa"/>
            <w:vAlign w:val="bottom"/>
            <w:tcBorders>
              <w:bottom w:val="single" w:sz="8" w:color="auto"/>
              <w:right w:val="single" w:sz="8" w:color="auto"/>
            </w:tcBorders>
          </w:tcPr>
          <w:p>
            <w:pPr>
              <w:spacing w:after="0"/>
              <w:rPr>
                <w:sz w:val="20"/>
                <w:szCs w:val="20"/>
                <w:color w:val="auto"/>
              </w:rPr>
            </w:pPr>
          </w:p>
        </w:tc>
        <w:tc>
          <w:tcPr>
            <w:tcW w:w="12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212529"/>
                <w:w w:val="96"/>
              </w:rPr>
              <w:t>Non-Votes</w:t>
            </w:r>
          </w:p>
        </w:tc>
      </w:tr>
      <w:tr>
        <w:trPr>
          <w:trHeight w:val="209"/>
        </w:trPr>
        <w:tc>
          <w:tcPr>
            <w:tcW w:w="38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212529"/>
              </w:rPr>
              <w:t>57,714,069</w:t>
            </w:r>
          </w:p>
        </w:tc>
        <w:tc>
          <w:tcPr>
            <w:tcW w:w="200" w:type="dxa"/>
            <w:vAlign w:val="bottom"/>
            <w:tcBorders>
              <w:bottom w:val="single" w:sz="8" w:color="auto"/>
              <w:right w:val="single" w:sz="8" w:color="auto"/>
            </w:tcBorders>
          </w:tcPr>
          <w:p>
            <w:pPr>
              <w:spacing w:after="0"/>
              <w:rPr>
                <w:sz w:val="18"/>
                <w:szCs w:val="18"/>
                <w:color w:val="auto"/>
              </w:rPr>
            </w:pPr>
          </w:p>
        </w:tc>
        <w:tc>
          <w:tcPr>
            <w:tcW w:w="11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212529"/>
                <w:w w:val="99"/>
              </w:rPr>
              <w:t>2,450,825</w:t>
            </w:r>
          </w:p>
        </w:tc>
        <w:tc>
          <w:tcPr>
            <w:tcW w:w="200" w:type="dxa"/>
            <w:vAlign w:val="bottom"/>
            <w:tcBorders>
              <w:bottom w:val="single" w:sz="8" w:color="auto"/>
              <w:right w:val="single" w:sz="8" w:color="auto"/>
            </w:tcBorders>
          </w:tcPr>
          <w:p>
            <w:pPr>
              <w:spacing w:after="0"/>
              <w:rPr>
                <w:sz w:val="18"/>
                <w:szCs w:val="18"/>
                <w:color w:val="auto"/>
              </w:rPr>
            </w:pPr>
          </w:p>
        </w:tc>
        <w:tc>
          <w:tcPr>
            <w:tcW w:w="11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212529"/>
                <w:w w:val="96"/>
              </w:rPr>
              <w:t>25,744</w:t>
            </w:r>
          </w:p>
        </w:tc>
        <w:tc>
          <w:tcPr>
            <w:tcW w:w="220" w:type="dxa"/>
            <w:vAlign w:val="bottom"/>
            <w:tcBorders>
              <w:bottom w:val="single" w:sz="8" w:color="auto"/>
              <w:right w:val="single" w:sz="8" w:color="auto"/>
            </w:tcBorders>
          </w:tcPr>
          <w:p>
            <w:pPr>
              <w:spacing w:after="0"/>
              <w:rPr>
                <w:sz w:val="18"/>
                <w:szCs w:val="18"/>
                <w:color w:val="auto"/>
              </w:rPr>
            </w:pPr>
          </w:p>
        </w:tc>
        <w:tc>
          <w:tcPr>
            <w:tcW w:w="12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212529"/>
                <w:w w:val="99"/>
              </w:rPr>
              <w:t>2,342,656</w:t>
            </w:r>
          </w:p>
        </w:tc>
      </w:tr>
    </w:tbl>
    <w:p>
      <w:pPr>
        <w:spacing w:after="0" w:line="306" w:lineRule="exact"/>
        <w:rPr>
          <w:sz w:val="20"/>
          <w:szCs w:val="20"/>
          <w:color w:val="auto"/>
        </w:rPr>
      </w:pPr>
    </w:p>
    <w:p>
      <w:pPr>
        <w:ind w:left="1000" w:right="80" w:hanging="319"/>
        <w:spacing w:after="0" w:line="266" w:lineRule="auto"/>
        <w:tabs>
          <w:tab w:leader="none" w:pos="980" w:val="left"/>
        </w:tabs>
        <w:rPr>
          <w:sz w:val="20"/>
          <w:szCs w:val="20"/>
          <w:color w:val="auto"/>
        </w:rPr>
      </w:pPr>
      <w:r>
        <w:rPr>
          <w:rFonts w:ascii="Times New Roman" w:cs="Times New Roman" w:eastAsia="Times New Roman" w:hAnsi="Times New Roman"/>
          <w:sz w:val="18"/>
          <w:szCs w:val="18"/>
          <w:color w:val="212529"/>
        </w:rPr>
        <w:t>3.</w:t>
        <w:tab/>
        <w:t>The Company’s stockholders ratified the appointment of Ernst &amp; Young LLP as the Company’s independent registered public accounting for the fiscal year ending December 31, 2025. The results of the stockholders’ vote with respect to such ratification were as follows:</w:t>
      </w:r>
    </w:p>
    <w:p>
      <w:pPr>
        <w:spacing w:after="0" w:line="188" w:lineRule="exact"/>
        <w:rPr>
          <w:sz w:val="20"/>
          <w:szCs w:val="20"/>
          <w:color w:val="auto"/>
        </w:rPr>
      </w:pPr>
    </w:p>
    <w:tbl>
      <w:tblPr>
        <w:tblLayout w:type="fixed"/>
        <w:tblInd w:w="1010" w:type="dxa"/>
        <w:tblCellMar>
          <w:top w:w="0" w:type="dxa"/>
          <w:left w:w="0" w:type="dxa"/>
          <w:bottom w:w="0" w:type="dxa"/>
          <w:right w:w="0" w:type="dxa"/>
        </w:tblCellMar>
      </w:tblPr>
      <w:tr>
        <w:trPr>
          <w:trHeight w:val="207"/>
        </w:trPr>
        <w:tc>
          <w:tcPr>
            <w:tcW w:w="382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212529"/>
                <w:w w:val="97"/>
              </w:rPr>
              <w:t>Votes</w:t>
            </w:r>
          </w:p>
        </w:tc>
        <w:tc>
          <w:tcPr>
            <w:tcW w:w="220" w:type="dxa"/>
            <w:vAlign w:val="bottom"/>
            <w:tcBorders>
              <w:top w:val="single" w:sz="8" w:color="auto"/>
              <w:right w:val="single" w:sz="8" w:color="auto"/>
            </w:tcBorders>
          </w:tcPr>
          <w:p>
            <w:pPr>
              <w:spacing w:after="0"/>
              <w:rPr>
                <w:sz w:val="18"/>
                <w:szCs w:val="18"/>
                <w:color w:val="auto"/>
              </w:rPr>
            </w:pPr>
          </w:p>
        </w:tc>
        <w:tc>
          <w:tcPr>
            <w:tcW w:w="11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212529"/>
                <w:w w:val="97"/>
              </w:rPr>
              <w:t>Votes</w:t>
            </w:r>
          </w:p>
        </w:tc>
        <w:tc>
          <w:tcPr>
            <w:tcW w:w="200" w:type="dxa"/>
            <w:vAlign w:val="bottom"/>
            <w:tcBorders>
              <w:top w:val="single" w:sz="8" w:color="auto"/>
              <w:right w:val="single" w:sz="8" w:color="auto"/>
            </w:tcBorders>
          </w:tcPr>
          <w:p>
            <w:pPr>
              <w:spacing w:after="0"/>
              <w:rPr>
                <w:sz w:val="18"/>
                <w:szCs w:val="18"/>
                <w:color w:val="auto"/>
              </w:rPr>
            </w:pPr>
          </w:p>
        </w:tc>
        <w:tc>
          <w:tcPr>
            <w:tcW w:w="26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212529"/>
                <w:w w:val="97"/>
              </w:rPr>
              <w:t>Votes</w:t>
            </w:r>
          </w:p>
        </w:tc>
      </w:tr>
      <w:tr>
        <w:trPr>
          <w:trHeight w:val="238"/>
        </w:trPr>
        <w:tc>
          <w:tcPr>
            <w:tcW w:w="38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212529"/>
                <w:w w:val="99"/>
              </w:rPr>
              <w:t>For</w:t>
            </w:r>
          </w:p>
        </w:tc>
        <w:tc>
          <w:tcPr>
            <w:tcW w:w="220" w:type="dxa"/>
            <w:vAlign w:val="bottom"/>
            <w:tcBorders>
              <w:bottom w:val="single" w:sz="8" w:color="auto"/>
              <w:right w:val="single" w:sz="8" w:color="auto"/>
            </w:tcBorders>
          </w:tcPr>
          <w:p>
            <w:pPr>
              <w:spacing w:after="0"/>
              <w:rPr>
                <w:sz w:val="20"/>
                <w:szCs w:val="20"/>
                <w:color w:val="auto"/>
              </w:rPr>
            </w:pPr>
          </w:p>
        </w:tc>
        <w:tc>
          <w:tcPr>
            <w:tcW w:w="11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212529"/>
              </w:rPr>
              <w:t>Against</w:t>
            </w:r>
          </w:p>
        </w:tc>
        <w:tc>
          <w:tcPr>
            <w:tcW w:w="200" w:type="dxa"/>
            <w:vAlign w:val="bottom"/>
            <w:tcBorders>
              <w:bottom w:val="single" w:sz="8" w:color="auto"/>
              <w:right w:val="single" w:sz="8" w:color="auto"/>
            </w:tcBorders>
          </w:tcPr>
          <w:p>
            <w:pPr>
              <w:spacing w:after="0"/>
              <w:rPr>
                <w:sz w:val="20"/>
                <w:szCs w:val="20"/>
                <w:color w:val="auto"/>
              </w:rPr>
            </w:pPr>
          </w:p>
        </w:tc>
        <w:tc>
          <w:tcPr>
            <w:tcW w:w="2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212529"/>
                <w:w w:val="99"/>
              </w:rPr>
              <w:t>Abstaining</w:t>
            </w:r>
          </w:p>
        </w:tc>
      </w:tr>
      <w:tr>
        <w:trPr>
          <w:trHeight w:val="210"/>
        </w:trPr>
        <w:tc>
          <w:tcPr>
            <w:tcW w:w="38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212529"/>
              </w:rPr>
              <w:t>62,209,853</w:t>
            </w:r>
          </w:p>
        </w:tc>
        <w:tc>
          <w:tcPr>
            <w:tcW w:w="220" w:type="dxa"/>
            <w:vAlign w:val="bottom"/>
            <w:tcBorders>
              <w:bottom w:val="single" w:sz="8" w:color="auto"/>
              <w:right w:val="single" w:sz="8" w:color="auto"/>
            </w:tcBorders>
          </w:tcPr>
          <w:p>
            <w:pPr>
              <w:spacing w:after="0"/>
              <w:rPr>
                <w:sz w:val="18"/>
                <w:szCs w:val="18"/>
                <w:color w:val="auto"/>
              </w:rPr>
            </w:pPr>
          </w:p>
        </w:tc>
        <w:tc>
          <w:tcPr>
            <w:tcW w:w="11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212529"/>
                <w:w w:val="99"/>
              </w:rPr>
              <w:t>288,580</w:t>
            </w:r>
          </w:p>
        </w:tc>
        <w:tc>
          <w:tcPr>
            <w:tcW w:w="200" w:type="dxa"/>
            <w:vAlign w:val="bottom"/>
            <w:tcBorders>
              <w:bottom w:val="single" w:sz="8" w:color="auto"/>
              <w:right w:val="single" w:sz="8" w:color="auto"/>
            </w:tcBorders>
          </w:tcPr>
          <w:p>
            <w:pPr>
              <w:spacing w:after="0"/>
              <w:rPr>
                <w:sz w:val="18"/>
                <w:szCs w:val="18"/>
                <w:color w:val="auto"/>
              </w:rPr>
            </w:pPr>
          </w:p>
        </w:tc>
        <w:tc>
          <w:tcPr>
            <w:tcW w:w="2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212529"/>
              </w:rPr>
              <w:t>34,861</w:t>
            </w: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212529"/>
        </w:rPr>
        <w:t>No other matters were submitted to or voted on by the Company’s stockholders at the Annual Meeting.</w:t>
      </w:r>
    </w:p>
    <w:p>
      <w:pPr>
        <w:spacing w:after="0" w:line="200" w:lineRule="exact"/>
        <w:rPr>
          <w:sz w:val="20"/>
          <w:szCs w:val="20"/>
          <w:color w:val="auto"/>
        </w:rPr>
      </w:pPr>
    </w:p>
    <w:p>
      <w:pPr>
        <w:spacing w:after="0" w:line="26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497205</wp:posOffset>
            </wp:positionV>
            <wp:extent cx="6292215" cy="254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60"/>
          </w:cols>
          <w:pgMar w:left="980" w:top="711" w:right="1059" w:bottom="1440" w:gutter="0" w:footer="0" w:header="0"/>
        </w:sectPr>
      </w:pPr>
    </w:p>
    <w:bookmarkStart w:id="2" w:name="page3"/>
    <w:bookmarkEnd w:id="2"/>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12"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b w:val="1"/>
          <w:bCs w:val="1"/>
          <w:color w:val="auto"/>
        </w:rPr>
        <w:t>BLUEPRINT MEDICINES CORPORATION</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20"/>
        <w:spacing w:after="0"/>
        <w:tabs>
          <w:tab w:leader="none" w:pos="5660" w:val="left"/>
        </w:tabs>
        <w:rPr>
          <w:sz w:val="20"/>
          <w:szCs w:val="20"/>
          <w:color w:val="auto"/>
        </w:rPr>
      </w:pPr>
      <w:r>
        <w:rPr>
          <w:rFonts w:ascii="Times New Roman" w:cs="Times New Roman" w:eastAsia="Times New Roman" w:hAnsi="Times New Roman"/>
          <w:sz w:val="18"/>
          <w:szCs w:val="18"/>
          <w:color w:val="auto"/>
        </w:rPr>
        <w:t>Date: June 20, 2025</w:t>
      </w:r>
      <w:r>
        <w:rPr>
          <w:sz w:val="20"/>
          <w:szCs w:val="20"/>
          <w:color w:val="auto"/>
        </w:rPr>
        <w:tab/>
      </w:r>
      <w:r>
        <w:rPr>
          <w:rFonts w:ascii="Times New Roman" w:cs="Times New Roman" w:eastAsia="Times New Roman" w:hAnsi="Times New Roman"/>
          <w:sz w:val="18"/>
          <w:szCs w:val="18"/>
          <w:color w:val="auto"/>
        </w:rPr>
        <w:t>By: /s/ Kathryn Haviland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3837940</wp:posOffset>
            </wp:positionH>
            <wp:positionV relativeFrom="paragraph">
              <wp:posOffset>17145</wp:posOffset>
            </wp:positionV>
            <wp:extent cx="24599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57"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color w:val="auto"/>
        </w:rPr>
        <w:t>Kathryn Haviland</w:t>
      </w:r>
    </w:p>
    <w:p>
      <w:pPr>
        <w:spacing w:after="0" w:line="36"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497205</wp:posOffset>
            </wp:positionV>
            <wp:extent cx="6292215"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sectPr>
      <w:pgSz w:w="11900" w:h="16838" w:orient="portrait"/>
      <w:cols w:equalWidth="0" w:num="1">
        <w:col w:w="9740"/>
      </w:cols>
      <w:pgMar w:left="980" w:top="117" w:right="11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2025-06-20T07:06:47Z</dcterms:created>
  <dcterms:modified xsi:type="dcterms:W3CDTF">2025-06-20T07:06:47Z</dcterms:modified>
</cp:coreProperties>
</file>