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80"/>
          </w:cols>
          <w:pgMar w:left="920" w:top="206"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300"/>
          </w:cols>
          <w:pgMar w:left="920" w:top="206" w:right="899" w:bottom="1440" w:gutter="0" w:footer="0" w:header="0"/>
          <w:type w:val="continuous"/>
        </w:sectPr>
      </w:pPr>
    </w:p>
    <w:p>
      <w:pPr>
        <w:spacing w:after="0" w:line="33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880"/>
          </w:cols>
          <w:pgMar w:left="920" w:top="206" w:right="899" w:bottom="144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4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4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40" w:type="dxa"/>
            <w:vAlign w:val="bottom"/>
            <w:tcBorders>
              <w:top w:val="single" w:sz="8" w:color="auto"/>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Trading symbol(s)</w:t>
            </w:r>
          </w:p>
        </w:tc>
        <w:tc>
          <w:tcPr>
            <w:tcW w:w="4080" w:type="dxa"/>
            <w:vAlign w:val="bottom"/>
            <w:tcBorders>
              <w:top w:val="single" w:sz="8" w:color="auto"/>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6"/>
              </w:rPr>
              <w:t>BPMC</w:t>
            </w:r>
          </w:p>
        </w:tc>
        <w:tc>
          <w:tcPr>
            <w:tcW w:w="408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Nasdaq Global Select Market</w:t>
            </w:r>
          </w:p>
        </w:tc>
      </w:tr>
      <w:tr>
        <w:trPr>
          <w:trHeight w:val="757"/>
        </w:trPr>
        <w:tc>
          <w:tcPr>
            <w:tcW w:w="3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206" w:right="899" w:bottom="1440" w:gutter="0" w:footer="0" w:header="0"/>
          <w:type w:val="continuous"/>
        </w:sectPr>
      </w:pPr>
    </w:p>
    <w:bookmarkStart w:id="1" w:name="page2"/>
    <w:bookmarkEnd w:id="1"/>
    <w:p>
      <w:pPr>
        <w:ind w:left="16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160" w:right="199" w:firstLine="648"/>
        <w:spacing w:after="0" w:line="302" w:lineRule="auto"/>
        <w:rPr>
          <w:sz w:val="20"/>
          <w:szCs w:val="20"/>
          <w:color w:val="auto"/>
        </w:rPr>
      </w:pPr>
      <w:r>
        <w:rPr>
          <w:rFonts w:ascii="Arial" w:cs="Arial" w:eastAsia="Arial" w:hAnsi="Arial"/>
          <w:sz w:val="16"/>
          <w:szCs w:val="16"/>
          <w:color w:val="auto"/>
        </w:rPr>
        <w:t>On June 28, 2019, Blueprint Medicines Corporation (the “Company”) entered into a fifth amendment to its collaboration and license agreement, as amended, with F. Hoffmann-La Roche Ltd and Hoffmann-La Roche Inc. (collectively, “Roche”), pursuant to which the Company and Roche agreed to modify certain time periods related to the screening activities under the collaboration and modify certain criteria related to leftover targets under the collaboration.</w:t>
      </w:r>
    </w:p>
    <w:p>
      <w:pPr>
        <w:spacing w:after="0" w:line="154" w:lineRule="exact"/>
        <w:rPr>
          <w:sz w:val="20"/>
          <w:szCs w:val="20"/>
          <w:color w:val="auto"/>
        </w:rPr>
      </w:pPr>
    </w:p>
    <w:p>
      <w:pPr>
        <w:ind w:left="160" w:right="299" w:firstLine="648"/>
        <w:spacing w:after="0" w:line="264" w:lineRule="auto"/>
        <w:rPr>
          <w:sz w:val="20"/>
          <w:szCs w:val="20"/>
          <w:color w:val="auto"/>
        </w:rPr>
      </w:pPr>
      <w:r>
        <w:rPr>
          <w:rFonts w:ascii="Arial" w:cs="Arial" w:eastAsia="Arial" w:hAnsi="Arial"/>
          <w:sz w:val="18"/>
          <w:szCs w:val="18"/>
          <w:color w:val="auto"/>
        </w:rPr>
        <w:t>The foregoing description of the material terms of the fifth amendment to the collaboration and license agreement with Roche is qualified in its entirety by reference to the complete text of such amendment, a copy of which is attached as Exhibit 10.1 to this Current Report on Form 8-K.</w:t>
      </w:r>
    </w:p>
    <w:p>
      <w:pPr>
        <w:spacing w:after="0" w:line="177"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6"/>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70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Fifth Amendment to Collaboration and License Agreement, effective June 28, 2019, by and</w:t>
              </w:r>
            </w:hyperlink>
          </w:p>
        </w:tc>
        <w:tc>
          <w:tcPr>
            <w:tcW w:w="460" w:type="dxa"/>
            <w:vAlign w:val="bottom"/>
            <w:tcBorders>
              <w:top w:val="single" w:sz="8" w:color="auto"/>
            </w:tcBorders>
          </w:tcPr>
          <w:p>
            <w:pPr>
              <w:spacing w:after="0"/>
              <w:rPr>
                <w:sz w:val="14"/>
                <w:szCs w:val="14"/>
                <w:color w:val="auto"/>
              </w:rPr>
            </w:pPr>
          </w:p>
        </w:tc>
      </w:tr>
      <w:tr>
        <w:trPr>
          <w:trHeight w:val="196"/>
        </w:trPr>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among F. Hoffmann-La Roche Ltd, Hoffmann-La Roche Inc. and Blueprint Medicines</w:t>
              </w:r>
            </w:hyperlink>
          </w:p>
        </w:tc>
        <w:tc>
          <w:tcPr>
            <w:tcW w:w="8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Corporation</w:t>
              </w:r>
            </w:hyperlink>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358140</wp:posOffset>
            </wp:positionV>
            <wp:extent cx="554863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5580" w:type="dxa"/>
            <w:vAlign w:val="bottom"/>
            <w:gridSpan w:val="2"/>
          </w:tcPr>
          <w:p>
            <w:pPr>
              <w:ind w:left="140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34"/>
        </w:trPr>
        <w:tc>
          <w:tcPr>
            <w:tcW w:w="2740" w:type="dxa"/>
            <w:vAlign w:val="bottom"/>
          </w:tcPr>
          <w:p>
            <w:pPr>
              <w:ind w:left="20"/>
              <w:spacing w:after="0"/>
              <w:rPr>
                <w:sz w:val="20"/>
                <w:szCs w:val="20"/>
                <w:color w:val="auto"/>
              </w:rPr>
            </w:pPr>
            <w:r>
              <w:rPr>
                <w:rFonts w:ascii="Arial" w:cs="Arial" w:eastAsia="Arial" w:hAnsi="Arial"/>
                <w:sz w:val="18"/>
                <w:szCs w:val="18"/>
                <w:color w:val="auto"/>
              </w:rPr>
              <w:t>Date: July 3, 2019</w:t>
            </w:r>
          </w:p>
        </w:tc>
        <w:tc>
          <w:tcPr>
            <w:tcW w:w="5580" w:type="dxa"/>
            <w:vAlign w:val="bottom"/>
            <w:gridSpan w:val="2"/>
          </w:tcPr>
          <w:p>
            <w:pPr>
              <w:ind w:left="1400"/>
              <w:spacing w:after="0"/>
              <w:rPr>
                <w:sz w:val="20"/>
                <w:szCs w:val="20"/>
                <w:color w:val="auto"/>
              </w:rPr>
            </w:pPr>
            <w:r>
              <w:rPr>
                <w:rFonts w:ascii="Arial" w:cs="Arial" w:eastAsia="Arial" w:hAnsi="Arial"/>
                <w:sz w:val="18"/>
                <w:szCs w:val="18"/>
                <w:color w:val="auto"/>
              </w:rPr>
              <w:t>By: /s/ Tracey L.</w:t>
            </w:r>
          </w:p>
        </w:tc>
        <w:tc>
          <w:tcPr>
            <w:tcW w:w="420" w:type="dxa"/>
            <w:vAlign w:val="bottom"/>
          </w:tcPr>
          <w:p>
            <w:pPr>
              <w:spacing w:after="0"/>
              <w:rPr>
                <w:sz w:val="24"/>
                <w:szCs w:val="24"/>
                <w:color w:val="auto"/>
              </w:rPr>
            </w:pPr>
          </w:p>
        </w:tc>
      </w:tr>
      <w:tr>
        <w:trPr>
          <w:trHeight w:val="230"/>
        </w:trPr>
        <w:tc>
          <w:tcPr>
            <w:tcW w:w="2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McCain</w:t>
            </w:r>
          </w:p>
        </w:tc>
        <w:tc>
          <w:tcPr>
            <w:tcW w:w="420" w:type="dxa"/>
            <w:vAlign w:val="bottom"/>
          </w:tcPr>
          <w:p>
            <w:pPr>
              <w:spacing w:after="0"/>
              <w:rPr>
                <w:sz w:val="20"/>
                <w:szCs w:val="20"/>
                <w:color w:val="auto"/>
              </w:rPr>
            </w:pPr>
          </w:p>
        </w:tc>
      </w:tr>
      <w:tr>
        <w:trPr>
          <w:trHeight w:val="216"/>
        </w:trPr>
        <w:tc>
          <w:tcPr>
            <w:tcW w:w="2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195"/>
        </w:trPr>
        <w:tc>
          <w:tcPr>
            <w:tcW w:w="2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Tracey L. McCain</w:t>
            </w:r>
          </w:p>
        </w:tc>
        <w:tc>
          <w:tcPr>
            <w:tcW w:w="420" w:type="dxa"/>
            <w:vAlign w:val="bottom"/>
          </w:tcPr>
          <w:p>
            <w:pPr>
              <w:spacing w:after="0"/>
              <w:rPr>
                <w:sz w:val="16"/>
                <w:szCs w:val="16"/>
                <w:color w:val="auto"/>
              </w:rPr>
            </w:pPr>
          </w:p>
        </w:tc>
      </w:tr>
      <w:tr>
        <w:trPr>
          <w:trHeight w:val="230"/>
        </w:trPr>
        <w:tc>
          <w:tcPr>
            <w:tcW w:w="2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Chief Legal Officer</w:t>
            </w:r>
          </w:p>
        </w:tc>
        <w:tc>
          <w:tcPr>
            <w:tcW w:w="420" w:type="dxa"/>
            <w:vAlign w:val="bottom"/>
          </w:tcPr>
          <w:p>
            <w:pPr>
              <w:spacing w:after="0"/>
              <w:rPr>
                <w:sz w:val="20"/>
                <w:szCs w:val="20"/>
                <w:color w:val="auto"/>
              </w:rPr>
            </w:pPr>
          </w:p>
        </w:tc>
      </w:tr>
      <w:tr>
        <w:trPr>
          <w:trHeight w:val="864"/>
        </w:trPr>
        <w:tc>
          <w:tcPr>
            <w:tcW w:w="27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3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61"/>
        </w:trPr>
        <w:tc>
          <w:tcPr>
            <w:tcW w:w="27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45" w:right="1440"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2200" w:right="239" w:hanging="1959"/>
        <w:spacing w:after="0" w:line="282" w:lineRule="auto"/>
        <w:tabs>
          <w:tab w:leader="none" w:pos="6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FIFTH AMENDMENT TO COLLABORATION AND LICENSE AGREEMENT</w:t>
      </w:r>
    </w:p>
    <w:p>
      <w:pPr>
        <w:spacing w:after="0" w:line="202"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19"/>
          <w:szCs w:val="19"/>
          <w:color w:val="auto"/>
        </w:rPr>
        <w:t>This Fifth Amendment (this “</w:t>
      </w:r>
      <w:r>
        <w:rPr>
          <w:rFonts w:ascii="Arial" w:cs="Arial" w:eastAsia="Arial" w:hAnsi="Arial"/>
          <w:sz w:val="19"/>
          <w:szCs w:val="19"/>
          <w:b w:val="1"/>
          <w:bCs w:val="1"/>
          <w:color w:val="auto"/>
        </w:rPr>
        <w:t>Amendment</w:t>
      </w:r>
      <w:r>
        <w:rPr>
          <w:rFonts w:ascii="Arial" w:cs="Arial" w:eastAsia="Arial" w:hAnsi="Arial"/>
          <w:sz w:val="19"/>
          <w:szCs w:val="19"/>
          <w:color w:val="auto"/>
        </w:rPr>
        <w:t>”), effective June 28, 2019 (“</w:t>
      </w:r>
      <w:r>
        <w:rPr>
          <w:rFonts w:ascii="Arial" w:cs="Arial" w:eastAsia="Arial" w:hAnsi="Arial"/>
          <w:sz w:val="19"/>
          <w:szCs w:val="19"/>
          <w:b w:val="1"/>
          <w:bCs w:val="1"/>
          <w:color w:val="auto"/>
        </w:rPr>
        <w:t>Fifth Amendment</w:t>
      </w:r>
      <w:r>
        <w:rPr>
          <w:rFonts w:ascii="Arial" w:cs="Arial" w:eastAsia="Arial" w:hAnsi="Arial"/>
          <w:sz w:val="19"/>
          <w:szCs w:val="19"/>
          <w:color w:val="auto"/>
        </w:rPr>
        <w:t xml:space="preserve"> </w:t>
      </w:r>
      <w:r>
        <w:rPr>
          <w:rFonts w:ascii="Arial" w:cs="Arial" w:eastAsia="Arial" w:hAnsi="Arial"/>
          <w:sz w:val="19"/>
          <w:szCs w:val="19"/>
          <w:b w:val="1"/>
          <w:bCs w:val="1"/>
          <w:color w:val="auto"/>
        </w:rPr>
        <w:t>Effective Date</w:t>
      </w:r>
      <w:r>
        <w:rPr>
          <w:rFonts w:ascii="Arial" w:cs="Arial" w:eastAsia="Arial" w:hAnsi="Arial"/>
          <w:sz w:val="19"/>
          <w:szCs w:val="19"/>
          <w:color w:val="auto"/>
        </w:rPr>
        <w:t>”), is by and between F. Hoffmann-La Roche Ltd, with an office and place of</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9"/>
          <w:szCs w:val="19"/>
          <w:b w:val="1"/>
          <w:bCs w:val="1"/>
          <w:color w:val="auto"/>
        </w:rPr>
        <w:t>Roche</w:t>
      </w:r>
      <w:r>
        <w:rPr>
          <w:rFonts w:ascii="Arial" w:cs="Arial" w:eastAsia="Arial" w:hAnsi="Arial"/>
          <w:sz w:val="19"/>
          <w:szCs w:val="19"/>
          <w:color w:val="auto"/>
        </w:rPr>
        <w:t>”) and Blueprint Medicines Corporation, located at 45 Sidney Street, Cambridge, Massachusetts 02139 U.S.A. (“</w:t>
      </w:r>
      <w:r>
        <w:rPr>
          <w:rFonts w:ascii="Arial" w:cs="Arial" w:eastAsia="Arial" w:hAnsi="Arial"/>
          <w:sz w:val="19"/>
          <w:szCs w:val="19"/>
          <w:b w:val="1"/>
          <w:bCs w:val="1"/>
          <w:color w:val="auto"/>
        </w:rPr>
        <w:t>BPM</w:t>
      </w:r>
      <w:r>
        <w:rPr>
          <w:rFonts w:ascii="Arial" w:cs="Arial" w:eastAsia="Arial" w:hAnsi="Arial"/>
          <w:sz w:val="19"/>
          <w:szCs w:val="19"/>
          <w:color w:val="auto"/>
        </w:rPr>
        <w:t>”). Capitalized terms used and not otherwise defined in this Amendment shall have the meanings set forth in the Agreement (as defined below).</w:t>
      </w:r>
    </w:p>
    <w:p>
      <w:pPr>
        <w:spacing w:after="0" w:line="191"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20"/>
          <w:szCs w:val="20"/>
          <w:color w:val="auto"/>
        </w:rPr>
        <w:t>WHEREAS, BPM and Roche entered into a Collaboration and License Agreement, dated March 14, 2016, as amended by an amendment, effective April 15, 2016, a second amendment, effective April 27, 2016, a third amendment, effective August 4, 2016, and a fourth amendment, effective February 25, 2019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WHEREAS, the Parties wish to [***];</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Roche and BPM hereby agree as follows:</w:t>
      </w:r>
    </w:p>
    <w:p>
      <w:pPr>
        <w:spacing w:after="0" w:line="202" w:lineRule="exact"/>
        <w:rPr>
          <w:sz w:val="20"/>
          <w:szCs w:val="20"/>
          <w:color w:val="auto"/>
        </w:rPr>
      </w:pPr>
    </w:p>
    <w:p>
      <w:pPr>
        <w:ind w:left="160" w:right="139" w:firstLine="639"/>
        <w:spacing w:after="0" w:line="236" w:lineRule="auto"/>
        <w:tabs>
          <w:tab w:leader="none" w:pos="1593"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first sentence of Section 4.1.6 of the Agreement shall be deleted in its entirety and replaced by the following:</w:t>
      </w:r>
    </w:p>
    <w:p>
      <w:pPr>
        <w:spacing w:after="0" w:line="196" w:lineRule="exact"/>
        <w:rPr>
          <w:sz w:val="20"/>
          <w:szCs w:val="20"/>
          <w:color w:val="auto"/>
        </w:rPr>
      </w:pPr>
    </w:p>
    <w:p>
      <w:pPr>
        <w:jc w:val="both"/>
        <w:ind w:left="800" w:right="139"/>
        <w:spacing w:after="0" w:line="231" w:lineRule="auto"/>
        <w:rPr>
          <w:sz w:val="20"/>
          <w:szCs w:val="20"/>
          <w:color w:val="auto"/>
        </w:rPr>
      </w:pPr>
      <w:r>
        <w:rPr>
          <w:rFonts w:ascii="Arial" w:cs="Arial" w:eastAsia="Arial" w:hAnsi="Arial"/>
          <w:sz w:val="20"/>
          <w:szCs w:val="20"/>
          <w:color w:val="auto"/>
        </w:rPr>
        <w:t>“Part 2 shall start with Screening of Library Compounds selected by both Parties (e.g., the diversity set comprised in BPM Technology) in both assays performed by BPM (Jurkat-cell based) and by Roche ([***]), and the screening and validation phase of Part 2 [***] shall end as follows: [***].”</w:t>
      </w:r>
    </w:p>
    <w:p>
      <w:pPr>
        <w:spacing w:after="0" w:line="195" w:lineRule="exact"/>
        <w:rPr>
          <w:sz w:val="20"/>
          <w:szCs w:val="20"/>
          <w:color w:val="auto"/>
        </w:rPr>
      </w:pPr>
    </w:p>
    <w:p>
      <w:pPr>
        <w:ind w:left="160" w:right="139" w:firstLine="639"/>
        <w:spacing w:after="0" w:line="236" w:lineRule="auto"/>
        <w:tabs>
          <w:tab w:leader="none" w:pos="1827"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definition of “Leftover Targets” in Section 1.73 of the Agreement shall be amended by deleting it in its entirety and replacing it with the following Section 1.73:</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1.73 Leftover Targets</w:t>
      </w:r>
    </w:p>
    <w:p>
      <w:pPr>
        <w:spacing w:after="0" w:line="226" w:lineRule="exact"/>
        <w:rPr>
          <w:sz w:val="20"/>
          <w:szCs w:val="20"/>
          <w:color w:val="auto"/>
        </w:rPr>
      </w:pPr>
    </w:p>
    <w:p>
      <w:pPr>
        <w:jc w:val="both"/>
        <w:ind w:left="800" w:right="139"/>
        <w:spacing w:after="0" w:line="231" w:lineRule="auto"/>
        <w:rPr>
          <w:sz w:val="20"/>
          <w:szCs w:val="20"/>
          <w:color w:val="auto"/>
        </w:rPr>
      </w:pPr>
      <w:r>
        <w:rPr>
          <w:rFonts w:ascii="Arial" w:cs="Arial" w:eastAsia="Arial" w:hAnsi="Arial"/>
          <w:sz w:val="20"/>
          <w:szCs w:val="20"/>
          <w:color w:val="auto"/>
        </w:rPr>
        <w:t>The term “Leftover Targets” shall mean (a) those Collaboration Targets for which an Option Right has not been exercised by Roche, including those (i) in the Pool after the JRC’s right to replace Collaboration Targets in the Pool has ended pursuant to Section 4.1.6 and/or (ii) that have been replaced with a new Collaboration Target [***].”</w:t>
      </w:r>
    </w:p>
    <w:p>
      <w:pPr>
        <w:spacing w:after="0" w:line="195"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20"/>
          <w:szCs w:val="20"/>
          <w:color w:val="auto"/>
        </w:rPr>
        <w:t>This Amendment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99"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20"/>
          <w:szCs w:val="20"/>
          <w:color w:val="auto"/>
        </w:rPr>
        <w:t>This Amendment shall be effective as of the Fifth Amendment Effective Date. On and after the Fifth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Amendment. Except as specifically amended above, the</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336550</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both"/>
        <w:ind w:left="160" w:right="139"/>
        <w:spacing w:after="0" w:line="236" w:lineRule="auto"/>
        <w:rPr>
          <w:sz w:val="20"/>
          <w:szCs w:val="20"/>
          <w:color w:val="auto"/>
        </w:rPr>
      </w:pPr>
      <w:r>
        <w:rPr>
          <w:rFonts w:ascii="Arial" w:cs="Arial" w:eastAsia="Arial" w:hAnsi="Arial"/>
          <w:sz w:val="20"/>
          <w:szCs w:val="20"/>
          <w:color w:val="auto"/>
        </w:rPr>
        <w:t>Agreement shall remain in full force and effect in accordance with its terms and is hereby ratified and confirmed.</w:t>
      </w:r>
    </w:p>
    <w:p>
      <w:pPr>
        <w:spacing w:after="0" w:line="196" w:lineRule="exact"/>
        <w:rPr>
          <w:sz w:val="20"/>
          <w:szCs w:val="20"/>
          <w:color w:val="auto"/>
        </w:rPr>
      </w:pPr>
    </w:p>
    <w:p>
      <w:pPr>
        <w:jc w:val="both"/>
        <w:ind w:left="160" w:right="139" w:firstLine="648"/>
        <w:spacing w:after="0" w:line="231" w:lineRule="auto"/>
        <w:rPr>
          <w:sz w:val="20"/>
          <w:szCs w:val="20"/>
          <w:color w:val="auto"/>
        </w:rPr>
      </w:pPr>
      <w:r>
        <w:rPr>
          <w:rFonts w:ascii="Arial" w:cs="Arial" w:eastAsia="Arial" w:hAnsi="Arial"/>
          <w:sz w:val="20"/>
          <w:szCs w:val="20"/>
          <w:color w:val="auto"/>
        </w:rPr>
        <w:t>This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336550</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5" w:name="page6"/>
    <w:bookmarkEnd w:id="5"/>
    <w:p>
      <w:pPr>
        <w:ind w:left="160" w:right="259" w:firstLine="648"/>
        <w:spacing w:after="0" w:line="236" w:lineRule="auto"/>
        <w:rPr>
          <w:sz w:val="20"/>
          <w:szCs w:val="20"/>
          <w:color w:val="auto"/>
        </w:rPr>
      </w:pPr>
      <w:r>
        <w:rPr>
          <w:rFonts w:ascii="Arial" w:cs="Arial" w:eastAsia="Arial" w:hAnsi="Arial"/>
          <w:sz w:val="20"/>
          <w:szCs w:val="20"/>
          <w:color w:val="auto"/>
        </w:rPr>
        <w:t>IN WITNESS WHEREOF, the parties have caused this Amendment to be executed by their duly authorized representatives.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Blueprint Medicines Corporation</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27787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Name: Jeffrey W. Albers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0"/>
                <w:szCs w:val="20"/>
                <w:color w:val="auto"/>
              </w:rPr>
              <w:t>Title:</w:t>
            </w:r>
          </w:p>
        </w:tc>
        <w:tc>
          <w:tcPr>
            <w:tcW w:w="3720" w:type="dxa"/>
            <w:vAlign w:val="bottom"/>
          </w:tcPr>
          <w:p>
            <w:pPr>
              <w:ind w:left="120"/>
              <w:spacing w:after="0"/>
              <w:rPr>
                <w:sz w:val="20"/>
                <w:szCs w:val="20"/>
                <w:color w:val="auto"/>
              </w:rPr>
            </w:pPr>
            <w:r>
              <w:rPr>
                <w:rFonts w:ascii="Arial" w:cs="Arial" w:eastAsia="Arial" w:hAnsi="Arial"/>
                <w:sz w:val="20"/>
                <w:szCs w:val="20"/>
                <w:color w:val="auto"/>
              </w:rPr>
              <w:t>Chief Executive Officer</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20"/>
                <w:szCs w:val="20"/>
                <w:b w:val="1"/>
                <w:bCs w:val="1"/>
                <w:color w:val="auto"/>
              </w:rPr>
              <w:t>F. Hoffmann-La Roche Ltd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Stefan Arnold</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Barbara Luekel</w:t>
            </w:r>
          </w:p>
        </w:tc>
      </w:tr>
      <w:tr>
        <w:trPr>
          <w:trHeight w:val="443"/>
        </w:trPr>
        <w:tc>
          <w:tcPr>
            <w:tcW w:w="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Name: Stefan Arnold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20"/>
                <w:szCs w:val="20"/>
                <w:color w:val="auto"/>
              </w:rPr>
              <w:t>Name: Barbara Luekel</w:t>
            </w:r>
          </w:p>
        </w:tc>
      </w:tr>
      <w:tr>
        <w:trPr>
          <w:trHeight w:val="317"/>
        </w:trPr>
        <w:tc>
          <w:tcPr>
            <w:tcW w:w="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Title: Head Legal Pharma</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20"/>
                <w:szCs w:val="20"/>
                <w:color w:val="auto"/>
              </w:rPr>
              <w:t>Title: Global Head of Research Technologies</w:t>
            </w: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20"/>
                <w:szCs w:val="20"/>
                <w:color w:val="auto"/>
              </w:rPr>
              <w:t>Partnering</w:t>
            </w:r>
          </w:p>
        </w:tc>
      </w:tr>
      <w:tr>
        <w:trPr>
          <w:trHeight w:val="648"/>
        </w:trPr>
        <w:tc>
          <w:tcPr>
            <w:tcW w:w="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20"/>
                <w:szCs w:val="20"/>
                <w:b w:val="1"/>
                <w:bCs w:val="1"/>
                <w:color w:val="auto"/>
              </w:rPr>
              <w:t>Hoffmann-La Roche Inc.</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John P. Parise</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43"/>
        </w:trPr>
        <w:tc>
          <w:tcPr>
            <w:tcW w:w="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20"/>
                <w:szCs w:val="20"/>
                <w:color w:val="auto"/>
              </w:rPr>
              <w:t>Name: John P. Parise</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0"/>
                <w:szCs w:val="20"/>
                <w:color w:val="auto"/>
              </w:rPr>
              <w:t>Title:</w:t>
            </w:r>
          </w:p>
        </w:tc>
        <w:tc>
          <w:tcPr>
            <w:tcW w:w="3720" w:type="dxa"/>
            <w:vAlign w:val="bottom"/>
          </w:tcPr>
          <w:p>
            <w:pPr>
              <w:ind w:left="100"/>
              <w:spacing w:after="0"/>
              <w:rPr>
                <w:sz w:val="20"/>
                <w:szCs w:val="20"/>
                <w:color w:val="auto"/>
              </w:rPr>
            </w:pPr>
            <w:r>
              <w:rPr>
                <w:rFonts w:ascii="Arial" w:cs="Arial" w:eastAsia="Arial" w:hAnsi="Arial"/>
                <w:sz w:val="20"/>
                <w:szCs w:val="20"/>
                <w:color w:val="auto"/>
              </w:rPr>
              <w:t>Authorized Signatory</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6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20"/>
                <w:szCs w:val="20"/>
                <w:color w:val="auto"/>
              </w:rPr>
              <w:t>3 -</w:t>
            </w:r>
          </w:p>
        </w:tc>
        <w:tc>
          <w:tcPr>
            <w:tcW w:w="412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2019-12-28T10:54:05Z</dcterms:created>
  <dcterms:modified xsi:type="dcterms:W3CDTF">2019-12-28T10:54:05Z</dcterms:modified>
</cp:coreProperties>
</file>