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jc w:val="center"/>
        <w:ind w:right="-19"/>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99060</wp:posOffset>
            </wp:positionV>
            <wp:extent cx="6423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423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(Mark One)</w:t>
      </w:r>
    </w:p>
    <w:p>
      <w:pPr>
        <w:spacing w:after="0" w:line="301" w:lineRule="exact"/>
        <w:rPr>
          <w:sz w:val="24"/>
          <w:szCs w:val="24"/>
          <w:color w:val="auto"/>
        </w:rPr>
      </w:pPr>
    </w:p>
    <w:p>
      <w:pPr>
        <w:ind w:left="30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Arial" w:cs="Arial" w:eastAsia="Arial" w:hAnsi="Arial"/>
          <w:sz w:val="18"/>
          <w:szCs w:val="18"/>
          <w:b w:val="1"/>
          <w:bCs w:val="1"/>
          <w:color w:val="auto"/>
        </w:rPr>
        <w:t xml:space="preserve">  QUARTERLY REPORT PURSUANT TO SECTION 13 OR 15(d) OF THE SECURITIES EXCHANGE ACT OF 1934</w:t>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2015</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152" w:lineRule="exact"/>
        <w:rPr>
          <w:sz w:val="24"/>
          <w:szCs w:val="24"/>
          <w:color w:val="auto"/>
        </w:rPr>
      </w:pPr>
    </w:p>
    <w:p>
      <w:pPr>
        <w:ind w:left="300"/>
        <w:spacing w:after="0"/>
        <w:rPr>
          <w:sz w:val="24"/>
          <w:szCs w:val="24"/>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118110</wp:posOffset>
            </wp:positionV>
            <wp:extent cx="6423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BLUEPRINT MEDICINES CORPORATION</w:t>
      </w: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6423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57" w:lineRule="exact"/>
        <w:rPr>
          <w:sz w:val="24"/>
          <w:szCs w:val="24"/>
          <w:color w:val="auto"/>
        </w:rPr>
      </w:pPr>
    </w:p>
    <w:tbl>
      <w:tblPr>
        <w:tblLayout w:type="fixed"/>
        <w:tblInd w:w="1300" w:type="dxa"/>
        <w:tblCellMar>
          <w:top w:w="0" w:type="dxa"/>
          <w:left w:w="0" w:type="dxa"/>
          <w:bottom w:w="0" w:type="dxa"/>
          <w:right w:w="0" w:type="dxa"/>
        </w:tblCellMar>
      </w:tblPr>
      <w:tr>
        <w:trPr>
          <w:trHeight w:val="171"/>
        </w:trPr>
        <w:tc>
          <w:tcPr>
            <w:tcW w:w="5860" w:type="dxa"/>
            <w:vAlign w:val="bottom"/>
          </w:tcPr>
          <w:p>
            <w:pPr>
              <w:jc w:val="center"/>
              <w:ind w:right="3299"/>
              <w:spacing w:after="0"/>
              <w:rPr>
                <w:sz w:val="20"/>
                <w:szCs w:val="20"/>
                <w:color w:val="auto"/>
              </w:rPr>
            </w:pPr>
            <w:r>
              <w:rPr>
                <w:rFonts w:ascii="Arial" w:cs="Arial" w:eastAsia="Arial" w:hAnsi="Arial"/>
                <w:sz w:val="14"/>
                <w:szCs w:val="14"/>
                <w:b w:val="1"/>
                <w:bCs w:val="1"/>
                <w:color w:val="auto"/>
                <w:w w:val="94"/>
              </w:rPr>
              <w:t>Delaware</w:t>
            </w:r>
          </w:p>
        </w:tc>
        <w:tc>
          <w:tcPr>
            <w:tcW w:w="940" w:type="dxa"/>
            <w:vAlign w:val="bottom"/>
          </w:tcPr>
          <w:p>
            <w:pPr>
              <w:jc w:val="right"/>
              <w:ind w:right="39"/>
              <w:spacing w:after="0"/>
              <w:rPr>
                <w:sz w:val="20"/>
                <w:szCs w:val="20"/>
                <w:color w:val="auto"/>
              </w:rPr>
            </w:pPr>
            <w:r>
              <w:rPr>
                <w:rFonts w:ascii="Arial" w:cs="Arial" w:eastAsia="Arial" w:hAnsi="Arial"/>
                <w:sz w:val="14"/>
                <w:szCs w:val="14"/>
                <w:b w:val="1"/>
                <w:bCs w:val="1"/>
                <w:color w:val="auto"/>
              </w:rPr>
              <w:t>26 3632015</w:t>
            </w:r>
          </w:p>
        </w:tc>
      </w:tr>
      <w:tr>
        <w:trPr>
          <w:trHeight w:val="122"/>
        </w:trPr>
        <w:tc>
          <w:tcPr>
            <w:tcW w:w="5860" w:type="dxa"/>
            <w:vAlign w:val="bottom"/>
          </w:tcPr>
          <w:p>
            <w:pPr>
              <w:jc w:val="center"/>
              <w:ind w:right="3319"/>
              <w:spacing w:after="0" w:line="122" w:lineRule="exact"/>
              <w:rPr>
                <w:sz w:val="20"/>
                <w:szCs w:val="20"/>
                <w:color w:val="auto"/>
              </w:rPr>
            </w:pPr>
            <w:r>
              <w:rPr>
                <w:rFonts w:ascii="Arial" w:cs="Arial" w:eastAsia="Arial" w:hAnsi="Arial"/>
                <w:sz w:val="11"/>
                <w:szCs w:val="11"/>
                <w:b w:val="1"/>
                <w:bCs w:val="1"/>
                <w:color w:val="auto"/>
                <w:w w:val="89"/>
              </w:rPr>
              <w:t>(State or Other Jurisdiction of</w:t>
            </w:r>
          </w:p>
        </w:tc>
        <w:tc>
          <w:tcPr>
            <w:tcW w:w="940" w:type="dxa"/>
            <w:vAlign w:val="bottom"/>
          </w:tcPr>
          <w:p>
            <w:pPr>
              <w:jc w:val="center"/>
              <w:ind w:left="19"/>
              <w:spacing w:after="0" w:line="122" w:lineRule="exact"/>
              <w:rPr>
                <w:sz w:val="20"/>
                <w:szCs w:val="20"/>
                <w:color w:val="auto"/>
              </w:rPr>
            </w:pPr>
            <w:r>
              <w:rPr>
                <w:rFonts w:ascii="Arial" w:cs="Arial" w:eastAsia="Arial" w:hAnsi="Arial"/>
                <w:sz w:val="11"/>
                <w:szCs w:val="11"/>
                <w:b w:val="1"/>
                <w:bCs w:val="1"/>
                <w:color w:val="auto"/>
                <w:w w:val="92"/>
              </w:rPr>
              <w:t>(I.R.S. Employer</w:t>
            </w:r>
          </w:p>
        </w:tc>
      </w:tr>
      <w:tr>
        <w:trPr>
          <w:trHeight w:val="140"/>
        </w:trPr>
        <w:tc>
          <w:tcPr>
            <w:tcW w:w="5860" w:type="dxa"/>
            <w:vAlign w:val="bottom"/>
          </w:tcPr>
          <w:p>
            <w:pPr>
              <w:jc w:val="center"/>
              <w:ind w:right="3319"/>
              <w:spacing w:after="0"/>
              <w:rPr>
                <w:sz w:val="20"/>
                <w:szCs w:val="20"/>
                <w:color w:val="auto"/>
              </w:rPr>
            </w:pPr>
            <w:r>
              <w:rPr>
                <w:rFonts w:ascii="Arial" w:cs="Arial" w:eastAsia="Arial" w:hAnsi="Arial"/>
                <w:sz w:val="11"/>
                <w:szCs w:val="11"/>
                <w:b w:val="1"/>
                <w:bCs w:val="1"/>
                <w:color w:val="auto"/>
                <w:w w:val="90"/>
              </w:rPr>
              <w:t>Incorporation or Organization)</w:t>
            </w:r>
          </w:p>
        </w:tc>
        <w:tc>
          <w:tcPr>
            <w:tcW w:w="940" w:type="dxa"/>
            <w:vAlign w:val="bottom"/>
          </w:tcPr>
          <w:p>
            <w:pPr>
              <w:jc w:val="center"/>
              <w:ind w:left="19"/>
              <w:spacing w:after="0"/>
              <w:rPr>
                <w:sz w:val="20"/>
                <w:szCs w:val="20"/>
                <w:color w:val="auto"/>
              </w:rPr>
            </w:pPr>
            <w:r>
              <w:rPr>
                <w:rFonts w:ascii="Arial" w:cs="Arial" w:eastAsia="Arial" w:hAnsi="Arial"/>
                <w:sz w:val="11"/>
                <w:szCs w:val="11"/>
                <w:b w:val="1"/>
                <w:bCs w:val="1"/>
                <w:color w:val="auto"/>
                <w:w w:val="92"/>
              </w:rPr>
              <w:t>Identification No.)</w:t>
            </w:r>
          </w:p>
        </w:tc>
      </w:tr>
      <w:tr>
        <w:trPr>
          <w:trHeight w:val="265"/>
        </w:trPr>
        <w:tc>
          <w:tcPr>
            <w:tcW w:w="5860" w:type="dxa"/>
            <w:vAlign w:val="bottom"/>
          </w:tcPr>
          <w:p>
            <w:pPr>
              <w:jc w:val="center"/>
              <w:ind w:right="3319"/>
              <w:spacing w:after="0"/>
              <w:rPr>
                <w:sz w:val="20"/>
                <w:szCs w:val="20"/>
                <w:color w:val="auto"/>
              </w:rPr>
            </w:pPr>
            <w:r>
              <w:rPr>
                <w:rFonts w:ascii="Arial" w:cs="Arial" w:eastAsia="Arial" w:hAnsi="Arial"/>
                <w:sz w:val="14"/>
                <w:szCs w:val="14"/>
                <w:b w:val="1"/>
                <w:bCs w:val="1"/>
                <w:color w:val="auto"/>
                <w:w w:val="92"/>
              </w:rPr>
              <w:t>215 First St., Cambridge, Massachusetts</w:t>
            </w:r>
          </w:p>
        </w:tc>
        <w:tc>
          <w:tcPr>
            <w:tcW w:w="940" w:type="dxa"/>
            <w:vAlign w:val="bottom"/>
          </w:tcPr>
          <w:p>
            <w:pPr>
              <w:jc w:val="right"/>
              <w:ind w:right="199"/>
              <w:spacing w:after="0"/>
              <w:rPr>
                <w:sz w:val="20"/>
                <w:szCs w:val="20"/>
                <w:color w:val="auto"/>
              </w:rPr>
            </w:pPr>
            <w:r>
              <w:rPr>
                <w:rFonts w:ascii="Arial" w:cs="Arial" w:eastAsia="Arial" w:hAnsi="Arial"/>
                <w:sz w:val="14"/>
                <w:szCs w:val="14"/>
                <w:b w:val="1"/>
                <w:bCs w:val="1"/>
                <w:color w:val="auto"/>
              </w:rPr>
              <w:t>02142</w:t>
            </w:r>
          </w:p>
        </w:tc>
      </w:tr>
      <w:tr>
        <w:trPr>
          <w:trHeight w:val="140"/>
        </w:trPr>
        <w:tc>
          <w:tcPr>
            <w:tcW w:w="5860" w:type="dxa"/>
            <w:vAlign w:val="bottom"/>
          </w:tcPr>
          <w:p>
            <w:pPr>
              <w:jc w:val="center"/>
              <w:ind w:right="3319"/>
              <w:spacing w:after="0"/>
              <w:rPr>
                <w:sz w:val="20"/>
                <w:szCs w:val="20"/>
                <w:color w:val="auto"/>
              </w:rPr>
            </w:pPr>
            <w:r>
              <w:rPr>
                <w:rFonts w:ascii="Arial" w:cs="Arial" w:eastAsia="Arial" w:hAnsi="Arial"/>
                <w:sz w:val="11"/>
                <w:szCs w:val="11"/>
                <w:b w:val="1"/>
                <w:bCs w:val="1"/>
                <w:color w:val="auto"/>
                <w:w w:val="87"/>
              </w:rPr>
              <w:t>(Address of Principal Executive Offices)</w:t>
            </w:r>
          </w:p>
        </w:tc>
        <w:tc>
          <w:tcPr>
            <w:tcW w:w="940" w:type="dxa"/>
            <w:vAlign w:val="bottom"/>
          </w:tcPr>
          <w:p>
            <w:pPr>
              <w:jc w:val="center"/>
              <w:ind w:left="19"/>
              <w:spacing w:after="0"/>
              <w:rPr>
                <w:sz w:val="20"/>
                <w:szCs w:val="20"/>
                <w:color w:val="auto"/>
              </w:rPr>
            </w:pPr>
            <w:r>
              <w:rPr>
                <w:rFonts w:ascii="Arial" w:cs="Arial" w:eastAsia="Arial" w:hAnsi="Arial"/>
                <w:sz w:val="11"/>
                <w:szCs w:val="11"/>
                <w:b w:val="1"/>
                <w:bCs w:val="1"/>
                <w:color w:val="auto"/>
                <w:w w:val="91"/>
              </w:rPr>
              <w:t>(Zip Code)</w:t>
            </w:r>
          </w:p>
        </w:tc>
      </w:tr>
      <w:tr>
        <w:trPr>
          <w:trHeight w:val="279"/>
        </w:trPr>
        <w:tc>
          <w:tcPr>
            <w:tcW w:w="5860" w:type="dxa"/>
            <w:vAlign w:val="bottom"/>
          </w:tcPr>
          <w:p>
            <w:pPr>
              <w:jc w:val="center"/>
              <w:ind w:left="1579"/>
              <w:spacing w:after="0"/>
              <w:rPr>
                <w:sz w:val="20"/>
                <w:szCs w:val="20"/>
                <w:color w:val="auto"/>
              </w:rPr>
            </w:pPr>
            <w:r>
              <w:rPr>
                <w:rFonts w:ascii="Arial" w:cs="Arial" w:eastAsia="Arial" w:hAnsi="Arial"/>
                <w:sz w:val="14"/>
                <w:szCs w:val="14"/>
                <w:b w:val="1"/>
                <w:bCs w:val="1"/>
                <w:color w:val="auto"/>
                <w:w w:val="93"/>
              </w:rPr>
              <w:t>(617) 374-7580</w:t>
            </w:r>
          </w:p>
        </w:tc>
        <w:tc>
          <w:tcPr>
            <w:tcW w:w="940" w:type="dxa"/>
            <w:vAlign w:val="bottom"/>
          </w:tcPr>
          <w:p>
            <w:pPr>
              <w:spacing w:after="0"/>
              <w:rPr>
                <w:sz w:val="24"/>
                <w:szCs w:val="24"/>
                <w:color w:val="auto"/>
              </w:rPr>
            </w:pPr>
          </w:p>
        </w:tc>
      </w:tr>
      <w:tr>
        <w:trPr>
          <w:trHeight w:val="140"/>
        </w:trPr>
        <w:tc>
          <w:tcPr>
            <w:tcW w:w="5860" w:type="dxa"/>
            <w:vAlign w:val="bottom"/>
          </w:tcPr>
          <w:p>
            <w:pPr>
              <w:jc w:val="center"/>
              <w:ind w:left="1579"/>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40" w:type="dxa"/>
            <w:vAlign w:val="bottom"/>
          </w:tcPr>
          <w:p>
            <w:pPr>
              <w:spacing w:after="0"/>
              <w:rPr>
                <w:sz w:val="12"/>
                <w:szCs w:val="12"/>
                <w:color w:val="auto"/>
              </w:rPr>
            </w:pPr>
          </w:p>
        </w:tc>
      </w:tr>
      <w:tr>
        <w:trPr>
          <w:trHeight w:val="283"/>
        </w:trPr>
        <w:tc>
          <w:tcPr>
            <w:tcW w:w="5860" w:type="dxa"/>
            <w:vAlign w:val="bottom"/>
          </w:tcPr>
          <w:p>
            <w:pPr>
              <w:jc w:val="center"/>
              <w:ind w:left="1579"/>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64230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321" w:lineRule="exact"/>
        <w:rPr>
          <w:sz w:val="24"/>
          <w:szCs w:val="24"/>
          <w:color w:val="auto"/>
        </w:rPr>
      </w:pPr>
    </w:p>
    <w:p>
      <w:pPr>
        <w:ind w:right="26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ind w:right="30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w:t>
      </w:r>
    </w:p>
    <w:p>
      <w:pPr>
        <w:spacing w:after="0" w:line="127" w:lineRule="exact"/>
        <w:rPr>
          <w:sz w:val="24"/>
          <w:szCs w:val="24"/>
          <w:color w:val="auto"/>
        </w:rPr>
      </w:pPr>
    </w:p>
    <w:p>
      <w:pPr>
        <w:ind w:firstLine="415"/>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660" w:type="dxa"/>
            <w:vAlign w:val="bottom"/>
          </w:tcPr>
          <w:p>
            <w:pPr>
              <w:spacing w:after="0"/>
              <w:rPr>
                <w:sz w:val="19"/>
                <w:szCs w:val="19"/>
                <w:color w:val="auto"/>
              </w:rPr>
            </w:pPr>
          </w:p>
        </w:tc>
        <w:tc>
          <w:tcPr>
            <w:tcW w:w="2680" w:type="dxa"/>
            <w:vAlign w:val="bottom"/>
          </w:tcPr>
          <w:p>
            <w:pPr>
              <w:ind w:left="200"/>
              <w:spacing w:after="0"/>
              <w:rPr>
                <w:sz w:val="20"/>
                <w:szCs w:val="20"/>
                <w:color w:val="auto"/>
              </w:rPr>
            </w:pPr>
            <w:r>
              <w:rPr>
                <w:rFonts w:ascii="Arial" w:cs="Arial" w:eastAsia="Arial" w:hAnsi="Arial"/>
                <w:sz w:val="14"/>
                <w:szCs w:val="14"/>
                <w:color w:val="auto"/>
              </w:rPr>
              <w:t>Accelerated filer</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40" w:type="dxa"/>
            <w:vAlign w:val="bottom"/>
          </w:tcPr>
          <w:p>
            <w:pPr>
              <w:spacing w:after="0"/>
              <w:rPr>
                <w:sz w:val="21"/>
                <w:szCs w:val="21"/>
                <w:color w:val="auto"/>
              </w:rPr>
            </w:pPr>
          </w:p>
        </w:tc>
        <w:tc>
          <w:tcPr>
            <w:tcW w:w="2660" w:type="dxa"/>
            <w:vAlign w:val="bottom"/>
          </w:tcPr>
          <w:p>
            <w:pPr>
              <w:ind w:left="76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(Do not check if a smaller</w:t>
            </w:r>
          </w:p>
        </w:tc>
        <w:tc>
          <w:tcPr>
            <w:tcW w:w="2680" w:type="dxa"/>
            <w:vAlign w:val="bottom"/>
          </w:tcPr>
          <w:p>
            <w:pPr>
              <w:spacing w:after="0"/>
              <w:rPr>
                <w:sz w:val="21"/>
                <w:szCs w:val="21"/>
                <w:color w:val="auto"/>
              </w:rPr>
            </w:pPr>
          </w:p>
        </w:tc>
        <w:tc>
          <w:tcPr>
            <w:tcW w:w="86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40" w:type="dxa"/>
            <w:vAlign w:val="bottom"/>
          </w:tcPr>
          <w:p>
            <w:pPr>
              <w:spacing w:after="0"/>
              <w:rPr>
                <w:sz w:val="20"/>
                <w:szCs w:val="20"/>
                <w:color w:val="auto"/>
              </w:rPr>
            </w:pPr>
            <w:r>
              <w:rPr>
                <w:rFonts w:ascii="Arial" w:cs="Arial" w:eastAsia="Arial" w:hAnsi="Arial"/>
                <w:sz w:val="14"/>
                <w:szCs w:val="14"/>
                <w:color w:val="auto"/>
              </w:rPr>
              <w:t>Non-accelerated filer</w:t>
            </w:r>
          </w:p>
        </w:tc>
        <w:tc>
          <w:tcPr>
            <w:tcW w:w="2660" w:type="dxa"/>
            <w:vAlign w:val="bottom"/>
          </w:tcPr>
          <w:p>
            <w:pPr>
              <w:ind w:left="760"/>
              <w:spacing w:after="0"/>
              <w:rPr>
                <w:sz w:val="20"/>
                <w:szCs w:val="20"/>
                <w:color w:val="auto"/>
              </w:rPr>
            </w:pPr>
            <w:r>
              <w:rPr>
                <w:rFonts w:ascii="Arial" w:cs="Arial" w:eastAsia="Arial" w:hAnsi="Arial"/>
                <w:sz w:val="14"/>
                <w:szCs w:val="14"/>
                <w:color w:val="auto"/>
              </w:rPr>
              <w:t>reporting company)</w:t>
            </w:r>
          </w:p>
        </w:tc>
        <w:tc>
          <w:tcPr>
            <w:tcW w:w="2680" w:type="dxa"/>
            <w:vAlign w:val="bottom"/>
          </w:tcPr>
          <w:p>
            <w:pPr>
              <w:ind w:left="200"/>
              <w:spacing w:after="0"/>
              <w:rPr>
                <w:sz w:val="20"/>
                <w:szCs w:val="20"/>
                <w:color w:val="auto"/>
              </w:rPr>
            </w:pPr>
            <w:r>
              <w:rPr>
                <w:rFonts w:ascii="Arial" w:cs="Arial" w:eastAsia="Arial" w:hAnsi="Arial"/>
                <w:sz w:val="14"/>
                <w:szCs w:val="14"/>
                <w:color w:val="auto"/>
              </w:rPr>
              <w:t>Smaller reporting company</w:t>
            </w: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380" w:type="dxa"/>
            <w:vAlign w:val="bottom"/>
            <w:gridSpan w:val="3"/>
          </w:tcPr>
          <w:p>
            <w:pPr>
              <w:ind w:left="42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  Yes</w:t>
            </w:r>
          </w:p>
        </w:tc>
        <w:tc>
          <w:tcPr>
            <w:tcW w:w="860" w:type="dxa"/>
            <w:vAlign w:val="bottom"/>
          </w:tcPr>
          <w:p>
            <w:pPr>
              <w:ind w:left="80"/>
              <w:spacing w:after="0" w:line="188" w:lineRule="exact"/>
              <w:rPr>
                <w:sz w:val="20"/>
                <w:szCs w:val="20"/>
                <w:color w:val="auto"/>
              </w:rPr>
            </w:pP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August 6, 2015: 27,112,120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293370</wp:posOffset>
            </wp:positionH>
            <wp:positionV relativeFrom="paragraph">
              <wp:posOffset>891540</wp:posOffset>
            </wp:positionV>
            <wp:extent cx="584835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10080"/>
          </w:cols>
          <w:pgMar w:left="900" w:top="220"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160" w:type="dxa"/>
            <w:vAlign w:val="bottom"/>
            <w:gridSpan w:val="8"/>
            <w:vMerge w:val="restart"/>
          </w:tcPr>
          <w:p>
            <w:pPr>
              <w:jc w:val="center"/>
              <w:ind w:right="1900"/>
              <w:spacing w:after="0"/>
              <w:rPr>
                <w:sz w:val="20"/>
                <w:szCs w:val="20"/>
                <w:color w:val="auto"/>
              </w:rPr>
            </w:pPr>
            <w:r>
              <w:rPr>
                <w:rFonts w:ascii="Arial" w:cs="Arial" w:eastAsia="Arial" w:hAnsi="Arial"/>
                <w:sz w:val="18"/>
                <w:szCs w:val="18"/>
                <w:color w:val="auto"/>
                <w:w w:val="97"/>
              </w:rPr>
              <w:t>Part I – FINANCIAL INFORMATION</w:t>
            </w:r>
          </w:p>
        </w:tc>
        <w:tc>
          <w:tcPr>
            <w:tcW w:w="540" w:type="dxa"/>
            <w:vAlign w:val="bottom"/>
          </w:tcPr>
          <w:p>
            <w:pPr>
              <w:ind w:left="12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6160" w:type="dxa"/>
            <w:vAlign w:val="bottom"/>
            <w:gridSpan w:val="8"/>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160" w:type="dxa"/>
            <w:vAlign w:val="bottom"/>
            <w:gridSpan w:val="8"/>
            <w:vMerge w:val="continue"/>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8480" w:type="dxa"/>
            <w:vAlign w:val="bottom"/>
            <w:gridSpan w:val="15"/>
          </w:tcPr>
          <w:p>
            <w:pPr>
              <w:spacing w:after="0"/>
              <w:rPr>
                <w:sz w:val="20"/>
                <w:szCs w:val="20"/>
                <w:color w:val="auto"/>
              </w:rPr>
            </w:pPr>
            <w:r>
              <w:rPr>
                <w:rFonts w:ascii="Arial" w:cs="Arial" w:eastAsia="Arial" w:hAnsi="Arial"/>
                <w:sz w:val="18"/>
                <w:szCs w:val="18"/>
                <w:color w:val="auto"/>
              </w:rPr>
              <w:t>Item 1. Financial Statements (unaudited)</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60" w:type="dxa"/>
            <w:vAlign w:val="bottom"/>
            <w:gridSpan w:val="13"/>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June 30, 2015 and December 31, 2014</w:t>
              </w:r>
            </w:hyperlink>
          </w:p>
        </w:tc>
        <w:tc>
          <w:tcPr>
            <w:tcW w:w="540" w:type="dxa"/>
            <w:vAlign w:val="bottom"/>
          </w:tcPr>
          <w:p>
            <w:pPr>
              <w:jc w:val="center"/>
              <w:spacing w:after="0" w:line="190" w:lineRule="exact"/>
              <w:rPr>
                <w:sz w:val="20"/>
                <w:szCs w:val="20"/>
                <w:color w:val="auto"/>
              </w:rPr>
            </w:pPr>
            <w:r>
              <w:rPr>
                <w:rFonts w:ascii="Arial" w:cs="Arial" w:eastAsia="Arial" w:hAnsi="Arial"/>
                <w:sz w:val="18"/>
                <w:szCs w:val="18"/>
                <w:color w:val="auto"/>
                <w:w w:val="79"/>
              </w:rPr>
              <w:t>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9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Statements of Operations for the three and six months ended June 30, 2015 and 2014</w:t>
              </w:r>
            </w:hyperlink>
          </w:p>
        </w:tc>
        <w:tc>
          <w:tcPr>
            <w:tcW w:w="900" w:type="dxa"/>
            <w:vAlign w:val="bottom"/>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60" w:type="dxa"/>
            <w:vAlign w:val="bottom"/>
            <w:gridSpan w:val="1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Statements of Cash Flows for the six months ended June 30, 2015 and 2014</w:t>
              </w:r>
            </w:hyperlink>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3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Condensed Financial Statements</w:t>
              </w:r>
            </w:hyperlink>
          </w:p>
        </w:tc>
        <w:tc>
          <w:tcPr>
            <w:tcW w:w="1560" w:type="dxa"/>
            <w:vAlign w:val="bottom"/>
            <w:gridSpan w:val="3"/>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79"/>
              </w:rPr>
              <w:t>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702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Item 2. Management’s Discussion and Analysis of Financial Condition and Results of Operations</w:t>
              </w:r>
            </w:hyperlink>
          </w:p>
        </w:tc>
        <w:tc>
          <w:tcPr>
            <w:tcW w:w="1460" w:type="dxa"/>
            <w:vAlign w:val="bottom"/>
            <w:gridSpan w:val="2"/>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492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3560" w:type="dxa"/>
            <w:vAlign w:val="bottom"/>
            <w:gridSpan w:val="5"/>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Item 4.</w:t>
              </w:r>
            </w:hyperlink>
          </w:p>
        </w:tc>
        <w:tc>
          <w:tcPr>
            <w:tcW w:w="7940" w:type="dxa"/>
            <w:vAlign w:val="bottom"/>
            <w:gridSpan w:val="14"/>
          </w:tcPr>
          <w:p>
            <w:pPr>
              <w:ind w:left="20"/>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Controls and Procedures</w:t>
              </w:r>
            </w:hyperlink>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1"/>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160" w:type="dxa"/>
            <w:vAlign w:val="bottom"/>
            <w:gridSpan w:val="8"/>
          </w:tcPr>
          <w:p>
            <w:pPr>
              <w:jc w:val="center"/>
              <w:ind w:right="1880"/>
              <w:spacing w:after="0"/>
              <w:rPr>
                <w:sz w:val="20"/>
                <w:szCs w:val="20"/>
                <w:color w:val="auto"/>
              </w:rPr>
            </w:pPr>
            <w:r>
              <w:rPr>
                <w:rFonts w:ascii="Arial" w:cs="Arial" w:eastAsia="Arial" w:hAnsi="Arial"/>
                <w:sz w:val="18"/>
                <w:szCs w:val="18"/>
                <w:color w:val="auto"/>
                <w:w w:val="96"/>
              </w:rPr>
              <w:t>Part II – OTHER INFORMATION</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540" w:type="dxa"/>
            <w:vAlign w:val="bottom"/>
          </w:tcPr>
          <w:p>
            <w:pPr>
              <w:spacing w:after="0" w:line="190"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Item 1.</w:t>
              </w:r>
            </w:hyperlink>
          </w:p>
        </w:tc>
        <w:tc>
          <w:tcPr>
            <w:tcW w:w="7940" w:type="dxa"/>
            <w:vAlign w:val="bottom"/>
            <w:gridSpan w:val="14"/>
          </w:tcPr>
          <w:p>
            <w:pPr>
              <w:ind w:left="20"/>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40" w:type="dxa"/>
            <w:vAlign w:val="bottom"/>
          </w:tcPr>
          <w:p>
            <w:pPr>
              <w:jc w:val="center"/>
              <w:spacing w:after="0" w:line="190" w:lineRule="exact"/>
              <w:rPr>
                <w:sz w:val="20"/>
                <w:szCs w:val="20"/>
                <w:color w:val="auto"/>
              </w:rPr>
            </w:pPr>
            <w:r>
              <w:rPr>
                <w:rFonts w:ascii="Arial" w:cs="Arial" w:eastAsia="Arial" w:hAnsi="Arial"/>
                <w:sz w:val="18"/>
                <w:szCs w:val="18"/>
                <w:color w:val="auto"/>
                <w:w w:val="89"/>
              </w:rPr>
              <w:t>32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6600" w:type="dxa"/>
            <w:vAlign w:val="bottom"/>
            <w:gridSpan w:val="9"/>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40">
              <w:r>
                <w:rPr>
                  <w:rFonts w:ascii="Arial" w:cs="Arial" w:eastAsia="Arial" w:hAnsi="Arial"/>
                  <w:sz w:val="18"/>
                  <w:szCs w:val="18"/>
                  <w:color w:val="0000EE"/>
                  <w:w w:val="94"/>
                </w:rPr>
                <w:t>Item 2.</w:t>
              </w:r>
            </w:hyperlink>
          </w:p>
        </w:tc>
        <w:tc>
          <w:tcPr>
            <w:tcW w:w="7940" w:type="dxa"/>
            <w:vAlign w:val="bottom"/>
            <w:gridSpan w:val="14"/>
          </w:tcPr>
          <w:p>
            <w:pPr>
              <w:ind w:left="20"/>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3"/>
          </w:tcPr>
          <w:p>
            <w:pPr>
              <w:ind w:left="20"/>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Exhibits</w:t>
              </w:r>
            </w:hyperlink>
          </w:p>
        </w:tc>
        <w:tc>
          <w:tcPr>
            <w:tcW w:w="3740" w:type="dxa"/>
            <w:vAlign w:val="bottom"/>
            <w:tcBorders>
              <w:top w:val="single" w:sz="8" w:color="0000EE"/>
            </w:tcBorders>
            <w:gridSpan w:val="5"/>
          </w:tcPr>
          <w:p>
            <w:pPr>
              <w:spacing w:after="0"/>
              <w:rPr>
                <w:sz w:val="17"/>
                <w:szCs w:val="17"/>
                <w:color w:val="auto"/>
              </w:rPr>
            </w:pPr>
          </w:p>
        </w:tc>
        <w:tc>
          <w:tcPr>
            <w:tcW w:w="3580" w:type="dxa"/>
            <w:vAlign w:val="bottom"/>
            <w:gridSpan w:val="6"/>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42">
              <w:r>
                <w:rPr>
                  <w:rFonts w:ascii="Arial" w:cs="Arial" w:eastAsia="Arial" w:hAnsi="Arial"/>
                  <w:sz w:val="18"/>
                  <w:szCs w:val="18"/>
                  <w:color w:val="0000EE"/>
                  <w:w w:val="85"/>
                </w:rPr>
                <w:t>Signatures</w:t>
              </w:r>
            </w:hyperlink>
          </w:p>
        </w:tc>
        <w:tc>
          <w:tcPr>
            <w:tcW w:w="7720" w:type="dxa"/>
            <w:vAlign w:val="bottom"/>
            <w:gridSpan w:val="12"/>
          </w:tcPr>
          <w:p>
            <w:pPr>
              <w:spacing w:after="0"/>
              <w:rPr>
                <w:sz w:val="17"/>
                <w:szCs w:val="17"/>
                <w:color w:val="auto"/>
              </w:rPr>
            </w:pPr>
          </w:p>
        </w:tc>
        <w:tc>
          <w:tcPr>
            <w:tcW w:w="54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360" w:type="dxa"/>
            <w:vAlign w:val="bottom"/>
            <w:gridSpan w:val="8"/>
          </w:tcPr>
          <w:p>
            <w:pPr>
              <w:jc w:val="center"/>
              <w:ind w:left="337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11" w:right="133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Balance Sheets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7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Assets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193,587</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47,240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4"/>
                <w:szCs w:val="14"/>
                <w:color w:val="auto"/>
              </w:rPr>
              <w:t>Restricted cash</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Unbilled accounts receivable</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1,923</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Prepaid expenses and other current assets</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5,814</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915</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201,443</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48,274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2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1,393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1,482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Restricted cash</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1,336</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7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204,208</w:t>
            </w:r>
          </w:p>
        </w:tc>
        <w:tc>
          <w:tcPr>
            <w:tcW w:w="2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49,925</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720" w:type="dxa"/>
            <w:vAlign w:val="bottom"/>
          </w:tcPr>
          <w:p>
            <w:pPr>
              <w:spacing w:after="0"/>
              <w:rPr>
                <w:sz w:val="20"/>
                <w:szCs w:val="20"/>
                <w:color w:val="auto"/>
              </w:rPr>
            </w:pPr>
            <w:r>
              <w:rPr>
                <w:rFonts w:ascii="Arial" w:cs="Arial" w:eastAsia="Arial" w:hAnsi="Arial"/>
                <w:sz w:val="14"/>
                <w:szCs w:val="14"/>
                <w:color w:val="auto"/>
              </w:rPr>
              <w:t>Liabilities, convertible preferred stock and stockholders’ equity (deficit)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1,611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814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4"/>
                <w:szCs w:val="14"/>
                <w:color w:val="auto"/>
              </w:rPr>
              <w:t>Deferred rent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liability</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ind w:left="220"/>
              <w:spacing w:after="0"/>
              <w:rPr>
                <w:sz w:val="20"/>
                <w:szCs w:val="20"/>
                <w:color w:val="auto"/>
              </w:rPr>
            </w:pPr>
            <w:r>
              <w:rPr>
                <w:rFonts w:ascii="Arial" w:cs="Arial" w:eastAsia="Arial" w:hAnsi="Arial"/>
                <w:sz w:val="14"/>
                <w:szCs w:val="14"/>
                <w:color w:val="auto"/>
              </w:rPr>
              <w:t>Current portion of deferred revenue</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5,323</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Current portion of lease incentive obligation</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Current portion of term loan payable</w:t>
            </w: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2,552</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7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14,451</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6,764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720" w:type="dxa"/>
            <w:vAlign w:val="bottom"/>
          </w:tcPr>
          <w:p>
            <w:pPr>
              <w:spacing w:after="0"/>
              <w:rPr>
                <w:sz w:val="20"/>
                <w:szCs w:val="20"/>
                <w:color w:val="auto"/>
              </w:rPr>
            </w:pPr>
            <w:r>
              <w:rPr>
                <w:rFonts w:ascii="Arial" w:cs="Arial" w:eastAsia="Arial" w:hAnsi="Arial"/>
                <w:sz w:val="14"/>
                <w:szCs w:val="14"/>
                <w:color w:val="auto"/>
              </w:rPr>
              <w:t>Deferred rent, net of current portion</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101</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 liability, net of current portion</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spacing w:after="0"/>
              <w:rPr>
                <w:sz w:val="20"/>
                <w:szCs w:val="20"/>
                <w:color w:val="auto"/>
              </w:rPr>
            </w:pPr>
            <w:r>
              <w:rPr>
                <w:rFonts w:ascii="Arial" w:cs="Arial" w:eastAsia="Arial" w:hAnsi="Arial"/>
                <w:sz w:val="14"/>
                <w:szCs w:val="14"/>
                <w:color w:val="auto"/>
              </w:rPr>
              <w:t>Warrant liability</w:t>
            </w:r>
          </w:p>
        </w:tc>
        <w:tc>
          <w:tcPr>
            <w:tcW w:w="160" w:type="dxa"/>
            <w:vAlign w:val="bottom"/>
          </w:tcPr>
          <w:p>
            <w:pPr>
              <w:spacing w:after="0"/>
              <w:rPr>
                <w:sz w:val="15"/>
                <w:szCs w:val="15"/>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Deferred revenue, net of current portion</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10,495</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20" w:type="dxa"/>
            <w:vAlign w:val="bottom"/>
          </w:tcPr>
          <w:p>
            <w:pPr>
              <w:spacing w:after="0"/>
              <w:rPr>
                <w:sz w:val="20"/>
                <w:szCs w:val="20"/>
                <w:color w:val="auto"/>
              </w:rPr>
            </w:pPr>
            <w:r>
              <w:rPr>
                <w:rFonts w:ascii="Arial" w:cs="Arial" w:eastAsia="Arial" w:hAnsi="Arial"/>
                <w:sz w:val="14"/>
                <w:szCs w:val="14"/>
                <w:color w:val="auto"/>
              </w:rPr>
              <w:t>Lease incentive obligation, net of current portion</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3,659</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Term loan payable, net of current portion</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5,710</w:t>
            </w: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tcPr>
          <w:p>
            <w:pPr>
              <w:spacing w:after="0"/>
              <w:rPr>
                <w:sz w:val="20"/>
                <w:szCs w:val="20"/>
                <w:color w:val="auto"/>
              </w:rPr>
            </w:pPr>
            <w:r>
              <w:rPr>
                <w:rFonts w:ascii="Arial" w:cs="Arial" w:eastAsia="Arial" w:hAnsi="Arial"/>
                <w:sz w:val="14"/>
                <w:szCs w:val="14"/>
                <w:color w:val="auto"/>
              </w:rPr>
              <w:t>Other long term liabilities</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Commitments</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720" w:type="dxa"/>
            <w:vAlign w:val="bottom"/>
          </w:tcPr>
          <w:p>
            <w:pPr>
              <w:spacing w:after="0" w:line="108" w:lineRule="exact"/>
              <w:rPr>
                <w:sz w:val="20"/>
                <w:szCs w:val="20"/>
                <w:color w:val="auto"/>
              </w:rPr>
            </w:pPr>
            <w:r>
              <w:rPr>
                <w:rFonts w:ascii="Arial" w:cs="Arial" w:eastAsia="Arial" w:hAnsi="Arial"/>
                <w:sz w:val="12"/>
                <w:szCs w:val="12"/>
                <w:color w:val="auto"/>
              </w:rPr>
              <w:t>Series A convertible preferred stock, $0.001 par value: 0 and 40,150,000 shares authorized at June 30, 2015 and</w:t>
            </w: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40"/>
              <w:spacing w:after="0" w:line="135" w:lineRule="exact"/>
              <w:rPr>
                <w:sz w:val="20"/>
                <w:szCs w:val="20"/>
                <w:color w:val="auto"/>
              </w:rPr>
            </w:pPr>
            <w:r>
              <w:rPr>
                <w:rFonts w:ascii="Arial" w:cs="Arial" w:eastAsia="Arial" w:hAnsi="Arial"/>
                <w:sz w:val="14"/>
                <w:szCs w:val="14"/>
                <w:color w:val="auto"/>
              </w:rPr>
              <w:t>December 31, 2014, respectively; 0 and 40,000,000 shares issued and outstanding at June 30, 2015 and</w:t>
            </w:r>
          </w:p>
        </w:tc>
        <w:tc>
          <w:tcPr>
            <w:tcW w:w="160" w:type="dxa"/>
            <w:vAlign w:val="bottom"/>
          </w:tcPr>
          <w:p>
            <w:pPr>
              <w:spacing w:after="0"/>
              <w:rPr>
                <w:sz w:val="11"/>
                <w:szCs w:val="11"/>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39,958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December 31, 2014, respectively</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7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Series B convertible preferred stock, $0.001 par value: 0 and 20,999,996 shares authorized at June 30,2015 and</w:t>
            </w: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December 31, 2014, respectively; 0 and 20,916,663 shares issued and outstanding at June 30, 2015 and</w:t>
            </w:r>
          </w:p>
        </w:tc>
        <w:tc>
          <w:tcPr>
            <w:tcW w:w="16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24,985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December 31, 2014, respectively</w:t>
            </w:r>
          </w:p>
        </w:tc>
        <w:tc>
          <w:tcPr>
            <w:tcW w:w="16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720" w:type="dxa"/>
            <w:vAlign w:val="bottom"/>
          </w:tcPr>
          <w:p>
            <w:pPr>
              <w:spacing w:after="0" w:line="108" w:lineRule="exact"/>
              <w:rPr>
                <w:sz w:val="20"/>
                <w:szCs w:val="20"/>
                <w:color w:val="auto"/>
              </w:rPr>
            </w:pPr>
            <w:r>
              <w:rPr>
                <w:rFonts w:ascii="Arial" w:cs="Arial" w:eastAsia="Arial" w:hAnsi="Arial"/>
                <w:sz w:val="12"/>
                <w:szCs w:val="12"/>
                <w:color w:val="auto"/>
              </w:rPr>
              <w:t>Series C convertible preferred stock, $0.001 par value: 0 and 24,154,589 shares authorized at June 30, 2015 and</w:t>
            </w: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20" w:type="dxa"/>
            <w:vAlign w:val="bottom"/>
          </w:tcPr>
          <w:p>
            <w:pPr>
              <w:ind w:left="140"/>
              <w:spacing w:after="0" w:line="135" w:lineRule="exact"/>
              <w:rPr>
                <w:sz w:val="20"/>
                <w:szCs w:val="20"/>
                <w:color w:val="auto"/>
              </w:rPr>
            </w:pPr>
            <w:r>
              <w:rPr>
                <w:rFonts w:ascii="Arial" w:cs="Arial" w:eastAsia="Arial" w:hAnsi="Arial"/>
                <w:sz w:val="14"/>
                <w:szCs w:val="14"/>
                <w:color w:val="auto"/>
              </w:rPr>
              <w:t>December 31, 2014, respectively; 0 and 24,154,589 shares issued and outstanding at June 30, 2015 and</w:t>
            </w:r>
          </w:p>
        </w:tc>
        <w:tc>
          <w:tcPr>
            <w:tcW w:w="160" w:type="dxa"/>
            <w:vAlign w:val="bottom"/>
          </w:tcPr>
          <w:p>
            <w:pPr>
              <w:spacing w:after="0"/>
              <w:rPr>
                <w:sz w:val="11"/>
                <w:szCs w:val="11"/>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49,868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December 31, 2014, respectively</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Stockholders’ equity (deficit):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6720" w:type="dxa"/>
            <w:vAlign w:val="bottom"/>
          </w:tcPr>
          <w:p>
            <w:pPr>
              <w:spacing w:after="0" w:line="108" w:lineRule="exact"/>
              <w:rPr>
                <w:sz w:val="20"/>
                <w:szCs w:val="20"/>
                <w:color w:val="auto"/>
              </w:rPr>
            </w:pPr>
            <w:r>
              <w:rPr>
                <w:rFonts w:ascii="Arial" w:cs="Arial" w:eastAsia="Arial" w:hAnsi="Arial"/>
                <w:sz w:val="12"/>
                <w:szCs w:val="12"/>
                <w:color w:val="auto"/>
              </w:rPr>
              <w:t>Preferred stock, $0.001 par value; 5,000,000 shares authorized; no shares issued and outstanding at June 30,</w:t>
            </w:r>
          </w:p>
        </w:tc>
        <w:tc>
          <w:tcPr>
            <w:tcW w:w="160" w:type="dxa"/>
            <w:vAlign w:val="bottom"/>
          </w:tcPr>
          <w:p>
            <w:pPr>
              <w:spacing w:after="0"/>
              <w:rPr>
                <w:sz w:val="9"/>
                <w:szCs w:val="9"/>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720" w:type="dxa"/>
            <w:vAlign w:val="bottom"/>
          </w:tcPr>
          <w:p>
            <w:pPr>
              <w:ind w:left="140"/>
              <w:spacing w:after="0"/>
              <w:rPr>
                <w:sz w:val="20"/>
                <w:szCs w:val="20"/>
                <w:color w:val="auto"/>
              </w:rPr>
            </w:pPr>
            <w:r>
              <w:rPr>
                <w:rFonts w:ascii="Arial" w:cs="Arial" w:eastAsia="Arial" w:hAnsi="Arial"/>
                <w:sz w:val="14"/>
                <w:szCs w:val="14"/>
                <w:color w:val="auto"/>
              </w:rPr>
              <w:t>2015 and December 31, 2014</w:t>
            </w:r>
          </w:p>
        </w:tc>
        <w:tc>
          <w:tcPr>
            <w:tcW w:w="1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72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Common stock, $0.001 par value; 120,000,000 shares authorized; 27,110,402 and 2,218,652 shares issued at</w:t>
            </w:r>
          </w:p>
        </w:tc>
        <w:tc>
          <w:tcPr>
            <w:tcW w:w="16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72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4"/>
              </w:rPr>
              <w:t>June 30, 2015 and December 31, 2014, respectively, and 26,691,946 and 1,626,738 shares outstanding at June</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30, 2015 and December 31, 2014, respectively</w:t>
            </w: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720" w:type="dxa"/>
            <w:vAlign w:val="bottom"/>
          </w:tcPr>
          <w:p>
            <w:pPr>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276,320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2,822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72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1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(106,758)</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(82,206)</w:t>
            </w:r>
          </w:p>
        </w:tc>
        <w:tc>
          <w:tcPr>
            <w:tcW w:w="0" w:type="dxa"/>
            <w:vAlign w:val="bottom"/>
          </w:tcPr>
          <w:p>
            <w:pPr>
              <w:spacing w:after="0"/>
              <w:rPr>
                <w:sz w:val="1"/>
                <w:szCs w:val="1"/>
                <w:color w:val="auto"/>
              </w:rPr>
            </w:pPr>
          </w:p>
        </w:tc>
      </w:tr>
      <w:tr>
        <w:trPr>
          <w:trHeight w:val="156"/>
        </w:trPr>
        <w:tc>
          <w:tcPr>
            <w:tcW w:w="6720" w:type="dxa"/>
            <w:vAlign w:val="bottom"/>
            <w:tcBorders>
              <w:bottom w:val="single" w:sz="8" w:color="CCEEFF"/>
            </w:tcBorders>
          </w:tcPr>
          <w:p>
            <w:pPr>
              <w:spacing w:after="0" w:line="155" w:lineRule="exact"/>
              <w:rPr>
                <w:sz w:val="20"/>
                <w:szCs w:val="20"/>
                <w:color w:val="auto"/>
              </w:rPr>
            </w:pPr>
            <w:r>
              <w:rPr>
                <w:rFonts w:ascii="Arial" w:cs="Arial" w:eastAsia="Arial" w:hAnsi="Arial"/>
                <w:sz w:val="14"/>
                <w:szCs w:val="14"/>
                <w:color w:val="auto"/>
              </w:rPr>
              <w:t>Total stockholders’ equity (deficit)</w:t>
            </w: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169,589</w:t>
            </w:r>
          </w:p>
        </w:tc>
        <w:tc>
          <w:tcPr>
            <w:tcW w:w="20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(79,382)</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2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liabilities, convertible preferred stock, and stockholders’ equity (deficit)</w:t>
            </w: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204,208</w:t>
            </w:r>
          </w:p>
        </w:tc>
        <w:tc>
          <w:tcPr>
            <w:tcW w:w="2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49,925</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Statements of Operations</w:t>
      </w:r>
    </w:p>
    <w:p>
      <w:pPr>
        <w:jc w:val="center"/>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160" w:type="dxa"/>
            <w:vAlign w:val="bottom"/>
          </w:tcPr>
          <w:p>
            <w:pPr>
              <w:spacing w:after="0"/>
              <w:rPr>
                <w:sz w:val="15"/>
                <w:szCs w:val="15"/>
                <w:color w:val="auto"/>
              </w:rPr>
            </w:pPr>
          </w:p>
        </w:tc>
        <w:tc>
          <w:tcPr>
            <w:tcW w:w="1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4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20,476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12,143</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6,610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27,086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8"/>
              </w:rPr>
              <w:t>15,151</w:t>
            </w:r>
          </w:p>
        </w:tc>
        <w:tc>
          <w:tcPr>
            <w:tcW w:w="0" w:type="dxa"/>
            <w:vAlign w:val="bottom"/>
          </w:tcPr>
          <w:p>
            <w:pPr>
              <w:spacing w:after="0"/>
              <w:rPr>
                <w:sz w:val="1"/>
                <w:szCs w:val="1"/>
                <w:color w:val="auto"/>
              </w:rPr>
            </w:pPr>
          </w:p>
        </w:tc>
      </w:tr>
      <w:tr>
        <w:trPr>
          <w:trHeight w:val="176"/>
        </w:trPr>
        <w:tc>
          <w:tcPr>
            <w:tcW w:w="54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(12,980)</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(8,287)</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(24,552)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(15,314)</w:t>
            </w:r>
          </w:p>
        </w:tc>
        <w:tc>
          <w:tcPr>
            <w:tcW w:w="0" w:type="dxa"/>
            <w:vAlign w:val="bottom"/>
          </w:tcPr>
          <w:p>
            <w:pPr>
              <w:spacing w:after="0"/>
              <w:rPr>
                <w:sz w:val="1"/>
                <w:szCs w:val="1"/>
                <w:color w:val="auto"/>
              </w:rPr>
            </w:pPr>
          </w:p>
        </w:tc>
      </w:tr>
      <w:tr>
        <w:trPr>
          <w:trHeight w:val="216"/>
        </w:trPr>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Convertible preferred stock dividends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(1,298)</w:t>
            </w: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Arial" w:cs="Arial" w:eastAsia="Arial" w:hAnsi="Arial"/>
                <w:sz w:val="18"/>
                <w:szCs w:val="18"/>
                <w:color w:val="auto"/>
              </w:rPr>
              <w:t>Net loss applicable to common stockholders</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(13,863)</w:t>
            </w:r>
          </w:p>
        </w:tc>
        <w:tc>
          <w:tcPr>
            <w:tcW w:w="16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(9,585)</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(27,705)</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(17,861)</w:t>
            </w:r>
          </w:p>
        </w:tc>
        <w:tc>
          <w:tcPr>
            <w:tcW w:w="0" w:type="dxa"/>
            <w:vAlign w:val="bottom"/>
          </w:tcPr>
          <w:p>
            <w:pPr>
              <w:spacing w:after="0"/>
              <w:rPr>
                <w:sz w:val="1"/>
                <w:szCs w:val="1"/>
                <w:color w:val="auto"/>
              </w:rPr>
            </w:pPr>
          </w:p>
        </w:tc>
      </w:tr>
      <w:tr>
        <w:trPr>
          <w:trHeight w:val="27"/>
        </w:trPr>
        <w:tc>
          <w:tcPr>
            <w:tcW w:w="54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Borders>
              <w:right w:val="single" w:sz="8" w:color="CCEEFF"/>
            </w:tcBorders>
            <w:vMerge w:val="restart"/>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tcBorders>
              <w:right w:val="single" w:sz="8" w:color="CCEEFF"/>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w w:val="91"/>
                <w:shd w:val="clear" w:color="auto" w:fill="CCEEFF"/>
              </w:rPr>
              <w:t>Net loss per share applicable to common stockholders — basic and diluted</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(0.81)</w:t>
            </w:r>
          </w:p>
        </w:tc>
        <w:tc>
          <w:tcPr>
            <w:tcW w:w="160" w:type="dxa"/>
            <w:vAlign w:val="bottom"/>
            <w:vMerge w:val="continue"/>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shd w:val="clear" w:color="auto" w:fill="CCEEFF"/>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(6.99)</w:t>
            </w:r>
          </w:p>
        </w:tc>
        <w:tc>
          <w:tcPr>
            <w:tcW w:w="140" w:type="dxa"/>
            <w:vAlign w:val="bottom"/>
            <w:tcBorders>
              <w:right w:val="single" w:sz="8" w:color="CCEEFF"/>
            </w:tcBorders>
            <w:vMerge w:val="continue"/>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(2.94)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(13.44)</w:t>
            </w:r>
          </w:p>
        </w:tc>
        <w:tc>
          <w:tcPr>
            <w:tcW w:w="0" w:type="dxa"/>
            <w:vAlign w:val="bottom"/>
          </w:tcPr>
          <w:p>
            <w:pPr>
              <w:spacing w:after="0"/>
              <w:rPr>
                <w:sz w:val="1"/>
                <w:szCs w:val="1"/>
                <w:color w:val="auto"/>
              </w:rPr>
            </w:pPr>
          </w:p>
        </w:tc>
      </w:tr>
      <w:tr>
        <w:trPr>
          <w:trHeight w:val="122"/>
        </w:trPr>
        <w:tc>
          <w:tcPr>
            <w:tcW w:w="5460" w:type="dxa"/>
            <w:vAlign w:val="bottom"/>
            <w:tcBorders>
              <w:top w:val="single" w:sz="8" w:color="CCEEFF"/>
            </w:tcBorders>
          </w:tcPr>
          <w:p>
            <w:pPr>
              <w:spacing w:after="0" w:line="122" w:lineRule="exact"/>
              <w:rPr>
                <w:sz w:val="20"/>
                <w:szCs w:val="20"/>
                <w:color w:val="auto"/>
              </w:rPr>
            </w:pPr>
            <w:r>
              <w:rPr>
                <w:rFonts w:ascii="Arial" w:cs="Arial" w:eastAsia="Arial" w:hAnsi="Arial"/>
                <w:sz w:val="14"/>
                <w:szCs w:val="14"/>
                <w:color w:val="auto"/>
              </w:rPr>
              <w:t>Weighted-average number of common shares used in net loss per share</w:t>
            </w:r>
          </w:p>
        </w:tc>
        <w:tc>
          <w:tcPr>
            <w:tcW w:w="8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17,093</w:t>
            </w:r>
          </w:p>
        </w:tc>
        <w:tc>
          <w:tcPr>
            <w:tcW w:w="16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top w:val="single" w:sz="8" w:color="CCEEFF"/>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8"/>
                <w:szCs w:val="18"/>
                <w:color w:val="auto"/>
              </w:rPr>
              <w:t>9,430</w:t>
            </w:r>
          </w:p>
        </w:tc>
        <w:tc>
          <w:tcPr>
            <w:tcW w:w="8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196"/>
        </w:trPr>
        <w:tc>
          <w:tcPr>
            <w:tcW w:w="5460" w:type="dxa"/>
            <w:vAlign w:val="bottom"/>
          </w:tcPr>
          <w:p>
            <w:pPr>
              <w:ind w:left="140"/>
              <w:spacing w:after="0" w:line="189" w:lineRule="exact"/>
              <w:rPr>
                <w:sz w:val="20"/>
                <w:szCs w:val="20"/>
                <w:color w:val="auto"/>
              </w:rPr>
            </w:pPr>
            <w:r>
              <w:rPr>
                <w:rFonts w:ascii="Arial" w:cs="Arial" w:eastAsia="Arial" w:hAnsi="Arial"/>
                <w:sz w:val="18"/>
                <w:szCs w:val="18"/>
                <w:color w:val="auto"/>
              </w:rPr>
              <w:t>applicable to common stockholders — basic and diluted</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Statements of Cash Flows</w:t>
      </w:r>
    </w:p>
    <w:p>
      <w:pPr>
        <w:jc w:val="center"/>
        <w:spacing w:after="0" w:line="204" w:lineRule="auto"/>
        <w:rPr>
          <w:sz w:val="20"/>
          <w:szCs w:val="20"/>
          <w:color w:val="auto"/>
        </w:rPr>
      </w:pPr>
      <w:r>
        <w:rPr>
          <w:rFonts w:ascii="Arial" w:cs="Arial" w:eastAsia="Arial" w:hAnsi="Arial"/>
          <w:sz w:val="18"/>
          <w:szCs w:val="18"/>
          <w:b w:val="1"/>
          <w:bCs w:val="1"/>
          <w:color w:val="auto"/>
        </w:rPr>
        <w:t>(in thousands)</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666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3"/>
                <w:szCs w:val="13"/>
                <w:color w:val="auto"/>
              </w:rPr>
            </w:pPr>
          </w:p>
        </w:tc>
      </w:tr>
      <w:tr>
        <w:trPr>
          <w:trHeight w:val="169"/>
        </w:trPr>
        <w:tc>
          <w:tcPr>
            <w:tcW w:w="66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loss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(24,552)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(15,314)</w:t>
            </w:r>
          </w:p>
        </w:tc>
      </w:tr>
      <w:tr>
        <w:trPr>
          <w:trHeight w:val="176"/>
        </w:trPr>
        <w:tc>
          <w:tcPr>
            <w:tcW w:w="6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in operating activities: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273</w:t>
            </w:r>
          </w:p>
        </w:tc>
        <w:tc>
          <w:tcPr>
            <w:tcW w:w="4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interest expense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Arial" w:cs="Arial" w:eastAsia="Arial" w:hAnsi="Arial"/>
                <w:sz w:val="18"/>
                <w:szCs w:val="18"/>
                <w:color w:val="auto"/>
              </w:rPr>
              <w:t>Change in fair value of warrant liability</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6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40" w:type="dxa"/>
            <w:vAlign w:val="bottom"/>
            <w:shd w:val="clear" w:color="auto" w:fill="CCEEFF"/>
          </w:tcPr>
          <w:p>
            <w:pPr>
              <w:spacing w:after="0"/>
              <w:rPr>
                <w:sz w:val="18"/>
                <w:szCs w:val="18"/>
                <w:color w:val="auto"/>
              </w:rPr>
            </w:pPr>
          </w:p>
        </w:tc>
      </w:tr>
      <w:tr>
        <w:trPr>
          <w:trHeight w:val="176"/>
        </w:trPr>
        <w:tc>
          <w:tcPr>
            <w:tcW w:w="6660" w:type="dxa"/>
            <w:vAlign w:val="bottom"/>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Unbilled accounts receivable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(1,193)</w:t>
            </w: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15,818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rent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(15,254)</w:t>
            </w:r>
          </w:p>
        </w:tc>
        <w:tc>
          <w:tcPr>
            <w:tcW w:w="40" w:type="dxa"/>
            <w:vAlign w:val="bottom"/>
          </w:tcPr>
          <w:p>
            <w:pPr>
              <w:spacing w:after="0"/>
              <w:rPr>
                <w:sz w:val="18"/>
                <w:szCs w:val="18"/>
                <w:color w:val="auto"/>
              </w:rPr>
            </w:pPr>
          </w:p>
        </w:tc>
      </w:tr>
      <w:tr>
        <w:trPr>
          <w:trHeight w:val="176"/>
        </w:trPr>
        <w:tc>
          <w:tcPr>
            <w:tcW w:w="66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0" w:type="dxa"/>
            <w:vAlign w:val="bottom"/>
          </w:tcPr>
          <w:p>
            <w:pPr>
              <w:spacing w:after="0"/>
              <w:rPr>
                <w:sz w:val="18"/>
                <w:szCs w:val="18"/>
                <w:color w:val="auto"/>
              </w:rPr>
            </w:pPr>
          </w:p>
        </w:tc>
      </w:tr>
      <w:tr>
        <w:trPr>
          <w:trHeight w:val="176"/>
        </w:trPr>
        <w:tc>
          <w:tcPr>
            <w:tcW w:w="66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5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Proceeds from term loan</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loan payable</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(833)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w w:val="97"/>
              </w:rPr>
              <w:t>Proceeds from issuance of Series B convertible preferred stock, net of issuance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24,986</w:t>
            </w:r>
          </w:p>
        </w:tc>
        <w:tc>
          <w:tcPr>
            <w:tcW w:w="4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IPO, net of commissions and underwriting discounts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156,815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net of repurchases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r>
      <w:tr>
        <w:trPr>
          <w:trHeight w:val="210"/>
        </w:trPr>
        <w:tc>
          <w:tcPr>
            <w:tcW w:w="66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154,085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26,735</w:t>
            </w:r>
          </w:p>
        </w:tc>
        <w:tc>
          <w:tcPr>
            <w:tcW w:w="40" w:type="dxa"/>
            <w:vAlign w:val="bottom"/>
          </w:tcPr>
          <w:p>
            <w:pPr>
              <w:spacing w:after="0"/>
              <w:rPr>
                <w:sz w:val="18"/>
                <w:szCs w:val="18"/>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146,347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11,369</w:t>
            </w:r>
          </w:p>
        </w:tc>
        <w:tc>
          <w:tcPr>
            <w:tcW w:w="40" w:type="dxa"/>
            <w:vAlign w:val="bottom"/>
            <w:shd w:val="clear" w:color="auto" w:fill="CCEEFF"/>
          </w:tcPr>
          <w:p>
            <w:pPr>
              <w:spacing w:after="0"/>
              <w:rPr>
                <w:sz w:val="18"/>
                <w:szCs w:val="18"/>
                <w:color w:val="auto"/>
              </w:rPr>
            </w:pPr>
          </w:p>
        </w:tc>
      </w:tr>
      <w:tr>
        <w:trPr>
          <w:trHeight w:val="216"/>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47,240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40" w:type="dxa"/>
            <w:vAlign w:val="bottom"/>
            <w:tcBorders>
              <w:bottom w:val="single" w:sz="8" w:color="CCEEFF"/>
            </w:tcBorders>
          </w:tcPr>
          <w:p>
            <w:pPr>
              <w:spacing w:after="0"/>
              <w:rPr>
                <w:sz w:val="18"/>
                <w:szCs w:val="18"/>
                <w:color w:val="auto"/>
              </w:rPr>
            </w:pPr>
          </w:p>
        </w:tc>
      </w:tr>
      <w:tr>
        <w:trPr>
          <w:trHeight w:val="23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193,587</w:t>
            </w: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40" w:type="dxa"/>
            <w:vAlign w:val="bottom"/>
            <w:shd w:val="clear" w:color="auto" w:fill="CCEEFF"/>
          </w:tcPr>
          <w:p>
            <w:pPr>
              <w:spacing w:after="0"/>
              <w:rPr>
                <w:sz w:val="19"/>
                <w:szCs w:val="19"/>
                <w:color w:val="auto"/>
              </w:rPr>
            </w:pPr>
          </w:p>
        </w:tc>
      </w:tr>
      <w:tr>
        <w:trPr>
          <w:trHeight w:val="163"/>
        </w:trPr>
        <w:tc>
          <w:tcPr>
            <w:tcW w:w="6660" w:type="dxa"/>
            <w:vAlign w:val="bottom"/>
            <w:tcBorders>
              <w:top w:val="single" w:sz="8" w:color="CCEEFF"/>
            </w:tcBorders>
          </w:tcPr>
          <w:p>
            <w:pPr>
              <w:spacing w:after="0" w:line="163" w:lineRule="exact"/>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r>
      <w:tr>
        <w:trPr>
          <w:trHeight w:val="22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23"/>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of convertible preferred stock into common stock</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114,808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r>
      <w:tr>
        <w:trPr>
          <w:trHeight w:val="22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Reclassification of warrant liability to additional paid-in-capital</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r>
      <w:tr>
        <w:trPr>
          <w:trHeight w:val="223"/>
        </w:trPr>
        <w:tc>
          <w:tcPr>
            <w:tcW w:w="6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Public offering costs incurred but unpaid at period end</w:t>
            </w:r>
          </w:p>
        </w:tc>
        <w:tc>
          <w:tcPr>
            <w:tcW w:w="5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r>
      <w:tr>
        <w:trPr>
          <w:trHeight w:val="223"/>
        </w:trPr>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purchases incurred but unpaid at period end</w:t>
            </w:r>
          </w:p>
        </w:tc>
        <w:tc>
          <w:tcPr>
            <w:tcW w:w="5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Blueprint Medicines Corporation (the Company), a Delaware corporation formed on October 14, 2008, is a biopharmaceutical company focused on improving the lives of patients with genomically defined diseases driven by abnormal kinase activation. The Company’s approach is to systematically and reproducibly identify kinases that are drivers of genomically defined diseases and to craft drug candidates with therapeutic windows that provide significant and durable clinical response to patients.</w:t>
      </w:r>
    </w:p>
    <w:p>
      <w:pPr>
        <w:spacing w:after="0" w:line="162" w:lineRule="exact"/>
        <w:rPr>
          <w:sz w:val="20"/>
          <w:szCs w:val="20"/>
          <w:color w:val="auto"/>
        </w:rPr>
      </w:pPr>
    </w:p>
    <w:p>
      <w:pPr>
        <w:ind w:right="20" w:firstLine="648"/>
        <w:spacing w:after="0" w:line="184" w:lineRule="exact"/>
        <w:rPr>
          <w:sz w:val="20"/>
          <w:szCs w:val="20"/>
          <w:color w:val="auto"/>
        </w:rPr>
      </w:pPr>
      <w:r>
        <w:rPr>
          <w:rFonts w:ascii="Arial" w:cs="Arial" w:eastAsia="Arial" w:hAnsi="Arial"/>
          <w:sz w:val="17"/>
          <w:szCs w:val="17"/>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drugs. If the Company is unable to raise capital when needed or on attractive terms, it would be forced to delay, reduce, eliminate or out</w:t>
      </w:r>
      <w:r>
        <w:rPr>
          <w:rFonts w:ascii="MS PGothic" w:cs="MS PGothic" w:eastAsia="MS PGothic" w:hAnsi="MS PGothic"/>
          <w:sz w:val="17"/>
          <w:szCs w:val="17"/>
          <w:color w:val="auto"/>
        </w:rPr>
        <w:t>‑</w:t>
      </w:r>
      <w:r>
        <w:rPr>
          <w:rFonts w:ascii="Arial" w:cs="Arial" w:eastAsia="Arial" w:hAnsi="Arial"/>
          <w:sz w:val="17"/>
          <w:szCs w:val="17"/>
          <w:color w:val="auto"/>
        </w:rPr>
        <w:t>license certain of its research and development programs or future commercialization efforts.</w:t>
      </w:r>
    </w:p>
    <w:p>
      <w:pPr>
        <w:spacing w:after="0" w:line="160" w:lineRule="exact"/>
        <w:rPr>
          <w:sz w:val="20"/>
          <w:szCs w:val="20"/>
          <w:color w:val="auto"/>
        </w:rPr>
      </w:pPr>
    </w:p>
    <w:p>
      <w:pPr>
        <w:ind w:right="40" w:firstLine="648"/>
        <w:spacing w:after="0" w:line="221" w:lineRule="auto"/>
        <w:rPr>
          <w:sz w:val="20"/>
          <w:szCs w:val="20"/>
          <w:color w:val="auto"/>
        </w:rPr>
      </w:pPr>
      <w:r>
        <w:rPr>
          <w:rFonts w:ascii="Arial" w:cs="Arial" w:eastAsia="Arial" w:hAnsi="Arial"/>
          <w:sz w:val="19"/>
          <w:szCs w:val="19"/>
          <w:color w:val="auto"/>
        </w:rPr>
        <w:t>On May 5, 2015, the Company completed the sale of 9,367,708 shares of its common stock (inclusive of 1,221,874 shares of common stock sold by the Company pursuant to the full exercise of an option to purchase additional shares granted to the underwriters in connection with the offering) in an initial public offering (IPO) at a price to the public of $18.00 per share, resulting in net proceeds of $154.8 million after deducting underwriting discounts and commissions and offering costs payable by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85"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The unaudited interim condensed financial statements of the Company included herein have been prepared in accordance with accounting principles generally accepted in the United States (GAAP) as found in the Accounting Standards Codification (ASC) and Accounting Standards Update (ASU) of the Financial Accounting Standards Board (FASB).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2014 and notes thereto, included in the Company’s final prospectus for the IPO filed with the SEC pursuant to Rule 424(b)(4) on April 30, 2015 (the Prospectus).</w:t>
      </w:r>
    </w:p>
    <w:p>
      <w:pPr>
        <w:spacing w:after="0" w:line="127"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The unaudited interim condensed financial statements have been prepared on the same basis as the audited financial statements. In the opinion of the Company’s management, the accompanying unaudited interim condensed financial statements contain all adjustments which are necessary to present fairly the Company’s financial position as of June 30, 2015 and the results of its operations for the three and six months ended June 30, 2015 and 2014 and cash flows for the six months ended June 30, 2015 and 2014. Such adjustments are of a normal and recurring nature. The results for the three and six months ended June 30, 2015 are not necessarily indicative of the results for the year ending December 31, 2015, or for any future period.</w:t>
      </w:r>
    </w:p>
    <w:p>
      <w:pPr>
        <w:spacing w:after="0" w:line="125" w:lineRule="exact"/>
        <w:rPr>
          <w:sz w:val="20"/>
          <w:szCs w:val="20"/>
          <w:color w:val="auto"/>
        </w:rPr>
      </w:pPr>
    </w:p>
    <w:p>
      <w:pPr>
        <w:ind w:right="80" w:firstLine="648"/>
        <w:spacing w:after="0" w:line="184" w:lineRule="exact"/>
        <w:rPr>
          <w:sz w:val="20"/>
          <w:szCs w:val="20"/>
          <w:color w:val="auto"/>
        </w:rPr>
      </w:pPr>
      <w:r>
        <w:rPr>
          <w:rFonts w:ascii="Arial" w:cs="Arial" w:eastAsia="Arial" w:hAnsi="Arial"/>
          <w:sz w:val="17"/>
          <w:szCs w:val="17"/>
          <w:color w:val="auto"/>
        </w:rPr>
        <w:t>In connection with preparing for its IPO, the Company effected a 1</w:t>
      </w:r>
      <w:r>
        <w:rPr>
          <w:rFonts w:ascii="MS PGothic" w:cs="MS PGothic" w:eastAsia="MS PGothic" w:hAnsi="MS PGothic"/>
          <w:sz w:val="17"/>
          <w:szCs w:val="17"/>
          <w:color w:val="auto"/>
        </w:rPr>
        <w:t>‑</w:t>
      </w:r>
      <w:r>
        <w:rPr>
          <w:rFonts w:ascii="Arial" w:cs="Arial" w:eastAsia="Arial" w:hAnsi="Arial"/>
          <w:sz w:val="17"/>
          <w:szCs w:val="17"/>
          <w:color w:val="auto"/>
        </w:rPr>
        <w:t>for</w:t>
      </w:r>
      <w:r>
        <w:rPr>
          <w:rFonts w:ascii="MS PGothic" w:cs="MS PGothic" w:eastAsia="MS PGothic" w:hAnsi="MS PGothic"/>
          <w:sz w:val="17"/>
          <w:szCs w:val="17"/>
          <w:color w:val="auto"/>
        </w:rPr>
        <w:t>‑</w:t>
      </w:r>
      <w:r>
        <w:rPr>
          <w:rFonts w:ascii="Arial" w:cs="Arial" w:eastAsia="Arial" w:hAnsi="Arial"/>
          <w:sz w:val="17"/>
          <w:szCs w:val="17"/>
          <w:color w:val="auto"/>
        </w:rPr>
        <w:t>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7"/>
          <w:szCs w:val="17"/>
          <w:color w:val="auto"/>
        </w:rPr>
        <w:t>‑</w:t>
      </w:r>
      <w:r>
        <w:rPr>
          <w:rFonts w:ascii="Arial" w:cs="Arial" w:eastAsia="Arial" w:hAnsi="Arial"/>
          <w:sz w:val="17"/>
          <w:szCs w:val="17"/>
          <w:color w:val="auto"/>
        </w:rPr>
        <w:t>in capital. Upon the closing of the IPO, all of the Company’s outstanding convertible preferred stock automatically converted into 15,467,479 shares of common stock; and warrants exercisable for convertible preferred stock were automatically converted into warrants exercisable for 42,423 shares of common stock. Additionally, the Company is now</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authorized to issue 120,000,000 shares of common stock and 5,000,000 shares of preferred stock. The significant increase in shares outstanding in the quarter ended June 30, 2015 is expected to impact the year-over-year comparability of the Company’s net loss per share calculations over the next year.</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firstLine="648"/>
        <w:spacing w:after="0" w:line="182" w:lineRule="exact"/>
        <w:rPr>
          <w:sz w:val="20"/>
          <w:szCs w:val="20"/>
          <w:color w:val="auto"/>
        </w:rPr>
      </w:pPr>
      <w:r>
        <w:rPr>
          <w:rFonts w:ascii="Arial" w:cs="Arial" w:eastAsia="Arial" w:hAnsi="Arial"/>
          <w:sz w:val="16"/>
          <w:szCs w:val="16"/>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including estimating the fair value of the Company’s common stock; revenue recognition; the valuation of liability</w:t>
      </w:r>
      <w:r>
        <w:rPr>
          <w:rFonts w:ascii="MS PGothic" w:cs="MS PGothic" w:eastAsia="MS PGothic" w:hAnsi="MS PGothic"/>
          <w:sz w:val="16"/>
          <w:szCs w:val="16"/>
          <w:color w:val="auto"/>
        </w:rPr>
        <w:t>‑</w:t>
      </w:r>
      <w:r>
        <w:rPr>
          <w:rFonts w:ascii="Arial" w:cs="Arial" w:eastAsia="Arial" w:hAnsi="Arial"/>
          <w:sz w:val="16"/>
          <w:szCs w:val="16"/>
          <w:color w:val="auto"/>
        </w:rPr>
        <w:t>classified warrants; accrued expenses; and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44" w:lineRule="exact"/>
        <w:rPr>
          <w:sz w:val="20"/>
          <w:szCs w:val="20"/>
          <w:color w:val="auto"/>
        </w:rPr>
      </w:pPr>
    </w:p>
    <w:p>
      <w:pPr>
        <w:ind w:right="200" w:firstLine="648"/>
        <w:spacing w:after="0" w:line="289" w:lineRule="auto"/>
        <w:rPr>
          <w:sz w:val="20"/>
          <w:szCs w:val="20"/>
          <w:color w:val="auto"/>
        </w:rPr>
      </w:pPr>
      <w:r>
        <w:rPr>
          <w:rFonts w:ascii="Arial" w:cs="Arial" w:eastAsia="Arial" w:hAnsi="Arial"/>
          <w:sz w:val="16"/>
          <w:szCs w:val="16"/>
          <w:color w:val="auto"/>
        </w:rPr>
        <w:t xml:space="preserve">The Company recognizes revenue from license and collaboration agreements in accordance with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Accordingly, revenue is recognized when all of the following criteria are met:</w:t>
      </w:r>
    </w:p>
    <w:p>
      <w:pPr>
        <w:spacing w:after="0" w:line="68" w:lineRule="exact"/>
        <w:rPr>
          <w:sz w:val="20"/>
          <w:szCs w:val="20"/>
          <w:color w:val="auto"/>
        </w:rPr>
      </w:pPr>
    </w:p>
    <w:p>
      <w:pPr>
        <w:ind w:left="780" w:hanging="129"/>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ind w:left="760" w:hanging="109"/>
        <w:spacing w:after="0" w:line="203"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ind w:left="740" w:hanging="89"/>
        <w:spacing w:after="0" w:line="203"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ind w:left="820" w:hanging="169"/>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09"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Amounts received prior to satisfying the revenue recognition criteria are recognized as deferred revenue in the Company’s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14" w:lineRule="exact"/>
        <w:rPr>
          <w:sz w:val="20"/>
          <w:szCs w:val="20"/>
          <w:color w:val="auto"/>
        </w:rPr>
      </w:pPr>
    </w:p>
    <w:p>
      <w:pPr>
        <w:ind w:right="20" w:firstLine="648"/>
        <w:spacing w:after="0" w:line="235" w:lineRule="auto"/>
        <w:rPr>
          <w:sz w:val="20"/>
          <w:szCs w:val="20"/>
          <w:color w:val="auto"/>
        </w:rPr>
      </w:pPr>
      <w:r>
        <w:rPr>
          <w:rFonts w:ascii="Arial" w:cs="Arial" w:eastAsia="Arial" w:hAnsi="Arial"/>
          <w:sz w:val="16"/>
          <w:szCs w:val="16"/>
          <w:color w:val="auto"/>
        </w:rPr>
        <w:t>The Company’s revenue is currently generated through its collaboration agreement with Alexion Pharma Holding (Alexion). The terms of this agreement contains multiple elements, or deliverables, including an exclusive license granted by the Company to Alexion to research, develop, manufacture and commercialize the licensed products and the compounds in the field in the territory, as well as research and development activities to be performed by the Company on behalf of Alexion related to the licensed product candidates. In addition, the terms of this agreement include payments to the Company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the Company has received the upfront payment, payment for the achievement of the first milestone under the agreement and payments for certain research and development services. The Company has not received any other milestone payments under the agreement or earned royalty revenue as a result of product sales. See Note 9 for additional information on this agreement.</w:t>
      </w:r>
    </w:p>
    <w:p>
      <w:pPr>
        <w:spacing w:after="0" w:line="12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When evaluating multiple element arrangements,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the Company considers factors such as the research, manufacturing and commercialization capabilities of the collaboration partner and the availability of the associated expertise in the general marketplace. In addition, the Company considers whether the collaboration partner can use the deliverable(s) for their intended purpose without the receipt of the remaining element(s), whether the value of the deliverable is dependent on the undelivered item(s) and whether there are other vendors that can provide the undelivered element(s). The Company’s collaboration agreement with Alexion does not contain a general right of return relative to the delivered item(s).</w:t>
      </w:r>
    </w:p>
    <w:p>
      <w:pPr>
        <w:spacing w:after="0" w:line="127"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The Company determines the selling price of a unit of accounting following the hierarchy of evidence prescribed by ASC 605-25. Accordingly,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uses BESP to estimate the selling price, since it generally does not have VSOE or TPE of selling price for its units of accounting.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126"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In the event that an element of a multiple element arrangement does not represent a separate unit of accounting, the Company recognizes revenue from the combined element over the period over which it expects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the Company recognizes revenue under the arrangement using the proportional performance method. If there is no discernible pattern of performance and/or objectively measurable performance measures do not exist, then the Company recognizes revenue under the arrangement on a straight-line basis over the period the Company is expected to complete its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multiple-element revenue arrangements may include the following: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Licenses</w:t>
      </w:r>
    </w:p>
    <w:p>
      <w:pPr>
        <w:spacing w:after="0" w:line="144"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The deliverables under the Company’s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The Company may recognize the arrangement consideration allocated to licenses upon delivery of the license if facts and circumstances indicate that the license has stand-alone value from the undelivered elements, which generally include research and development services. The Company defers arrangement consideration allocated to licenses if facts and circumstances indicate that the delivered license does not have stand-alone value from the undelivered elements.</w:t>
      </w:r>
    </w:p>
    <w:p>
      <w:pPr>
        <w:spacing w:after="0" w:line="127" w:lineRule="exact"/>
        <w:rPr>
          <w:sz w:val="20"/>
          <w:szCs w:val="20"/>
          <w:color w:val="auto"/>
        </w:rPr>
      </w:pPr>
    </w:p>
    <w:p>
      <w:pPr>
        <w:ind w:right="140" w:firstLine="648"/>
        <w:spacing w:after="0" w:line="238" w:lineRule="auto"/>
        <w:rPr>
          <w:sz w:val="20"/>
          <w:szCs w:val="20"/>
          <w:color w:val="auto"/>
        </w:rPr>
      </w:pPr>
      <w:r>
        <w:rPr>
          <w:rFonts w:ascii="Arial" w:cs="Arial" w:eastAsia="Arial" w:hAnsi="Arial"/>
          <w:sz w:val="17"/>
          <w:szCs w:val="17"/>
          <w:color w:val="auto"/>
        </w:rPr>
        <w:t>When management believes a license does not have stand-alone value from the other deliverables to be provided in the arrangement, the Company recognizes revenue attributed to the license on a proportional basis over the Company’s contractual or estimated performance period, which is typically the term of the Company’s research and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16" w:lineRule="auto"/>
        <w:rPr>
          <w:sz w:val="20"/>
          <w:szCs w:val="20"/>
          <w:color w:val="auto"/>
        </w:rPr>
      </w:pPr>
      <w:r>
        <w:rPr>
          <w:rFonts w:ascii="Arial" w:cs="Arial" w:eastAsia="Arial" w:hAnsi="Arial"/>
          <w:sz w:val="18"/>
          <w:szCs w:val="18"/>
          <w:color w:val="auto"/>
        </w:rPr>
        <w:t>development obligations. If management cannot reasonably estimate when the Company’s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144" w:lineRule="exact"/>
        <w:rPr>
          <w:sz w:val="20"/>
          <w:szCs w:val="20"/>
          <w:color w:val="auto"/>
        </w:rPr>
      </w:pPr>
    </w:p>
    <w:p>
      <w:pPr>
        <w:jc w:val="both"/>
        <w:ind w:right="180" w:firstLine="648"/>
        <w:spacing w:after="0" w:line="216" w:lineRule="auto"/>
        <w:rPr>
          <w:sz w:val="20"/>
          <w:szCs w:val="20"/>
          <w:color w:val="auto"/>
        </w:rPr>
      </w:pPr>
      <w:r>
        <w:rPr>
          <w:rFonts w:ascii="Arial" w:cs="Arial" w:eastAsia="Arial" w:hAnsi="Arial"/>
          <w:sz w:val="18"/>
          <w:szCs w:val="18"/>
          <w:color w:val="auto"/>
        </w:rPr>
        <w:t>The deliverables under the Company’s collaboration agreements may include 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so long as there is persuasive evidence of an arrangement, the fee is fixed or determinable, and collection of the related amount is reasonably assured.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144"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The Company’s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ind w:right="220" w:firstLine="324"/>
        <w:spacing w:after="0" w:line="224" w:lineRule="auto"/>
        <w:rPr>
          <w:sz w:val="20"/>
          <w:szCs w:val="20"/>
          <w:color w:val="auto"/>
        </w:rPr>
      </w:pPr>
      <w:r>
        <w:rPr>
          <w:rFonts w:ascii="Arial" w:cs="Arial" w:eastAsia="Arial" w:hAnsi="Arial"/>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380" w:right="160" w:hanging="53"/>
        <w:spacing w:after="0" w:line="224" w:lineRule="auto"/>
        <w:rPr>
          <w:sz w:val="20"/>
          <w:szCs w:val="20"/>
          <w:color w:val="auto"/>
        </w:rPr>
      </w:pPr>
      <w:r>
        <w:rPr>
          <w:rFonts w:ascii="Arial" w:cs="Arial" w:eastAsia="Arial" w:hAnsi="Arial"/>
          <w:sz w:val="18"/>
          <w:szCs w:val="18"/>
          <w:color w:val="auto"/>
        </w:rPr>
        <w:t>·the consideration is commensurate with either the Company’s performance to achieve the milestone or the enhancement of the value of the delivered item(s) as a result of a specific outcome resulting from the Company’s performance to achieve the milestone;</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the consideration relates solely to past performance; and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144" w:lineRule="exact"/>
        <w:rPr>
          <w:sz w:val="20"/>
          <w:szCs w:val="20"/>
          <w:color w:val="auto"/>
        </w:rPr>
      </w:pPr>
    </w:p>
    <w:p>
      <w:pPr>
        <w:ind w:right="80" w:firstLine="324"/>
        <w:spacing w:after="0" w:line="225" w:lineRule="auto"/>
        <w:rPr>
          <w:sz w:val="20"/>
          <w:szCs w:val="20"/>
          <w:color w:val="auto"/>
        </w:rPr>
      </w:pPr>
      <w:r>
        <w:rPr>
          <w:rFonts w:ascii="Arial" w:cs="Arial" w:eastAsia="Arial" w:hAnsi="Arial"/>
          <w:sz w:val="17"/>
          <w:szCs w:val="17"/>
          <w:color w:val="auto"/>
        </w:rPr>
        <w:t>The Company evaluates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 milestone. Milestones that are considered substantive will be recognized in their entirety upon successful accomplishment of the milestone, assuming all other revenue recognition criteria are met.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185" w:lineRule="exact"/>
        <w:rPr>
          <w:sz w:val="20"/>
          <w:szCs w:val="20"/>
          <w:color w:val="auto"/>
        </w:rPr>
      </w:pPr>
    </w:p>
    <w:p>
      <w:pPr>
        <w:jc w:val="both"/>
        <w:ind w:right="520" w:firstLine="324"/>
        <w:spacing w:after="0" w:line="224"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Cash equivalents are highly liquid investments that are readily convertible into cash with original maturities of three months or less when purchased. These assets include an investment in a money market fund that invests in U.S. treasury obligations. Cash equivalents consist of the following at June 30, 2015 and December 31, 2014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08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0"/>
              </w:rPr>
              <w:t>December 31,</w:t>
            </w:r>
          </w:p>
        </w:tc>
        <w:tc>
          <w:tcPr>
            <w:tcW w:w="1880" w:type="dxa"/>
            <w:vAlign w:val="bottom"/>
          </w:tcPr>
          <w:p>
            <w:pPr>
              <w:spacing w:after="0"/>
              <w:rPr>
                <w:sz w:val="15"/>
                <w:szCs w:val="15"/>
                <w:color w:val="auto"/>
              </w:rPr>
            </w:pPr>
          </w:p>
        </w:tc>
      </w:tr>
      <w:tr>
        <w:trPr>
          <w:trHeight w:val="171"/>
        </w:trPr>
        <w:tc>
          <w:tcPr>
            <w:tcW w:w="2980" w:type="dxa"/>
            <w:vAlign w:val="bottom"/>
          </w:tcPr>
          <w:p>
            <w:pPr>
              <w:spacing w:after="0"/>
              <w:rPr>
                <w:sz w:val="14"/>
                <w:szCs w:val="14"/>
                <w:color w:val="auto"/>
              </w:rPr>
            </w:pPr>
          </w:p>
        </w:tc>
        <w:tc>
          <w:tcPr>
            <w:tcW w:w="3240" w:type="dxa"/>
            <w:vAlign w:val="bottom"/>
            <w:gridSpan w:val="2"/>
          </w:tcPr>
          <w:p>
            <w:pPr>
              <w:jc w:val="center"/>
              <w:ind w:left="2299"/>
              <w:spacing w:after="0"/>
              <w:rPr>
                <w:sz w:val="20"/>
                <w:szCs w:val="20"/>
                <w:color w:val="auto"/>
              </w:rPr>
            </w:pPr>
            <w:r>
              <w:rPr>
                <w:rFonts w:ascii="Arial" w:cs="Arial" w:eastAsia="Arial" w:hAnsi="Arial"/>
                <w:sz w:val="14"/>
                <w:szCs w:val="14"/>
                <w:b w:val="1"/>
                <w:bCs w:val="1"/>
                <w:color w:val="auto"/>
                <w:w w:val="96"/>
              </w:rPr>
              <w:t>2015</w:t>
            </w:r>
          </w:p>
        </w:tc>
        <w:tc>
          <w:tcPr>
            <w:tcW w:w="1080" w:type="dxa"/>
            <w:vAlign w:val="bottom"/>
            <w:gridSpan w:val="2"/>
          </w:tcPr>
          <w:p>
            <w:pPr>
              <w:jc w:val="center"/>
              <w:ind w:left="48"/>
              <w:spacing w:after="0"/>
              <w:rPr>
                <w:sz w:val="20"/>
                <w:szCs w:val="20"/>
                <w:color w:val="auto"/>
              </w:rPr>
            </w:pPr>
            <w:r>
              <w:rPr>
                <w:rFonts w:ascii="Arial" w:cs="Arial" w:eastAsia="Arial" w:hAnsi="Arial"/>
                <w:sz w:val="14"/>
                <w:szCs w:val="14"/>
                <w:b w:val="1"/>
                <w:bCs w:val="1"/>
                <w:color w:val="auto"/>
                <w:w w:val="89"/>
              </w:rPr>
              <w:t>2014</w:t>
            </w:r>
          </w:p>
        </w:tc>
        <w:tc>
          <w:tcPr>
            <w:tcW w:w="1880" w:type="dxa"/>
            <w:vAlign w:val="bottom"/>
          </w:tcPr>
          <w:p>
            <w:pPr>
              <w:spacing w:after="0"/>
              <w:rPr>
                <w:sz w:val="14"/>
                <w:szCs w:val="14"/>
                <w:color w:val="auto"/>
              </w:rPr>
            </w:pPr>
          </w:p>
        </w:tc>
      </w:tr>
      <w:tr>
        <w:trPr>
          <w:trHeight w:val="210"/>
        </w:trPr>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w:t>
            </w:r>
          </w:p>
        </w:tc>
        <w:tc>
          <w:tcPr>
            <w:tcW w:w="23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193,587</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   47,240</w:t>
            </w:r>
          </w:p>
        </w:tc>
        <w:tc>
          <w:tcPr>
            <w:tcW w:w="1880" w:type="dxa"/>
            <w:vAlign w:val="bottom"/>
          </w:tcPr>
          <w:p>
            <w:pPr>
              <w:spacing w:after="0"/>
              <w:rPr>
                <w:sz w:val="18"/>
                <w:szCs w:val="18"/>
                <w:color w:val="auto"/>
              </w:rPr>
            </w:pPr>
          </w:p>
        </w:tc>
      </w:tr>
      <w:tr>
        <w:trPr>
          <w:trHeight w:val="810"/>
        </w:trPr>
        <w:tc>
          <w:tcPr>
            <w:tcW w:w="2980" w:type="dxa"/>
            <w:vAlign w:val="bottom"/>
          </w:tcPr>
          <w:p>
            <w:pPr>
              <w:spacing w:after="0"/>
              <w:rPr>
                <w:sz w:val="24"/>
                <w:szCs w:val="24"/>
                <w:color w:val="auto"/>
              </w:rPr>
            </w:pPr>
          </w:p>
        </w:tc>
        <w:tc>
          <w:tcPr>
            <w:tcW w:w="2380" w:type="dxa"/>
            <w:vAlign w:val="bottom"/>
          </w:tcPr>
          <w:p>
            <w:pPr>
              <w:jc w:val="right"/>
              <w:ind w:right="659"/>
              <w:spacing w:after="0"/>
              <w:rPr>
                <w:sz w:val="20"/>
                <w:szCs w:val="20"/>
                <w:color w:val="auto"/>
              </w:rPr>
            </w:pPr>
            <w:r>
              <w:rPr>
                <w:rFonts w:ascii="Arial" w:cs="Arial" w:eastAsia="Arial" w:hAnsi="Arial"/>
                <w:sz w:val="18"/>
                <w:szCs w:val="18"/>
                <w:color w:val="auto"/>
              </w:rPr>
              <w:t>9</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81"/>
        </w:trPr>
        <w:tc>
          <w:tcPr>
            <w:tcW w:w="298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23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11" w:right="1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44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94" w:lineRule="exact"/>
        <w:rPr>
          <w:sz w:val="20"/>
          <w:szCs w:val="20"/>
          <w:color w:val="auto"/>
        </w:rPr>
      </w:pPr>
    </w:p>
    <w:p>
      <w:pPr>
        <w:jc w:val="both"/>
        <w:ind w:left="660" w:right="320"/>
        <w:spacing w:after="0" w:line="238" w:lineRule="auto"/>
        <w:rPr>
          <w:sz w:val="20"/>
          <w:szCs w:val="20"/>
          <w:color w:val="auto"/>
        </w:rPr>
      </w:pPr>
      <w:r>
        <w:rPr>
          <w:rFonts w:ascii="Arial" w:cs="Arial" w:eastAsia="Arial" w:hAnsi="Arial"/>
          <w:sz w:val="17"/>
          <w:szCs w:val="17"/>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80" w:lineRule="exact"/>
        <w:rPr>
          <w:sz w:val="20"/>
          <w:szCs w:val="20"/>
          <w:color w:val="auto"/>
        </w:rPr>
      </w:pPr>
    </w:p>
    <w:p>
      <w:pPr>
        <w:ind w:right="700" w:firstLine="648"/>
        <w:spacing w:after="0" w:line="235" w:lineRule="auto"/>
        <w:rPr>
          <w:sz w:val="20"/>
          <w:szCs w:val="20"/>
          <w:color w:val="auto"/>
        </w:rPr>
      </w:pPr>
      <w:r>
        <w:rPr>
          <w:rFonts w:ascii="Arial" w:cs="Arial" w:eastAsia="Arial" w:hAnsi="Arial"/>
          <w:sz w:val="18"/>
          <w:szCs w:val="18"/>
          <w:color w:val="auto"/>
        </w:rPr>
        <w:t>Financial instruments measured at fair value as of June 30, 2015, are classified below based on the fair value hierarchy described above:</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auto"/>
                <w:w w:val="95"/>
              </w:rPr>
              <w:t>Active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Observable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Unobservable</w:t>
            </w:r>
          </w:p>
        </w:tc>
      </w:tr>
      <w:tr>
        <w:trPr>
          <w:trHeight w:val="176"/>
        </w:trPr>
        <w:tc>
          <w:tcPr>
            <w:tcW w:w="4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ind w:left="6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4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4"/>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Borders>
              <w:bottom w:val="single" w:sz="8" w:color="CCEEFF"/>
            </w:tcBorders>
          </w:tcPr>
          <w:p>
            <w:pPr>
              <w:spacing w:after="0"/>
              <w:rPr>
                <w:sz w:val="14"/>
                <w:szCs w:val="14"/>
                <w:color w:val="auto"/>
              </w:rPr>
            </w:pPr>
          </w:p>
        </w:tc>
      </w:tr>
      <w:tr>
        <w:trPr>
          <w:trHeight w:val="210"/>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 included in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193,587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193,587</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2014, are classified below based on the fair value hierarchy described above:</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5"/>
                <w:szCs w:val="15"/>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Observable</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Unobservable</w:t>
            </w:r>
          </w:p>
        </w:tc>
      </w:tr>
      <w:tr>
        <w:trPr>
          <w:trHeight w:val="176"/>
        </w:trPr>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5"/>
                <w:szCs w:val="15"/>
                <w:color w:val="auto"/>
              </w:rPr>
            </w:pPr>
          </w:p>
        </w:tc>
        <w:tc>
          <w:tcPr>
            <w:tcW w:w="11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5"/>
              </w:rPr>
              <w:t>Inputs</w:t>
            </w: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Inputs</w:t>
            </w:r>
          </w:p>
        </w:tc>
      </w:tr>
      <w:tr>
        <w:trPr>
          <w:trHeight w:val="171"/>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(Level 3)</w:t>
            </w:r>
          </w:p>
        </w:tc>
        <w:tc>
          <w:tcPr>
            <w:tcW w:w="40" w:type="dxa"/>
            <w:vAlign w:val="bottom"/>
            <w:tcBorders>
              <w:bottom w:val="single" w:sz="8" w:color="CCEEFF"/>
            </w:tcBorders>
          </w:tcPr>
          <w:p>
            <w:pPr>
              <w:spacing w:after="0"/>
              <w:rPr>
                <w:sz w:val="14"/>
                <w:szCs w:val="14"/>
                <w:color w:val="auto"/>
              </w:rPr>
            </w:pPr>
          </w:p>
        </w:tc>
      </w:tr>
      <w:tr>
        <w:trPr>
          <w:trHeight w:val="210"/>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 included in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47,240</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3"/>
            <w:shd w:val="clear" w:color="auto" w:fill="CCEEFF"/>
          </w:tcPr>
          <w:p>
            <w:pPr>
              <w:ind w:left="66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340" w:type="dxa"/>
            <w:vAlign w:val="bottom"/>
          </w:tcPr>
          <w:p>
            <w:pPr>
              <w:spacing w:after="0"/>
              <w:rPr>
                <w:sz w:val="20"/>
                <w:szCs w:val="20"/>
                <w:color w:val="auto"/>
              </w:rPr>
            </w:pPr>
            <w:r>
              <w:rPr>
                <w:rFonts w:ascii="Arial" w:cs="Arial" w:eastAsia="Arial" w:hAnsi="Arial"/>
                <w:sz w:val="18"/>
                <w:szCs w:val="18"/>
                <w:color w:val="auto"/>
              </w:rPr>
              <w:t>Preferred stock warrants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r>
    </w:tbl>
    <w:p>
      <w:pPr>
        <w:spacing w:after="0" w:line="269"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At June 30, 2015 and December 31, 2014, all of the Company’s cash equivalents were comprised of a money market account, the fair value of which is valued using Level 1 inputs. 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67" w:lineRule="exact"/>
        <w:rPr>
          <w:sz w:val="20"/>
          <w:szCs w:val="20"/>
          <w:color w:val="auto"/>
        </w:rPr>
      </w:pPr>
    </w:p>
    <w:p>
      <w:pPr>
        <w:ind w:right="60" w:firstLine="648"/>
        <w:spacing w:after="0" w:line="247" w:lineRule="auto"/>
        <w:rPr>
          <w:sz w:val="20"/>
          <w:szCs w:val="20"/>
          <w:color w:val="auto"/>
        </w:rPr>
      </w:pPr>
      <w:r>
        <w:rPr>
          <w:rFonts w:ascii="Arial" w:cs="Arial" w:eastAsia="Arial" w:hAnsi="Arial"/>
          <w:sz w:val="17"/>
          <w:szCs w:val="17"/>
          <w:color w:val="auto"/>
        </w:rPr>
        <w:t>The fair value of the preferred stock warrant liability was determined based on Level 3 inputs and utilizing the Black-Scholes option pricing model (Note 6). On May 5, 2015, upon completion of the Company’s IPO, the warrants to purchase preferred stock converted into warrants to purchase common stock and the Company reclassified the fair value of the warrants as of May 5, 2015 to additional paid-in capital. The following table presents activity in the preferred stock warrant liability during the three and six months ended June 30, 2015 and 2014 (in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8"/>
              </w:rPr>
              <w:t>Six Months Ended</w:t>
            </w:r>
          </w:p>
        </w:tc>
        <w:tc>
          <w:tcPr>
            <w:tcW w:w="40" w:type="dxa"/>
            <w:vAlign w:val="bottom"/>
          </w:tcPr>
          <w:p>
            <w:pPr>
              <w:spacing w:after="0"/>
              <w:rPr>
                <w:sz w:val="15"/>
                <w:szCs w:val="15"/>
                <w:color w:val="auto"/>
              </w:rPr>
            </w:pPr>
          </w:p>
        </w:tc>
      </w:tr>
      <w:tr>
        <w:trPr>
          <w:trHeight w:val="171"/>
        </w:trPr>
        <w:tc>
          <w:tcPr>
            <w:tcW w:w="4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440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2015</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89"/>
              </w:rPr>
              <w:t>2015</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89"/>
              </w:rPr>
              <w:t>2014</w:t>
            </w:r>
          </w:p>
        </w:tc>
        <w:tc>
          <w:tcPr>
            <w:tcW w:w="40" w:type="dxa"/>
            <w:vAlign w:val="bottom"/>
          </w:tcPr>
          <w:p>
            <w:pPr>
              <w:spacing w:after="0"/>
              <w:rPr>
                <w:sz w:val="14"/>
                <w:szCs w:val="14"/>
                <w:color w:val="auto"/>
              </w:rPr>
            </w:pPr>
          </w:p>
        </w:tc>
      </w:tr>
      <w:tr>
        <w:trPr>
          <w:trHeight w:val="210"/>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40" w:type="dxa"/>
            <w:vAlign w:val="bottom"/>
          </w:tcPr>
          <w:p>
            <w:pPr>
              <w:spacing w:after="0"/>
              <w:rPr>
                <w:sz w:val="18"/>
                <w:szCs w:val="18"/>
                <w:color w:val="auto"/>
              </w:rPr>
            </w:pPr>
          </w:p>
        </w:tc>
      </w:tr>
      <w:tr>
        <w:trPr>
          <w:trHeight w:val="216"/>
        </w:trPr>
        <w:tc>
          <w:tcPr>
            <w:tcW w:w="4400" w:type="dxa"/>
            <w:vAlign w:val="bottom"/>
          </w:tcPr>
          <w:p>
            <w:pPr>
              <w:ind w:left="220"/>
              <w:spacing w:after="0"/>
              <w:rPr>
                <w:sz w:val="20"/>
                <w:szCs w:val="20"/>
                <w:color w:val="auto"/>
              </w:rPr>
            </w:pPr>
            <w:r>
              <w:rPr>
                <w:rFonts w:ascii="Arial" w:cs="Arial" w:eastAsia="Arial" w:hAnsi="Arial"/>
                <w:sz w:val="18"/>
                <w:szCs w:val="18"/>
                <w:color w:val="auto"/>
              </w:rPr>
              <w:t>Change in fair value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445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4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Reclassification of fair value to additional paid-in capital</w:t>
            </w:r>
          </w:p>
        </w:tc>
        <w:tc>
          <w:tcPr>
            <w:tcW w:w="1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Ending balance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ind w:right="14"/>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r>
      <w:tr>
        <w:trPr>
          <w:trHeight w:val="851"/>
        </w:trPr>
        <w:tc>
          <w:tcPr>
            <w:tcW w:w="4400" w:type="dxa"/>
            <w:vAlign w:val="bottom"/>
          </w:tcPr>
          <w:p>
            <w:pPr>
              <w:spacing w:after="0"/>
              <w:rPr>
                <w:sz w:val="24"/>
                <w:szCs w:val="24"/>
                <w:color w:val="auto"/>
              </w:rPr>
            </w:pPr>
          </w:p>
        </w:tc>
        <w:tc>
          <w:tcPr>
            <w:tcW w:w="1740" w:type="dxa"/>
            <w:vAlign w:val="bottom"/>
          </w:tcPr>
          <w:p>
            <w:pPr>
              <w:jc w:val="right"/>
              <w:ind w:right="1390"/>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44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4400" w:type="dxa"/>
            <w:vAlign w:val="bottom"/>
            <w:tcBorders>
              <w:bottom w:val="single" w:sz="8" w:color="EEEEEE"/>
            </w:tcBorders>
          </w:tcPr>
          <w:p>
            <w:pPr>
              <w:spacing w:after="0" w:line="20" w:lineRule="exact"/>
              <w:rPr>
                <w:sz w:val="1"/>
                <w:szCs w:val="1"/>
                <w:color w:val="auto"/>
              </w:rPr>
            </w:pPr>
          </w:p>
        </w:tc>
        <w:tc>
          <w:tcPr>
            <w:tcW w:w="17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11" w:right="13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44"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The Company capitalizes certain legal, accounting and other third-party fees that are directly associated with in-process equity financings as other assets until such financings are consummated. After consummation of the Company’s IPO in May 2015, $2,009 of these costs were recorded in stockholders’ equity (deficit) as a reduction of additional paid-in capital generated as a result of the IPO. As of December 31, 2014, the Company recorded $91 of deferred offering costs, included in other assets in the accompanying balance sheet, in contemplation of its IPO.</w:t>
      </w:r>
    </w:p>
    <w:p>
      <w:pPr>
        <w:spacing w:after="0" w:line="121" w:lineRule="exact"/>
        <w:rPr>
          <w:sz w:val="20"/>
          <w:szCs w:val="20"/>
          <w:color w:val="auto"/>
        </w:rPr>
      </w:pPr>
    </w:p>
    <w:p>
      <w:pPr>
        <w:ind w:right="740" w:firstLine="648"/>
        <w:spacing w:after="0" w:line="235" w:lineRule="auto"/>
        <w:rPr>
          <w:sz w:val="20"/>
          <w:szCs w:val="20"/>
          <w:color w:val="auto"/>
        </w:rPr>
      </w:pPr>
      <w:r>
        <w:rPr>
          <w:rFonts w:ascii="Arial" w:cs="Arial" w:eastAsia="Arial" w:hAnsi="Arial"/>
          <w:sz w:val="18"/>
          <w:szCs w:val="18"/>
          <w:color w:val="auto"/>
        </w:rPr>
        <w:t>There have been no other material changes to the significant accounting policies previously disclosed in the Company’s Prospectus.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May 2014, the FASB issued ASU No. 2014-09, Revenue from Contracts with Customers (ASU 2014-09), which supersedes the revenue recognition requirements in ASC 605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is expected to be effective for annual reporting periods (including interim reporting periods within those years) beginning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has not yet determined the potential effects of the adoption of this standard on its consolidated financial position, results of operations or cash flows.</w:t>
      </w:r>
    </w:p>
    <w:p>
      <w:pPr>
        <w:spacing w:after="0" w:line="125" w:lineRule="exact"/>
        <w:rPr>
          <w:sz w:val="20"/>
          <w:szCs w:val="20"/>
          <w:color w:val="auto"/>
        </w:rPr>
      </w:pPr>
    </w:p>
    <w:p>
      <w:pPr>
        <w:ind w:right="60" w:firstLine="648"/>
        <w:spacing w:after="0" w:line="244" w:lineRule="auto"/>
        <w:rPr>
          <w:sz w:val="20"/>
          <w:szCs w:val="20"/>
          <w:color w:val="auto"/>
        </w:rPr>
      </w:pPr>
      <w:r>
        <w:rPr>
          <w:rFonts w:ascii="Arial" w:cs="Arial" w:eastAsia="Arial" w:hAnsi="Arial"/>
          <w:sz w:val="16"/>
          <w:szCs w:val="16"/>
          <w:color w:val="auto"/>
        </w:rPr>
        <w:t xml:space="preserve">On April 7, 2015, the FASB, issued ASU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xml:space="preserve"> (ASU 2015-03),which requires debt issuance costs to be presented in the balance sheet as a direct deduction from the carrying value of the associated debt liability, consistent with the presentation of a debt discount. ASU 2015-03 will be effective for the Company on January 1, 2016, with early adoption permitted. ASU 2015-03 will be applied on a retrospective basis. The Company is currently assessing the potential impact of the adoption of ASU 2015-03 on its financial statements.</w:t>
      </w:r>
    </w:p>
    <w:p>
      <w:pPr>
        <w:spacing w:after="0" w:line="118" w:lineRule="exact"/>
        <w:rPr>
          <w:sz w:val="20"/>
          <w:szCs w:val="20"/>
          <w:color w:val="auto"/>
        </w:rPr>
      </w:pPr>
    </w:p>
    <w:p>
      <w:pPr>
        <w:ind w:right="100" w:firstLine="648"/>
        <w:spacing w:after="0" w:line="216" w:lineRule="auto"/>
        <w:rPr>
          <w:sz w:val="20"/>
          <w:szCs w:val="20"/>
          <w:color w:val="auto"/>
        </w:rPr>
      </w:pPr>
      <w:r>
        <w:rPr>
          <w:rFonts w:ascii="Arial" w:cs="Arial" w:eastAsia="Arial" w:hAnsi="Arial"/>
          <w:sz w:val="18"/>
          <w:szCs w:val="18"/>
          <w:color w:val="auto"/>
        </w:rPr>
        <w:t>In 2014, the FASB issued new guidance on management’s responsibility in evaluating whether or not there is substantial doubt about a company’s ability to continue as a going concern within one year from the date the financial statements are issued each reporting period. This new accounting guidance is effective for annual periods ending after December 15, 2016. Early adoption is permitted. The Company is in process of evaluating the new guidance and determining the expected effect on its financial statements.</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Restricted Cash</w:t>
      </w:r>
    </w:p>
    <w:p>
      <w:pPr>
        <w:spacing w:after="0" w:line="189"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At June 30, 2015 and December 31, 2014, $1.5 million and $0.2 million, respectively, of the Company’s cash is restricted by a bank. As of June 30, 2015, $0.1 million of the restricted cash is included in current assets as collateral for a stand</w:t>
      </w:r>
      <w:r>
        <w:rPr>
          <w:rFonts w:ascii="MS PGothic" w:cs="MS PGothic" w:eastAsia="MS PGothic" w:hAnsi="MS PGothic"/>
          <w:sz w:val="17"/>
          <w:szCs w:val="17"/>
          <w:color w:val="auto"/>
        </w:rPr>
        <w:t>‑</w:t>
      </w:r>
      <w:r>
        <w:rPr>
          <w:rFonts w:ascii="Arial" w:cs="Arial" w:eastAsia="Arial" w:hAnsi="Arial"/>
          <w:sz w:val="17"/>
          <w:szCs w:val="17"/>
          <w:color w:val="auto"/>
        </w:rPr>
        <w:t>by letter of credit issued by the Company to its landlord in connection with the lease of the Company’s corporate headquarters. On February 12, 2015, the Company entered into a lease for approximately 38,500 rentable square feet of office and laboratory space in Cambridge, Massachusetts, which the Company gained control over on June 15, 2015 and occupancy will commence in October 2015. The lease ends on October 31, 2022. The lease agreement required the Company to pay a security deposit of $1.3 million, which is included in long-term assets on the Company’s balance sheet as of June 30, 2015. In addition, $0.1 million of restricted cash is included in long</w:t>
      </w:r>
      <w:r>
        <w:rPr>
          <w:rFonts w:ascii="MS PGothic" w:cs="MS PGothic" w:eastAsia="MS PGothic" w:hAnsi="MS PGothic"/>
          <w:sz w:val="17"/>
          <w:szCs w:val="17"/>
          <w:color w:val="auto"/>
        </w:rPr>
        <w:t>‑</w:t>
      </w:r>
      <w:r>
        <w:rPr>
          <w:rFonts w:ascii="Arial" w:cs="Arial" w:eastAsia="Arial" w:hAnsi="Arial"/>
          <w:sz w:val="17"/>
          <w:szCs w:val="17"/>
          <w:color w:val="auto"/>
        </w:rPr>
        <w:t>term assets related to the Company’s corporate credit card agreement as of June 30, 2015 and December 31, 2014.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 of the following (in thousands):</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520" w:type="dxa"/>
            <w:vAlign w:val="bottom"/>
            <w:tcBorders>
              <w:bottom w:val="single" w:sz="8" w:color="CCEEFF"/>
            </w:tcBorders>
          </w:tcPr>
          <w:p>
            <w:pPr>
              <w:spacing w:after="0"/>
              <w:rPr>
                <w:sz w:val="13"/>
                <w:szCs w:val="13"/>
                <w:color w:val="auto"/>
              </w:rPr>
            </w:pPr>
          </w:p>
        </w:tc>
        <w:tc>
          <w:tcPr>
            <w:tcW w:w="198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3"/>
                <w:szCs w:val="13"/>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2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External research and development</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2,034</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Severance</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Consulting</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6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Deferred offering costs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6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60" w:type="dxa"/>
            <w:vAlign w:val="bottom"/>
            <w:shd w:val="clear" w:color="auto" w:fill="CCEEFF"/>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21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4,038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3,810</w:t>
            </w:r>
          </w:p>
        </w:tc>
        <w:tc>
          <w:tcPr>
            <w:tcW w:w="60" w:type="dxa"/>
            <w:vAlign w:val="bottom"/>
          </w:tcPr>
          <w:p>
            <w:pPr>
              <w:spacing w:after="0"/>
              <w:rPr>
                <w:sz w:val="18"/>
                <w:szCs w:val="18"/>
                <w:color w:val="auto"/>
              </w:rPr>
            </w:pPr>
          </w:p>
        </w:tc>
      </w:tr>
      <w:tr>
        <w:trPr>
          <w:trHeight w:val="27"/>
        </w:trPr>
        <w:tc>
          <w:tcPr>
            <w:tcW w:w="45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Term Loan</w:t>
      </w:r>
    </w:p>
    <w:p>
      <w:pPr>
        <w:spacing w:after="0" w:line="189"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In May 2013, the Company entered into a loan and security agreement with Silicon Valley Bank (the 2013 Term Loan), which provided for up to $5.0 million in funding, to be made available in three tranches. Loan advances 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April 1, 2014, and consecutive monthly payments of principal, plus accrued interest, over the remaining term through March 2017. In June 2014, the Company drew the remaining $2.0 million advance under the 2013 Term Loan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is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166" w:lineRule="exact"/>
        <w:rPr>
          <w:sz w:val="20"/>
          <w:szCs w:val="20"/>
          <w:color w:val="auto"/>
        </w:rPr>
      </w:pPr>
    </w:p>
    <w:p>
      <w:pPr>
        <w:ind w:right="260" w:firstLine="648"/>
        <w:spacing w:after="0" w:line="187" w:lineRule="exact"/>
        <w:rPr>
          <w:sz w:val="20"/>
          <w:szCs w:val="20"/>
          <w:color w:val="auto"/>
        </w:rPr>
      </w:pPr>
      <w:r>
        <w:rPr>
          <w:rFonts w:ascii="Arial" w:cs="Arial" w:eastAsia="Arial" w:hAnsi="Arial"/>
          <w:sz w:val="16"/>
          <w:szCs w:val="16"/>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6"/>
          <w:szCs w:val="16"/>
          <w:color w:val="auto"/>
        </w:rPr>
        <w:t>‑</w:t>
      </w:r>
      <w:r>
        <w:rPr>
          <w:rFonts w:ascii="Arial" w:cs="Arial" w:eastAsia="Arial" w:hAnsi="Arial"/>
          <w:sz w:val="16"/>
          <w:szCs w:val="16"/>
          <w:color w:val="auto"/>
        </w:rPr>
        <w:t>term liabilities based on scheduled principal payments.</w:t>
      </w:r>
    </w:p>
    <w:p>
      <w:pPr>
        <w:spacing w:after="0" w:line="162"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1"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Future minimum payments, which include principal and interest due under each of the 2013 Term Loan and the 2014 Term Loan, are $1.2 million, in the aggregate, for the remainder of 2015.</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Warrants</w:t>
      </w:r>
    </w:p>
    <w:p>
      <w:pPr>
        <w:spacing w:after="0" w:line="189" w:lineRule="exact"/>
        <w:rPr>
          <w:sz w:val="20"/>
          <w:szCs w:val="20"/>
          <w:color w:val="auto"/>
        </w:rPr>
      </w:pPr>
    </w:p>
    <w:p>
      <w:pPr>
        <w:ind w:right="180" w:firstLine="648"/>
        <w:spacing w:after="0" w:line="187" w:lineRule="exact"/>
        <w:rPr>
          <w:sz w:val="20"/>
          <w:szCs w:val="20"/>
          <w:color w:val="auto"/>
        </w:rPr>
      </w:pPr>
      <w:r>
        <w:rPr>
          <w:rFonts w:ascii="Arial" w:cs="Arial" w:eastAsia="Arial" w:hAnsi="Arial"/>
          <w:sz w:val="18"/>
          <w:szCs w:val="18"/>
          <w:color w:val="auto"/>
        </w:rPr>
        <w:t>In connection with the 2013 Term Loan (Note 5),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8"/>
          <w:szCs w:val="18"/>
          <w:color w:val="auto"/>
        </w:rPr>
        <w:t>‑</w:t>
      </w:r>
      <w:r>
        <w:rPr>
          <w:rFonts w:ascii="Arial" w:cs="Arial" w:eastAsia="Arial" w:hAnsi="Arial"/>
          <w:sz w:val="18"/>
          <w:szCs w:val="18"/>
          <w:color w:val="auto"/>
        </w:rPr>
        <w:t>year life.</w:t>
      </w:r>
    </w:p>
    <w:p>
      <w:pPr>
        <w:spacing w:after="0" w:line="162" w:lineRule="exact"/>
        <w:rPr>
          <w:sz w:val="20"/>
          <w:szCs w:val="20"/>
          <w:color w:val="auto"/>
        </w:rPr>
      </w:pPr>
    </w:p>
    <w:p>
      <w:pPr>
        <w:ind w:right="160" w:firstLine="648"/>
        <w:spacing w:after="0" w:line="187" w:lineRule="exact"/>
        <w:rPr>
          <w:sz w:val="20"/>
          <w:szCs w:val="20"/>
          <w:color w:val="auto"/>
        </w:rPr>
      </w:pPr>
      <w:r>
        <w:rPr>
          <w:rFonts w:ascii="Arial" w:cs="Arial" w:eastAsia="Arial" w:hAnsi="Arial"/>
          <w:sz w:val="17"/>
          <w:szCs w:val="17"/>
          <w:color w:val="auto"/>
        </w:rPr>
        <w:t>The Company initially valued the Series A Warrant and the Series B Warrant at issuance and at the balance sheet dates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7"/>
          <w:szCs w:val="17"/>
          <w:color w:val="auto"/>
        </w:rPr>
        <w:t>‑</w:t>
      </w:r>
      <w:r>
        <w:rPr>
          <w:rFonts w:ascii="Arial" w:cs="Arial" w:eastAsia="Arial" w:hAnsi="Arial"/>
          <w:sz w:val="17"/>
          <w:szCs w:val="17"/>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w:t>
      </w:r>
    </w:p>
    <w:p>
      <w:pPr>
        <w:spacing w:after="0" w:line="161"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In accordance with ASC 480, the characteristics of these warrants and the rights and privileges of the underlying preferred stock resulted in the classification of these warrants as a liability and were re</w:t>
      </w:r>
      <w:r>
        <w:rPr>
          <w:rFonts w:ascii="MS PGothic" w:cs="MS PGothic" w:eastAsia="MS PGothic" w:hAnsi="MS PGothic"/>
          <w:sz w:val="17"/>
          <w:szCs w:val="17"/>
          <w:color w:val="auto"/>
        </w:rPr>
        <w:t>‑</w:t>
      </w:r>
      <w:r>
        <w:rPr>
          <w:rFonts w:ascii="Arial" w:cs="Arial" w:eastAsia="Arial" w:hAnsi="Arial"/>
          <w:sz w:val="17"/>
          <w:szCs w:val="17"/>
          <w:color w:val="auto"/>
        </w:rPr>
        <w:t>measured to the</w:t>
      </w:r>
      <w:r>
        <w:rPr>
          <w:rFonts w:ascii="MS PGothic" w:cs="MS PGothic" w:eastAsia="MS PGothic" w:hAnsi="MS PGothic"/>
          <w:sz w:val="17"/>
          <w:szCs w:val="17"/>
          <w:color w:val="auto"/>
        </w:rPr>
        <w:t>‑</w:t>
      </w:r>
      <w:r>
        <w:rPr>
          <w:rFonts w:ascii="Arial" w:cs="Arial" w:eastAsia="Arial" w:hAnsi="Arial"/>
          <w:sz w:val="17"/>
          <w:szCs w:val="17"/>
          <w:color w:val="auto"/>
        </w:rPr>
        <w:t>then current fair value at each balance sheet date. Re</w:t>
      </w:r>
      <w:r>
        <w:rPr>
          <w:rFonts w:ascii="MS PGothic" w:cs="MS PGothic" w:eastAsia="MS PGothic" w:hAnsi="MS PGothic"/>
          <w:sz w:val="17"/>
          <w:szCs w:val="17"/>
          <w:color w:val="auto"/>
        </w:rPr>
        <w:t>‑</w:t>
      </w:r>
      <w:r>
        <w:rPr>
          <w:rFonts w:ascii="Arial" w:cs="Arial" w:eastAsia="Arial" w:hAnsi="Arial"/>
          <w:sz w:val="17"/>
          <w:szCs w:val="17"/>
          <w:color w:val="auto"/>
        </w:rPr>
        <w:t>measurement gains or losses were recorded in other income (expense) in the statements of operations. Changes in the fair value of the warrants represented a recurring measurement that was classified within Level 3 of the fair value hierarchy wherein fair value is estimated using significant unobservable inputs.</w:t>
      </w:r>
    </w:p>
    <w:p>
      <w:pPr>
        <w:spacing w:after="0" w:line="161"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The Company used the following weighted</w:t>
      </w:r>
      <w:r>
        <w:rPr>
          <w:rFonts w:ascii="MS PGothic" w:cs="MS PGothic" w:eastAsia="MS PGothic" w:hAnsi="MS PGothic"/>
          <w:sz w:val="18"/>
          <w:szCs w:val="18"/>
          <w:color w:val="auto"/>
        </w:rPr>
        <w:t>‑</w:t>
      </w:r>
      <w:r>
        <w:rPr>
          <w:rFonts w:ascii="Arial" w:cs="Arial" w:eastAsia="Arial" w:hAnsi="Arial"/>
          <w:sz w:val="18"/>
          <w:szCs w:val="18"/>
          <w:color w:val="auto"/>
        </w:rPr>
        <w:t>average assumptions in its Black</w:t>
      </w:r>
      <w:r>
        <w:rPr>
          <w:rFonts w:ascii="MS PGothic" w:cs="MS PGothic" w:eastAsia="MS PGothic" w:hAnsi="MS PGothic"/>
          <w:sz w:val="18"/>
          <w:szCs w:val="18"/>
          <w:color w:val="auto"/>
        </w:rPr>
        <w:t>‑</w:t>
      </w:r>
      <w:r>
        <w:rPr>
          <w:rFonts w:ascii="Arial" w:cs="Arial" w:eastAsia="Arial" w:hAnsi="Arial"/>
          <w:sz w:val="18"/>
          <w:szCs w:val="18"/>
          <w:color w:val="auto"/>
        </w:rPr>
        <w:t>Scholes option pricing model:</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Series A Warrant</w:t>
            </w:r>
          </w:p>
        </w:tc>
        <w:tc>
          <w:tcPr>
            <w:tcW w:w="200" w:type="dxa"/>
            <w:vAlign w:val="bottom"/>
          </w:tcPr>
          <w:p>
            <w:pPr>
              <w:spacing w:after="0"/>
              <w:rPr>
                <w:sz w:val="14"/>
                <w:szCs w:val="14"/>
                <w:color w:val="auto"/>
              </w:rPr>
            </w:pPr>
          </w:p>
        </w:tc>
        <w:tc>
          <w:tcPr>
            <w:tcW w:w="18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Series B Warrant</w:t>
            </w:r>
          </w:p>
        </w:tc>
      </w:tr>
      <w:tr>
        <w:trPr>
          <w:trHeight w:val="173"/>
        </w:trPr>
        <w:tc>
          <w:tcPr>
            <w:tcW w:w="38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Borders>
              <w:top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top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r>
      <w:tr>
        <w:trPr>
          <w:trHeight w:val="171"/>
        </w:trPr>
        <w:tc>
          <w:tcPr>
            <w:tcW w:w="380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Issuance</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Issuance</w:t>
            </w:r>
          </w:p>
        </w:tc>
        <w:tc>
          <w:tcPr>
            <w:tcW w:w="240" w:type="dxa"/>
            <w:vAlign w:val="bottom"/>
            <w:tcBorders>
              <w:bottom w:val="single" w:sz="8" w:color="CCEEFF"/>
            </w:tcBorders>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underlying instrument</w:t>
            </w:r>
          </w:p>
        </w:tc>
        <w:tc>
          <w:tcPr>
            <w:tcW w:w="14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1.97</w:t>
            </w:r>
          </w:p>
        </w:tc>
        <w:tc>
          <w:tcPr>
            <w:tcW w:w="24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volatility</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89.98 %</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80.70 %</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87.38 %</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87.18 %</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2.15 %</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2.58 %</w:t>
            </w: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2.24 %</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2.36 %</w:t>
            </w:r>
          </w:p>
        </w:tc>
      </w:tr>
      <w:tr>
        <w:trPr>
          <w:trHeight w:val="176"/>
        </w:trPr>
        <w:tc>
          <w:tcPr>
            <w:tcW w:w="3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1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8"/>
                <w:szCs w:val="18"/>
                <w:color w:val="auto"/>
              </w:rPr>
              <w:t>— %</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 %</w:t>
            </w: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recorded a debt discount upon issuance of the warrants, which is being accreted as interest expense</w:t>
      </w:r>
    </w:p>
    <w:p>
      <w:pPr>
        <w:spacing w:after="0" w:line="46" w:lineRule="exact"/>
        <w:rPr>
          <w:sz w:val="20"/>
          <w:szCs w:val="20"/>
          <w:color w:val="auto"/>
        </w:rPr>
      </w:pPr>
    </w:p>
    <w:p>
      <w:pPr>
        <w:ind w:right="120"/>
        <w:spacing w:after="0" w:line="234" w:lineRule="auto"/>
        <w:rPr>
          <w:sz w:val="20"/>
          <w:szCs w:val="20"/>
          <w:color w:val="auto"/>
        </w:rPr>
      </w:pPr>
      <w:r>
        <w:rPr>
          <w:rFonts w:ascii="Arial" w:cs="Arial" w:eastAsia="Arial" w:hAnsi="Arial"/>
          <w:sz w:val="18"/>
          <w:szCs w:val="18"/>
          <w:color w:val="auto"/>
        </w:rPr>
        <w:t>over the remaining term of the loan. The Company recorded interest expense related to the Series A Warrant and the Series B Warrant of less than $0.1 million in each of the six months ended June 30, 2015 and 2014.</w:t>
      </w:r>
    </w:p>
    <w:p>
      <w:pPr>
        <w:spacing w:after="0" w:line="163"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Upon completion of the IPO, the Series A Warrant became exercisable for 27,272 shares of the common stock at an exercise price of $5.50 per share, and the Series B Warrant became exercisable for 15,151 shares of the common stock at an exercise price of $6.60 per share. On the date of the conversion of the warrants, the Company revalued the outstanding warrants using the Black-Scholes option pricing model with the following assumptions: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00" w:type="dxa"/>
            <w:vAlign w:val="bottom"/>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Series A Warrant</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Series B Warrant</w:t>
            </w: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73"/>
        </w:trPr>
        <w:tc>
          <w:tcPr>
            <w:tcW w:w="6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May 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center"/>
              <w:ind w:right="135"/>
              <w:spacing w:after="0"/>
              <w:rPr>
                <w:sz w:val="20"/>
                <w:szCs w:val="20"/>
                <w:color w:val="auto"/>
              </w:rPr>
            </w:pPr>
            <w:r>
              <w:rPr>
                <w:rFonts w:ascii="Arial" w:cs="Arial" w:eastAsia="Arial" w:hAnsi="Arial"/>
                <w:sz w:val="14"/>
                <w:szCs w:val="14"/>
                <w:b w:val="1"/>
                <w:bCs w:val="1"/>
                <w:color w:val="auto"/>
                <w:w w:val="98"/>
              </w:rPr>
              <w:t>May 5,</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171"/>
        </w:trPr>
        <w:tc>
          <w:tcPr>
            <w:tcW w:w="6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underlying instrument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Expected volatility</w:t>
            </w:r>
          </w:p>
        </w:tc>
        <w:tc>
          <w:tcPr>
            <w:tcW w:w="2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91.58 %</w:t>
            </w:r>
          </w:p>
        </w:tc>
        <w:tc>
          <w:tcPr>
            <w:tcW w:w="220" w:type="dxa"/>
            <w:vAlign w:val="bottom"/>
          </w:tcPr>
          <w:p>
            <w:pPr>
              <w:spacing w:after="0"/>
              <w:rPr>
                <w:sz w:val="18"/>
                <w:szCs w:val="18"/>
                <w:color w:val="auto"/>
              </w:rPr>
            </w:pP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87.75 %</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w w:val="87"/>
              </w:rPr>
              <w:t>%</w:t>
            </w:r>
          </w:p>
        </w:tc>
      </w:tr>
      <w:tr>
        <w:trPr>
          <w:trHeight w:val="176"/>
        </w:trPr>
        <w:tc>
          <w:tcPr>
            <w:tcW w:w="63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Expected dividend yield</w:t>
            </w:r>
          </w:p>
        </w:tc>
        <w:tc>
          <w:tcPr>
            <w:tcW w:w="2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 %</w:t>
            </w:r>
          </w:p>
        </w:tc>
        <w:tc>
          <w:tcPr>
            <w:tcW w:w="220" w:type="dxa"/>
            <w:vAlign w:val="bottom"/>
            <w:shd w:val="clear" w:color="auto" w:fill="CCEEFF"/>
          </w:tcPr>
          <w:p>
            <w:pPr>
              <w:spacing w:after="0"/>
              <w:rPr>
                <w:sz w:val="15"/>
                <w:szCs w:val="15"/>
                <w:color w:val="auto"/>
              </w:rPr>
            </w:pPr>
          </w:p>
        </w:tc>
        <w:tc>
          <w:tcPr>
            <w:tcW w:w="1200" w:type="dxa"/>
            <w:vAlign w:val="bottom"/>
            <w:gridSpan w:val="3"/>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 %</w:t>
            </w:r>
          </w:p>
        </w:tc>
      </w:tr>
    </w:tbl>
    <w:p>
      <w:pPr>
        <w:spacing w:after="0" w:line="323"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fair value of the warrants at May 5, 2015 was $0.8 million. The Company recorded other expense of $0.4 million in the statement of operations during the six months ended June 30, 2015 equal to the change in fair value of the warrants from December 31, 2014 to May 5, 2015. The Company reclassified the fair value of the warrants at May 5, 2015, of $0.8 million, to additional paid-in capital.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Warrants to purchase 5,991 shares of common stock were cancelled as payment for the aggregate exercise price of the Series A Warrant.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Awards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44" w:lineRule="exact"/>
        <w:rPr>
          <w:sz w:val="20"/>
          <w:szCs w:val="20"/>
          <w:color w:val="auto"/>
        </w:rPr>
      </w:pPr>
    </w:p>
    <w:p>
      <w:pPr>
        <w:ind w:firstLine="648"/>
        <w:spacing w:after="0" w:line="180" w:lineRule="exact"/>
        <w:rPr>
          <w:sz w:val="20"/>
          <w:szCs w:val="20"/>
          <w:color w:val="auto"/>
        </w:rPr>
      </w:pPr>
      <w:r>
        <w:rPr>
          <w:rFonts w:ascii="Arial" w:cs="Arial" w:eastAsia="Arial" w:hAnsi="Arial"/>
          <w:sz w:val="16"/>
          <w:szCs w:val="16"/>
          <w:color w:val="auto"/>
        </w:rPr>
        <w:t>On April 8, 2015, the 2015 Stock Option and Incentive Plan (the “Plan”) was adopted by the board of directors and approved by the stockholders and became effective upon the completion of the IPO. The Plan replaced the 2011 Stock Option Plan. Any options or awards outstanding under the Company’s 2011 Stock Option and Grant Plan remained outstanding and effective. The Plan provides the Company flexibility to use various equity</w:t>
      </w:r>
      <w:r>
        <w:rPr>
          <w:rFonts w:ascii="MS PGothic" w:cs="MS PGothic" w:eastAsia="MS PGothic" w:hAnsi="MS PGothic"/>
          <w:sz w:val="16"/>
          <w:szCs w:val="16"/>
          <w:color w:val="auto"/>
        </w:rPr>
        <w:t>‑</w:t>
      </w:r>
      <w:r>
        <w:rPr>
          <w:rFonts w:ascii="Arial" w:cs="Arial" w:eastAsia="Arial" w:hAnsi="Arial"/>
          <w:sz w:val="16"/>
          <w:szCs w:val="16"/>
          <w:color w:val="auto"/>
        </w:rPr>
        <w:t>based incentive and other awards as compensation tools to motivate its workforce. These tools include incentive stock options (ISO), nonstatutory stock options (NSO), stock appreciation rights, restricted stock, restricted stock units, unrestricted stock, performance share awards and cash</w:t>
      </w:r>
      <w:r>
        <w:rPr>
          <w:rFonts w:ascii="MS PGothic" w:cs="MS PGothic" w:eastAsia="MS PGothic" w:hAnsi="MS PGothic"/>
          <w:sz w:val="16"/>
          <w:szCs w:val="16"/>
          <w:color w:val="auto"/>
        </w:rPr>
        <w:t>‑</w:t>
      </w:r>
      <w:r>
        <w:rPr>
          <w:rFonts w:ascii="Arial" w:cs="Arial" w:eastAsia="Arial" w:hAnsi="Arial"/>
          <w:sz w:val="16"/>
          <w:szCs w:val="16"/>
          <w:color w:val="auto"/>
        </w:rPr>
        <w:t>based awards. The Company initially reserved 1,460,084 shares of common stock for the issuance of awards under the Plan, which will be cumulatively increased on January 1 of each calendar year by 4% of the number of shares of common stock issued and outstanding on the immediately preceding December 31 or such lesser amount as specified by the compensation committee of the board of directors. This number is subject to adjustment in the event of a stock split, stock dividend or other change in our capitalization. At June 30, 2015, there were 1,391,097 shares available for future grant under the Plan. ISOs may not be granted at less than fair value on the date of the grant. Furthermore, the exercise price of ISOs granted to an employee, who at the time of grant is a 10% shareholder, may not be less than 110% of the fair value on the date of grant.</w:t>
      </w:r>
    </w:p>
    <w:p>
      <w:pPr>
        <w:spacing w:after="0" w:line="166"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Terms of restricted stock awards and stock option agreements, including vesting requirements, are determined by the board of directors or compensation committee of the board of directors, subject to the provisions of the applicable plan. Options and restricted stock awards granted by the Company generally vest ratably over four years, with a one</w:t>
      </w:r>
      <w:r>
        <w:rPr>
          <w:rFonts w:ascii="MS PGothic" w:cs="MS PGothic" w:eastAsia="MS PGothic" w:hAnsi="MS PGothic"/>
          <w:sz w:val="16"/>
          <w:szCs w:val="16"/>
          <w:color w:val="auto"/>
        </w:rPr>
        <w:t>‑</w:t>
      </w:r>
      <w:r>
        <w:rPr>
          <w:rFonts w:ascii="Arial" w:cs="Arial" w:eastAsia="Arial" w:hAnsi="Arial"/>
          <w:sz w:val="16"/>
          <w:szCs w:val="16"/>
          <w:color w:val="auto"/>
        </w:rPr>
        <w:t>year cliff for new employee awards, and are exercisable from the date of grant for a period of ten years. For options and restricted stock awards granted prior to the IPO, the exercise price equaled the estimated fair value of the common stock as determined by the board of directors on the date of grant. The dates of the Company’s contemporaneous valuations have not always coincided with the dates of the stock option grants. For financial reporting purposes, the Company performed common stock valuations with the assistance of a third</w:t>
      </w:r>
      <w:r>
        <w:rPr>
          <w:rFonts w:ascii="MS PGothic" w:cs="MS PGothic" w:eastAsia="MS PGothic" w:hAnsi="MS PGothic"/>
          <w:sz w:val="16"/>
          <w:szCs w:val="16"/>
          <w:color w:val="auto"/>
        </w:rPr>
        <w:t>‑</w:t>
      </w:r>
      <w:r>
        <w:rPr>
          <w:rFonts w:ascii="Arial" w:cs="Arial" w:eastAsia="Arial" w:hAnsi="Arial"/>
          <w:sz w:val="16"/>
          <w:szCs w:val="16"/>
          <w:color w:val="auto"/>
        </w:rPr>
        <w:t>party specialist, as of January 6, 2014, July 30, 2014, November 10, 2014, February 1, 2015 and March 1, 2015 to determine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 Upon the IPO, the fair value of the common stock on the grant date was based on the closing price of the stock on the date of grant.</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unvested restricted stock and related information follows: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Weighted-Average</w:t>
            </w:r>
          </w:p>
        </w:tc>
      </w:tr>
      <w:tr>
        <w:trPr>
          <w:trHeight w:val="176"/>
        </w:trPr>
        <w:tc>
          <w:tcPr>
            <w:tcW w:w="5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Grant Date</w:t>
            </w:r>
          </w:p>
        </w:tc>
      </w:tr>
      <w:tr>
        <w:trPr>
          <w:trHeight w:val="171"/>
        </w:trPr>
        <w:tc>
          <w:tcPr>
            <w:tcW w:w="5080" w:type="dxa"/>
            <w:vAlign w:val="bottom"/>
          </w:tcPr>
          <w:p>
            <w:pPr>
              <w:spacing w:after="0"/>
              <w:rPr>
                <w:sz w:val="14"/>
                <w:szCs w:val="14"/>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December 31, 2014</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425,279</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40" w:type="dxa"/>
            <w:vAlign w:val="bottom"/>
            <w:tcBorders>
              <w:top w:val="single" w:sz="8" w:color="CCEEFF"/>
            </w:tcBorders>
            <w:shd w:val="clear" w:color="auto" w:fill="CCEEFF"/>
          </w:tcPr>
          <w:p>
            <w:pPr>
              <w:spacing w:after="0"/>
              <w:rPr>
                <w:sz w:val="18"/>
                <w:szCs w:val="18"/>
                <w:color w:val="auto"/>
              </w:rPr>
            </w:pPr>
          </w:p>
        </w:tc>
      </w:tr>
      <w:tr>
        <w:trPr>
          <w:trHeight w:val="176"/>
        </w:trPr>
        <w:tc>
          <w:tcPr>
            <w:tcW w:w="508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(146,129)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40" w:type="dxa"/>
            <w:vAlign w:val="bottom"/>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Repurchased</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(22,101)</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0.47</w:t>
            </w:r>
          </w:p>
        </w:tc>
        <w:tc>
          <w:tcPr>
            <w:tcW w:w="40" w:type="dxa"/>
            <w:vAlign w:val="bottom"/>
          </w:tcPr>
          <w:p>
            <w:pPr>
              <w:spacing w:after="0"/>
              <w:rPr>
                <w:sz w:val="18"/>
                <w:szCs w:val="18"/>
                <w:color w:val="auto"/>
              </w:rPr>
            </w:pPr>
          </w:p>
        </w:tc>
      </w:tr>
      <w:tr>
        <w:trPr>
          <w:trHeight w:val="217"/>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at June 30, 2015</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257,049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96"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color w:val="auto"/>
        </w:rPr>
        <w:t>The Company has granted restricted stock to non</w:t>
      </w:r>
      <w:r>
        <w:rPr>
          <w:rFonts w:ascii="MS PGothic" w:cs="MS PGothic" w:eastAsia="MS PGothic" w:hAnsi="MS PGothic"/>
          <w:sz w:val="17"/>
          <w:szCs w:val="17"/>
          <w:color w:val="auto"/>
        </w:rPr>
        <w:t>‑</w:t>
      </w:r>
      <w:r>
        <w:rPr>
          <w:rFonts w:ascii="Arial" w:cs="Arial" w:eastAsia="Arial" w:hAnsi="Arial"/>
          <w:sz w:val="17"/>
          <w:szCs w:val="17"/>
          <w:color w:val="auto"/>
        </w:rPr>
        <w:t>employees which contain both performance</w:t>
      </w:r>
      <w:r>
        <w:rPr>
          <w:rFonts w:ascii="MS PGothic" w:cs="MS PGothic" w:eastAsia="MS PGothic" w:hAnsi="MS PGothic"/>
          <w:sz w:val="17"/>
          <w:szCs w:val="17"/>
          <w:color w:val="auto"/>
        </w:rPr>
        <w:t>‑</w:t>
      </w:r>
      <w:r>
        <w:rPr>
          <w:rFonts w:ascii="Arial" w:cs="Arial" w:eastAsia="Arial" w:hAnsi="Arial"/>
          <w:sz w:val="17"/>
          <w:szCs w:val="17"/>
          <w:color w:val="auto"/>
        </w:rPr>
        <w:t>based and service</w:t>
      </w:r>
      <w:r>
        <w:rPr>
          <w:rFonts w:ascii="MS PGothic" w:cs="MS PGothic" w:eastAsia="MS PGothic" w:hAnsi="MS PGothic"/>
          <w:sz w:val="17"/>
          <w:szCs w:val="17"/>
          <w:color w:val="auto"/>
        </w:rPr>
        <w:t>‑</w:t>
      </w:r>
      <w:r>
        <w:rPr>
          <w:rFonts w:ascii="Arial" w:cs="Arial" w:eastAsia="Arial" w:hAnsi="Arial"/>
          <w:sz w:val="17"/>
          <w:szCs w:val="17"/>
          <w:color w:val="auto"/>
        </w:rPr>
        <w:t>based vesting criteria.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associated with these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is recognized if the performance condition is considered probable of achievement using management’s best estimates. In the six months ended June 30, 2014 management concluded that the milestones associated with 90,909 shares of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stock were probable of achievement, and the Company began to record stock</w:t>
      </w:r>
      <w:r>
        <w:rPr>
          <w:rFonts w:ascii="MS PGothic" w:cs="MS PGothic" w:eastAsia="MS PGothic" w:hAnsi="MS PGothic"/>
          <w:sz w:val="17"/>
          <w:szCs w:val="17"/>
          <w:color w:val="auto"/>
        </w:rPr>
        <w:t>‑</w:t>
      </w:r>
      <w:r>
        <w:rPr>
          <w:rFonts w:ascii="Arial" w:cs="Arial" w:eastAsia="Arial" w:hAnsi="Arial"/>
          <w:sz w:val="17"/>
          <w:szCs w:val="17"/>
          <w:color w:val="auto"/>
        </w:rPr>
        <w:t>based</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184" w:lineRule="exact"/>
        <w:rPr>
          <w:sz w:val="20"/>
          <w:szCs w:val="20"/>
          <w:color w:val="auto"/>
        </w:rPr>
      </w:pPr>
      <w:r>
        <w:rPr>
          <w:rFonts w:ascii="Arial" w:cs="Arial" w:eastAsia="Arial" w:hAnsi="Arial"/>
          <w:sz w:val="17"/>
          <w:szCs w:val="17"/>
          <w:color w:val="auto"/>
        </w:rPr>
        <w:t>compensation expense using the accelerated attribution method, accordingly. The Company recorded $0.1 million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non</w:t>
      </w:r>
      <w:r>
        <w:rPr>
          <w:rFonts w:ascii="MS PGothic" w:cs="MS PGothic" w:eastAsia="MS PGothic" w:hAnsi="MS PGothic"/>
          <w:sz w:val="17"/>
          <w:szCs w:val="17"/>
          <w:color w:val="auto"/>
        </w:rPr>
        <w:t>‑</w:t>
      </w:r>
      <w:r>
        <w:rPr>
          <w:rFonts w:ascii="Arial" w:cs="Arial" w:eastAsia="Arial" w:hAnsi="Arial"/>
          <w:sz w:val="17"/>
          <w:szCs w:val="17"/>
          <w:color w:val="auto"/>
        </w:rPr>
        <w:t>employee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in the six months end June 30, 2014. In the three months ended December 31, 2014, management concluded that the milestones associated with an additional 90,909 shares of performance</w:t>
      </w:r>
      <w:r>
        <w:rPr>
          <w:rFonts w:ascii="MS PGothic" w:cs="MS PGothic" w:eastAsia="MS PGothic" w:hAnsi="MS PGothic"/>
          <w:sz w:val="17"/>
          <w:szCs w:val="17"/>
          <w:color w:val="auto"/>
        </w:rPr>
        <w:t>‑</w:t>
      </w:r>
      <w:r>
        <w:rPr>
          <w:rFonts w:ascii="Arial" w:cs="Arial" w:eastAsia="Arial" w:hAnsi="Arial"/>
          <w:sz w:val="17"/>
          <w:szCs w:val="17"/>
          <w:color w:val="auto"/>
        </w:rPr>
        <w:t>based restricted stock were probable of achievement, and the Company began to record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using the accelerated attribution method accordingly. The Company recorded $1.3 million of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for non</w:t>
      </w:r>
      <w:r>
        <w:rPr>
          <w:rFonts w:ascii="MS PGothic" w:cs="MS PGothic" w:eastAsia="MS PGothic" w:hAnsi="MS PGothic"/>
          <w:sz w:val="17"/>
          <w:szCs w:val="17"/>
          <w:color w:val="auto"/>
        </w:rPr>
        <w:t>‑</w:t>
      </w:r>
      <w:r>
        <w:rPr>
          <w:rFonts w:ascii="Arial" w:cs="Arial" w:eastAsia="Arial" w:hAnsi="Arial"/>
          <w:sz w:val="17"/>
          <w:szCs w:val="17"/>
          <w:color w:val="auto"/>
        </w:rPr>
        <w:t>employee performance</w:t>
      </w:r>
      <w:r>
        <w:rPr>
          <w:rFonts w:ascii="MS PGothic" w:cs="MS PGothic" w:eastAsia="MS PGothic" w:hAnsi="MS PGothic"/>
          <w:sz w:val="17"/>
          <w:szCs w:val="17"/>
          <w:color w:val="auto"/>
        </w:rPr>
        <w:t>‑</w:t>
      </w:r>
      <w:r>
        <w:rPr>
          <w:rFonts w:ascii="Arial" w:cs="Arial" w:eastAsia="Arial" w:hAnsi="Arial"/>
          <w:sz w:val="17"/>
          <w:szCs w:val="17"/>
          <w:color w:val="auto"/>
        </w:rPr>
        <w:t>based awards in the six months ended June 30, 2015 related to both milestone achievements.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Remaining</w:t>
            </w:r>
          </w:p>
        </w:tc>
        <w:tc>
          <w:tcPr>
            <w:tcW w:w="10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r>
      <w:tr>
        <w:trPr>
          <w:trHeight w:val="176"/>
        </w:trPr>
        <w:tc>
          <w:tcPr>
            <w:tcW w:w="5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Contractual</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Intrinsic</w:t>
            </w:r>
          </w:p>
        </w:tc>
      </w:tr>
      <w:tr>
        <w:trPr>
          <w:trHeight w:val="176"/>
        </w:trPr>
        <w:tc>
          <w:tcPr>
            <w:tcW w:w="5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60" w:type="dxa"/>
            <w:vAlign w:val="bottom"/>
          </w:tcPr>
          <w:p>
            <w:pPr>
              <w:spacing w:after="0"/>
              <w:rPr>
                <w:sz w:val="15"/>
                <w:szCs w:val="15"/>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Value(3)</w:t>
            </w:r>
          </w:p>
        </w:tc>
      </w:tr>
      <w:tr>
        <w:trPr>
          <w:trHeight w:val="171"/>
        </w:trPr>
        <w:tc>
          <w:tcPr>
            <w:tcW w:w="54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bottom w:val="single" w:sz="8" w:color="CCEEFF"/>
            </w:tcBorders>
          </w:tcPr>
          <w:p>
            <w:pPr>
              <w:spacing w:after="0"/>
              <w:rPr>
                <w:sz w:val="14"/>
                <w:szCs w:val="14"/>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1,501,912</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7,704</w:t>
            </w: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652,573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10.75</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Exercised</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(41,435)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480" w:type="dxa"/>
            <w:vAlign w:val="bottom"/>
          </w:tcPr>
          <w:p>
            <w:pPr>
              <w:ind w:left="220"/>
              <w:spacing w:after="0"/>
              <w:rPr>
                <w:sz w:val="20"/>
                <w:szCs w:val="20"/>
                <w:color w:val="auto"/>
              </w:rPr>
            </w:pPr>
            <w:r>
              <w:rPr>
                <w:rFonts w:ascii="Arial" w:cs="Arial" w:eastAsia="Arial" w:hAnsi="Arial"/>
                <w:sz w:val="18"/>
                <w:szCs w:val="18"/>
                <w:color w:val="auto"/>
              </w:rPr>
              <w:t>Canceled</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(14,551)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2015(1)</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2,098,499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9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548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Exercisable at June 30, 2015</w:t>
            </w: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293,024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2.61</w:t>
            </w:r>
          </w:p>
        </w:tc>
        <w:tc>
          <w:tcPr>
            <w:tcW w:w="920" w:type="dxa"/>
            <w:vAlign w:val="bottom"/>
            <w:tcBorders>
              <w:bottom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8.82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rPr>
              <w:t>6,997</w:t>
            </w:r>
          </w:p>
        </w:tc>
        <w:tc>
          <w:tcPr>
            <w:tcW w:w="60" w:type="dxa"/>
            <w:vAlign w:val="bottom"/>
            <w:tcBorders>
              <w:bottom w:val="single" w:sz="8" w:color="CCEEFF"/>
            </w:tcBorders>
          </w:tcPr>
          <w:p>
            <w:pPr>
              <w:spacing w:after="0"/>
              <w:rPr>
                <w:sz w:val="18"/>
                <w:szCs w:val="18"/>
                <w:color w:val="auto"/>
              </w:rPr>
            </w:pPr>
          </w:p>
        </w:tc>
      </w:tr>
      <w:tr>
        <w:trPr>
          <w:trHeight w:val="22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 at June 30, 2015(2)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1,994,592</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43,400</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167640</wp:posOffset>
            </wp:positionV>
            <wp:extent cx="14916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59690"/>
                    </a:xfrm>
                    <a:prstGeom prst="rect">
                      <a:avLst/>
                    </a:prstGeom>
                    <a:noFill/>
                  </pic:spPr>
                </pic:pic>
              </a:graphicData>
            </a:graphic>
          </wp:anchor>
        </w:drawing>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(1) Includes 162,426 unvested shares of common stock related to early exercises of stock options.</w:t>
      </w:r>
    </w:p>
    <w:p>
      <w:pPr>
        <w:spacing w:after="0" w:line="185" w:lineRule="exact"/>
        <w:rPr>
          <w:sz w:val="20"/>
          <w:szCs w:val="20"/>
          <w:color w:val="auto"/>
        </w:rPr>
      </w:pPr>
    </w:p>
    <w:p>
      <w:pPr>
        <w:ind w:left="220" w:right="260" w:hanging="215"/>
        <w:spacing w:after="0" w:line="235" w:lineRule="auto"/>
        <w:rPr>
          <w:sz w:val="20"/>
          <w:szCs w:val="20"/>
          <w:color w:val="auto"/>
        </w:rPr>
      </w:pPr>
      <w:r>
        <w:rPr>
          <w:rFonts w:ascii="Arial" w:cs="Arial" w:eastAsia="Arial" w:hAnsi="Arial"/>
          <w:sz w:val="18"/>
          <w:szCs w:val="18"/>
          <w:color w:val="auto"/>
        </w:rPr>
        <w:t>(2)Represents the number of vested options as of June 30, 2015, plus the number of unvested options expected to vest as of June 30, 2015.</w:t>
      </w:r>
    </w:p>
    <w:p>
      <w:pPr>
        <w:spacing w:after="0" w:line="162" w:lineRule="exact"/>
        <w:rPr>
          <w:sz w:val="20"/>
          <w:szCs w:val="20"/>
          <w:color w:val="auto"/>
        </w:rPr>
      </w:pPr>
    </w:p>
    <w:p>
      <w:pPr>
        <w:ind w:left="220" w:right="180" w:hanging="215"/>
        <w:spacing w:after="0" w:line="235" w:lineRule="auto"/>
        <w:rPr>
          <w:sz w:val="20"/>
          <w:szCs w:val="20"/>
          <w:color w:val="auto"/>
        </w:rPr>
      </w:pPr>
      <w:r>
        <w:rPr>
          <w:rFonts w:ascii="Arial" w:cs="Arial" w:eastAsia="Arial" w:hAnsi="Arial"/>
          <w:sz w:val="18"/>
          <w:szCs w:val="18"/>
          <w:color w:val="auto"/>
        </w:rPr>
        <w:t>(3)Intrinsic value represents the amount by which the fair market value as of June 30, 2015 of the underlying common stock exceeds the exercise price of the option.</w:t>
      </w:r>
    </w:p>
    <w:p>
      <w:pPr>
        <w:spacing w:after="0" w:line="162" w:lineRule="exact"/>
        <w:rPr>
          <w:sz w:val="20"/>
          <w:szCs w:val="20"/>
          <w:color w:val="auto"/>
        </w:rPr>
      </w:pPr>
    </w:p>
    <w:p>
      <w:pPr>
        <w:ind w:right="10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216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r>
      <w:tr>
        <w:trPr>
          <w:trHeight w:val="169"/>
        </w:trPr>
        <w:tc>
          <w:tcPr>
            <w:tcW w:w="45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June 30, 2015</w:t>
            </w:r>
          </w:p>
        </w:tc>
        <w:tc>
          <w:tcPr>
            <w:tcW w:w="2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June 30, 2014</w:t>
            </w:r>
          </w:p>
        </w:tc>
        <w:tc>
          <w:tcPr>
            <w:tcW w:w="1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June 30, 2015</w:t>
            </w: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June 30, 2014</w:t>
            </w:r>
          </w:p>
        </w:tc>
        <w:tc>
          <w:tcPr>
            <w:tcW w:w="16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1.53% - 1.92 %</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1.42% - 1.92</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176"/>
        </w:trPr>
        <w:tc>
          <w:tcPr>
            <w:tcW w:w="452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28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 %</w:t>
            </w:r>
          </w:p>
        </w:tc>
        <w:tc>
          <w:tcPr>
            <w:tcW w:w="10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82.68 %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91.36 %</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85.71 %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91.36 %</w:t>
            </w:r>
          </w:p>
        </w:tc>
      </w:tr>
    </w:tbl>
    <w:p>
      <w:pPr>
        <w:spacing w:after="0" w:line="337" w:lineRule="exact"/>
        <w:rPr>
          <w:sz w:val="20"/>
          <w:szCs w:val="20"/>
          <w:color w:val="auto"/>
        </w:rPr>
      </w:pPr>
    </w:p>
    <w:p>
      <w:pPr>
        <w:ind w:right="200" w:firstLine="648"/>
        <w:spacing w:after="0" w:line="194" w:lineRule="exact"/>
        <w:rPr>
          <w:sz w:val="20"/>
          <w:szCs w:val="20"/>
          <w:color w:val="auto"/>
        </w:rPr>
      </w:pPr>
      <w:r>
        <w:rPr>
          <w:rFonts w:ascii="Arial" w:cs="Arial" w:eastAsia="Arial" w:hAnsi="Arial"/>
          <w:sz w:val="18"/>
          <w:szCs w:val="18"/>
          <w:color w:val="auto"/>
        </w:rPr>
        <w:t>The weighted</w:t>
      </w:r>
      <w:r>
        <w:rPr>
          <w:rFonts w:ascii="MS PGothic" w:cs="MS PGothic" w:eastAsia="MS PGothic" w:hAnsi="MS PGothic"/>
          <w:sz w:val="18"/>
          <w:szCs w:val="18"/>
          <w:color w:val="auto"/>
        </w:rPr>
        <w:t>‑</w:t>
      </w:r>
      <w:r>
        <w:rPr>
          <w:rFonts w:ascii="Arial" w:cs="Arial" w:eastAsia="Arial" w:hAnsi="Arial"/>
          <w:sz w:val="18"/>
          <w:szCs w:val="18"/>
          <w:color w:val="auto"/>
        </w:rPr>
        <w:t>average grant date fair value of options granted in the six months ended June 30, 2015 and 2014 was $7.71 and $1.41, respectively. The total intrinsic value of options exercised in the six months ended June 30, 2015 was $0.4 million. There were no options exercised in the six months ended June 30, 2014.</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statements of operations is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6"/>
        </w:trPr>
        <w:tc>
          <w:tcPr>
            <w:tcW w:w="436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w w:val="96"/>
              </w:rPr>
              <w:t>2014</w:t>
            </w:r>
          </w:p>
        </w:tc>
        <w:tc>
          <w:tcPr>
            <w:tcW w:w="40" w:type="dxa"/>
            <w:vAlign w:val="bottom"/>
            <w:tcBorders>
              <w:bottom w:val="single" w:sz="8" w:color="CCEEFF"/>
            </w:tcBorders>
          </w:tcPr>
          <w:p>
            <w:pPr>
              <w:spacing w:after="0"/>
              <w:rPr>
                <w:sz w:val="13"/>
                <w:szCs w:val="13"/>
                <w:color w:val="auto"/>
              </w:rPr>
            </w:pPr>
          </w:p>
        </w:tc>
      </w:tr>
      <w:tr>
        <w:trPr>
          <w:trHeight w:val="210"/>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1,289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8"/>
                <w:szCs w:val="18"/>
                <w:color w:val="auto"/>
              </w:rPr>
            </w:pP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7"/>
              </w:rPr>
              <w:t>1,725</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40" w:type="dxa"/>
            <w:vAlign w:val="bottom"/>
            <w:tcBorders>
              <w:bottom w:val="single" w:sz="8" w:color="CCEEFF"/>
            </w:tcBorders>
          </w:tcPr>
          <w:p>
            <w:pPr>
              <w:spacing w:after="0"/>
              <w:rPr>
                <w:sz w:val="18"/>
                <w:szCs w:val="18"/>
                <w:color w:val="auto"/>
              </w:rPr>
            </w:pPr>
          </w:p>
        </w:tc>
      </w:tr>
      <w:tr>
        <w:trPr>
          <w:trHeight w:val="217"/>
        </w:trPr>
        <w:tc>
          <w:tcPr>
            <w:tcW w:w="4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stock-based compensation expense</w:t>
            </w:r>
          </w:p>
        </w:tc>
        <w:tc>
          <w:tcPr>
            <w:tcW w:w="1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2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3,014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364"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At June 30, 2015, there was $9.6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2.77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44"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On April 8, 2015, the Company’s stockholders approved the 2015 Employee Stock Purchase Plan. A total of 243,347 shares of common stock were initially authorized for issuance under this plan. The 2015 Employee Stock Purchase Plan became effective upon the completion of the IPO. As of June 30, 2015, the first offering under the 2015 Employee Stock Purchase Plan has not occurred.</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Loss per Share Applicable to Common Stockholders</w:t>
      </w:r>
    </w:p>
    <w:p>
      <w:pPr>
        <w:spacing w:after="0" w:line="108"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6"/>
          <w:szCs w:val="16"/>
          <w:color w:val="auto"/>
        </w:rPr>
        <w:t>‑</w:t>
      </w:r>
      <w:r>
        <w:rPr>
          <w:rFonts w:ascii="Arial" w:cs="Arial" w:eastAsia="Arial" w:hAnsi="Arial"/>
          <w:sz w:val="16"/>
          <w:szCs w:val="16"/>
          <w:color w:val="auto"/>
        </w:rPr>
        <w:t>dilutive; therefore, basic and diluted net loss per share applicable to common stockholders were the same for all periods presented as a result of the Company’s net loss. 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6"/>
          <w:szCs w:val="16"/>
          <w:color w:val="auto"/>
        </w:rPr>
        <w:t>‑</w:t>
      </w:r>
      <w:r>
        <w:rPr>
          <w:rFonts w:ascii="Arial" w:cs="Arial" w:eastAsia="Arial" w:hAnsi="Arial"/>
          <w:sz w:val="16"/>
          <w:szCs w:val="16"/>
          <w:color w:val="auto"/>
        </w:rPr>
        <w:t>dilutive effect.</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280" w:type="dxa"/>
            <w:vAlign w:val="bottom"/>
            <w:gridSpan w:val="4"/>
          </w:tcPr>
          <w:p>
            <w:pPr>
              <w:ind w:left="740"/>
              <w:spacing w:after="0"/>
              <w:rPr>
                <w:sz w:val="20"/>
                <w:szCs w:val="20"/>
                <w:color w:val="auto"/>
              </w:rPr>
            </w:pPr>
            <w:r>
              <w:rPr>
                <w:rFonts w:ascii="Arial" w:cs="Arial" w:eastAsia="Arial" w:hAnsi="Arial"/>
                <w:sz w:val="14"/>
                <w:szCs w:val="14"/>
                <w:b w:val="1"/>
                <w:bCs w:val="1"/>
                <w:color w:val="auto"/>
              </w:rPr>
              <w:t>June 30,</w:t>
            </w:r>
          </w:p>
        </w:tc>
      </w:tr>
      <w:tr>
        <w:trPr>
          <w:trHeight w:val="169"/>
        </w:trPr>
        <w:tc>
          <w:tcPr>
            <w:tcW w:w="6860" w:type="dxa"/>
            <w:vAlign w:val="bottom"/>
            <w:tcBorders>
              <w:bottom w:val="single" w:sz="8" w:color="CCEEFF"/>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preferred stock</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11,075,750</w:t>
            </w:r>
          </w:p>
        </w:tc>
        <w:tc>
          <w:tcPr>
            <w:tcW w:w="24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Warrants</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27,272</w:t>
            </w:r>
          </w:p>
        </w:tc>
        <w:tc>
          <w:tcPr>
            <w:tcW w:w="24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2,098,499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553,973</w:t>
            </w:r>
          </w:p>
        </w:tc>
        <w:tc>
          <w:tcPr>
            <w:tcW w:w="24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Unvested restricted stock</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257,049</w:t>
            </w:r>
          </w:p>
        </w:tc>
        <w:tc>
          <w:tcPr>
            <w:tcW w:w="2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632,546</w:t>
            </w:r>
          </w:p>
        </w:tc>
        <w:tc>
          <w:tcPr>
            <w:tcW w:w="24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2,355,548</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12,289,541</w:t>
            </w:r>
          </w:p>
        </w:tc>
        <w:tc>
          <w:tcPr>
            <w:tcW w:w="24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ind w:right="140" w:firstLine="648"/>
        <w:spacing w:after="0" w:line="238" w:lineRule="auto"/>
        <w:rPr>
          <w:sz w:val="20"/>
          <w:szCs w:val="20"/>
          <w:color w:val="auto"/>
        </w:rPr>
      </w:pPr>
      <w:r>
        <w:rPr>
          <w:rFonts w:ascii="Arial" w:cs="Arial" w:eastAsia="Arial" w:hAnsi="Arial"/>
          <w:sz w:val="17"/>
          <w:szCs w:val="17"/>
          <w:color w:val="auto"/>
        </w:rPr>
        <w:t>The weighted average number of common shares used in net loss per share applicable to common stockholders on a basic and diluted basis were 17,092,989 and 1,371,359 for the three months ended June 30, 2015 and 2014, respectively and 9,430,462 and 1,329,302 for the six months ended June 30, 2015 and 2014,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Collaboration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In March 2015, the Company entered into a research, development and commercialization agreement with Alexion to research, develop and commercialize drug candidates for an undisclosed activated kinase target, which is the cause of a rare genetic disease. Under the terms of this agreement, the Company is responsible for research and pre</w:t>
      </w:r>
      <w:r>
        <w:rPr>
          <w:rFonts w:ascii="MS PGothic" w:cs="MS PGothic" w:eastAsia="MS PGothic" w:hAnsi="MS PGothic"/>
          <w:sz w:val="18"/>
          <w:szCs w:val="18"/>
          <w:color w:val="auto"/>
        </w:rPr>
        <w:t>‑</w:t>
      </w:r>
      <w:r>
        <w:rPr>
          <w:rFonts w:ascii="Arial" w:cs="Arial" w:eastAsia="Arial" w:hAnsi="Arial"/>
          <w:sz w:val="18"/>
          <w:szCs w:val="18"/>
          <w:color w:val="auto"/>
        </w:rPr>
        <w:t>clinical development activities related to drug candidates and Alexion is responsible for all clinical development, manufacturing and commercialization activities related to drug candidates.</w:t>
      </w:r>
    </w:p>
    <w:p>
      <w:pPr>
        <w:spacing w:after="0" w:line="162" w:lineRule="exact"/>
        <w:rPr>
          <w:sz w:val="20"/>
          <w:szCs w:val="20"/>
          <w:color w:val="auto"/>
        </w:rPr>
      </w:pPr>
    </w:p>
    <w:p>
      <w:pPr>
        <w:ind w:right="20" w:firstLine="648"/>
        <w:spacing w:after="0" w:line="177" w:lineRule="exact"/>
        <w:rPr>
          <w:sz w:val="20"/>
          <w:szCs w:val="20"/>
          <w:color w:val="auto"/>
        </w:rPr>
      </w:pPr>
      <w:r>
        <w:rPr>
          <w:rFonts w:ascii="Arial" w:cs="Arial" w:eastAsia="Arial" w:hAnsi="Arial"/>
          <w:sz w:val="16"/>
          <w:szCs w:val="16"/>
          <w:color w:val="auto"/>
        </w:rPr>
        <w:t>Alexion is responsible for funding 100% of the Company’s research and development costs incurred under the research plan, including pass</w:t>
      </w:r>
      <w:r>
        <w:rPr>
          <w:rFonts w:ascii="MS PGothic" w:cs="MS PGothic" w:eastAsia="MS PGothic" w:hAnsi="MS PGothic"/>
          <w:sz w:val="16"/>
          <w:szCs w:val="16"/>
          <w:color w:val="auto"/>
        </w:rPr>
        <w:t>‑</w:t>
      </w:r>
      <w:r>
        <w:rPr>
          <w:rFonts w:ascii="Arial" w:cs="Arial" w:eastAsia="Arial" w:hAnsi="Arial"/>
          <w:sz w:val="16"/>
          <w:szCs w:val="16"/>
          <w:color w:val="auto"/>
        </w:rPr>
        <w:t>through costs and its employees’ time devoted to the research plan at a negotiated yearly rate per full</w:t>
      </w:r>
      <w:r>
        <w:rPr>
          <w:rFonts w:ascii="MS PGothic" w:cs="MS PGothic" w:eastAsia="MS PGothic" w:hAnsi="MS PGothic"/>
          <w:sz w:val="16"/>
          <w:szCs w:val="16"/>
          <w:color w:val="auto"/>
        </w:rPr>
        <w:t>‑</w:t>
      </w:r>
      <w:r>
        <w:rPr>
          <w:rFonts w:ascii="Arial" w:cs="Arial" w:eastAsia="Arial" w:hAnsi="Arial"/>
          <w:sz w:val="16"/>
          <w:szCs w:val="16"/>
          <w:color w:val="auto"/>
        </w:rPr>
        <w:t>time equivalent for its employees’ time and their associated overhead expenses. The Company received a $15.0 million non</w:t>
      </w:r>
      <w:r>
        <w:rPr>
          <w:rFonts w:ascii="MS PGothic" w:cs="MS PGothic" w:eastAsia="MS PGothic" w:hAnsi="MS PGothic"/>
          <w:sz w:val="16"/>
          <w:szCs w:val="16"/>
          <w:color w:val="auto"/>
        </w:rPr>
        <w:t>‑</w:t>
      </w:r>
      <w:r>
        <w:rPr>
          <w:rFonts w:ascii="Arial" w:cs="Arial" w:eastAsia="Arial" w:hAnsi="Arial"/>
          <w:sz w:val="16"/>
          <w:szCs w:val="16"/>
          <w:color w:val="auto"/>
        </w:rPr>
        <w:t>refundable upfront payment in March 2015 upon execution of the agreement and is eligible to receive over $250 million in payments upon the successful achievement of pre</w:t>
      </w:r>
      <w:r>
        <w:rPr>
          <w:rFonts w:ascii="MS PGothic" w:cs="MS PGothic" w:eastAsia="MS PGothic" w:hAnsi="MS PGothic"/>
          <w:sz w:val="16"/>
          <w:szCs w:val="16"/>
          <w:color w:val="auto"/>
        </w:rPr>
        <w:t>‑</w:t>
      </w:r>
      <w:r>
        <w:rPr>
          <w:rFonts w:ascii="Arial" w:cs="Arial" w:eastAsia="Arial" w:hAnsi="Arial"/>
          <w:sz w:val="16"/>
          <w:szCs w:val="16"/>
          <w:color w:val="auto"/>
        </w:rPr>
        <w:t>specified pre</w:t>
      </w:r>
      <w:r>
        <w:rPr>
          <w:rFonts w:ascii="MS PGothic" w:cs="MS PGothic" w:eastAsia="MS PGothic" w:hAnsi="MS PGothic"/>
          <w:sz w:val="16"/>
          <w:szCs w:val="16"/>
          <w:color w:val="auto"/>
        </w:rPr>
        <w:t>‑</w:t>
      </w:r>
      <w:r>
        <w:rPr>
          <w:rFonts w:ascii="Arial" w:cs="Arial" w:eastAsia="Arial" w:hAnsi="Arial"/>
          <w:sz w:val="16"/>
          <w:szCs w:val="16"/>
          <w:color w:val="auto"/>
        </w:rPr>
        <w:t>clinical, clinical, regulatory and commercial milestones as follows: (i) up to $6.0 million in pre</w:t>
      </w:r>
      <w:r>
        <w:rPr>
          <w:rFonts w:ascii="MS PGothic" w:cs="MS PGothic" w:eastAsia="MS PGothic" w:hAnsi="MS PGothic"/>
          <w:sz w:val="16"/>
          <w:szCs w:val="16"/>
          <w:color w:val="auto"/>
        </w:rPr>
        <w:t>‑</w:t>
      </w:r>
      <w:r>
        <w:rPr>
          <w:rFonts w:ascii="Arial" w:cs="Arial" w:eastAsia="Arial" w:hAnsi="Arial"/>
          <w:sz w:val="16"/>
          <w:szCs w:val="16"/>
          <w:color w:val="auto"/>
        </w:rPr>
        <w:t>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6"/>
          <w:szCs w:val="16"/>
          <w:color w:val="auto"/>
        </w:rPr>
        <w:t>‑</w:t>
      </w:r>
      <w:r>
        <w:rPr>
          <w:rFonts w:ascii="Arial" w:cs="Arial" w:eastAsia="Arial" w:hAnsi="Arial"/>
          <w:sz w:val="16"/>
          <w:szCs w:val="16"/>
          <w:color w:val="auto"/>
        </w:rPr>
        <w:t>single to low</w:t>
      </w:r>
      <w:r>
        <w:rPr>
          <w:rFonts w:ascii="MS PGothic" w:cs="MS PGothic" w:eastAsia="MS PGothic" w:hAnsi="MS PGothic"/>
          <w:sz w:val="16"/>
          <w:szCs w:val="16"/>
          <w:color w:val="auto"/>
        </w:rPr>
        <w:t>‑</w:t>
      </w:r>
      <w:r>
        <w:rPr>
          <w:rFonts w:ascii="Arial" w:cs="Arial" w:eastAsia="Arial" w:hAnsi="Arial"/>
          <w:sz w:val="16"/>
          <w:szCs w:val="16"/>
          <w:color w:val="auto"/>
        </w:rPr>
        <w:t>double digit percentages, on a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and licensed-product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licensed product basis, on worldwide net product sales of licensed products. The royalty term for 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6"/>
          <w:szCs w:val="16"/>
          <w:color w:val="auto"/>
        </w:rPr>
        <w:t>‑</w:t>
      </w:r>
      <w:r>
        <w:rPr>
          <w:rFonts w:ascii="Arial" w:cs="Arial" w:eastAsia="Arial" w:hAnsi="Arial"/>
          <w:sz w:val="16"/>
          <w:szCs w:val="16"/>
          <w:color w:val="auto"/>
        </w:rPr>
        <w:t>to</w:t>
      </w:r>
      <w:r>
        <w:rPr>
          <w:rFonts w:ascii="MS PGothic" w:cs="MS PGothic" w:eastAsia="MS PGothic" w:hAnsi="MS PGothic"/>
          <w:sz w:val="16"/>
          <w:szCs w:val="16"/>
          <w:color w:val="auto"/>
        </w:rPr>
        <w:t>‑</w:t>
      </w:r>
      <w:r>
        <w:rPr>
          <w:rFonts w:ascii="Arial" w:cs="Arial" w:eastAsia="Arial" w:hAnsi="Arial"/>
          <w:sz w:val="16"/>
          <w:szCs w:val="16"/>
          <w:color w:val="auto"/>
        </w:rPr>
        <w:t>expire valid claim of specified patents covering such licensed product,</w:t>
      </w:r>
    </w:p>
    <w:p>
      <w:pPr>
        <w:spacing w:after="0" w:line="7" w:lineRule="exact"/>
        <w:rPr>
          <w:sz w:val="20"/>
          <w:szCs w:val="20"/>
          <w:color w:val="auto"/>
        </w:rPr>
      </w:pPr>
    </w:p>
    <w:p>
      <w:pPr>
        <w:ind w:right="780" w:firstLine="2"/>
        <w:spacing w:after="0" w:line="226" w:lineRule="auto"/>
        <w:tabs>
          <w:tab w:leader="none" w:pos="2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expiration of the applicable regulatory exclusivity period, and (iii) 10 or 15 years from specified commercial sales. There are no refund provisions in the agreement.</w:t>
      </w:r>
    </w:p>
    <w:p>
      <w:pPr>
        <w:spacing w:after="0" w:line="161"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7"/>
          <w:szCs w:val="17"/>
          <w:color w:val="auto"/>
        </w:rPr>
        <w:t>Alexion has the right to terminate the Alexion agreement if the Company undergoes a change of control or becomes an affiliate of a biotechnology or pharmaceutical company, and may terminate the agreement at</w:t>
      </w:r>
      <w:r>
        <w:rPr>
          <w:rFonts w:ascii="MS PGothic" w:cs="MS PGothic" w:eastAsia="MS PGothic" w:hAnsi="MS PGothic"/>
          <w:sz w:val="17"/>
          <w:szCs w:val="17"/>
          <w:color w:val="auto"/>
        </w:rPr>
        <w:t>‑</w:t>
      </w:r>
      <w:r>
        <w:rPr>
          <w:rFonts w:ascii="Arial" w:cs="Arial" w:eastAsia="Arial" w:hAnsi="Arial"/>
          <w:sz w:val="17"/>
          <w:szCs w:val="17"/>
          <w:color w:val="auto"/>
        </w:rPr>
        <w:t>will upon 90 days prior written notice. The Company and Alexion have the right to terminate the agreement in the event of the other party’s uncured breach or insolvency, and in certain other circumstances agreed to by the parties</w:t>
      </w:r>
    </w:p>
    <w:p>
      <w:pPr>
        <w:spacing w:after="0" w:line="163"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63"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agreement.</w:t>
      </w:r>
    </w:p>
    <w:p>
      <w:pPr>
        <w:spacing w:after="0" w:line="127" w:lineRule="exact"/>
        <w:rPr>
          <w:sz w:val="20"/>
          <w:szCs w:val="20"/>
          <w:color w:val="auto"/>
        </w:rPr>
      </w:pPr>
    </w:p>
    <w:p>
      <w:pPr>
        <w:ind w:right="160" w:firstLine="648"/>
        <w:spacing w:after="0" w:line="214" w:lineRule="auto"/>
        <w:rPr>
          <w:sz w:val="20"/>
          <w:szCs w:val="20"/>
          <w:color w:val="auto"/>
        </w:rPr>
      </w:pPr>
      <w:r>
        <w:rPr>
          <w:rFonts w:ascii="Arial" w:cs="Arial" w:eastAsia="Arial" w:hAnsi="Arial"/>
          <w:sz w:val="18"/>
          <w:szCs w:val="18"/>
          <w:color w:val="auto"/>
        </w:rPr>
        <w:t>The Company evaluated whether the milestones that may be received in connection with the agreement are substantive or non-substantive milestones. The Company concluded that the first pre-clinical milestone in the agreement is non-substantive due to the certainty at the date the arrangement was entered into that the event will be achieved. Once the milestone is achieved, the Company will recognize revenues from the related milestone payment over the period of performance. In May 2015, the Company achieved the first pre-clinical milestone, which triggered a $1.75 million payment under the terms of the agreement.</w:t>
      </w:r>
    </w:p>
    <w:p>
      <w:pPr>
        <w:spacing w:after="0" w:line="122"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Milestones that are not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considered substantive because the Company does not contribute effort to the achievement of such milestones are generally achieved after the period of substantial involvement and are recognized as revenue upon achievement of the milestone, as there are no undelivered elements remaining and no continuing performance obligations, assuming all other revenue recognition criteria are met.</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2015, the Company recognized revenue under the Alexion agreement of $3.3</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00" w:lineRule="exact"/>
        <w:rPr>
          <w:sz w:val="20"/>
          <w:szCs w:val="20"/>
          <w:color w:val="auto"/>
        </w:rPr>
      </w:pPr>
    </w:p>
    <w:p>
      <w:pPr>
        <w:spacing w:after="0" w:line="316"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10. Related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Party Transactions</w:t>
      </w:r>
    </w:p>
    <w:p>
      <w:pPr>
        <w:spacing w:after="0" w:line="189"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The Company has received consulting and management services from one of its investors, Third Rock Ventures LLC (Third Rock Ventures). The Company paid Third Rock Ventures $0.2 million for these services during the six months ended June 30, 2014. The Company did not receive any consulting services from Third Rock Ventures during the three months ended June 30, 2015.</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February 12, 2015, the Company entered into a lease for approximately 38,500 rentable square feet of office and</w:t>
      </w:r>
    </w:p>
    <w:p>
      <w:pPr>
        <w:spacing w:after="0"/>
        <w:rPr>
          <w:sz w:val="20"/>
          <w:szCs w:val="20"/>
          <w:color w:val="auto"/>
        </w:rPr>
      </w:pPr>
      <w:r>
        <w:rPr>
          <w:rFonts w:ascii="Arial" w:cs="Arial" w:eastAsia="Arial" w:hAnsi="Arial"/>
          <w:sz w:val="16"/>
          <w:szCs w:val="16"/>
          <w:color w:val="auto"/>
        </w:rPr>
        <w:t>laboratory space in Cambridge, Massachusetts, which the Company gained control over on June 15, 2015 and occupancy will</w:t>
      </w:r>
    </w:p>
    <w:p>
      <w:pPr>
        <w:spacing w:after="0" w:line="229" w:lineRule="auto"/>
        <w:rPr>
          <w:sz w:val="20"/>
          <w:szCs w:val="20"/>
          <w:color w:val="auto"/>
        </w:rPr>
      </w:pPr>
      <w:r>
        <w:rPr>
          <w:rFonts w:ascii="Arial" w:cs="Arial" w:eastAsia="Arial" w:hAnsi="Arial"/>
          <w:sz w:val="16"/>
          <w:szCs w:val="16"/>
          <w:color w:val="auto"/>
        </w:rPr>
        <w:t>commence in October 2015. The lease ends on October 31, 2022. The Company has an option to extend the lease for five</w:t>
      </w:r>
    </w:p>
    <w:p>
      <w:pPr>
        <w:spacing w:after="0" w:line="229" w:lineRule="auto"/>
        <w:rPr>
          <w:sz w:val="20"/>
          <w:szCs w:val="20"/>
          <w:color w:val="auto"/>
        </w:rPr>
      </w:pPr>
      <w:r>
        <w:rPr>
          <w:rFonts w:ascii="Arial" w:cs="Arial" w:eastAsia="Arial" w:hAnsi="Arial"/>
          <w:sz w:val="16"/>
          <w:szCs w:val="16"/>
          <w:color w:val="auto"/>
        </w:rPr>
        <w:t>additional years. The lease has a total committment of $17.8 million over the seven year term. The Company has agreed to</w:t>
      </w:r>
    </w:p>
    <w:p>
      <w:pPr>
        <w:spacing w:after="0" w:line="203" w:lineRule="auto"/>
        <w:rPr>
          <w:sz w:val="20"/>
          <w:szCs w:val="20"/>
          <w:color w:val="auto"/>
        </w:rPr>
      </w:pPr>
      <w:r>
        <w:rPr>
          <w:rFonts w:ascii="Arial" w:cs="Arial" w:eastAsia="Arial" w:hAnsi="Arial"/>
          <w:sz w:val="18"/>
          <w:szCs w:val="18"/>
          <w:color w:val="auto"/>
        </w:rPr>
        <w:t>pay an initial annual base rent of approximately $2,312,000, which rises periodically until it reaches approximately</w:t>
      </w:r>
    </w:p>
    <w:p>
      <w:pPr>
        <w:spacing w:after="0" w:line="229" w:lineRule="auto"/>
        <w:rPr>
          <w:sz w:val="20"/>
          <w:szCs w:val="20"/>
          <w:color w:val="auto"/>
        </w:rPr>
      </w:pPr>
      <w:r>
        <w:rPr>
          <w:rFonts w:ascii="Arial" w:cs="Arial" w:eastAsia="Arial" w:hAnsi="Arial"/>
          <w:sz w:val="16"/>
          <w:szCs w:val="16"/>
          <w:color w:val="auto"/>
        </w:rPr>
        <w:t>$2,760,000. The Company is recording rent expense on a straight-line basis through the end of the lease term. The Company</w:t>
      </w:r>
    </w:p>
    <w:p>
      <w:pPr>
        <w:spacing w:after="0" w:line="229" w:lineRule="auto"/>
        <w:rPr>
          <w:sz w:val="20"/>
          <w:szCs w:val="20"/>
          <w:color w:val="auto"/>
        </w:rPr>
      </w:pPr>
      <w:r>
        <w:rPr>
          <w:rFonts w:ascii="Arial" w:cs="Arial" w:eastAsia="Arial" w:hAnsi="Arial"/>
          <w:sz w:val="16"/>
          <w:szCs w:val="16"/>
          <w:color w:val="auto"/>
        </w:rPr>
        <w:t>has recorded deferred rent on the condensed consolidated balance sheet at June 30, 2015, accordingly. The lease provides the</w:t>
      </w:r>
    </w:p>
    <w:p>
      <w:pPr>
        <w:spacing w:after="0" w:line="229" w:lineRule="auto"/>
        <w:rPr>
          <w:sz w:val="20"/>
          <w:szCs w:val="20"/>
          <w:color w:val="auto"/>
        </w:rPr>
      </w:pPr>
      <w:r>
        <w:rPr>
          <w:rFonts w:ascii="Arial" w:cs="Arial" w:eastAsia="Arial" w:hAnsi="Arial"/>
          <w:sz w:val="16"/>
          <w:szCs w:val="16"/>
          <w:color w:val="auto"/>
        </w:rPr>
        <w:t>Company with an allowance for leasehold improvements of $4.3 million. The Company accounts for leasehold improvement</w:t>
      </w:r>
    </w:p>
    <w:p>
      <w:pPr>
        <w:spacing w:after="0" w:line="229" w:lineRule="auto"/>
        <w:rPr>
          <w:sz w:val="20"/>
          <w:szCs w:val="20"/>
          <w:color w:val="auto"/>
        </w:rPr>
      </w:pPr>
      <w:r>
        <w:rPr>
          <w:rFonts w:ascii="Arial" w:cs="Arial" w:eastAsia="Arial" w:hAnsi="Arial"/>
          <w:sz w:val="16"/>
          <w:szCs w:val="16"/>
          <w:color w:val="auto"/>
        </w:rPr>
        <w:t>incentives as a reduction to rent expense ratably over the lease term. The balance from the leasehold improvement incentives</w:t>
      </w:r>
    </w:p>
    <w:p>
      <w:pPr>
        <w:spacing w:after="0" w:line="229" w:lineRule="auto"/>
        <w:rPr>
          <w:sz w:val="20"/>
          <w:szCs w:val="20"/>
          <w:color w:val="auto"/>
        </w:rPr>
      </w:pPr>
      <w:r>
        <w:rPr>
          <w:rFonts w:ascii="Arial" w:cs="Arial" w:eastAsia="Arial" w:hAnsi="Arial"/>
          <w:sz w:val="16"/>
          <w:szCs w:val="16"/>
          <w:color w:val="auto"/>
        </w:rPr>
        <w:t>is included in lease incentive obligations on the balance sheets. The lease agreement required the Company to pay a security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deposit of $1.3 million, which is recorded in restricted cash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91"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financial statements and related notes appearing elsewhere in this Quarterly Report on Form 10-Q and the audited financial information and the notes thereto included in our final prospectus for our initial public offering filed pursuant to Rule 424(b) under the Securities Act of 1933, as amended, or the Securities Act, with the Securities and Exchange Commission, or the SEC on April 30, 2015, or the Prospectus.</w:t>
      </w:r>
    </w:p>
    <w:p>
      <w:pPr>
        <w:spacing w:after="0" w:line="122" w:lineRule="exact"/>
        <w:rPr>
          <w:sz w:val="20"/>
          <w:szCs w:val="20"/>
          <w:color w:val="auto"/>
        </w:rPr>
      </w:pPr>
    </w:p>
    <w:p>
      <w:pPr>
        <w:ind w:right="100" w:firstLine="648"/>
        <w:spacing w:after="0" w:line="225" w:lineRule="auto"/>
        <w:rPr>
          <w:sz w:val="20"/>
          <w:szCs w:val="20"/>
          <w:color w:val="auto"/>
        </w:rPr>
      </w:pPr>
      <w:r>
        <w:rPr>
          <w:rFonts w:ascii="Arial" w:cs="Arial" w:eastAsia="Arial" w:hAnsi="Arial"/>
          <w:sz w:val="17"/>
          <w:szCs w:val="17"/>
          <w:i w:val="1"/>
          <w:iCs w:val="1"/>
          <w:color w:val="auto"/>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122" w:lineRule="exact"/>
        <w:rPr>
          <w:sz w:val="20"/>
          <w:szCs w:val="20"/>
          <w:color w:val="auto"/>
        </w:rPr>
      </w:pPr>
    </w:p>
    <w:p>
      <w:pPr>
        <w:ind w:right="360" w:firstLine="648"/>
        <w:spacing w:after="0" w:line="289" w:lineRule="auto"/>
        <w:rPr>
          <w:sz w:val="20"/>
          <w:szCs w:val="20"/>
          <w:color w:val="auto"/>
        </w:rPr>
      </w:pPr>
      <w:r>
        <w:rPr>
          <w:rFonts w:ascii="Arial" w:cs="Arial" w:eastAsia="Arial" w:hAnsi="Arial"/>
          <w:sz w:val="16"/>
          <w:szCs w:val="16"/>
          <w:i w:val="1"/>
          <w:iCs w:val="1"/>
          <w:color w:val="auto"/>
        </w:rPr>
        <w:t>The following information and any forward-looking statements should be considered in light of factors discussed elsewhere in the Quarterly Report on Form 10-Q, including those risks identified under Part II, Item 1A. Risk Factors.</w:t>
      </w:r>
    </w:p>
    <w:p>
      <w:pPr>
        <w:spacing w:after="0" w:line="84"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178" w:lineRule="exact"/>
        <w:rPr>
          <w:sz w:val="20"/>
          <w:szCs w:val="20"/>
          <w:color w:val="auto"/>
        </w:rPr>
      </w:pPr>
      <w:r>
        <w:rPr>
          <w:rFonts w:ascii="Arial" w:cs="Arial" w:eastAsia="Arial" w:hAnsi="Arial"/>
          <w:sz w:val="17"/>
          <w:szCs w:val="17"/>
          <w:color w:val="auto"/>
        </w:rPr>
        <w:t>We are a biopharmaceutical company focused on improving the lives of patients with genomically defined diseases driven by abnormal kinase activation. Our approach is to systematically and reproducibly identify kinases that are drivers of genomically defined diseases and to craft drug candidates with therapeutic windows that provide significant and durable clinical responses to patients. This integrated biology and chemistry approach enables us to drug known kinases that have been difficult to inhibit selectively and also identify, characterize and drug novel kinase targets. By focusing on genomically defined diseases, we believe that we will have a more efficient development path with a greater likelihood of success. Over the past three years, we have developed a robust small molecule drug pipeline in cancer and a rare genetic disease. One of our lead drug candidates is BLU</w:t>
      </w:r>
      <w:r>
        <w:rPr>
          <w:rFonts w:ascii="MS PGothic" w:cs="MS PGothic" w:eastAsia="MS PGothic" w:hAnsi="MS PGothic"/>
          <w:sz w:val="17"/>
          <w:szCs w:val="17"/>
          <w:color w:val="auto"/>
        </w:rPr>
        <w:t>‑</w:t>
      </w:r>
      <w:r>
        <w:rPr>
          <w:rFonts w:ascii="Arial" w:cs="Arial" w:eastAsia="Arial" w:hAnsi="Arial"/>
          <w:sz w:val="17"/>
          <w:szCs w:val="17"/>
          <w:color w:val="auto"/>
        </w:rPr>
        <w:t>285, which targets KIT Exon 17 and PDGFRα D842V, abnormally active receptor tyrosine kinase mutants that are drivers of cancer and proliferative disorders. BLU</w:t>
      </w:r>
      <w:r>
        <w:rPr>
          <w:rFonts w:ascii="MS PGothic" w:cs="MS PGothic" w:eastAsia="MS PGothic" w:hAnsi="MS PGothic"/>
          <w:sz w:val="17"/>
          <w:szCs w:val="17"/>
          <w:color w:val="auto"/>
        </w:rPr>
        <w:t>‑</w:t>
      </w:r>
      <w:r>
        <w:rPr>
          <w:rFonts w:ascii="Arial" w:cs="Arial" w:eastAsia="Arial" w:hAnsi="Arial"/>
          <w:sz w:val="17"/>
          <w:szCs w:val="17"/>
          <w:color w:val="auto"/>
        </w:rPr>
        <w:t>285 will initially be developed for patients with systemic mastocytosis, a myeloproliferative disorder of the mast cells, and defined subsets of patients with gastrointestinal stromal tumor, or GIST, the most common sarcoma, or tumor of bone or connective tissue, of the gastrointestinal tract. Our other lead drug candidate is BLU</w:t>
      </w:r>
      <w:r>
        <w:rPr>
          <w:rFonts w:ascii="MS PGothic" w:cs="MS PGothic" w:eastAsia="MS PGothic" w:hAnsi="MS PGothic"/>
          <w:sz w:val="17"/>
          <w:szCs w:val="17"/>
          <w:color w:val="auto"/>
        </w:rPr>
        <w:t>‑</w:t>
      </w:r>
      <w:r>
        <w:rPr>
          <w:rFonts w:ascii="Arial" w:cs="Arial" w:eastAsia="Arial" w:hAnsi="Arial"/>
          <w:sz w:val="17"/>
          <w:szCs w:val="17"/>
          <w:color w:val="auto"/>
        </w:rPr>
        <w:t>554, which targets FGFR4, a kinase that is aberrantly activated and is a driver of disease in a defined subset of patients with hepatocellular carcinoma, or HCC, the most common type of liver cancer. Both drug candidates have demonstrated proof of concept in pre</w:t>
      </w:r>
      <w:r>
        <w:rPr>
          <w:rFonts w:ascii="MS PGothic" w:cs="MS PGothic" w:eastAsia="MS PGothic" w:hAnsi="MS PGothic"/>
          <w:sz w:val="17"/>
          <w:szCs w:val="17"/>
          <w:color w:val="auto"/>
        </w:rPr>
        <w:t>‑</w:t>
      </w:r>
      <w:r>
        <w:rPr>
          <w:rFonts w:ascii="Arial" w:cs="Arial" w:eastAsia="Arial" w:hAnsi="Arial"/>
          <w:sz w:val="17"/>
          <w:szCs w:val="17"/>
          <w:color w:val="auto"/>
        </w:rPr>
        <w:t>clinical models. The U.S. Food and Drug Administration, or FDA accepted our Investigational New Drug, or IND, applications to begin Phase 1 clinical trials for BLU-554 for HCC and BLU-285 for GIST. Following these IND approvals, we also filed an IND application for BLU-285 in systemic mastocytosis in August. We plan to initiate our Phase 1 clinical trials for BLU-554 and BLU-285 in 2015. We are also developing a drug candidate to target both RET, a receptor tyrosine kinase that can become abnormally activated when a portion of the gene that encodes RET is joined to part of another gene, and RET resistant mutants that we predict will arise from treatment with first generation therapies. RET is a key disease driver in multiple cancers. In pre-clinical studies, our drug candidate BLU6864, induced tumor regression in disease models driven by the primary RET fusion and all predicted secondary on-target resistance mutations. We believe that our strategy will allow us to deliver transformative drugs to patients while building a fully</w:t>
      </w:r>
      <w:r>
        <w:rPr>
          <w:rFonts w:ascii="MS PGothic" w:cs="MS PGothic" w:eastAsia="MS PGothic" w:hAnsi="MS PGothic"/>
          <w:sz w:val="17"/>
          <w:szCs w:val="17"/>
          <w:color w:val="auto"/>
        </w:rPr>
        <w:t>‑</w:t>
      </w:r>
      <w:r>
        <w:rPr>
          <w:rFonts w:ascii="Arial" w:cs="Arial" w:eastAsia="Arial" w:hAnsi="Arial"/>
          <w:sz w:val="17"/>
          <w:szCs w:val="17"/>
          <w:color w:val="auto"/>
        </w:rPr>
        <w:t>integrated biopharmaceutical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In March 2015, we entered into a research, development and commercialization agreement, with Alexion Pharma Holding, or Alexion, to research, develop and commercialize drug candidates for an undisclosed activated kinase target, which is the cause of a rare genetic disease. Under the terms of this agreement, we are responsible for research and pre</w:t>
      </w:r>
      <w:r>
        <w:rPr>
          <w:rFonts w:ascii="MS PGothic" w:cs="MS PGothic" w:eastAsia="MS PGothic" w:hAnsi="MS PGothic"/>
          <w:sz w:val="18"/>
          <w:szCs w:val="18"/>
          <w:color w:val="auto"/>
        </w:rPr>
        <w:t>‑</w:t>
      </w:r>
      <w:r>
        <w:rPr>
          <w:rFonts w:ascii="Arial" w:cs="Arial" w:eastAsia="Arial" w:hAnsi="Arial"/>
          <w:sz w:val="18"/>
          <w:szCs w:val="18"/>
          <w:color w:val="auto"/>
        </w:rPr>
        <w:t>clinical development activities related to drug candidates and Alexion is responsible for all clinical development, manufacturing and commercialization activities related to drug candidates.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Alexion is responsible for funding 100% of our research and development costs incurred under the research plan,</w:t>
      </w:r>
    </w:p>
    <w:p>
      <w:pPr>
        <w:spacing w:after="0" w:line="184" w:lineRule="exact"/>
        <w:rPr>
          <w:sz w:val="20"/>
          <w:szCs w:val="20"/>
          <w:color w:val="auto"/>
        </w:rPr>
      </w:pPr>
      <w:r>
        <w:rPr>
          <w:rFonts w:ascii="Arial" w:cs="Arial" w:eastAsia="Arial" w:hAnsi="Arial"/>
          <w:sz w:val="16"/>
          <w:szCs w:val="16"/>
          <w:color w:val="auto"/>
        </w:rPr>
        <w:t>including pass</w:t>
      </w:r>
      <w:r>
        <w:rPr>
          <w:rFonts w:ascii="MS PGothic" w:cs="MS PGothic" w:eastAsia="MS PGothic" w:hAnsi="MS PGothic"/>
          <w:sz w:val="16"/>
          <w:szCs w:val="16"/>
          <w:color w:val="auto"/>
        </w:rPr>
        <w:t>‑</w:t>
      </w:r>
      <w:r>
        <w:rPr>
          <w:rFonts w:ascii="Arial" w:cs="Arial" w:eastAsia="Arial" w:hAnsi="Arial"/>
          <w:sz w:val="16"/>
          <w:szCs w:val="16"/>
          <w:color w:val="auto"/>
        </w:rPr>
        <w:t>through costs and our employees’ time devoted to the research plan at a negotiated yearly rate per full</w:t>
      </w:r>
      <w:r>
        <w:rPr>
          <w:rFonts w:ascii="MS PGothic" w:cs="MS PGothic" w:eastAsia="MS PGothic" w:hAnsi="MS PGothic"/>
          <w:sz w:val="16"/>
          <w:szCs w:val="16"/>
          <w:color w:val="auto"/>
        </w:rPr>
        <w:t>‑</w:t>
      </w:r>
      <w:r>
        <w:rPr>
          <w:rFonts w:ascii="Arial" w:cs="Arial" w:eastAsia="Arial" w:hAnsi="Arial"/>
          <w:sz w:val="16"/>
          <w:szCs w:val="16"/>
          <w:color w:val="auto"/>
        </w:rPr>
        <w:t>time</w:t>
      </w:r>
    </w:p>
    <w:p>
      <w:pPr>
        <w:spacing w:after="0" w:line="176" w:lineRule="exact"/>
        <w:rPr>
          <w:sz w:val="20"/>
          <w:szCs w:val="20"/>
          <w:color w:val="auto"/>
        </w:rPr>
      </w:pPr>
      <w:r>
        <w:rPr>
          <w:rFonts w:ascii="Arial" w:cs="Arial" w:eastAsia="Arial" w:hAnsi="Arial"/>
          <w:sz w:val="17"/>
          <w:szCs w:val="17"/>
          <w:color w:val="auto"/>
        </w:rPr>
        <w:t>equivalent for our employees’ time and their associated overhead expenses. We received a $15.0 million non</w:t>
      </w:r>
      <w:r>
        <w:rPr>
          <w:rFonts w:ascii="MS PGothic" w:cs="MS PGothic" w:eastAsia="MS PGothic" w:hAnsi="MS PGothic"/>
          <w:sz w:val="17"/>
          <w:szCs w:val="17"/>
          <w:color w:val="auto"/>
        </w:rPr>
        <w:t>‑</w:t>
      </w:r>
      <w:r>
        <w:rPr>
          <w:rFonts w:ascii="Arial" w:cs="Arial" w:eastAsia="Arial" w:hAnsi="Arial"/>
          <w:sz w:val="17"/>
          <w:szCs w:val="17"/>
          <w:color w:val="auto"/>
        </w:rPr>
        <w:t>refundable</w:t>
      </w:r>
    </w:p>
    <w:p>
      <w:pPr>
        <w:spacing w:after="0" w:line="229" w:lineRule="auto"/>
        <w:rPr>
          <w:sz w:val="20"/>
          <w:szCs w:val="20"/>
          <w:color w:val="auto"/>
        </w:rPr>
      </w:pPr>
      <w:r>
        <w:rPr>
          <w:rFonts w:ascii="Arial" w:cs="Arial" w:eastAsia="Arial" w:hAnsi="Arial"/>
          <w:sz w:val="16"/>
          <w:szCs w:val="16"/>
          <w:color w:val="auto"/>
        </w:rPr>
        <w:t>upfront payment in March 2015 upon execution of the agreement and are eligible to receive over $250 million in payments</w:t>
      </w:r>
    </w:p>
    <w:p>
      <w:pPr>
        <w:spacing w:after="0" w:line="176" w:lineRule="exact"/>
        <w:rPr>
          <w:sz w:val="20"/>
          <w:szCs w:val="20"/>
          <w:color w:val="auto"/>
        </w:rPr>
      </w:pPr>
      <w:r>
        <w:rPr>
          <w:rFonts w:ascii="Arial" w:cs="Arial" w:eastAsia="Arial" w:hAnsi="Arial"/>
          <w:sz w:val="16"/>
          <w:szCs w:val="16"/>
          <w:color w:val="auto"/>
        </w:rPr>
        <w:t>upon the successful achievement of pre</w:t>
      </w:r>
      <w:r>
        <w:rPr>
          <w:rFonts w:ascii="MS PGothic" w:cs="MS PGothic" w:eastAsia="MS PGothic" w:hAnsi="MS PGothic"/>
          <w:sz w:val="16"/>
          <w:szCs w:val="16"/>
          <w:color w:val="auto"/>
        </w:rPr>
        <w:t>‑</w:t>
      </w:r>
      <w:r>
        <w:rPr>
          <w:rFonts w:ascii="Arial" w:cs="Arial" w:eastAsia="Arial" w:hAnsi="Arial"/>
          <w:sz w:val="16"/>
          <w:szCs w:val="16"/>
          <w:color w:val="auto"/>
        </w:rPr>
        <w:t>specified pre</w:t>
      </w:r>
      <w:r>
        <w:rPr>
          <w:rFonts w:ascii="MS PGothic" w:cs="MS PGothic" w:eastAsia="MS PGothic" w:hAnsi="MS PGothic"/>
          <w:sz w:val="16"/>
          <w:szCs w:val="16"/>
          <w:color w:val="auto"/>
        </w:rPr>
        <w:t>‑</w:t>
      </w:r>
      <w:r>
        <w:rPr>
          <w:rFonts w:ascii="Arial" w:cs="Arial" w:eastAsia="Arial" w:hAnsi="Arial"/>
          <w:sz w:val="16"/>
          <w:szCs w:val="16"/>
          <w:color w:val="auto"/>
        </w:rPr>
        <w:t>clinical, clinical, regulatory and commercial milestones as follows: (i) up</w:t>
      </w:r>
    </w:p>
    <w:p>
      <w:pPr>
        <w:spacing w:after="0" w:line="176" w:lineRule="exact"/>
        <w:rPr>
          <w:sz w:val="20"/>
          <w:szCs w:val="20"/>
          <w:color w:val="auto"/>
        </w:rPr>
      </w:pPr>
      <w:r>
        <w:rPr>
          <w:rFonts w:ascii="Arial" w:cs="Arial" w:eastAsia="Arial" w:hAnsi="Arial"/>
          <w:sz w:val="17"/>
          <w:szCs w:val="17"/>
          <w:color w:val="auto"/>
        </w:rPr>
        <w:t>to $6.0 million in pre</w:t>
      </w:r>
      <w:r>
        <w:rPr>
          <w:rFonts w:ascii="MS PGothic" w:cs="MS PGothic" w:eastAsia="MS PGothic" w:hAnsi="MS PGothic"/>
          <w:sz w:val="17"/>
          <w:szCs w:val="17"/>
          <w:color w:val="auto"/>
        </w:rPr>
        <w:t>‑</w:t>
      </w:r>
      <w:r>
        <w:rPr>
          <w:rFonts w:ascii="Arial" w:cs="Arial" w:eastAsia="Arial" w:hAnsi="Arial"/>
          <w:sz w:val="17"/>
          <w:szCs w:val="17"/>
          <w:color w:val="auto"/>
        </w:rPr>
        <w:t>clinical milestone payments for the first licensed product, (ii) up to $83.0 million and $61.5 million in</w:t>
      </w:r>
    </w:p>
    <w:p>
      <w:pPr>
        <w:spacing w:after="0" w:line="215" w:lineRule="auto"/>
        <w:rPr>
          <w:sz w:val="20"/>
          <w:szCs w:val="20"/>
          <w:color w:val="auto"/>
        </w:rPr>
      </w:pPr>
      <w:r>
        <w:rPr>
          <w:rFonts w:ascii="Arial" w:cs="Arial" w:eastAsia="Arial" w:hAnsi="Arial"/>
          <w:sz w:val="17"/>
          <w:szCs w:val="17"/>
          <w:color w:val="auto"/>
        </w:rPr>
        <w:t>development milestone payments for the first and second licensed products, respectively, and (iii) up to $51.0 million in</w:t>
      </w:r>
    </w:p>
    <w:p>
      <w:pPr>
        <w:spacing w:after="0" w:line="216" w:lineRule="auto"/>
        <w:rPr>
          <w:sz w:val="20"/>
          <w:szCs w:val="20"/>
          <w:color w:val="auto"/>
        </w:rPr>
      </w:pPr>
      <w:r>
        <w:rPr>
          <w:rFonts w:ascii="Arial" w:cs="Arial" w:eastAsia="Arial" w:hAnsi="Arial"/>
          <w:sz w:val="17"/>
          <w:szCs w:val="17"/>
          <w:color w:val="auto"/>
        </w:rPr>
        <w:t>commercial milestone payments for each of the first and second licensed products. The first pre-clinical milestone was</w:t>
      </w:r>
    </w:p>
    <w:p>
      <w:pPr>
        <w:spacing w:after="0" w:line="215" w:lineRule="auto"/>
        <w:rPr>
          <w:sz w:val="20"/>
          <w:szCs w:val="20"/>
          <w:color w:val="auto"/>
        </w:rPr>
      </w:pPr>
      <w:r>
        <w:rPr>
          <w:rFonts w:ascii="Arial" w:cs="Arial" w:eastAsia="Arial" w:hAnsi="Arial"/>
          <w:sz w:val="17"/>
          <w:szCs w:val="17"/>
          <w:color w:val="auto"/>
        </w:rPr>
        <w:t>achieved, which triggered a payment of $1.75 million during the three months ended June 30, 2015. Alexion will pay us</w:t>
      </w:r>
    </w:p>
    <w:p>
      <w:pPr>
        <w:spacing w:after="0" w:line="176" w:lineRule="exact"/>
        <w:rPr>
          <w:sz w:val="20"/>
          <w:szCs w:val="20"/>
          <w:color w:val="auto"/>
        </w:rPr>
      </w:pPr>
      <w:r>
        <w:rPr>
          <w:rFonts w:ascii="Arial" w:cs="Arial" w:eastAsia="Arial" w:hAnsi="Arial"/>
          <w:sz w:val="18"/>
          <w:szCs w:val="18"/>
          <w:color w:val="auto"/>
        </w:rPr>
        <w:t>tiered royalties, ranging from mid</w:t>
      </w:r>
      <w:r>
        <w:rPr>
          <w:rFonts w:ascii="MS PGothic" w:cs="MS PGothic" w:eastAsia="MS PGothic" w:hAnsi="MS PGothic"/>
          <w:sz w:val="18"/>
          <w:szCs w:val="18"/>
          <w:color w:val="auto"/>
        </w:rPr>
        <w:t>‑</w:t>
      </w:r>
      <w:r>
        <w:rPr>
          <w:rFonts w:ascii="Arial" w:cs="Arial" w:eastAsia="Arial" w:hAnsi="Arial"/>
          <w:sz w:val="18"/>
          <w:szCs w:val="18"/>
          <w:color w:val="auto"/>
        </w:rPr>
        <w:t>single to low</w:t>
      </w:r>
      <w:r>
        <w:rPr>
          <w:rFonts w:ascii="MS PGothic" w:cs="MS PGothic" w:eastAsia="MS PGothic" w:hAnsi="MS PGothic"/>
          <w:sz w:val="18"/>
          <w:szCs w:val="18"/>
          <w:color w:val="auto"/>
        </w:rPr>
        <w:t>‑</w:t>
      </w:r>
      <w:r>
        <w:rPr>
          <w:rFonts w:ascii="Arial" w:cs="Arial" w:eastAsia="Arial" w:hAnsi="Arial"/>
          <w:sz w:val="18"/>
          <w:szCs w:val="18"/>
          <w:color w:val="auto"/>
        </w:rPr>
        <w:t>double digit percentages, on a country</w:t>
      </w:r>
      <w:r>
        <w:rPr>
          <w:rFonts w:ascii="MS PGothic" w:cs="MS PGothic" w:eastAsia="MS PGothic" w:hAnsi="MS PGothic"/>
          <w:sz w:val="18"/>
          <w:szCs w:val="18"/>
          <w:color w:val="auto"/>
        </w:rPr>
        <w:t>‑</w:t>
      </w:r>
      <w:r>
        <w:rPr>
          <w:rFonts w:ascii="Arial" w:cs="Arial" w:eastAsia="Arial" w:hAnsi="Arial"/>
          <w:sz w:val="18"/>
          <w:szCs w:val="18"/>
          <w:color w:val="auto"/>
        </w:rPr>
        <w:t>by</w:t>
      </w:r>
      <w:r>
        <w:rPr>
          <w:rFonts w:ascii="MS PGothic" w:cs="MS PGothic" w:eastAsia="MS PGothic" w:hAnsi="MS PGothic"/>
          <w:sz w:val="18"/>
          <w:szCs w:val="18"/>
          <w:color w:val="auto"/>
        </w:rPr>
        <w:t>‑</w:t>
      </w:r>
      <w:r>
        <w:rPr>
          <w:rFonts w:ascii="Arial" w:cs="Arial" w:eastAsia="Arial" w:hAnsi="Arial"/>
          <w:sz w:val="18"/>
          <w:szCs w:val="18"/>
          <w:color w:val="auto"/>
        </w:rPr>
        <w:t>country and licensed-</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licensed product basis, on worldwide net product sales of licensed products. The royalty term for each licensed</w:t>
      </w:r>
    </w:p>
    <w:p>
      <w:pPr>
        <w:spacing w:after="0" w:line="215" w:lineRule="auto"/>
        <w:rPr>
          <w:sz w:val="20"/>
          <w:szCs w:val="20"/>
          <w:color w:val="auto"/>
        </w:rPr>
      </w:pPr>
      <w:r>
        <w:rPr>
          <w:rFonts w:ascii="Arial" w:cs="Arial" w:eastAsia="Arial" w:hAnsi="Arial"/>
          <w:sz w:val="17"/>
          <w:szCs w:val="17"/>
          <w:color w:val="auto"/>
        </w:rPr>
        <w:t>product in each country is the period commencing with first commercial sale of such licensed product in such country and</w:t>
      </w:r>
    </w:p>
    <w:p>
      <w:pPr>
        <w:spacing w:after="0" w:line="176" w:lineRule="exact"/>
        <w:rPr>
          <w:sz w:val="20"/>
          <w:szCs w:val="20"/>
          <w:color w:val="auto"/>
        </w:rPr>
      </w:pPr>
      <w:r>
        <w:rPr>
          <w:rFonts w:ascii="Arial" w:cs="Arial" w:eastAsia="Arial" w:hAnsi="Arial"/>
          <w:sz w:val="17"/>
          <w:szCs w:val="17"/>
          <w:color w:val="auto"/>
        </w:rPr>
        <w:t>ending on the later of (i) the expiration of the last</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expire valid claim of specified patents covering such licensed product,</w:t>
      </w:r>
    </w:p>
    <w:p>
      <w:pPr>
        <w:spacing w:after="0"/>
        <w:rPr>
          <w:sz w:val="20"/>
          <w:szCs w:val="20"/>
          <w:color w:val="auto"/>
        </w:rPr>
      </w:pPr>
      <w:r>
        <w:rPr>
          <w:rFonts w:ascii="Arial" w:cs="Arial" w:eastAsia="Arial" w:hAnsi="Arial"/>
          <w:sz w:val="17"/>
          <w:szCs w:val="17"/>
          <w:color w:val="auto"/>
        </w:rPr>
        <w:t>(ii) the expiration of the applicable regulatory exclusivity period, and (iii) 10 or 15 years from specified commercial sales.</w:t>
      </w:r>
    </w:p>
    <w:p>
      <w:pPr>
        <w:spacing w:after="0" w:line="180"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8"/>
          <w:szCs w:val="18"/>
          <w:color w:val="auto"/>
        </w:rPr>
        <w:t>Alexion has the right to terminate the agreement if we undergo a change of control or become an affiliate of a biotechnology or pharmaceutical company, and may terminate the agreement at</w:t>
      </w:r>
      <w:r>
        <w:rPr>
          <w:rFonts w:ascii="MS PGothic" w:cs="MS PGothic" w:eastAsia="MS PGothic" w:hAnsi="MS PGothic"/>
          <w:sz w:val="18"/>
          <w:szCs w:val="18"/>
          <w:color w:val="auto"/>
        </w:rPr>
        <w:t>‑</w:t>
      </w:r>
      <w:r>
        <w:rPr>
          <w:rFonts w:ascii="Arial" w:cs="Arial" w:eastAsia="Arial" w:hAnsi="Arial"/>
          <w:sz w:val="18"/>
          <w:szCs w:val="18"/>
          <w:color w:val="auto"/>
        </w:rPr>
        <w:t>will upon 90 days, prior written notice. We and Alexion have the right to terminate the Alexion agreement in the event of the other party’s uncured breach or insolvency, and in certain other circumstances agreed to by the parties.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2015, we recognized revenue under the Alexion agreement of $3.3 million.</w:t>
      </w:r>
    </w:p>
    <w:p>
      <w:pPr>
        <w:spacing w:after="0" w:line="208"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w:t>
      </w:r>
      <w:r>
        <w:rPr>
          <w:rFonts w:ascii="MS PGothic" w:cs="MS PGothic" w:eastAsia="MS PGothic" w:hAnsi="MS PGothic"/>
          <w:sz w:val="16"/>
          <w:szCs w:val="16"/>
          <w:color w:val="auto"/>
        </w:rPr>
        <w:t>‑</w:t>
      </w:r>
      <w:r>
        <w:rPr>
          <w:rFonts w:ascii="Arial" w:cs="Arial" w:eastAsia="Arial" w:hAnsi="Arial"/>
          <w:sz w:val="16"/>
          <w:szCs w:val="16"/>
          <w:color w:val="auto"/>
        </w:rPr>
        <w:t>clinical studies, conducting pre</w:t>
      </w:r>
      <w:r>
        <w:rPr>
          <w:rFonts w:ascii="MS PGothic" w:cs="MS PGothic" w:eastAsia="MS PGothic" w:hAnsi="MS PGothic"/>
          <w:sz w:val="16"/>
          <w:szCs w:val="16"/>
          <w:color w:val="auto"/>
        </w:rPr>
        <w:t>‑</w:t>
      </w:r>
      <w:r>
        <w:rPr>
          <w:rFonts w:ascii="Arial" w:cs="Arial" w:eastAsia="Arial" w:hAnsi="Arial"/>
          <w:sz w:val="16"/>
          <w:szCs w:val="16"/>
          <w:color w:val="auto"/>
        </w:rPr>
        <w:t>clinical studies, including Good Laboratory Practice, or GLP, toxicology studies and preparing to commence planned clinical development activities. We expect to begin conducting clinical trials in 2015. We do not have any drugs approved for sale and have not generated any revenue from drug sales. We have funded our operations primarily through private placements of our convertible preferred stock, debt financing and our initial public offering or IPO. We have raised $115.1 million from the issuance of convertible preferred stock and $10.0 million from a debt financing. On May 5, 2015, we completed the sale of 9,367,708 shares of our common stock (inclusive of 1,221,874 shares of common stock sold by us pursuant to the full exercise of an option to purchase additional shares granted to the underwriters in connection with the offering) in our IPO, at a price to the public of $18.00 per share, resulting in net proceeds of $154.8 million after deducting underwriting discounts and commissions and offering costs payable by us. The shares began trading on the NASDAQ Global Select Market on April 30, 2015. Upon the closing of the IPO, all outstanding shares of convertible preferred stock converted into 15,467,479 shares of common stock; and warrants exercisable for convertible preferred stock were automatically converted into warrants exercisable for 42,423 shares of common stock. Additionally, we are now authorized to issue 120,000,000 shares of common stock and 5,000,000 shares of preferred stock.</w:t>
      </w:r>
    </w:p>
    <w:p>
      <w:pPr>
        <w:spacing w:after="0" w:line="167" w:lineRule="exact"/>
        <w:rPr>
          <w:sz w:val="20"/>
          <w:szCs w:val="20"/>
          <w:color w:val="auto"/>
        </w:rPr>
      </w:pPr>
    </w:p>
    <w:p>
      <w:pPr>
        <w:ind w:right="200" w:firstLine="648"/>
        <w:spacing w:after="0" w:line="238" w:lineRule="auto"/>
        <w:rPr>
          <w:sz w:val="20"/>
          <w:szCs w:val="20"/>
          <w:color w:val="auto"/>
        </w:rPr>
      </w:pPr>
      <w:r>
        <w:rPr>
          <w:rFonts w:ascii="Arial" w:cs="Arial" w:eastAsia="Arial" w:hAnsi="Arial"/>
          <w:sz w:val="17"/>
          <w:szCs w:val="17"/>
          <w:color w:val="auto"/>
        </w:rPr>
        <w:t>Since inception, we have incurred significant operating losses. Our net losses were $24.6 million and $15.3 million for the six months ended June 30, 2015 and 2014, respectively. As of June 30, 2015, we had an accumulated deficit of $106.8 million. We expect to continue to incur significant expenses and operating losses over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next several years. We anticipate that our expenses will increase significantly in connection with our ongoing activities, as we:</w:t>
      </w:r>
    </w:p>
    <w:p>
      <w:pPr>
        <w:spacing w:after="0" w:line="208" w:lineRule="exact"/>
        <w:rPr>
          <w:sz w:val="20"/>
          <w:szCs w:val="20"/>
          <w:color w:val="auto"/>
        </w:rPr>
      </w:pPr>
    </w:p>
    <w:p>
      <w:pPr>
        <w:ind w:left="660" w:right="600"/>
        <w:spacing w:after="0" w:line="311" w:lineRule="exact"/>
        <w:rPr>
          <w:sz w:val="20"/>
          <w:szCs w:val="20"/>
          <w:color w:val="auto"/>
        </w:rPr>
      </w:pPr>
      <w:r>
        <w:rPr>
          <w:rFonts w:ascii="Arial" w:cs="Arial" w:eastAsia="Arial" w:hAnsi="Arial"/>
          <w:sz w:val="17"/>
          <w:szCs w:val="17"/>
          <w:color w:val="auto"/>
        </w:rPr>
        <w:t>·commence the planned clinical development activities for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·continue to discover, validate and develop additional drug candidates, including BLU6864;</w:t>
      </w:r>
    </w:p>
    <w:p>
      <w:pPr>
        <w:spacing w:after="0" w:line="163" w:lineRule="exact"/>
        <w:rPr>
          <w:sz w:val="20"/>
          <w:szCs w:val="20"/>
          <w:color w:val="auto"/>
        </w:rPr>
      </w:pPr>
    </w:p>
    <w:p>
      <w:pPr>
        <w:ind w:left="740" w:hanging="8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research, development and business personnel; and</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0" w:lineRule="exact"/>
        <w:rPr>
          <w:rFonts w:ascii="Arial" w:cs="Arial" w:eastAsia="Arial" w:hAnsi="Arial"/>
          <w:sz w:val="18"/>
          <w:szCs w:val="18"/>
          <w:color w:val="auto"/>
        </w:rPr>
      </w:pPr>
    </w:p>
    <w:p>
      <w:pPr>
        <w:ind w:left="3360"/>
        <w:spacing w:after="0"/>
        <w:rPr>
          <w:rFonts w:ascii="Arial" w:cs="Arial" w:eastAsia="Arial" w:hAnsi="Arial"/>
          <w:sz w:val="18"/>
          <w:szCs w:val="18"/>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To date, we have not generated any revenue from drug sales and do not expect to generate any revenue from the sale of drugs in the near future. Our revenue consists of collaboration revenue under our agreement with Alexion, including amounts that are recognized related to an upfront payment, milestone payment and amounts due to us for research and development services. In the future, revenue may include additional milestone payments earned under the collaboration agreement and royalties on any net product sales.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drug candidates, which include:</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5" w:lineRule="exact"/>
        <w:rPr>
          <w:sz w:val="20"/>
          <w:szCs w:val="20"/>
          <w:color w:val="auto"/>
        </w:rPr>
      </w:pPr>
    </w:p>
    <w:p>
      <w:pPr>
        <w:ind w:left="700" w:hanging="53"/>
        <w:spacing w:after="0" w:line="203" w:lineRule="exact"/>
        <w:rPr>
          <w:sz w:val="20"/>
          <w:szCs w:val="20"/>
          <w:color w:val="auto"/>
        </w:rPr>
      </w:pPr>
      <w:r>
        <w:rPr>
          <w:rFonts w:ascii="Arial" w:cs="Arial" w:eastAsia="Arial" w:hAnsi="Arial"/>
          <w:sz w:val="18"/>
          <w:szCs w:val="18"/>
          <w:color w:val="auto"/>
        </w:rPr>
        <w:t>·expenses incurred under agreements with third parties that conduct research and development, pre</w:t>
      </w:r>
      <w:r>
        <w:rPr>
          <w:rFonts w:ascii="MS PGothic" w:cs="MS PGothic" w:eastAsia="MS PGothic" w:hAnsi="MS PGothic"/>
          <w:sz w:val="18"/>
          <w:szCs w:val="18"/>
          <w:color w:val="auto"/>
        </w:rPr>
        <w:t>‑</w:t>
      </w:r>
      <w:r>
        <w:rPr>
          <w:rFonts w:ascii="Arial" w:cs="Arial" w:eastAsia="Arial" w:hAnsi="Arial"/>
          <w:sz w:val="18"/>
          <w:szCs w:val="18"/>
          <w:color w:val="auto"/>
        </w:rPr>
        <w:t>clinical activities, clinical activities and manufacturing on our behalf;</w:t>
      </w:r>
    </w:p>
    <w:p>
      <w:pPr>
        <w:spacing w:after="0" w:line="162" w:lineRule="exact"/>
        <w:rPr>
          <w:sz w:val="20"/>
          <w:szCs w:val="20"/>
          <w:color w:val="auto"/>
        </w:rPr>
      </w:pPr>
    </w:p>
    <w:p>
      <w:pPr>
        <w:ind w:left="900" w:hanging="249"/>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740" w:hanging="89"/>
        <w:spacing w:after="0" w:line="207" w:lineRule="exact"/>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 of lab supplies and pre</w:t>
      </w:r>
      <w:r>
        <w:rPr>
          <w:rFonts w:ascii="MS PGothic" w:cs="MS PGothic" w:eastAsia="MS PGothic" w:hAnsi="MS PGothic"/>
          <w:sz w:val="18"/>
          <w:szCs w:val="18"/>
          <w:color w:val="auto"/>
        </w:rPr>
        <w:t>‑</w:t>
      </w:r>
      <w:r>
        <w:rPr>
          <w:rFonts w:ascii="Arial" w:cs="Arial" w:eastAsia="Arial" w:hAnsi="Arial"/>
          <w:sz w:val="18"/>
          <w:szCs w:val="18"/>
          <w:color w:val="auto"/>
        </w:rPr>
        <w:t>clinical study and clinical trial materials; and</w:t>
      </w:r>
    </w:p>
    <w:p>
      <w:pPr>
        <w:spacing w:after="0" w:line="185" w:lineRule="exact"/>
        <w:rPr>
          <w:sz w:val="20"/>
          <w:szCs w:val="20"/>
          <w:color w:val="auto"/>
        </w:rPr>
      </w:pPr>
    </w:p>
    <w:p>
      <w:pPr>
        <w:ind w:left="700" w:right="40" w:hanging="53"/>
        <w:spacing w:after="0" w:line="235" w:lineRule="auto"/>
        <w:rPr>
          <w:sz w:val="20"/>
          <w:szCs w:val="20"/>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5" w:lineRule="exact"/>
        <w:rPr>
          <w:sz w:val="20"/>
          <w:szCs w:val="20"/>
          <w:color w:val="auto"/>
        </w:rPr>
      </w:pPr>
    </w:p>
    <w:p>
      <w:pPr>
        <w:ind w:left="760" w:hanging="109"/>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5" w:lineRule="exact"/>
        <w:rPr>
          <w:sz w:val="20"/>
          <w:szCs w:val="20"/>
          <w:color w:val="auto"/>
        </w:rPr>
      </w:pPr>
    </w:p>
    <w:p>
      <w:pPr>
        <w:ind w:left="660" w:right="460"/>
        <w:spacing w:after="0" w:line="352" w:lineRule="exact"/>
        <w:rPr>
          <w:sz w:val="20"/>
          <w:szCs w:val="20"/>
          <w:color w:val="auto"/>
        </w:rPr>
      </w:pPr>
      <w:r>
        <w:rPr>
          <w:rFonts w:ascii="Arial" w:cs="Arial" w:eastAsia="Arial" w:hAnsi="Arial"/>
          <w:sz w:val="17"/>
          <w:szCs w:val="17"/>
          <w:color w:val="auto"/>
        </w:rPr>
        <w:t>·establishing commercial manufacturing capabilities or making arrangements with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·obtaining and maintaining patent and trade secret protection and regulatory exclusivity for our drug candidates; ·commercializing the drug candidates, if and when approved, whether alone or in collaboration with others; and · continued acceptable safety profile of the drugs following approval.</w:t>
      </w:r>
    </w:p>
    <w:p>
      <w:pPr>
        <w:spacing w:after="0" w:line="162" w:lineRule="exact"/>
        <w:rPr>
          <w:sz w:val="20"/>
          <w:szCs w:val="20"/>
          <w:color w:val="auto"/>
        </w:rPr>
      </w:pPr>
    </w:p>
    <w:p>
      <w:pPr>
        <w:ind w:right="42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147" w:lineRule="exact"/>
        <w:rPr>
          <w:sz w:val="20"/>
          <w:szCs w:val="20"/>
          <w:color w:val="auto"/>
        </w:rPr>
      </w:pPr>
    </w:p>
    <w:p>
      <w:pPr>
        <w:ind w:right="60" w:firstLine="648"/>
        <w:spacing w:after="0" w:line="182" w:lineRule="exact"/>
        <w:rPr>
          <w:sz w:val="20"/>
          <w:szCs w:val="20"/>
          <w:color w:val="auto"/>
        </w:rPr>
      </w:pPr>
      <w:r>
        <w:rPr>
          <w:rFonts w:ascii="Arial" w:cs="Arial" w:eastAsia="Arial" w:hAnsi="Arial"/>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8"/>
          <w:szCs w:val="18"/>
          <w:color w:val="auto"/>
        </w:rPr>
        <w:t>‑</w:t>
      </w:r>
      <w:r>
        <w:rPr>
          <w:rFonts w:ascii="Arial" w:cs="Arial" w:eastAsia="Arial" w:hAnsi="Arial"/>
          <w:sz w:val="18"/>
          <w:szCs w:val="18"/>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8"/>
          <w:szCs w:val="18"/>
          <w:color w:val="auto"/>
        </w:rPr>
        <w:t>‑</w:t>
      </w:r>
      <w:r>
        <w:rPr>
          <w:rFonts w:ascii="Arial" w:cs="Arial" w:eastAsia="Arial" w:hAnsi="Arial"/>
          <w:sz w:val="18"/>
          <w:szCs w:val="18"/>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significant portion of our research and development costs have been external costs, which we track on a</w:t>
      </w:r>
    </w:p>
    <w:p>
      <w:pPr>
        <w:spacing w:after="0" w:line="176" w:lineRule="exact"/>
        <w:rPr>
          <w:sz w:val="20"/>
          <w:szCs w:val="20"/>
          <w:color w:val="auto"/>
        </w:rPr>
      </w:pPr>
      <w:r>
        <w:rPr>
          <w:rFonts w:ascii="Arial" w:cs="Arial" w:eastAsia="Arial" w:hAnsi="Arial"/>
          <w:sz w:val="16"/>
          <w:szCs w:val="16"/>
          <w:color w:val="auto"/>
        </w:rPr>
        <w:t>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following nomination as a development candidate. Our internal research and development costs are</w:t>
      </w:r>
    </w:p>
    <w:p>
      <w:pPr>
        <w:spacing w:after="0" w:line="176" w:lineRule="exact"/>
        <w:rPr>
          <w:sz w:val="20"/>
          <w:szCs w:val="20"/>
          <w:color w:val="auto"/>
        </w:rPr>
      </w:pPr>
      <w:r>
        <w:rPr>
          <w:rFonts w:ascii="Arial" w:cs="Arial" w:eastAsia="Arial" w:hAnsi="Arial"/>
          <w:sz w:val="16"/>
          <w:szCs w:val="16"/>
          <w:color w:val="auto"/>
        </w:rPr>
        <w:t>primarily personnel</w:t>
      </w:r>
      <w:r>
        <w:rPr>
          <w:rFonts w:ascii="MS PGothic" w:cs="MS PGothic" w:eastAsia="MS PGothic" w:hAnsi="MS PGothic"/>
          <w:sz w:val="16"/>
          <w:szCs w:val="16"/>
          <w:color w:val="auto"/>
        </w:rPr>
        <w:t>‑</w:t>
      </w:r>
      <w:r>
        <w:rPr>
          <w:rFonts w:ascii="Arial" w:cs="Arial" w:eastAsia="Arial" w:hAnsi="Arial"/>
          <w:sz w:val="16"/>
          <w:szCs w:val="16"/>
          <w:color w:val="auto"/>
        </w:rPr>
        <w:t>related costs, depreciation and other indirect costs. We do not track our internal research and development</w:t>
      </w:r>
    </w:p>
    <w:p>
      <w:pPr>
        <w:spacing w:after="0" w:line="176" w:lineRule="exact"/>
        <w:rPr>
          <w:sz w:val="20"/>
          <w:szCs w:val="20"/>
          <w:color w:val="auto"/>
        </w:rPr>
      </w:pPr>
      <w:r>
        <w:rPr>
          <w:rFonts w:ascii="Arial" w:cs="Arial" w:eastAsia="Arial" w:hAnsi="Arial"/>
          <w:sz w:val="16"/>
          <w:szCs w:val="16"/>
          <w:color w:val="auto"/>
        </w:rPr>
        <w:t>expenses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as they are deployed across multiple projects under development. The following</w:t>
      </w:r>
    </w:p>
    <w:p>
      <w:pPr>
        <w:spacing w:after="0" w:line="229" w:lineRule="auto"/>
        <w:rPr>
          <w:sz w:val="20"/>
          <w:szCs w:val="20"/>
          <w:color w:val="auto"/>
        </w:rPr>
      </w:pPr>
      <w:r>
        <w:rPr>
          <w:rFonts w:ascii="Arial" w:cs="Arial" w:eastAsia="Arial" w:hAnsi="Arial"/>
          <w:sz w:val="16"/>
          <w:szCs w:val="16"/>
          <w:color w:val="auto"/>
        </w:rPr>
        <w:t>table summarizes our external research and development expenses, by program for the three and six months ended June 30,</w:t>
      </w:r>
    </w:p>
    <w:p>
      <w:pPr>
        <w:spacing w:after="0" w:line="173" w:lineRule="exact"/>
        <w:rPr>
          <w:sz w:val="20"/>
          <w:szCs w:val="20"/>
          <w:color w:val="auto"/>
        </w:rPr>
      </w:pPr>
      <w:r>
        <w:rPr>
          <w:rFonts w:ascii="Arial" w:cs="Arial" w:eastAsia="Arial" w:hAnsi="Arial"/>
          <w:sz w:val="15"/>
          <w:szCs w:val="15"/>
          <w:color w:val="auto"/>
        </w:rPr>
        <w:t>2015 and 2014. Pre</w:t>
      </w:r>
      <w:r>
        <w:rPr>
          <w:rFonts w:ascii="MS PGothic" w:cs="MS PGothic" w:eastAsia="MS PGothic" w:hAnsi="MS PGothic"/>
          <w:sz w:val="15"/>
          <w:szCs w:val="15"/>
          <w:color w:val="auto"/>
        </w:rPr>
        <w:t>‑</w:t>
      </w:r>
      <w:r>
        <w:rPr>
          <w:rFonts w:ascii="Arial" w:cs="Arial" w:eastAsia="Arial" w:hAnsi="Arial"/>
          <w:sz w:val="15"/>
          <w:szCs w:val="15"/>
          <w:color w:val="auto"/>
        </w:rPr>
        <w:t>development candidate expenses, unallocated costs and internal research and development costs have been</w:t>
      </w:r>
    </w:p>
    <w:p>
      <w:pPr>
        <w:spacing w:after="0" w:line="207" w:lineRule="auto"/>
        <w:rPr>
          <w:sz w:val="20"/>
          <w:szCs w:val="20"/>
          <w:color w:val="auto"/>
        </w:rPr>
      </w:pPr>
      <w:r>
        <w:rPr>
          <w:rFonts w:ascii="Arial" w:cs="Arial" w:eastAsia="Arial" w:hAnsi="Arial"/>
          <w:sz w:val="18"/>
          <w:szCs w:val="18"/>
          <w:color w:val="auto"/>
        </w:rPr>
        <w:t>classified separately. Internal research and development costs represent personnel expense including stock-based</w:t>
      </w:r>
    </w:p>
    <w:p>
      <w:pPr>
        <w:spacing w:after="0"/>
        <w:rPr>
          <w:sz w:val="20"/>
          <w:szCs w:val="20"/>
          <w:color w:val="auto"/>
        </w:rPr>
      </w:pPr>
      <w:r>
        <w:rPr>
          <w:rFonts w:ascii="Arial" w:cs="Arial" w:eastAsia="Arial" w:hAnsi="Arial"/>
          <w:sz w:val="18"/>
          <w:szCs w:val="18"/>
          <w:color w:val="auto"/>
        </w:rPr>
        <w:t>compensation expense.</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4"/>
                <w:szCs w:val="14"/>
                <w:color w:val="auto"/>
              </w:rPr>
            </w:pPr>
          </w:p>
        </w:tc>
        <w:tc>
          <w:tcPr>
            <w:tcW w:w="1880" w:type="dxa"/>
            <w:vAlign w:val="bottom"/>
            <w:gridSpan w:val="5"/>
          </w:tcPr>
          <w:p>
            <w:pPr>
              <w:jc w:val="right"/>
              <w:ind w:right="53"/>
              <w:spacing w:after="0"/>
              <w:rPr>
                <w:sz w:val="20"/>
                <w:szCs w:val="20"/>
                <w:color w:val="auto"/>
              </w:rPr>
            </w:pPr>
            <w:r>
              <w:rPr>
                <w:rFonts w:ascii="Arial" w:cs="Arial" w:eastAsia="Arial" w:hAnsi="Arial"/>
                <w:sz w:val="14"/>
                <w:szCs w:val="14"/>
                <w:b w:val="1"/>
                <w:bCs w:val="1"/>
                <w:color w:val="auto"/>
                <w:w w:val="94"/>
              </w:rPr>
              <w:t>Six Months Ended June 30,</w:t>
            </w:r>
          </w:p>
        </w:tc>
        <w:tc>
          <w:tcPr>
            <w:tcW w:w="40" w:type="dxa"/>
            <w:vAlign w:val="bottom"/>
          </w:tcPr>
          <w:p>
            <w:pPr>
              <w:spacing w:after="0"/>
              <w:rPr>
                <w:sz w:val="14"/>
                <w:szCs w:val="14"/>
                <w:color w:val="auto"/>
              </w:rPr>
            </w:pPr>
          </w:p>
        </w:tc>
      </w:tr>
      <w:tr>
        <w:trPr>
          <w:trHeight w:val="156"/>
        </w:trPr>
        <w:tc>
          <w:tcPr>
            <w:tcW w:w="4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80" w:type="dxa"/>
            <w:vAlign w:val="bottom"/>
            <w:gridSpan w:val="4"/>
          </w:tcPr>
          <w:p>
            <w:pPr>
              <w:jc w:val="right"/>
              <w:ind w:right="453"/>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4"/>
          </w:tcPr>
          <w:p>
            <w:pPr>
              <w:jc w:val="right"/>
              <w:ind w:right="433"/>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3"/>
                <w:szCs w:val="13"/>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BLU-285 external costs</w:t>
            </w: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BLU-554 external costs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33"/>
              <w:spacing w:after="0"/>
              <w:rPr>
                <w:sz w:val="20"/>
                <w:szCs w:val="20"/>
                <w:color w:val="auto"/>
              </w:rPr>
            </w:pPr>
            <w:r>
              <w:rPr>
                <w:rFonts w:ascii="Arial" w:cs="Arial" w:eastAsia="Arial" w:hAnsi="Arial"/>
                <w:sz w:val="18"/>
                <w:szCs w:val="18"/>
                <w:color w:val="auto"/>
              </w:rPr>
              <w:t>663</w:t>
            </w:r>
          </w:p>
        </w:tc>
        <w:tc>
          <w:tcPr>
            <w:tcW w:w="4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w w:val="90"/>
              </w:rPr>
              <w:t>Pre-development candidate expenses and unallocated costs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6,451</w:t>
            </w:r>
          </w:p>
        </w:tc>
        <w:tc>
          <w:tcPr>
            <w:tcW w:w="40" w:type="dxa"/>
            <w:vAlign w:val="bottom"/>
          </w:tcPr>
          <w:p>
            <w:pPr>
              <w:spacing w:after="0"/>
              <w:rPr>
                <w:sz w:val="18"/>
                <w:szCs w:val="18"/>
                <w:color w:val="auto"/>
              </w:rPr>
            </w:pPr>
          </w:p>
        </w:tc>
      </w:tr>
      <w:tr>
        <w:trPr>
          <w:trHeight w:val="216"/>
        </w:trPr>
        <w:tc>
          <w:tcPr>
            <w:tcW w:w="4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Internal research and development costs</w:t>
            </w:r>
          </w:p>
        </w:tc>
        <w:tc>
          <w:tcPr>
            <w:tcW w:w="7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2,124</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6,085</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4,014</w:t>
            </w:r>
          </w:p>
        </w:tc>
        <w:tc>
          <w:tcPr>
            <w:tcW w:w="40" w:type="dxa"/>
            <w:vAlign w:val="bottom"/>
          </w:tcPr>
          <w:p>
            <w:pPr>
              <w:spacing w:after="0"/>
              <w:rPr>
                <w:sz w:val="18"/>
                <w:szCs w:val="18"/>
                <w:color w:val="auto"/>
              </w:rPr>
            </w:pPr>
          </w:p>
        </w:tc>
      </w:tr>
      <w:tr>
        <w:trPr>
          <w:trHeight w:val="230"/>
        </w:trPr>
        <w:tc>
          <w:tcPr>
            <w:tcW w:w="43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3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12,143</w:t>
            </w:r>
          </w:p>
        </w:tc>
        <w:tc>
          <w:tcPr>
            <w:tcW w:w="40" w:type="dxa"/>
            <w:vAlign w:val="bottom"/>
          </w:tcPr>
          <w:p>
            <w:pPr>
              <w:spacing w:after="0"/>
              <w:rPr>
                <w:sz w:val="19"/>
                <w:szCs w:val="19"/>
                <w:color w:val="auto"/>
              </w:rPr>
            </w:pPr>
          </w:p>
        </w:tc>
      </w:tr>
      <w:tr>
        <w:trPr>
          <w:trHeight w:val="797"/>
        </w:trPr>
        <w:tc>
          <w:tcPr>
            <w:tcW w:w="43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jc w:val="right"/>
              <w:ind w:right="390"/>
              <w:spacing w:after="0"/>
              <w:rPr>
                <w:sz w:val="20"/>
                <w:szCs w:val="20"/>
                <w:color w:val="auto"/>
              </w:rPr>
            </w:pPr>
            <w:r>
              <w:rPr>
                <w:rFonts w:ascii="Arial" w:cs="Arial" w:eastAsia="Arial" w:hAnsi="Arial"/>
                <w:sz w:val="18"/>
                <w:szCs w:val="18"/>
                <w:color w:val="auto"/>
              </w:rPr>
              <w:t>22</w:t>
            </w: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43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43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7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11" w:right="13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substantial increase in external costs associated with BLU-285 and BLU-554 for the three and six months ended June 30, 2015 over the three and six months ended June 30, 2014 was driven by the timing of the nomination of the programs’ development candidates.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80" w:firstLine="648"/>
        <w:spacing w:after="0" w:line="187" w:lineRule="exact"/>
        <w:rPr>
          <w:sz w:val="20"/>
          <w:szCs w:val="20"/>
          <w:color w:val="auto"/>
        </w:rPr>
      </w:pPr>
      <w:r>
        <w:rPr>
          <w:rFonts w:ascii="Arial" w:cs="Arial" w:eastAsia="Arial" w:hAnsi="Arial"/>
          <w:sz w:val="16"/>
          <w:szCs w:val="16"/>
          <w:color w:val="auto"/>
        </w:rPr>
        <w:t>General and administrative expenses consist primarily of salaries and other related costs,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for personnel in executive, finance, accounting, business development, legal and human resources functions. Stock</w:t>
      </w:r>
      <w:r>
        <w:rPr>
          <w:rFonts w:ascii="MS PGothic" w:cs="MS PGothic" w:eastAsia="MS PGothic" w:hAnsi="MS PGothic"/>
          <w:sz w:val="16"/>
          <w:szCs w:val="16"/>
          <w:color w:val="auto"/>
        </w:rPr>
        <w:t>‑</w:t>
      </w:r>
      <w:r>
        <w:rPr>
          <w:rFonts w:ascii="Arial" w:cs="Arial" w:eastAsia="Arial" w:hAnsi="Arial"/>
          <w:sz w:val="16"/>
          <w:szCs w:val="16"/>
          <w:color w:val="auto"/>
        </w:rPr>
        <w:t>based compensation includes expense associated with stock</w:t>
      </w:r>
      <w:r>
        <w:rPr>
          <w:rFonts w:ascii="MS PGothic" w:cs="MS PGothic" w:eastAsia="MS PGothic" w:hAnsi="MS PGothic"/>
          <w:sz w:val="16"/>
          <w:szCs w:val="16"/>
          <w:color w:val="auto"/>
        </w:rPr>
        <w:t>‑</w:t>
      </w:r>
      <w:r>
        <w:rPr>
          <w:rFonts w:ascii="Arial" w:cs="Arial" w:eastAsia="Arial" w:hAnsi="Arial"/>
          <w:sz w:val="16"/>
          <w:szCs w:val="16"/>
          <w:color w:val="auto"/>
        </w:rPr>
        <w:t>based awards issued to non</w:t>
      </w:r>
      <w:r>
        <w:rPr>
          <w:rFonts w:ascii="MS PGothic" w:cs="MS PGothic" w:eastAsia="MS PGothic" w:hAnsi="MS PGothic"/>
          <w:sz w:val="16"/>
          <w:szCs w:val="16"/>
          <w:color w:val="auto"/>
        </w:rPr>
        <w:t>‑</w:t>
      </w:r>
      <w:r>
        <w:rPr>
          <w:rFonts w:ascii="Arial" w:cs="Arial" w:eastAsia="Arial" w:hAnsi="Arial"/>
          <w:sz w:val="16"/>
          <w:szCs w:val="16"/>
          <w:color w:val="auto"/>
        </w:rPr>
        <w:t>employees, including directors for non</w:t>
      </w:r>
      <w:r>
        <w:rPr>
          <w:rFonts w:ascii="MS PGothic" w:cs="MS PGothic" w:eastAsia="MS PGothic" w:hAnsi="MS PGothic"/>
          <w:sz w:val="16"/>
          <w:szCs w:val="16"/>
          <w:color w:val="auto"/>
        </w:rPr>
        <w:t>‑</w:t>
      </w:r>
      <w:r>
        <w:rPr>
          <w:rFonts w:ascii="Arial" w:cs="Arial" w:eastAsia="Arial" w:hAnsi="Arial"/>
          <w:sz w:val="16"/>
          <w:szCs w:val="16"/>
          <w:color w:val="auto"/>
        </w:rPr>
        <w:t>board related services. Other significant costs include facility costs not otherwise included in research and development expenses, legal fees relating to patent and corporate matters and fees for accounting and consulting services.</w:t>
      </w:r>
    </w:p>
    <w:p>
      <w:pPr>
        <w:spacing w:after="0" w:line="162"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We anticipate that our general and administrative expenses will increase in the future to support continued research and development activities, including the initiation of our clinical trials and increased costs of operating as a public company. These increases will likely include increased costs related to the hiring of additional personnel and fees to outside consultants, among other expenses. We also anticipate increased expenses associated with being a public company, including costs for audit, legal, regulatory and tax</w:t>
      </w:r>
      <w:r>
        <w:rPr>
          <w:rFonts w:ascii="MS PGothic" w:cs="MS PGothic" w:eastAsia="MS PGothic" w:hAnsi="MS PGothic"/>
          <w:sz w:val="16"/>
          <w:szCs w:val="16"/>
          <w:color w:val="auto"/>
        </w:rPr>
        <w:t>‑</w:t>
      </w:r>
      <w:r>
        <w:rPr>
          <w:rFonts w:ascii="Arial" w:cs="Arial" w:eastAsia="Arial" w:hAnsi="Arial"/>
          <w:sz w:val="16"/>
          <w:szCs w:val="16"/>
          <w:color w:val="auto"/>
        </w:rPr>
        <w:t>related services, director and officer insurance premiums and investor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185"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Other income (expense) consists primarily of the re</w:t>
      </w:r>
      <w:r>
        <w:rPr>
          <w:rFonts w:ascii="MS PGothic" w:cs="MS PGothic" w:eastAsia="MS PGothic" w:hAnsi="MS PGothic"/>
          <w:sz w:val="18"/>
          <w:szCs w:val="18"/>
          <w:color w:val="auto"/>
        </w:rPr>
        <w:t>‑</w:t>
      </w:r>
      <w:r>
        <w:rPr>
          <w:rFonts w:ascii="Arial" w:cs="Arial" w:eastAsia="Arial" w:hAnsi="Arial"/>
          <w:sz w:val="18"/>
          <w:szCs w:val="18"/>
          <w:color w:val="auto"/>
        </w:rPr>
        <w:t>measurement gain or loss associated with the change in the fair value of the convertible preferred stock warrant liability and interest expense on amounts outstanding under a loan and security agreement, or Loan and Security Agreement, that we entered into with Silicon Valley Bank in May 2013, amortization of debt discount.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6"/>
          <w:szCs w:val="16"/>
          <w:color w:val="auto"/>
        </w:rPr>
        <w:t>Our critical accounting policies are those policies which require the most significant judgments and estimates in the preparation of our financial statements. Management has determined that our most critical accounting policies are those relating to revenue recognition, accrued research and development expenses and stock-based compensation.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40" w:firstLine="648"/>
        <w:spacing w:after="0" w:line="224" w:lineRule="auto"/>
        <w:rPr>
          <w:sz w:val="20"/>
          <w:szCs w:val="20"/>
          <w:color w:val="auto"/>
        </w:rPr>
      </w:pPr>
      <w:r>
        <w:rPr>
          <w:rFonts w:ascii="Arial" w:cs="Arial" w:eastAsia="Arial" w:hAnsi="Arial"/>
          <w:sz w:val="18"/>
          <w:szCs w:val="18"/>
          <w:color w:val="auto"/>
        </w:rPr>
        <w:t xml:space="preserve">We recognize revenue from license and collaboration agreements in accordance with Financial Accounting Standards Board, or FASB, Accounting Standards Codification, or ASC, Topic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or ASC 605. Accordingly, revenue is recognized when all of the following criteria are met:</w:t>
      </w:r>
    </w:p>
    <w:p>
      <w:pPr>
        <w:spacing w:after="0" w:line="107" w:lineRule="exact"/>
        <w:rPr>
          <w:sz w:val="20"/>
          <w:szCs w:val="20"/>
          <w:color w:val="auto"/>
        </w:rPr>
      </w:pPr>
    </w:p>
    <w:p>
      <w:pPr>
        <w:ind w:left="780" w:hanging="129"/>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ind w:left="760" w:hanging="109"/>
        <w:spacing w:after="0" w:line="20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ind w:left="740" w:hanging="89"/>
        <w:spacing w:after="0" w:line="203"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ind w:left="820" w:hanging="16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209" w:lineRule="exact"/>
        <w:rPr>
          <w:sz w:val="20"/>
          <w:szCs w:val="20"/>
          <w:color w:val="auto"/>
        </w:rPr>
      </w:pPr>
    </w:p>
    <w:p>
      <w:pPr>
        <w:ind w:right="420" w:firstLine="648"/>
        <w:spacing w:after="0" w:line="232" w:lineRule="auto"/>
        <w:rPr>
          <w:sz w:val="20"/>
          <w:szCs w:val="20"/>
          <w:color w:val="auto"/>
        </w:rPr>
      </w:pPr>
      <w:r>
        <w:rPr>
          <w:rFonts w:ascii="Arial" w:cs="Arial" w:eastAsia="Arial" w:hAnsi="Arial"/>
          <w:sz w:val="17"/>
          <w:szCs w:val="17"/>
          <w:color w:val="auto"/>
        </w:rPr>
        <w:t>Amounts received prior to satisfying the revenue recognition criteria are recognized as deferred revenue in our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122"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Our revenue is currently generated through our collaboration agreement with Alexion. The terms of this agreement contain multiple elements, or deliverables, including an exclusive license granted by us to Alexion to research, develop, manufacture and commercialize the licensed products and the compounds in the field in the territory, as well as research and development activities to be performed by us on behalf of Alexion related to the licensed product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candidates. In addition, the terms of this agreement include payments to us of one or more of the following: a nonrefundable, upfront payment; contingent milestone payments related to specified pre-clinical milestones, development milestones and sales-based commercial milestones; fees for research and development services rendered; and royalties on commercial sales of licensed product candidates, if any. To date, we have received the upfront payment, payment for the achievement of the first milestone under the agreement and payments for certain research and development services. We have not received any other milestone payments under the agreement or earned royalty revenue as a result of product sales.</w:t>
      </w:r>
    </w:p>
    <w:p>
      <w:pPr>
        <w:spacing w:after="0" w:line="120"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When evaluating multiple element arrangements, we consider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 Deliverables are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has stand-alone value, we consider factors such as the research, manufacturing and commercialization capabilities of the collaboration partner and the availability of the associated expertise in the general marketplace. In addition, we consider whether the collaboration partner can use the other deliverable(s) for their intended purpose without the receipt of the remaining element(s), whether the value of the deliverable is dependent on the undelivered item(s) and whether there are other vendors that can provide the undelivered element(s). Our collaboration agreement with Alexion does not contain a general right of return relative to the delivered item(s).</w:t>
      </w:r>
    </w:p>
    <w:p>
      <w:pPr>
        <w:spacing w:after="0" w:line="131"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Arrangement consideration that is fixed or determinable is allocated among the separate units of accounting using the relative selling price method. Then, the applicable revenue recognition criteria in ASC 605-25 are applied to each of the separate units of accounting in determining the appropriate period and pattern of recognition. We determine the selling price of a unit of accounting following the hierarchy of evidence prescribed by ASC 605-25. Accordingly, we determine the estimated selling price for units of accounting within each arrangement using vendor-specific objective evidence, or VSOE, of selling price, if available, third-party evidence, or TPE, of selling price if VSOE is not available, or best estimate of selling price, or BESP, if neither VSOE nor TPE is available. We typically use BESP to estimate the selling price, since it generally does not have VSOE or TPE of selling price for its units of accounting. Determining the BESP for a unit of accounting requires significant judgment. In developing the BESP for a unit of accounting, we consider applicable market conditions and relevant entity-specific factors, including factors that were contemplated in negotiating the agreement with the customer and estimated costs. We validate the BESP for units of accounting by evaluating whether changes in the key assumptions used to determine the BESP will have a significant effect on the allocation of arrangement consideration between multiple units of accounting.</w:t>
      </w:r>
    </w:p>
    <w:p>
      <w:pPr>
        <w:spacing w:after="0" w:line="130"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the event that an element of a multiple element arrangement does not represent a separate unit of accounting, we recognize revenue from the combined element over the period over which we expect to fulfill its performance obligations or as undelivered items are delivered, as appropriate, if all of the other revenue recognition criteria in ASC 605-25 are met. If the pattern of performance in which the service is provided to the customer can be determined and objectively measurable performance measures exist, then we recognize revenue under the arrangement using the proportional performance method. If there is no discernible pattern of performance and/or objectively measurable performance measures do not exist, then we recognize revenue under the arrangement on a straight-line basis over the period we are expected to complete our performance obligations. Revenue recognized is limited to the lesser of the cumulative amount of payments received or the cumulative amount of revenue earned, as determined using the straight-line method or proportional performance method, as applicable, as of the period ending date.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multiple-element revenue arrangements may include the following: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Licenses</w:t>
      </w:r>
    </w:p>
    <w:p>
      <w:pPr>
        <w:spacing w:after="0" w:line="144"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The deliverables under our collaboration agreements may include exclusive licenses to research, develop, manufacture and commercialize licensed products. To account for this element of an arrangement, management evaluates whether an exclusive license has stand-alone value from the undelivered elements based on the consideration of the relevant facts and circumstances of the arrangement, including the research and development capabilities of the collaboration partner. We may recognize the arrangement consideration allocated to licenses upon delivery of the license if facts and circumstances indicate that the license has stand-alone value from the undelivered elements, which generally include research and development services. We defer arrangement consideration allocated to licenses if facts and circumstances indicate that the delivered license does not have stand-alone value from the undelivered elements.</w:t>
      </w:r>
    </w:p>
    <w:p>
      <w:pPr>
        <w:spacing w:after="0" w:line="127"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When management believes a license does not have stand-alone value from the other deliverables to be provided in the arrangement, we recognize revenue attributed to the license on a proportional basis over our contractual or estimated performance period, which is typically the term of our research and development obligations. If management cannot reasonably estimate when our performance obligation ends, then revenue is deferred until management can reasonably estimate when the performance obligation ends. The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Services</w:t>
      </w:r>
    </w:p>
    <w:p>
      <w:pPr>
        <w:spacing w:after="0" w:line="144"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deliverables under our collaboration agreements may include research and development services to be performed by us on behalf of the partner. Payments or reimbursements resulting from our research and development efforts are recognized as the services are performed and presented on a gross basis because we are the principal for such efforts, so long as there is persuasive evidence of an arrangement, the fee is fixed or determinable, and collection of the related amount is reasonably assured.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144"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Our collaboration agreements may include contingent milestone payments related to specified pre-clinical milestones, development milestones and sales-based commercial milestones.</w:t>
      </w:r>
    </w:p>
    <w:p>
      <w:pPr>
        <w:spacing w:after="0" w:line="162" w:lineRule="exact"/>
        <w:rPr>
          <w:sz w:val="20"/>
          <w:szCs w:val="20"/>
          <w:color w:val="auto"/>
        </w:rPr>
      </w:pPr>
    </w:p>
    <w:p>
      <w:pPr>
        <w:ind w:right="540" w:firstLine="648"/>
        <w:spacing w:after="0" w:line="224" w:lineRule="auto"/>
        <w:rPr>
          <w:sz w:val="20"/>
          <w:szCs w:val="20"/>
          <w:color w:val="auto"/>
        </w:rPr>
      </w:pPr>
      <w:r>
        <w:rPr>
          <w:rFonts w:ascii="Arial" w:cs="Arial" w:eastAsia="Arial" w:hAnsi="Arial"/>
          <w:sz w:val="18"/>
          <w:szCs w:val="18"/>
          <w:color w:val="auto"/>
        </w:rPr>
        <w:t>At the inception of an arrangement that includes milestone payments, we evaluate whether each milestone is substantive and at risk to both parties on the basis of the contingent nature of the milestone. This evaluation includes an assessment of whether:</w:t>
      </w:r>
    </w:p>
    <w:p>
      <w:pPr>
        <w:spacing w:after="0" w:line="163" w:lineRule="exact"/>
        <w:rPr>
          <w:sz w:val="20"/>
          <w:szCs w:val="20"/>
          <w:color w:val="auto"/>
        </w:rPr>
      </w:pPr>
    </w:p>
    <w:p>
      <w:pPr>
        <w:ind w:left="380" w:right="60" w:hanging="53"/>
        <w:spacing w:after="0" w:line="289" w:lineRule="auto"/>
        <w:rPr>
          <w:sz w:val="20"/>
          <w:szCs w:val="20"/>
          <w:color w:val="auto"/>
        </w:rPr>
      </w:pPr>
      <w:r>
        <w:rPr>
          <w:rFonts w:ascii="Arial" w:cs="Arial" w:eastAsia="Arial" w:hAnsi="Arial"/>
          <w:sz w:val="16"/>
          <w:szCs w:val="16"/>
          <w:color w:val="auto"/>
        </w:rPr>
        <w:t>·the consideration is commensurate with either our performance to achieve the milestone or the enhancement of the value of the delivered item(s) as a result of a specific outcome resulting from the our performance to achieve the milestone;</w:t>
      </w:r>
    </w:p>
    <w:p>
      <w:pPr>
        <w:spacing w:after="0" w:line="12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 the consideration relates solely to past performance; and</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consideration is reasonable relative to all of the deliverables and payment terms within the arrangement.</w:t>
      </w:r>
    </w:p>
    <w:p>
      <w:pPr>
        <w:spacing w:after="0" w:line="14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We evaluate factors such as the scientific, clinical, regulatory, commercial and other risks that must be overcome to achieve the respective milestone and the level of effort and investment required to achieve the respective milestone in making this assessment. There is considerable judgment involved in determining whether a milestone satisfies all of the criteria required to conclude that a milestone is substantive. Milestones that are not considered substantive are accounted for as license payments and recognized over the remaining period of performance from the date of achievement of the</w:t>
      </w:r>
    </w:p>
    <w:p>
      <w:pPr>
        <w:spacing w:after="0" w:line="1"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milestone. Milestones that are considered substantive will be recognized in their entirety upon successful accomplishment of the milestone, assuming all other revenue recognition criteria are met.</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Revenue</w:t>
      </w:r>
    </w:p>
    <w:p>
      <w:pPr>
        <w:spacing w:after="0" w:line="185"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We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23"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There have been no significant changes to our accounting policies discussed in our Prospectus related to accrued research and development expenses and stock-based compensation.</w:t>
      </w:r>
    </w:p>
    <w:p>
      <w:pPr>
        <w:spacing w:after="0" w:line="158"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2015 and 2014</w:t>
      </w:r>
    </w:p>
    <w:p>
      <w:pPr>
        <w:spacing w:after="0" w:line="185"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June 30, 2015 and 2014, together with the changes in those items in dollars and as a percentage:</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1100" w:type="dxa"/>
            <w:vAlign w:val="bottom"/>
            <w:gridSpan w:val="4"/>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gridSpan w:val="6"/>
          </w:tcPr>
          <w:p>
            <w:pPr>
              <w:ind w:left="260"/>
              <w:spacing w:after="0" w:line="155"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378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4,481</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2,403</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3780" w:type="dxa"/>
            <w:vAlign w:val="bottom"/>
          </w:tcPr>
          <w:p>
            <w:pPr>
              <w:spacing w:after="0" w:line="163" w:lineRule="exact"/>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(12,980)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1"/>
              </w:rPr>
              <w:t>(8,287)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(4,693)</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Collaboration revenue was $2.7 million for the three months ended June 30, 2015 under our agreement with Alexion.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We did not record any collaboration revenue during the three months ended June 30,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Research and development expense increased by $4.4 million from $6.8 million for the three months ended June 30, 2014 to $11.2 million for the three months ended June 30, 2015, an increase of 66%. The increase in research and development expense was primarily attributable to the following:</w:t>
      </w:r>
    </w:p>
    <w:p>
      <w:pPr>
        <w:spacing w:after="0" w:line="163" w:lineRule="exact"/>
        <w:rPr>
          <w:sz w:val="20"/>
          <w:szCs w:val="20"/>
          <w:color w:val="auto"/>
        </w:rPr>
      </w:pPr>
    </w:p>
    <w:p>
      <w:pPr>
        <w:ind w:left="700" w:hanging="53"/>
        <w:spacing w:after="0" w:line="194" w:lineRule="exact"/>
        <w:rPr>
          <w:sz w:val="20"/>
          <w:szCs w:val="20"/>
          <w:color w:val="auto"/>
        </w:rPr>
      </w:pPr>
      <w:r>
        <w:rPr>
          <w:rFonts w:ascii="Arial" w:cs="Arial" w:eastAsia="Arial" w:hAnsi="Arial"/>
          <w:sz w:val="18"/>
          <w:szCs w:val="18"/>
          <w:color w:val="auto"/>
        </w:rPr>
        <w:t>·approximately $1.8 million in personnel expense primarily due to (1) a 17% increase in headcount, largely driven by growth in the non-clinical and clinical organizations as our programs advance into clinical trials and (2) higher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63" w:lineRule="exact"/>
        <w:rPr>
          <w:sz w:val="20"/>
          <w:szCs w:val="20"/>
          <w:color w:val="auto"/>
        </w:rPr>
      </w:pPr>
    </w:p>
    <w:p>
      <w:pPr>
        <w:ind w:left="660" w:right="340"/>
        <w:spacing w:after="0" w:line="571" w:lineRule="auto"/>
        <w:rPr>
          <w:sz w:val="20"/>
          <w:szCs w:val="20"/>
          <w:color w:val="auto"/>
        </w:rPr>
      </w:pPr>
      <w:r>
        <w:rPr>
          <w:rFonts w:ascii="Arial" w:cs="Arial" w:eastAsia="Arial" w:hAnsi="Arial"/>
          <w:sz w:val="16"/>
          <w:szCs w:val="16"/>
          <w:color w:val="auto"/>
        </w:rPr>
        <w:t>·approximately $1.2 million in external clinical activities as we advance our two lead program clinical trials; and ·approximately $1.3 million as we continue to build our platform and advance our discovery pipeline forward.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00"/>
          </w:cols>
          <w:pgMar w:left="138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General and administrative expense increased by $2.4 million from $1.4 million for the three months ended June 30, 2014 to $3.8 million for the three months ended June 30, 2015, an increase of 167%. The increase in general and administrative expense was primarily attributable to the following:</w:t>
      </w:r>
    </w:p>
    <w:p>
      <w:pPr>
        <w:spacing w:after="0" w:line="163" w:lineRule="exact"/>
        <w:rPr>
          <w:sz w:val="20"/>
          <w:szCs w:val="20"/>
          <w:color w:val="auto"/>
        </w:rPr>
      </w:pPr>
    </w:p>
    <w:p>
      <w:pPr>
        <w:jc w:val="both"/>
        <w:ind w:left="700" w:right="140" w:hanging="53"/>
        <w:spacing w:after="0" w:line="224" w:lineRule="auto"/>
        <w:rPr>
          <w:sz w:val="20"/>
          <w:szCs w:val="20"/>
          <w:color w:val="auto"/>
        </w:rPr>
      </w:pPr>
      <w:r>
        <w:rPr>
          <w:rFonts w:ascii="Arial" w:cs="Arial" w:eastAsia="Arial" w:hAnsi="Arial"/>
          <w:sz w:val="18"/>
          <w:szCs w:val="18"/>
          <w:color w:val="auto"/>
        </w:rPr>
        <w:t>·approximately $1.9 million in increased personnel costs primarily due to an increase in stock-based compensation expenses as well as an increase of 86% in business personnel headcount to support our overall growth as a publicly traded company; and</w:t>
      </w:r>
    </w:p>
    <w:p>
      <w:pPr>
        <w:spacing w:after="0" w:line="163" w:lineRule="exact"/>
        <w:rPr>
          <w:sz w:val="20"/>
          <w:szCs w:val="20"/>
          <w:color w:val="auto"/>
        </w:rPr>
      </w:pPr>
    </w:p>
    <w:p>
      <w:pPr>
        <w:ind w:left="700" w:hanging="53"/>
        <w:spacing w:after="0" w:line="235" w:lineRule="auto"/>
        <w:rPr>
          <w:sz w:val="20"/>
          <w:szCs w:val="20"/>
          <w:color w:val="auto"/>
        </w:rPr>
      </w:pPr>
      <w:r>
        <w:rPr>
          <w:rFonts w:ascii="Arial" w:cs="Arial" w:eastAsia="Arial" w:hAnsi="Arial"/>
          <w:sz w:val="18"/>
          <w:szCs w:val="18"/>
          <w:color w:val="auto"/>
        </w:rPr>
        <w:t>·approximately $0.4 million increase in professional fees including external legal fees, insurance premiums, corporate communications and public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right="40" w:firstLine="648"/>
        <w:spacing w:after="0" w:line="194" w:lineRule="exact"/>
        <w:rPr>
          <w:sz w:val="20"/>
          <w:szCs w:val="20"/>
          <w:color w:val="auto"/>
        </w:rPr>
      </w:pPr>
      <w:r>
        <w:rPr>
          <w:rFonts w:ascii="Arial" w:cs="Arial" w:eastAsia="Arial" w:hAnsi="Arial"/>
          <w:sz w:val="16"/>
          <w:szCs w:val="16"/>
          <w:color w:val="auto"/>
        </w:rPr>
        <w:t>Other expense increased by $0.4 million to $0.4 million for the three months ended June 30, 2015 from $0.001 million of income for the three months ended June 30, 2014. The increase in other expense was primarily related to the impact of the re</w:t>
      </w:r>
      <w:r>
        <w:rPr>
          <w:rFonts w:ascii="MS PGothic" w:cs="MS PGothic" w:eastAsia="MS PGothic" w:hAnsi="MS PGothic"/>
          <w:sz w:val="16"/>
          <w:szCs w:val="16"/>
          <w:color w:val="auto"/>
        </w:rPr>
        <w:t>‑</w:t>
      </w:r>
      <w:r>
        <w:rPr>
          <w:rFonts w:ascii="Arial" w:cs="Arial" w:eastAsia="Arial" w:hAnsi="Arial"/>
          <w:sz w:val="16"/>
          <w:szCs w:val="16"/>
          <w:color w:val="auto"/>
        </w:rPr>
        <w:t>measurement associated with the change in the fair value of the convertible preferred stock warrant liability.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Interest expense increased by $0.1 million to $0.2 million for the three months ended June 30, 2015 from $0.1 million for the three months ended June 30, 2014. The increase in interest expense was primarily related to a higher outstanding principal balance under the Loan and Security Agreement for the three months ended June 30, 2015.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2015 and 2014</w:t>
      </w:r>
    </w:p>
    <w:p>
      <w:pPr>
        <w:spacing w:after="0" w:line="185"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six months ended June 30, 2015 and 2014, together with the changes in those items in dollars and as a percentage: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Dollar Change</w:t>
            </w:r>
          </w:p>
        </w:tc>
        <w:tc>
          <w:tcPr>
            <w:tcW w:w="160" w:type="dxa"/>
            <w:vAlign w:val="bottom"/>
            <w:vMerge w:val="restart"/>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2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bottom w:val="single" w:sz="8" w:color="auto"/>
            </w:tcBorders>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5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4"/>
          </w:tcPr>
          <w:p>
            <w:pPr>
              <w:ind w:left="260"/>
              <w:spacing w:after="0"/>
              <w:rPr>
                <w:sz w:val="20"/>
                <w:szCs w:val="20"/>
                <w:color w:val="auto"/>
              </w:rPr>
            </w:pPr>
            <w:r>
              <w:rPr>
                <w:rFonts w:ascii="Arial" w:cs="Arial" w:eastAsia="Arial" w:hAnsi="Arial"/>
                <w:sz w:val="14"/>
                <w:szCs w:val="14"/>
                <w:b w:val="1"/>
                <w:bCs w:val="1"/>
                <w:color w:val="auto"/>
                <w:w w:val="91"/>
              </w:rPr>
              <w:t>(in thousands)</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176"/>
        </w:trPr>
        <w:tc>
          <w:tcPr>
            <w:tcW w:w="52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8,333</w:t>
            </w: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3,602</w:t>
            </w:r>
          </w:p>
        </w:tc>
        <w:tc>
          <w:tcPr>
            <w:tcW w:w="16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27,086</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15,151</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11,935</w:t>
            </w:r>
          </w:p>
        </w:tc>
        <w:tc>
          <w:tcPr>
            <w:tcW w:w="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260" w:type="dxa"/>
            <w:vAlign w:val="bottom"/>
          </w:tcPr>
          <w:p>
            <w:pPr>
              <w:spacing w:after="0" w:line="163" w:lineRule="exact"/>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68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(24,552)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(15,314)</w:t>
            </w:r>
          </w:p>
        </w:tc>
        <w:tc>
          <w:tcPr>
            <w:tcW w:w="80" w:type="dxa"/>
            <w:vAlign w:val="bottom"/>
          </w:tcPr>
          <w:p>
            <w:pPr>
              <w:spacing w:after="0"/>
              <w:rPr>
                <w:sz w:val="18"/>
                <w:szCs w:val="18"/>
                <w:color w:val="auto"/>
              </w:rPr>
            </w:pPr>
          </w:p>
        </w:tc>
        <w:tc>
          <w:tcPr>
            <w:tcW w:w="4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(9,238)</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860" w:firstLine="648"/>
        <w:spacing w:after="0" w:line="258" w:lineRule="auto"/>
        <w:rPr>
          <w:sz w:val="20"/>
          <w:szCs w:val="20"/>
          <w:color w:val="auto"/>
        </w:rPr>
      </w:pPr>
      <w:r>
        <w:rPr>
          <w:rFonts w:ascii="Arial" w:cs="Arial" w:eastAsia="Arial" w:hAnsi="Arial"/>
          <w:sz w:val="17"/>
          <w:szCs w:val="17"/>
          <w:color w:val="auto"/>
        </w:rPr>
        <w:t>Collaboration revenue was $3.3 million for the six months ended June 30, 2015 under our agreement with Alexion. We did not record any collaboration revenue during the six months ended June 30, 2014.</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right="120" w:firstLine="648"/>
        <w:spacing w:after="0" w:line="224" w:lineRule="auto"/>
        <w:rPr>
          <w:sz w:val="20"/>
          <w:szCs w:val="20"/>
          <w:color w:val="auto"/>
        </w:rPr>
      </w:pPr>
      <w:r>
        <w:rPr>
          <w:rFonts w:ascii="Arial" w:cs="Arial" w:eastAsia="Arial" w:hAnsi="Arial"/>
          <w:sz w:val="18"/>
          <w:szCs w:val="18"/>
          <w:color w:val="auto"/>
        </w:rPr>
        <w:t>Research and development expense increased $8.3 million from $12.1 million for the six months ended June 30, 2014 to $20.5 million for the six months ended June 30, 2015, an increase of 69%. The increase in research and development expense was primarily attributable to the following:</w:t>
      </w:r>
    </w:p>
    <w:p>
      <w:pPr>
        <w:spacing w:after="0" w:line="163" w:lineRule="exact"/>
        <w:rPr>
          <w:sz w:val="20"/>
          <w:szCs w:val="20"/>
          <w:color w:val="auto"/>
        </w:rPr>
      </w:pPr>
    </w:p>
    <w:p>
      <w:pPr>
        <w:jc w:val="both"/>
        <w:ind w:left="700" w:right="240" w:hanging="53"/>
        <w:spacing w:after="0" w:line="194" w:lineRule="exact"/>
        <w:rPr>
          <w:sz w:val="20"/>
          <w:szCs w:val="20"/>
          <w:color w:val="auto"/>
        </w:rPr>
      </w:pPr>
      <w:r>
        <w:rPr>
          <w:rFonts w:ascii="Arial" w:cs="Arial" w:eastAsia="Arial" w:hAnsi="Arial"/>
          <w:sz w:val="18"/>
          <w:szCs w:val="18"/>
          <w:color w:val="auto"/>
        </w:rPr>
        <w:t>·approximately $3.2 million in increased personnel costs primarily due to an increase of 20% in headcount, largely driven by growth in the non-clinical and clinical organizations as our programs advance towards clinical trials as well as higher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63" w:lineRule="exact"/>
        <w:rPr>
          <w:sz w:val="20"/>
          <w:szCs w:val="20"/>
          <w:color w:val="auto"/>
        </w:rPr>
      </w:pPr>
    </w:p>
    <w:p>
      <w:pPr>
        <w:ind w:left="660" w:right="240"/>
        <w:spacing w:after="0" w:line="510" w:lineRule="auto"/>
        <w:rPr>
          <w:sz w:val="20"/>
          <w:szCs w:val="20"/>
          <w:color w:val="auto"/>
        </w:rPr>
      </w:pPr>
      <w:r>
        <w:rPr>
          <w:rFonts w:ascii="Arial" w:cs="Arial" w:eastAsia="Arial" w:hAnsi="Arial"/>
          <w:sz w:val="16"/>
          <w:szCs w:val="16"/>
          <w:color w:val="auto"/>
        </w:rPr>
        <w:t>·approximately $1.9 million in clinical activities as we advance our two lead programs into clinical trials; ·approximately $1.8 million as we continue to build our platform and advance our discovery pipeline forward; and</w:t>
      </w:r>
    </w:p>
    <w:p>
      <w:pPr>
        <w:spacing w:after="0" w:line="1" w:lineRule="exact"/>
        <w:rPr>
          <w:sz w:val="20"/>
          <w:szCs w:val="20"/>
          <w:color w:val="auto"/>
        </w:rPr>
      </w:pPr>
    </w:p>
    <w:p>
      <w:pPr>
        <w:ind w:left="700" w:right="180" w:hanging="53"/>
        <w:spacing w:after="0" w:line="203" w:lineRule="exact"/>
        <w:rPr>
          <w:sz w:val="20"/>
          <w:szCs w:val="20"/>
          <w:color w:val="auto"/>
        </w:rPr>
      </w:pPr>
      <w:r>
        <w:rPr>
          <w:rFonts w:ascii="Arial" w:cs="Arial" w:eastAsia="Arial" w:hAnsi="Arial"/>
          <w:sz w:val="18"/>
          <w:szCs w:val="18"/>
          <w:color w:val="auto"/>
        </w:rPr>
        <w:t>·approximately $1.2 million for external IND</w:t>
      </w:r>
      <w:r>
        <w:rPr>
          <w:rFonts w:ascii="MS PGothic" w:cs="MS PGothic" w:eastAsia="MS PGothic" w:hAnsi="MS PGothic"/>
          <w:sz w:val="18"/>
          <w:szCs w:val="18"/>
          <w:color w:val="auto"/>
        </w:rPr>
        <w:t>‑</w:t>
      </w:r>
      <w:r>
        <w:rPr>
          <w:rFonts w:ascii="Arial" w:cs="Arial" w:eastAsia="Arial" w:hAnsi="Arial"/>
          <w:sz w:val="18"/>
          <w:szCs w:val="18"/>
          <w:color w:val="auto"/>
        </w:rPr>
        <w:t>enabling pre</w:t>
      </w:r>
      <w:r>
        <w:rPr>
          <w:rFonts w:ascii="MS PGothic" w:cs="MS PGothic" w:eastAsia="MS PGothic" w:hAnsi="MS PGothic"/>
          <w:sz w:val="18"/>
          <w:szCs w:val="18"/>
          <w:color w:val="auto"/>
        </w:rPr>
        <w:t>‑</w:t>
      </w:r>
      <w:r>
        <w:rPr>
          <w:rFonts w:ascii="Arial" w:cs="Arial" w:eastAsia="Arial" w:hAnsi="Arial"/>
          <w:sz w:val="18"/>
          <w:szCs w:val="18"/>
          <w:color w:val="auto"/>
        </w:rPr>
        <w:t>clinical and toxicology studies as well as manufacturing activities for our two lead programs.</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We expect that our research and development expense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General and administrative expense increased by $3.6 million from $3.0 million for the six months ended June 30, 2014 to $6.6 million for the six months ended June 30, 2015, an increase of 120%. The increase in general and administrative expense was primarily attributable to the following:</w:t>
      </w:r>
    </w:p>
    <w:p>
      <w:pPr>
        <w:spacing w:after="0" w:line="163" w:lineRule="exact"/>
        <w:rPr>
          <w:sz w:val="20"/>
          <w:szCs w:val="20"/>
          <w:color w:val="auto"/>
        </w:rPr>
      </w:pPr>
    </w:p>
    <w:p>
      <w:pPr>
        <w:jc w:val="both"/>
        <w:ind w:left="700" w:right="160" w:hanging="53"/>
        <w:spacing w:after="0" w:line="194" w:lineRule="exact"/>
        <w:rPr>
          <w:sz w:val="20"/>
          <w:szCs w:val="20"/>
          <w:color w:val="auto"/>
        </w:rPr>
      </w:pPr>
      <w:r>
        <w:rPr>
          <w:rFonts w:ascii="Arial" w:cs="Arial" w:eastAsia="Arial" w:hAnsi="Arial"/>
          <w:sz w:val="18"/>
          <w:szCs w:val="18"/>
          <w:color w:val="auto"/>
        </w:rPr>
        <w:t>·approximately $2.5 million in increased personnel costs primarily due to an increase in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and an increase of 68% in business personnel headcount to support our overall growth as a publicly traded company; and</w:t>
      </w:r>
    </w:p>
    <w:p>
      <w:pPr>
        <w:spacing w:after="0" w:line="163" w:lineRule="exact"/>
        <w:rPr>
          <w:sz w:val="20"/>
          <w:szCs w:val="20"/>
          <w:color w:val="auto"/>
        </w:rPr>
      </w:pPr>
    </w:p>
    <w:p>
      <w:pPr>
        <w:ind w:left="700" w:right="540" w:hanging="53"/>
        <w:spacing w:after="0" w:line="235" w:lineRule="auto"/>
        <w:rPr>
          <w:sz w:val="20"/>
          <w:szCs w:val="20"/>
          <w:color w:val="auto"/>
        </w:rPr>
      </w:pPr>
      <w:r>
        <w:rPr>
          <w:rFonts w:ascii="Arial" w:cs="Arial" w:eastAsia="Arial" w:hAnsi="Arial"/>
          <w:sz w:val="18"/>
          <w:szCs w:val="18"/>
          <w:color w:val="auto"/>
        </w:rPr>
        <w:t>·approximately $0.7 million in increase in professional fees including external legal fees, insurance premiums, corporate communications and public relations costs.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right="80" w:firstLine="648"/>
        <w:spacing w:after="0" w:line="194" w:lineRule="exact"/>
        <w:rPr>
          <w:sz w:val="20"/>
          <w:szCs w:val="20"/>
          <w:color w:val="auto"/>
        </w:rPr>
      </w:pPr>
      <w:r>
        <w:rPr>
          <w:rFonts w:ascii="Arial" w:cs="Arial" w:eastAsia="Arial" w:hAnsi="Arial"/>
          <w:sz w:val="16"/>
          <w:szCs w:val="16"/>
          <w:color w:val="auto"/>
        </w:rPr>
        <w:t>Other expense increased by $0.4 million to $0.4 million for the six months ended June 30, 2015 from less than $0.02 million of income for the six months ended June 30, 2014. The increase in other expense was primarily related to the impact of the re</w:t>
      </w:r>
      <w:r>
        <w:rPr>
          <w:rFonts w:ascii="MS PGothic" w:cs="MS PGothic" w:eastAsia="MS PGothic" w:hAnsi="MS PGothic"/>
          <w:sz w:val="16"/>
          <w:szCs w:val="16"/>
          <w:color w:val="auto"/>
        </w:rPr>
        <w:t>‑</w:t>
      </w:r>
      <w:r>
        <w:rPr>
          <w:rFonts w:ascii="Arial" w:cs="Arial" w:eastAsia="Arial" w:hAnsi="Arial"/>
          <w:sz w:val="16"/>
          <w:szCs w:val="16"/>
          <w:color w:val="auto"/>
        </w:rPr>
        <w:t>measurement associated with the change in the fair value of the convertible preferred stock warrant liability.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40" w:firstLine="648"/>
        <w:spacing w:after="0" w:line="238" w:lineRule="auto"/>
        <w:rPr>
          <w:sz w:val="20"/>
          <w:szCs w:val="20"/>
          <w:color w:val="auto"/>
        </w:rPr>
      </w:pPr>
      <w:r>
        <w:rPr>
          <w:rFonts w:ascii="Arial" w:cs="Arial" w:eastAsia="Arial" w:hAnsi="Arial"/>
          <w:sz w:val="17"/>
          <w:szCs w:val="17"/>
          <w:color w:val="auto"/>
        </w:rPr>
        <w:t>Interest expense increased by $0.2 million to $0.4 million for the six months ended June 30, 2015 from $0.2 million for the six months ended June 30, 2014. The increase in interest expense was primarily related to a higher outstanding principal balance under the Loan and Security Agreement for the six months ended June 30, 2015.</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Through June 30, 2015, we financed our operations primarily private placements of our convertible preferred stock, debt financing and our initial public offering or IPO. We have raised $115.1 million from the issuance of convertible preferred sotck and $10.0 million from a debt financing. On May 5, 2015, we completed the sale of 9,367,708 shares of our common stock (inclusive of 1,221,874 shares of common stock sold by the Company pursuant to the full exercise of an option to purchase additional shares granted to the underwriters in connection with the offering) in our IPO at a price to the public of $18.00 per share, resulting in net proceeds of $154.8 million after deducting underwriting discounts and commissions and offering costs payable by us.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we had cash and cash equivalents of $193.6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information regarding our cash flows for the six months ended June 30, 2015 and 2014:</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6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29"/>
        </w:trPr>
        <w:tc>
          <w:tcPr>
            <w:tcW w:w="5580" w:type="dxa"/>
            <w:vAlign w:val="bottom"/>
            <w:tcBorders>
              <w:bottom w:val="single" w:sz="8" w:color="CCEEFF"/>
            </w:tcBorders>
            <w:vMerge w:val="continue"/>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8"/>
              <w:spacing w:after="0" w:line="129"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54"/>
              <w:spacing w:after="0" w:line="129" w:lineRule="exact"/>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(15,254)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154,085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146,347</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Net cash used in operating activities was $6.1 million during the six months ended June 30, 2015 compared to net cash used in operating activities of $15.3 million during the six months ended June 30, 2014. The decrease in cash used in operating activities was primarily due to the receipt of the upfront payment from Alexion, partially offset by an increase in net loss of $9.2 million for the six months ended June 30, 2015 as compared to the six months ended June 30, 2014.</w:t>
      </w:r>
    </w:p>
    <w:p>
      <w:pPr>
        <w:spacing w:after="0" w:line="155" w:lineRule="exact"/>
        <w:rPr>
          <w:sz w:val="20"/>
          <w:szCs w:val="20"/>
          <w:color w:val="auto"/>
        </w:rPr>
      </w:pPr>
    </w:p>
    <w:p>
      <w:pPr>
        <w:ind w:right="120" w:firstLine="648"/>
        <w:spacing w:after="0" w:line="216" w:lineRule="auto"/>
        <w:rPr>
          <w:sz w:val="20"/>
          <w:szCs w:val="20"/>
          <w:color w:val="auto"/>
        </w:rPr>
      </w:pPr>
      <w:r>
        <w:rPr>
          <w:rFonts w:ascii="Arial" w:cs="Arial" w:eastAsia="Arial" w:hAnsi="Arial"/>
          <w:sz w:val="18"/>
          <w:szCs w:val="18"/>
          <w:color w:val="auto"/>
        </w:rPr>
        <w:t>Net cash used in investing activities was $1.6 million during the six months ended June 30, 2015 compared to net cash used in investing activities of $0.1 million during the six months ended June 30, 2014. Net cash used in investing activities for the six months ended June 30, 2015 consisted of a security deposit payment for our new office lease agreement as well as purchases of property and equipment. Net cash used in investing activities for the six months ended June 30, 2014 consisted of purchases of property and equipment.</w:t>
      </w:r>
    </w:p>
    <w:p>
      <w:pPr>
        <w:spacing w:after="0" w:line="16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Net cash provided by financing activities was $154.1 million during the six months ended June 30, 2015 compared to net cash provided by financing activities of $26.7 million during the six months ended June 30, 2014. Net cash provided by financing activities for the six months ended June, 2015 was primarily the result of $154.8 million in net proceeds from the IPO after deducting underwriting discounts, commissions and offering costs payable by us. The cash provided by financing activities for the six months ended June 30, 2014 was the result of $24.9 million of net proceeds received from the private placement of our Series B convertible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5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We expect that our existing cash and cash equivalents will enable us to fund our operating expenses and capital expenditure requirements through at least early 2017. Our future capital requirements will depend on many factors, including:</w:t>
      </w:r>
    </w:p>
    <w:p>
      <w:pPr>
        <w:spacing w:after="0" w:line="124" w:lineRule="exact"/>
        <w:rPr>
          <w:sz w:val="20"/>
          <w:szCs w:val="20"/>
          <w:color w:val="auto"/>
        </w:rPr>
      </w:pPr>
    </w:p>
    <w:p>
      <w:pPr>
        <w:ind w:left="700" w:right="340" w:hanging="53"/>
        <w:spacing w:after="0" w:line="203" w:lineRule="exact"/>
        <w:rPr>
          <w:sz w:val="20"/>
          <w:szCs w:val="20"/>
          <w:color w:val="auto"/>
        </w:rPr>
      </w:pPr>
      <w:r>
        <w:rPr>
          <w:rFonts w:ascii="Arial" w:cs="Arial" w:eastAsia="Arial" w:hAnsi="Arial"/>
          <w:sz w:val="18"/>
          <w:szCs w:val="18"/>
          <w:color w:val="auto"/>
        </w:rPr>
        <w:t>·the scope, progress, results and costs of drug discovery, pre</w:t>
      </w:r>
      <w:r>
        <w:rPr>
          <w:rFonts w:ascii="MS PGothic" w:cs="MS PGothic" w:eastAsia="MS PGothic" w:hAnsi="MS PGothic"/>
          <w:sz w:val="18"/>
          <w:szCs w:val="18"/>
          <w:color w:val="auto"/>
        </w:rPr>
        <w:t>‑</w:t>
      </w:r>
      <w:r>
        <w:rPr>
          <w:rFonts w:ascii="Arial" w:cs="Arial" w:eastAsia="Arial" w:hAnsi="Arial"/>
          <w:sz w:val="18"/>
          <w:szCs w:val="18"/>
          <w:color w:val="auto"/>
        </w:rPr>
        <w:t>clinical development, laboratory testing and clinical trials for our drug candidates;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scope, prioritization and number of our research and development programs;</w:t>
      </w:r>
    </w:p>
    <w:p>
      <w:pPr>
        <w:spacing w:after="0" w:line="185" w:lineRule="exact"/>
        <w:rPr>
          <w:sz w:val="20"/>
          <w:szCs w:val="20"/>
          <w:color w:val="auto"/>
        </w:rPr>
      </w:pPr>
    </w:p>
    <w:p>
      <w:pPr>
        <w:ind w:left="660" w:right="2700" w:hanging="9"/>
        <w:spacing w:after="0" w:line="510" w:lineRule="auto"/>
        <w:tabs>
          <w:tab w:leader="none" w:pos="74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costs, timing and outcome of regulatory review of our drug candidates; ·our ability to establish and maintain collaborations on favorable terms, if at all;</w:t>
      </w:r>
    </w:p>
    <w:p>
      <w:pPr>
        <w:spacing w:after="0" w:line="1" w:lineRule="exact"/>
        <w:rPr>
          <w:sz w:val="20"/>
          <w:szCs w:val="20"/>
          <w:color w:val="auto"/>
        </w:rPr>
      </w:pPr>
    </w:p>
    <w:p>
      <w:pPr>
        <w:ind w:left="700" w:right="220" w:hanging="53"/>
        <w:spacing w:after="0" w:line="235" w:lineRule="auto"/>
        <w:rPr>
          <w:sz w:val="20"/>
          <w:szCs w:val="20"/>
          <w:color w:val="auto"/>
        </w:rPr>
      </w:pPr>
      <w:r>
        <w:rPr>
          <w:rFonts w:ascii="Arial" w:cs="Arial" w:eastAsia="Arial" w:hAnsi="Arial"/>
          <w:sz w:val="18"/>
          <w:szCs w:val="18"/>
          <w:color w:val="auto"/>
        </w:rPr>
        <w:t>·the achievement of milestones or occurrence of other developments that trigger payments under any collaboration agreements we obtain;</w:t>
      </w:r>
    </w:p>
    <w:p>
      <w:pPr>
        <w:spacing w:after="0" w:line="162" w:lineRule="exact"/>
        <w:rPr>
          <w:sz w:val="20"/>
          <w:szCs w:val="20"/>
          <w:color w:val="auto"/>
        </w:rPr>
      </w:pPr>
    </w:p>
    <w:p>
      <w:pPr>
        <w:ind w:left="700" w:right="240" w:hanging="53"/>
        <w:spacing w:after="0" w:line="235" w:lineRule="auto"/>
        <w:rPr>
          <w:sz w:val="20"/>
          <w:szCs w:val="20"/>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2" w:lineRule="exact"/>
        <w:rPr>
          <w:sz w:val="20"/>
          <w:szCs w:val="20"/>
          <w:color w:val="auto"/>
        </w:rPr>
      </w:pPr>
    </w:p>
    <w:p>
      <w:pPr>
        <w:ind w:left="700" w:right="20" w:hanging="53"/>
        <w:spacing w:after="0" w:line="203" w:lineRule="exact"/>
        <w:rPr>
          <w:sz w:val="20"/>
          <w:szCs w:val="20"/>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162" w:lineRule="exact"/>
        <w:rPr>
          <w:sz w:val="20"/>
          <w:szCs w:val="20"/>
          <w:color w:val="auto"/>
        </w:rPr>
      </w:pPr>
    </w:p>
    <w:p>
      <w:pPr>
        <w:ind w:left="660" w:right="2360"/>
        <w:spacing w:after="0" w:line="311" w:lineRule="exact"/>
        <w:rPr>
          <w:sz w:val="20"/>
          <w:szCs w:val="20"/>
          <w:color w:val="auto"/>
        </w:rPr>
      </w:pPr>
      <w:r>
        <w:rPr>
          <w:rFonts w:ascii="Arial" w:cs="Arial" w:eastAsia="Arial" w:hAnsi="Arial"/>
          <w:sz w:val="16"/>
          <w:szCs w:val="16"/>
          <w:color w:val="auto"/>
        </w:rPr>
        <w:t>·the extent to which we acquire or in</w:t>
      </w:r>
      <w:r>
        <w:rPr>
          <w:rFonts w:ascii="MS PGothic" w:cs="MS PGothic" w:eastAsia="MS PGothic" w:hAnsi="MS PGothic"/>
          <w:sz w:val="16"/>
          <w:szCs w:val="16"/>
          <w:color w:val="auto"/>
        </w:rPr>
        <w:t>‑</w:t>
      </w:r>
      <w:r>
        <w:rPr>
          <w:rFonts w:ascii="Arial" w:cs="Arial" w:eastAsia="Arial" w:hAnsi="Arial"/>
          <w:sz w:val="16"/>
          <w:szCs w:val="16"/>
          <w:color w:val="auto"/>
        </w:rPr>
        <w:t>license other drug candidates and technologies; ·the costs of securing manufacturing arrangements for commercial production; and</w:t>
      </w:r>
    </w:p>
    <w:p>
      <w:pPr>
        <w:spacing w:after="0" w:line="162" w:lineRule="exact"/>
        <w:rPr>
          <w:sz w:val="20"/>
          <w:szCs w:val="20"/>
          <w:color w:val="auto"/>
        </w:rPr>
      </w:pPr>
    </w:p>
    <w:p>
      <w:pPr>
        <w:ind w:left="700" w:right="420" w:hanging="53"/>
        <w:spacing w:after="0" w:line="235" w:lineRule="auto"/>
        <w:rPr>
          <w:sz w:val="20"/>
          <w:szCs w:val="20"/>
          <w:color w:val="auto"/>
        </w:rPr>
      </w:pPr>
      <w:r>
        <w:rPr>
          <w:rFonts w:ascii="Arial" w:cs="Arial" w:eastAsia="Arial" w:hAnsi="Arial"/>
          <w:sz w:val="18"/>
          <w:szCs w:val="18"/>
          <w:color w:val="auto"/>
        </w:rPr>
        <w:t>·the costs of establishing or contracting for sales and marketing capabilities if we obtain regulatory approvals to market our drug candidates.</w:t>
      </w:r>
    </w:p>
    <w:p>
      <w:pPr>
        <w:spacing w:after="0" w:line="162" w:lineRule="exact"/>
        <w:rPr>
          <w:sz w:val="20"/>
          <w:szCs w:val="20"/>
          <w:color w:val="auto"/>
        </w:rPr>
      </w:pPr>
    </w:p>
    <w:p>
      <w:pPr>
        <w:ind w:right="160" w:firstLine="648"/>
        <w:spacing w:after="0" w:line="184" w:lineRule="exact"/>
        <w:rPr>
          <w:sz w:val="20"/>
          <w:szCs w:val="20"/>
          <w:color w:val="auto"/>
        </w:rPr>
      </w:pPr>
      <w:r>
        <w:rPr>
          <w:rFonts w:ascii="Arial" w:cs="Arial" w:eastAsia="Arial" w:hAnsi="Arial"/>
          <w:sz w:val="16"/>
          <w:szCs w:val="16"/>
          <w:color w:val="auto"/>
        </w:rPr>
        <w:t>Identifying potential drug candidates and conducting pre</w:t>
      </w:r>
      <w:r>
        <w:rPr>
          <w:rFonts w:ascii="MS PGothic" w:cs="MS PGothic" w:eastAsia="MS PGothic" w:hAnsi="MS PGothic"/>
          <w:sz w:val="16"/>
          <w:szCs w:val="16"/>
          <w:color w:val="auto"/>
        </w:rPr>
        <w:t>‑</w:t>
      </w:r>
      <w:r>
        <w:rPr>
          <w:rFonts w:ascii="Arial" w:cs="Arial" w:eastAsia="Arial" w:hAnsi="Arial"/>
          <w:sz w:val="16"/>
          <w:szCs w:val="16"/>
          <w:color w:val="auto"/>
        </w:rPr>
        <w:t>clinical studies and clinical trials is a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6"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 with Alexion.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1" w:right="139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There have been no material changes to our contractual obligations and commitments from those described under “Management’s Discussion and Analysis of Financial Condition and Results of Operations” included in the Prospectus.</w:t>
      </w:r>
    </w:p>
    <w:p>
      <w:pPr>
        <w:spacing w:after="0" w:line="120"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12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under applicable Securities and Exchange Commission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400" w:firstLine="648"/>
        <w:spacing w:after="0" w:line="289" w:lineRule="auto"/>
        <w:rPr>
          <w:sz w:val="20"/>
          <w:szCs w:val="20"/>
          <w:color w:val="auto"/>
        </w:rPr>
      </w:pPr>
      <w:r>
        <w:rPr>
          <w:rFonts w:ascii="Arial" w:cs="Arial" w:eastAsia="Arial" w:hAnsi="Arial"/>
          <w:sz w:val="16"/>
          <w:szCs w:val="16"/>
          <w:color w:val="auto"/>
        </w:rPr>
        <w:t>We are exposed to market risk related to changes in interest rates. Based on the composition of our investment portfolio which includes money market funds that invest in U.S. Treasury obligations, the current exposure is immaterial.</w:t>
      </w:r>
    </w:p>
    <w:p>
      <w:pPr>
        <w:spacing w:after="0" w:line="124" w:lineRule="exact"/>
        <w:rPr>
          <w:sz w:val="20"/>
          <w:szCs w:val="20"/>
          <w:color w:val="auto"/>
        </w:rPr>
      </w:pPr>
    </w:p>
    <w:p>
      <w:pPr>
        <w:ind w:right="300" w:firstLine="648"/>
        <w:spacing w:after="0" w:line="249" w:lineRule="auto"/>
        <w:rPr>
          <w:sz w:val="20"/>
          <w:szCs w:val="20"/>
          <w:color w:val="auto"/>
        </w:rPr>
      </w:pPr>
      <w:r>
        <w:rPr>
          <w:rFonts w:ascii="Arial" w:cs="Arial" w:eastAsia="Arial" w:hAnsi="Arial"/>
          <w:sz w:val="16"/>
          <w:szCs w:val="16"/>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June 30, 2015 and 2014, we had minimal or no liabilities denominated in foreign currencies.</w:t>
      </w:r>
    </w:p>
    <w:p>
      <w:pPr>
        <w:spacing w:after="0" w:line="155" w:lineRule="exact"/>
        <w:rPr>
          <w:sz w:val="20"/>
          <w:szCs w:val="20"/>
          <w:color w:val="auto"/>
        </w:rPr>
      </w:pPr>
    </w:p>
    <w:p>
      <w:pPr>
        <w:jc w:val="both"/>
        <w:ind w:right="20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six months ended June 30, 2015 and 2014.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77"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60"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Our management, with the participation of our Chief Executive Officer and Chief Business / Principal Accounting and Finance Officer, has evaluated the effectiveness of our disclosure controls and procedures as of June 30, 2015, the end of the period covered by this Quarterly Report on Form 10-Q. Based upon such evaluation, our Chief Executive Officer and Chief Business Officer / Principal Accounting and Finance Officer have concluded that our disclosure controls and procedures were effective at the reasonable assurance level as of such date.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77" w:lineRule="exact"/>
        <w:rPr>
          <w:sz w:val="20"/>
          <w:szCs w:val="20"/>
          <w:color w:val="auto"/>
        </w:rPr>
      </w:pPr>
    </w:p>
    <w:p>
      <w:pPr>
        <w:jc w:val="both"/>
        <w:ind w:right="180" w:firstLine="648"/>
        <w:spacing w:after="0" w:line="224"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on Form 10-Q that has materially affected, or is reasonably likely to materially affect, our internal control over financial reporting.</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i w:val="1"/>
          <w:iCs w:val="1"/>
          <w:color w:val="auto"/>
        </w:rPr>
        <w:t>Investing in our common stock involves a high degree of risk.. The risk factors set forth below are the only risk factors that have been materially updated from those included in the final prospectus for our IPO, which was filed with the Securities and Exchange Commission on April 30, 2015, or the Prospectus. In addition to considering the risk factors set forth below you should also consider the risk factors included in the Prospectus, together with all other information in this Quarterly Report on Form 10-Q, including our financial statements and related notes, before investing in our common stock. Any of these risk factors could adversely affect our business, financial condition or results of operations. The market price of our common stock could decline if one or more of these risks or uncertainties actually occur, causing you to lose all or part of the money you paid to buy our common stock. Additional risks that we currently do not know about or that we currently believe to be immaterial may also impair our business.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60" w:firstLine="648"/>
        <w:spacing w:after="0" w:line="183" w:lineRule="exact"/>
        <w:rPr>
          <w:sz w:val="20"/>
          <w:szCs w:val="20"/>
          <w:color w:val="auto"/>
        </w:rPr>
      </w:pPr>
      <w:r>
        <w:rPr>
          <w:rFonts w:ascii="Arial" w:cs="Arial" w:eastAsia="Arial" w:hAnsi="Arial"/>
          <w:sz w:val="18"/>
          <w:szCs w:val="18"/>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w:t>
      </w:r>
      <w:r>
        <w:rPr>
          <w:rFonts w:ascii="MS PGothic" w:cs="MS PGothic" w:eastAsia="MS PGothic" w:hAnsi="MS PGothic"/>
          <w:sz w:val="18"/>
          <w:szCs w:val="18"/>
          <w:color w:val="auto"/>
        </w:rPr>
        <w:t>‑</w:t>
      </w:r>
      <w:r>
        <w:rPr>
          <w:rFonts w:ascii="Arial" w:cs="Arial" w:eastAsia="Arial" w:hAnsi="Arial"/>
          <w:sz w:val="18"/>
          <w:szCs w:val="18"/>
          <w:color w:val="auto"/>
        </w:rPr>
        <w:t>clinical studies of our most advanced drug candidates. We have only recently identified lead drug candidates for two of our programs. We have never generated any revenue from drug sales. We have not obtained regulatory approvals for any of our drug candidates.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have not yet demonstrated our ability to initiate or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 We will need to transition from a company with a research focus to a company capable of supporting commercial activities. We may not be successful in such a transition.</w:t>
      </w:r>
    </w:p>
    <w:p>
      <w:pPr>
        <w:spacing w:after="0" w:line="168"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Since inception, we have focused substantially all of our efforts and financial resources on developing our proprietary compound library, novel target discovery engine and initial drug candidates. We financed our operations primarily through private placements of our convertible preferred stock, debt financing and our initial public offering or IPO. Through June 30, 2015, we raised an aggregate of $293.9 million of gross proceeds from such transactions. We have raised $115.1 million from the issuance of convertible preferred stock and $10.0 million from a debt financing.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78" w:lineRule="exact"/>
        <w:rPr>
          <w:sz w:val="20"/>
          <w:szCs w:val="20"/>
          <w:color w:val="auto"/>
        </w:rPr>
      </w:pPr>
      <w:r>
        <w:rPr>
          <w:rFonts w:ascii="Arial" w:cs="Arial" w:eastAsia="Arial" w:hAnsi="Arial"/>
          <w:sz w:val="16"/>
          <w:szCs w:val="16"/>
          <w:color w:val="auto"/>
        </w:rPr>
        <w:t>On May 5, 2015, we completed the sale of 9,367,708 shares of our common stock (inclusive of 1,221,874 shares of common stock sold by the Company pursuant to the full exercise of an option to purchase additional shares granted to the underwriters in connection with the offering) in our IPO at a price to the public of $18.00 per share, resulting in gross proceeds of $168.6 million before deducting underwriting discounts and commissions and offering costs payable by us. As of June 30, 2015, our cash and cash equivalents and investments were $193.6 million. We have incurred net losses in each year since our inception, and we had an accumulated deficit of $106.8 million as of June 30, 2015. Our net losses were $24.6 million and $15.3 million for the six months ended June 30, 2015 and 2014, respectively.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beginning clinical trials of our drug candidates.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As a public company, we will incur additional costs associated with operating as a public company. As a result, we expect to continue to incur significant and increasing operating losses for the foreseeable future. Because of the numerous risks and uncertainties associated with developing pharmaceutical drugs, we are unable to predict the extent of any future losses or when we will become profitable, if at all. Even if we do become profitable, we may not be able to sustain or increase our profitability on a quarterly or annual basis.Our ability to become profitable depends upon our ability to generate revenue. To date, we have not generated any revenue from our lead drug candidates, BLU</w:t>
      </w:r>
      <w:r>
        <w:rPr>
          <w:rFonts w:ascii="MS PGothic" w:cs="MS PGothic" w:eastAsia="MS PGothic" w:hAnsi="MS PGothic"/>
          <w:sz w:val="16"/>
          <w:szCs w:val="16"/>
          <w:color w:val="auto"/>
        </w:rPr>
        <w:t>‑</w:t>
      </w:r>
      <w:r>
        <w:rPr>
          <w:rFonts w:ascii="Arial" w:cs="Arial" w:eastAsia="Arial" w:hAnsi="Arial"/>
          <w:sz w:val="16"/>
          <w:szCs w:val="16"/>
          <w:color w:val="auto"/>
        </w:rPr>
        <w:t>285 and BLU</w:t>
      </w:r>
      <w:r>
        <w:rPr>
          <w:rFonts w:ascii="MS PGothic" w:cs="MS PGothic" w:eastAsia="MS PGothic" w:hAnsi="MS PGothic"/>
          <w:sz w:val="16"/>
          <w:szCs w:val="16"/>
          <w:color w:val="auto"/>
        </w:rPr>
        <w:t>‑</w:t>
      </w:r>
      <w:r>
        <w:rPr>
          <w:rFonts w:ascii="Arial" w:cs="Arial" w:eastAsia="Arial" w:hAnsi="Arial"/>
          <w:sz w:val="16"/>
          <w:szCs w:val="16"/>
          <w:color w:val="auto"/>
        </w:rPr>
        <w:t>554, and we do not know and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or one of our other drug candidates. Our ability to generate revenue depends on a number of factors, including, but not limited to, our ability to:</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·initiate and successfully complete clinical trials that meet their clinical endpoints;</w:t>
      </w:r>
    </w:p>
    <w:p>
      <w:pPr>
        <w:spacing w:after="0" w:line="185" w:lineRule="exact"/>
        <w:rPr>
          <w:sz w:val="20"/>
          <w:szCs w:val="20"/>
          <w:color w:val="auto"/>
        </w:rPr>
      </w:pPr>
    </w:p>
    <w:p>
      <w:pPr>
        <w:ind w:left="700" w:right="180" w:hanging="53"/>
        <w:spacing w:after="0" w:line="235" w:lineRule="auto"/>
        <w:rPr>
          <w:sz w:val="20"/>
          <w:szCs w:val="20"/>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2" w:lineRule="exact"/>
        <w:rPr>
          <w:sz w:val="20"/>
          <w:szCs w:val="20"/>
          <w:color w:val="auto"/>
        </w:rPr>
      </w:pPr>
    </w:p>
    <w:p>
      <w:pPr>
        <w:ind w:left="700" w:right="1000" w:hanging="53"/>
        <w:spacing w:after="0" w:line="235" w:lineRule="auto"/>
        <w:rPr>
          <w:sz w:val="20"/>
          <w:szCs w:val="20"/>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162"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·achieve market acceptance of our drug candidates in the medical community and with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21"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are very early in our development efforts with only two drug candidates scheduled to commence clinical development in 2015. If we are unable to obtain regulatory approval and ultimately commercialize our drug candidates or experience significant delays in doing so, our business will be materially harmed</w:t>
      </w:r>
      <w:r>
        <w:rPr>
          <w:rFonts w:ascii="Arial" w:cs="Arial" w:eastAsia="Arial" w:hAnsi="Arial"/>
          <w:sz w:val="18"/>
          <w:szCs w:val="18"/>
          <w:color w:val="auto"/>
        </w:rPr>
        <w:t>.</w:t>
      </w:r>
    </w:p>
    <w:p>
      <w:pPr>
        <w:spacing w:after="0" w:line="82" w:lineRule="exact"/>
        <w:rPr>
          <w:sz w:val="20"/>
          <w:szCs w:val="20"/>
          <w:color w:val="auto"/>
        </w:rPr>
      </w:pPr>
    </w:p>
    <w:p>
      <w:pPr>
        <w:ind w:right="40" w:firstLine="648"/>
        <w:spacing w:after="0" w:line="182" w:lineRule="exact"/>
        <w:rPr>
          <w:sz w:val="20"/>
          <w:szCs w:val="20"/>
          <w:color w:val="auto"/>
        </w:rPr>
      </w:pPr>
      <w:r>
        <w:rPr>
          <w:rFonts w:ascii="Arial" w:cs="Arial" w:eastAsia="Arial" w:hAnsi="Arial"/>
          <w:sz w:val="17"/>
          <w:szCs w:val="17"/>
          <w:color w:val="auto"/>
        </w:rPr>
        <w:t>We are very early in our development efforts with ontly two drug candidates. BLU-285 and BLU-554, scheduled to commence clinical development in 2015. All of our other drug candidates are currently in pre-clinical development. We have invested substantially all of our efforts and financial resources in the identification and pre</w:t>
      </w:r>
      <w:r>
        <w:rPr>
          <w:rFonts w:ascii="MS PGothic" w:cs="MS PGothic" w:eastAsia="MS PGothic" w:hAnsi="MS PGothic"/>
          <w:sz w:val="17"/>
          <w:szCs w:val="17"/>
          <w:color w:val="auto"/>
        </w:rPr>
        <w:t>‑</w:t>
      </w:r>
      <w:r>
        <w:rPr>
          <w:rFonts w:ascii="Arial" w:cs="Arial" w:eastAsia="Arial" w:hAnsi="Arial"/>
          <w:sz w:val="17"/>
          <w:szCs w:val="17"/>
          <w:color w:val="auto"/>
        </w:rPr>
        <w:t>clinical development of kinase inhibitors, including the development of our lead drug candidates,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lead drug candidates will require additional clinical development, management of clinical</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1" w:right="139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5" w:lineRule="auto"/>
        <w:rPr>
          <w:sz w:val="20"/>
          <w:szCs w:val="20"/>
          <w:color w:val="auto"/>
        </w:rPr>
      </w:pPr>
      <w:r>
        <w:rPr>
          <w:rFonts w:ascii="Arial" w:cs="Arial" w:eastAsia="Arial" w:hAnsi="Arial"/>
          <w:sz w:val="17"/>
          <w:szCs w:val="17"/>
          <w:color w:val="auto"/>
        </w:rPr>
        <w:t>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 are assays or tests to identify an appropriate patient population. Companion diagnostics are subject to regulation as medical devices and must themselves be approved for marketing by the U.S. Food and Drug Administration, or FDA, or certain other foreign regulatory agencies before we may commercialize our drug candidates. The success of our lead drug candidates and other drug candidates will depend on several factors, including the following:</w:t>
      </w:r>
    </w:p>
    <w:p>
      <w:pPr>
        <w:spacing w:after="0" w:line="95" w:lineRule="exact"/>
        <w:rPr>
          <w:sz w:val="20"/>
          <w:szCs w:val="20"/>
          <w:color w:val="auto"/>
        </w:rPr>
      </w:pPr>
    </w:p>
    <w:p>
      <w:pPr>
        <w:ind w:left="780" w:hanging="129"/>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17" w:lineRule="exact"/>
        <w:rPr>
          <w:sz w:val="20"/>
          <w:szCs w:val="20"/>
          <w:color w:val="auto"/>
        </w:rPr>
      </w:pPr>
    </w:p>
    <w:p>
      <w:pPr>
        <w:ind w:left="660" w:right="2400"/>
        <w:spacing w:after="0" w:line="422" w:lineRule="auto"/>
        <w:rPr>
          <w:sz w:val="20"/>
          <w:szCs w:val="20"/>
          <w:color w:val="auto"/>
        </w:rPr>
      </w:pPr>
      <w:r>
        <w:rPr>
          <w:rFonts w:ascii="Arial" w:cs="Arial" w:eastAsia="Arial" w:hAnsi="Arial"/>
          <w:sz w:val="16"/>
          <w:szCs w:val="16"/>
          <w:color w:val="auto"/>
        </w:rPr>
        <w:t>·successful development of companion diagnostics for use with our drug candidates; · receipt of regulatory approvals from applicable regulatory authorities;</w:t>
      </w:r>
    </w:p>
    <w:p>
      <w:pPr>
        <w:spacing w:after="0" w:line="1" w:lineRule="exact"/>
        <w:rPr>
          <w:sz w:val="20"/>
          <w:szCs w:val="20"/>
          <w:color w:val="auto"/>
        </w:rPr>
      </w:pPr>
    </w:p>
    <w:p>
      <w:pPr>
        <w:ind w:left="700" w:right="420" w:hanging="53"/>
        <w:spacing w:after="0" w:line="203" w:lineRule="exact"/>
        <w:rPr>
          <w:sz w:val="20"/>
          <w:szCs w:val="20"/>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for clinical supply and commercial manufacturing;</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·obtaining and maintaining patent and trade secret protection or regulatory exclusivity for our drug candidates;</w:t>
      </w:r>
    </w:p>
    <w:p>
      <w:pPr>
        <w:spacing w:after="0" w:line="129" w:lineRule="exact"/>
        <w:rPr>
          <w:sz w:val="20"/>
          <w:szCs w:val="20"/>
          <w:color w:val="auto"/>
        </w:rPr>
      </w:pPr>
    </w:p>
    <w:p>
      <w:pPr>
        <w:ind w:left="700" w:right="280" w:hanging="53"/>
        <w:spacing w:after="0" w:line="235" w:lineRule="auto"/>
        <w:rPr>
          <w:sz w:val="20"/>
          <w:szCs w:val="20"/>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·acceptance of the drug candidates, if and when approved, by patients, the medical community and third party payors;</w:t>
      </w:r>
    </w:p>
    <w:p>
      <w:pPr>
        <w:spacing w:after="0" w:line="140" w:lineRule="exact"/>
        <w:rPr>
          <w:sz w:val="20"/>
          <w:szCs w:val="20"/>
          <w:color w:val="auto"/>
        </w:rPr>
      </w:pPr>
    </w:p>
    <w:p>
      <w:pPr>
        <w:ind w:left="780" w:hanging="129"/>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17" w:lineRule="exact"/>
        <w:rPr>
          <w:rFonts w:ascii="Arial" w:cs="Arial" w:eastAsia="Arial" w:hAnsi="Arial"/>
          <w:sz w:val="18"/>
          <w:szCs w:val="18"/>
          <w:color w:val="auto"/>
        </w:rPr>
      </w:pPr>
    </w:p>
    <w:p>
      <w:pPr>
        <w:ind w:left="740" w:hanging="89"/>
        <w:spacing w:after="0"/>
        <w:tabs>
          <w:tab w:leader="none" w:pos="7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40" w:firstLine="648"/>
        <w:spacing w:after="0" w:line="181" w:lineRule="exact"/>
        <w:rPr>
          <w:sz w:val="20"/>
          <w:szCs w:val="20"/>
          <w:color w:val="auto"/>
        </w:rPr>
      </w:pPr>
      <w:r>
        <w:rPr>
          <w:rFonts w:ascii="Arial" w:cs="Arial" w:eastAsia="Arial" w:hAnsi="Arial"/>
          <w:sz w:val="17"/>
          <w:szCs w:val="17"/>
          <w:color w:val="auto"/>
        </w:rPr>
        <w:t>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w:t>
      </w:r>
      <w:r>
        <w:rPr>
          <w:rFonts w:ascii="MS PGothic" w:cs="MS PGothic" w:eastAsia="MS PGothic" w:hAnsi="MS PGothic"/>
          <w:sz w:val="17"/>
          <w:szCs w:val="17"/>
          <w:color w:val="auto"/>
        </w:rPr>
        <w:t>‑</w:t>
      </w:r>
      <w:r>
        <w:rPr>
          <w:rFonts w:ascii="Arial" w:cs="Arial" w:eastAsia="Arial" w:hAnsi="Arial"/>
          <w:sz w:val="17"/>
          <w:szCs w:val="17"/>
          <w:color w:val="auto"/>
        </w:rPr>
        <w:t>clinical and clinical data are often susceptible to varying interpretations and analyses, and many companies that have believed their drug candidates performed satisfactorily in pre</w:t>
      </w:r>
      <w:r>
        <w:rPr>
          <w:rFonts w:ascii="MS PGothic" w:cs="MS PGothic" w:eastAsia="MS PGothic" w:hAnsi="MS PGothic"/>
          <w:sz w:val="17"/>
          <w:szCs w:val="17"/>
          <w:color w:val="auto"/>
        </w:rPr>
        <w:t>‑</w:t>
      </w:r>
      <w:r>
        <w:rPr>
          <w:rFonts w:ascii="Arial" w:cs="Arial" w:eastAsia="Arial" w:hAnsi="Arial"/>
          <w:sz w:val="17"/>
          <w:szCs w:val="17"/>
          <w:color w:val="auto"/>
        </w:rPr>
        <w:t>clinical studies and clinical trials have nonetheless failed to obtain marketing approval of their product candidates. Our pre-clinical studies and clinical trials may not be successful.</w:t>
      </w:r>
    </w:p>
    <w:p>
      <w:pPr>
        <w:spacing w:after="0" w:line="164" w:lineRule="exact"/>
        <w:rPr>
          <w:sz w:val="20"/>
          <w:szCs w:val="20"/>
          <w:color w:val="auto"/>
        </w:rPr>
      </w:pPr>
    </w:p>
    <w:p>
      <w:pPr>
        <w:ind w:right="60" w:firstLine="648"/>
        <w:spacing w:after="0" w:line="203" w:lineRule="exact"/>
        <w:rPr>
          <w:sz w:val="20"/>
          <w:szCs w:val="20"/>
          <w:color w:val="auto"/>
        </w:rPr>
      </w:pPr>
      <w:r>
        <w:rPr>
          <w:rFonts w:ascii="Arial" w:cs="Arial" w:eastAsia="Arial" w:hAnsi="Arial"/>
          <w:sz w:val="17"/>
          <w:szCs w:val="17"/>
          <w:color w:val="auto"/>
        </w:rPr>
        <w:t>We plan to commence a Phase 1 clinical trial of BLU</w:t>
      </w:r>
      <w:r>
        <w:rPr>
          <w:rFonts w:ascii="MS PGothic" w:cs="MS PGothic" w:eastAsia="MS PGothic" w:hAnsi="MS PGothic"/>
          <w:sz w:val="17"/>
          <w:szCs w:val="17"/>
          <w:color w:val="auto"/>
        </w:rPr>
        <w:t>‑</w:t>
      </w:r>
      <w:r>
        <w:rPr>
          <w:rFonts w:ascii="Arial" w:cs="Arial" w:eastAsia="Arial" w:hAnsi="Arial"/>
          <w:sz w:val="17"/>
          <w:szCs w:val="17"/>
          <w:color w:val="auto"/>
        </w:rPr>
        <w:t>285 as a treatment for systemic mastocytosis, or SM, a Phase 1 clinical trial of BLU</w:t>
      </w:r>
      <w:r>
        <w:rPr>
          <w:rFonts w:ascii="MS PGothic" w:cs="MS PGothic" w:eastAsia="MS PGothic" w:hAnsi="MS PGothic"/>
          <w:sz w:val="17"/>
          <w:szCs w:val="17"/>
          <w:color w:val="auto"/>
        </w:rPr>
        <w:t>‑</w:t>
      </w:r>
      <w:r>
        <w:rPr>
          <w:rFonts w:ascii="Arial" w:cs="Arial" w:eastAsia="Arial" w:hAnsi="Arial"/>
          <w:sz w:val="17"/>
          <w:szCs w:val="17"/>
          <w:color w:val="auto"/>
        </w:rPr>
        <w:t>285 as a treatment for gastrointestinal stromal tumor, or GIST, and a Phase 1 clinical trial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189" w:lineRule="exact"/>
        <w:rPr>
          <w:sz w:val="20"/>
          <w:szCs w:val="20"/>
          <w:color w:val="auto"/>
        </w:rPr>
      </w:pPr>
      <w:r>
        <w:rPr>
          <w:rFonts w:ascii="Arial" w:cs="Arial" w:eastAsia="Arial" w:hAnsi="Arial"/>
          <w:sz w:val="16"/>
          <w:szCs w:val="16"/>
          <w:color w:val="auto"/>
        </w:rPr>
        <w:t>of BLU</w:t>
      </w:r>
      <w:r>
        <w:rPr>
          <w:rFonts w:ascii="MS PGothic" w:cs="MS PGothic" w:eastAsia="MS PGothic" w:hAnsi="MS PGothic"/>
          <w:sz w:val="16"/>
          <w:szCs w:val="16"/>
          <w:color w:val="auto"/>
        </w:rPr>
        <w:t>‑</w:t>
      </w:r>
      <w:r>
        <w:rPr>
          <w:rFonts w:ascii="Arial" w:cs="Arial" w:eastAsia="Arial" w:hAnsi="Arial"/>
          <w:sz w:val="16"/>
          <w:szCs w:val="16"/>
          <w:color w:val="auto"/>
        </w:rPr>
        <w:t>554 as a treatment for hepatocellular carcinoma, or HCC. Successful completion of our clinical trials is a prerequisite to submitting a new drug application, or NDA, to the FDA and a Marketing Authorization Application, or MAA, in Europe for each drug candidate and, consequently, the ultimate approval and commercial marketing of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and our other drug candidates. We do not know whether any of our clinical trials will begin or be completed on schedule, if at all.</w:t>
      </w:r>
    </w:p>
    <w:p>
      <w:pPr>
        <w:spacing w:after="0" w:line="164"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61" w:lineRule="exact"/>
        <w:rPr>
          <w:sz w:val="20"/>
          <w:szCs w:val="20"/>
          <w:color w:val="auto"/>
        </w:rPr>
      </w:pPr>
    </w:p>
    <w:p>
      <w:pPr>
        <w:ind w:left="700" w:right="140" w:hanging="53"/>
        <w:spacing w:after="0" w:line="235" w:lineRule="auto"/>
        <w:rPr>
          <w:sz w:val="20"/>
          <w:szCs w:val="20"/>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62" w:lineRule="exact"/>
        <w:rPr>
          <w:sz w:val="20"/>
          <w:szCs w:val="20"/>
          <w:color w:val="auto"/>
        </w:rPr>
      </w:pPr>
    </w:p>
    <w:p>
      <w:pPr>
        <w:ind w:left="700" w:right="40" w:hanging="53"/>
        <w:spacing w:after="0" w:line="224" w:lineRule="auto"/>
        <w:rPr>
          <w:sz w:val="20"/>
          <w:szCs w:val="20"/>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63" w:lineRule="exact"/>
        <w:rPr>
          <w:sz w:val="20"/>
          <w:szCs w:val="20"/>
          <w:color w:val="auto"/>
        </w:rPr>
      </w:pPr>
    </w:p>
    <w:p>
      <w:pPr>
        <w:ind w:left="700" w:right="60" w:hanging="53"/>
        <w:spacing w:after="0" w:line="194" w:lineRule="exact"/>
        <w:rPr>
          <w:sz w:val="20"/>
          <w:szCs w:val="20"/>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w:t>
      </w:r>
      <w:r>
        <w:rPr>
          <w:rFonts w:ascii="MS PGothic" w:cs="MS PGothic" w:eastAsia="MS PGothic" w:hAnsi="MS PGothic"/>
          <w:sz w:val="18"/>
          <w:szCs w:val="18"/>
          <w:color w:val="auto"/>
        </w:rPr>
        <w:t>‑</w:t>
      </w:r>
      <w:r>
        <w:rPr>
          <w:rFonts w:ascii="Arial" w:cs="Arial" w:eastAsia="Arial" w:hAnsi="Arial"/>
          <w:sz w:val="18"/>
          <w:szCs w:val="18"/>
          <w:color w:val="auto"/>
        </w:rPr>
        <w:t>clinical studies or clinical trials or we may decide to abandon drug development programs;</w:t>
      </w:r>
    </w:p>
    <w:p>
      <w:pPr>
        <w:spacing w:after="0" w:line="163" w:lineRule="exact"/>
        <w:rPr>
          <w:sz w:val="20"/>
          <w:szCs w:val="20"/>
          <w:color w:val="auto"/>
        </w:rPr>
      </w:pPr>
    </w:p>
    <w:p>
      <w:pPr>
        <w:jc w:val="both"/>
        <w:ind w:left="700" w:right="20" w:hanging="53"/>
        <w:spacing w:after="0" w:line="194" w:lineRule="exact"/>
        <w:rPr>
          <w:sz w:val="20"/>
          <w:szCs w:val="20"/>
          <w:color w:val="auto"/>
        </w:rPr>
      </w:pPr>
      <w:r>
        <w:rPr>
          <w:rFonts w:ascii="Arial" w:cs="Arial" w:eastAsia="Arial" w:hAnsi="Arial"/>
          <w:sz w:val="18"/>
          <w:szCs w:val="18"/>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w:t>
      </w:r>
      <w:r>
        <w:rPr>
          <w:rFonts w:ascii="MS PGothic" w:cs="MS PGothic" w:eastAsia="MS PGothic" w:hAnsi="MS PGothic"/>
          <w:sz w:val="18"/>
          <w:szCs w:val="18"/>
          <w:color w:val="auto"/>
        </w:rPr>
        <w:t>‑</w:t>
      </w:r>
      <w:r>
        <w:rPr>
          <w:rFonts w:ascii="Arial" w:cs="Arial" w:eastAsia="Arial" w:hAnsi="Arial"/>
          <w:sz w:val="18"/>
          <w:szCs w:val="18"/>
          <w:color w:val="auto"/>
        </w:rPr>
        <w:t>treatment follow</w:t>
      </w:r>
      <w:r>
        <w:rPr>
          <w:rFonts w:ascii="MS PGothic" w:cs="MS PGothic" w:eastAsia="MS PGothic" w:hAnsi="MS PGothic"/>
          <w:sz w:val="18"/>
          <w:szCs w:val="18"/>
          <w:color w:val="auto"/>
        </w:rPr>
        <w:t>‑</w:t>
      </w:r>
      <w:r>
        <w:rPr>
          <w:rFonts w:ascii="Arial" w:cs="Arial" w:eastAsia="Arial" w:hAnsi="Arial"/>
          <w:sz w:val="18"/>
          <w:szCs w:val="18"/>
          <w:color w:val="auto"/>
        </w:rPr>
        <w:t>up at a higher rate than we anticipate;</w:t>
      </w:r>
    </w:p>
    <w:p>
      <w:pPr>
        <w:spacing w:after="0" w:line="163" w:lineRule="exact"/>
        <w:rPr>
          <w:sz w:val="20"/>
          <w:szCs w:val="20"/>
          <w:color w:val="auto"/>
        </w:rPr>
      </w:pPr>
    </w:p>
    <w:p>
      <w:pPr>
        <w:ind w:left="700" w:right="160" w:hanging="53"/>
        <w:spacing w:after="0" w:line="224" w:lineRule="auto"/>
        <w:rPr>
          <w:sz w:val="20"/>
          <w:szCs w:val="20"/>
          <w:color w:val="auto"/>
        </w:rPr>
      </w:pPr>
      <w:r>
        <w:rPr>
          <w:rFonts w:ascii="Arial" w:cs="Arial" w:eastAsia="Arial" w:hAnsi="Arial"/>
          <w:sz w:val="18"/>
          <w:szCs w:val="18"/>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63" w:lineRule="exact"/>
        <w:rPr>
          <w:sz w:val="20"/>
          <w:szCs w:val="20"/>
          <w:color w:val="auto"/>
        </w:rPr>
      </w:pPr>
    </w:p>
    <w:p>
      <w:pPr>
        <w:ind w:left="700" w:right="180" w:hanging="53"/>
        <w:spacing w:after="0" w:line="224" w:lineRule="auto"/>
        <w:rPr>
          <w:sz w:val="20"/>
          <w:szCs w:val="20"/>
          <w:color w:val="auto"/>
        </w:rPr>
      </w:pPr>
      <w:r>
        <w:rPr>
          <w:rFonts w:ascii="Arial" w:cs="Arial" w:eastAsia="Arial" w:hAnsi="Arial"/>
          <w:sz w:val="18"/>
          <w:szCs w:val="18"/>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cost of clinical trials of our drug candidates may be greater than we anticipate;</w:t>
      </w:r>
    </w:p>
    <w:p>
      <w:pPr>
        <w:spacing w:after="0" w:line="185" w:lineRule="exact"/>
        <w:rPr>
          <w:sz w:val="20"/>
          <w:szCs w:val="20"/>
          <w:color w:val="auto"/>
        </w:rPr>
      </w:pPr>
    </w:p>
    <w:p>
      <w:pPr>
        <w:ind w:left="700" w:right="600" w:hanging="53"/>
        <w:spacing w:after="0" w:line="235" w:lineRule="auto"/>
        <w:rPr>
          <w:sz w:val="20"/>
          <w:szCs w:val="20"/>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62" w:lineRule="exact"/>
        <w:rPr>
          <w:sz w:val="20"/>
          <w:szCs w:val="20"/>
          <w:color w:val="auto"/>
        </w:rPr>
      </w:pPr>
    </w:p>
    <w:p>
      <w:pPr>
        <w:ind w:left="700" w:right="240" w:hanging="53"/>
        <w:spacing w:after="0" w:line="189" w:lineRule="exact"/>
        <w:rPr>
          <w:sz w:val="20"/>
          <w:szCs w:val="20"/>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w:t>
      </w:r>
      <w:r>
        <w:rPr>
          <w:rFonts w:ascii="MS PGothic" w:cs="MS PGothic" w:eastAsia="MS PGothic" w:hAnsi="MS PGothic"/>
          <w:sz w:val="18"/>
          <w:szCs w:val="18"/>
          <w:color w:val="auto"/>
        </w:rPr>
        <w:t>‑</w:t>
      </w:r>
      <w:r>
        <w:rPr>
          <w:rFonts w:ascii="Arial" w:cs="Arial" w:eastAsia="Arial" w:hAnsi="Arial"/>
          <w:sz w:val="18"/>
          <w:szCs w:val="18"/>
          <w:color w:val="auto"/>
        </w:rPr>
        <w:t>clinical or clinical testing of other cancer therapies that raise safety or efficacy concerns about our drug candidates; and</w:t>
      </w:r>
    </w:p>
    <w:p>
      <w:pPr>
        <w:spacing w:after="0" w:line="163" w:lineRule="exact"/>
        <w:rPr>
          <w:sz w:val="20"/>
          <w:szCs w:val="20"/>
          <w:color w:val="auto"/>
        </w:rPr>
      </w:pPr>
    </w:p>
    <w:p>
      <w:pPr>
        <w:ind w:left="700" w:hanging="53"/>
        <w:spacing w:after="0" w:line="235" w:lineRule="auto"/>
        <w:rPr>
          <w:sz w:val="20"/>
          <w:szCs w:val="20"/>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62"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19" w:lineRule="auto"/>
        <w:rPr>
          <w:sz w:val="20"/>
          <w:szCs w:val="20"/>
          <w:color w:val="auto"/>
        </w:rPr>
      </w:pPr>
      <w:r>
        <w:rPr>
          <w:rFonts w:ascii="Arial" w:cs="Arial" w:eastAsia="Arial" w:hAnsi="Arial"/>
          <w:sz w:val="18"/>
          <w:szCs w:val="18"/>
          <w:color w:val="auto"/>
        </w:rPr>
        <w:t>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63" w:lineRule="exact"/>
        <w:rPr>
          <w:sz w:val="20"/>
          <w:szCs w:val="20"/>
          <w:color w:val="auto"/>
        </w:rPr>
      </w:pPr>
    </w:p>
    <w:p>
      <w:pPr>
        <w:jc w:val="both"/>
        <w:ind w:right="24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47" w:lineRule="exact"/>
        <w:rPr>
          <w:sz w:val="20"/>
          <w:szCs w:val="20"/>
          <w:color w:val="auto"/>
        </w:rPr>
      </w:pPr>
    </w:p>
    <w:p>
      <w:pPr>
        <w:ind w:left="740" w:hanging="89"/>
        <w:spacing w:after="0"/>
        <w:tabs>
          <w:tab w:leader="none" w:pos="7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84" w:lineRule="exact"/>
        <w:rPr>
          <w:rFonts w:ascii="Arial" w:cs="Arial" w:eastAsia="Arial" w:hAnsi="Arial"/>
          <w:sz w:val="18"/>
          <w:szCs w:val="18"/>
          <w:color w:val="auto"/>
        </w:rPr>
      </w:pPr>
    </w:p>
    <w:p>
      <w:pPr>
        <w:ind w:left="820" w:hanging="169"/>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·obtain approval for indications or patient populations that are not as broad as intended or desired;</w:t>
      </w:r>
    </w:p>
    <w:p>
      <w:pPr>
        <w:spacing w:after="0" w:line="185" w:lineRule="exact"/>
        <w:rPr>
          <w:sz w:val="20"/>
          <w:szCs w:val="20"/>
          <w:color w:val="auto"/>
        </w:rPr>
      </w:pPr>
    </w:p>
    <w:p>
      <w:pPr>
        <w:ind w:left="760" w:hanging="109"/>
        <w:spacing w:after="0" w:line="207" w:lineRule="exact"/>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post</w:t>
      </w:r>
      <w:r>
        <w:rPr>
          <w:rFonts w:ascii="MS PGothic" w:cs="MS PGothic" w:eastAsia="MS PGothic" w:hAnsi="MS PGothic"/>
          <w:sz w:val="18"/>
          <w:szCs w:val="18"/>
          <w:color w:val="auto"/>
        </w:rPr>
        <w:t>‑</w:t>
      </w:r>
      <w:r>
        <w:rPr>
          <w:rFonts w:ascii="Arial" w:cs="Arial" w:eastAsia="Arial" w:hAnsi="Arial"/>
          <w:sz w:val="18"/>
          <w:szCs w:val="18"/>
          <w:color w:val="auto"/>
        </w:rPr>
        <w:t>marketing testing requirements; or</w:t>
      </w:r>
    </w:p>
    <w:p>
      <w:pPr>
        <w:spacing w:after="0" w:line="184" w:lineRule="exact"/>
        <w:rPr>
          <w:rFonts w:ascii="Arial" w:cs="Arial" w:eastAsia="Arial" w:hAnsi="Arial"/>
          <w:sz w:val="18"/>
          <w:szCs w:val="18"/>
          <w:color w:val="auto"/>
        </w:rPr>
      </w:pPr>
    </w:p>
    <w:p>
      <w:pPr>
        <w:ind w:left="740" w:hanging="89"/>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8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w:t>
      </w:r>
      <w:r>
        <w:rPr>
          <w:rFonts w:ascii="MS PGothic" w:cs="MS PGothic" w:eastAsia="MS PGothic" w:hAnsi="MS PGothic"/>
          <w:sz w:val="18"/>
          <w:szCs w:val="18"/>
          <w:color w:val="auto"/>
        </w:rPr>
        <w:t>‑</w:t>
      </w:r>
      <w:r>
        <w:rPr>
          <w:rFonts w:ascii="Arial" w:cs="Arial" w:eastAsia="Arial" w:hAnsi="Arial"/>
          <w:sz w:val="18"/>
          <w:szCs w:val="18"/>
          <w:color w:val="auto"/>
        </w:rPr>
        <w:t>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82"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7"/>
          <w:szCs w:val="17"/>
          <w:color w:val="auto"/>
        </w:rPr>
        <w:t>‑</w:t>
      </w:r>
      <w:r>
        <w:rPr>
          <w:rFonts w:ascii="Arial" w:cs="Arial" w:eastAsia="Arial" w:hAnsi="Arial"/>
          <w:sz w:val="17"/>
          <w:szCs w:val="17"/>
          <w:color w:val="auto"/>
        </w:rPr>
        <w:t>285 and BLU</w:t>
      </w:r>
      <w:r>
        <w:rPr>
          <w:rFonts w:ascii="MS PGothic" w:cs="MS PGothic" w:eastAsia="MS PGothic" w:hAnsi="MS PGothic"/>
          <w:sz w:val="17"/>
          <w:szCs w:val="17"/>
          <w:color w:val="auto"/>
        </w:rPr>
        <w:t>‑</w:t>
      </w:r>
      <w:r>
        <w:rPr>
          <w:rFonts w:ascii="Arial" w:cs="Arial" w:eastAsia="Arial" w:hAnsi="Arial"/>
          <w:sz w:val="17"/>
          <w:szCs w:val="17"/>
          <w:color w:val="auto"/>
        </w:rPr>
        <w:t>554, and our core technologies, including our novel target discovery engine and our proprietary compound library and other know</w:t>
      </w:r>
      <w:r>
        <w:rPr>
          <w:rFonts w:ascii="MS PGothic" w:cs="MS PGothic" w:eastAsia="MS PGothic" w:hAnsi="MS PGothic"/>
          <w:sz w:val="17"/>
          <w:szCs w:val="17"/>
          <w:color w:val="auto"/>
        </w:rPr>
        <w:t>‑</w:t>
      </w:r>
      <w:r>
        <w:rPr>
          <w:rFonts w:ascii="Arial" w:cs="Arial" w:eastAsia="Arial" w:hAnsi="Arial"/>
          <w:sz w:val="17"/>
          <w:szCs w:val="17"/>
          <w:color w:val="auto"/>
        </w:rPr>
        <w:t>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w:t>
      </w:r>
      <w:r>
        <w:rPr>
          <w:rFonts w:ascii="MS PGothic" w:cs="MS PGothic" w:eastAsia="MS PGothic" w:hAnsi="MS PGothic"/>
          <w:sz w:val="17"/>
          <w:szCs w:val="17"/>
          <w:color w:val="auto"/>
        </w:rPr>
        <w:t>‑</w:t>
      </w:r>
      <w:r>
        <w:rPr>
          <w:rFonts w:ascii="Arial" w:cs="Arial" w:eastAsia="Arial" w:hAnsi="Arial"/>
          <w:sz w:val="17"/>
          <w:szCs w:val="17"/>
          <w:color w:val="auto"/>
        </w:rPr>
        <w:t>how and continuing technological innovation to develop and maintain our proprietary and intellectual property position.</w:t>
      </w:r>
    </w:p>
    <w:p>
      <w:pPr>
        <w:spacing w:after="0" w:line="95"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We own a patent and patent applications that relate to BLU</w:t>
      </w:r>
      <w:r>
        <w:rPr>
          <w:rFonts w:ascii="MS PGothic" w:cs="MS PGothic" w:eastAsia="MS PGothic" w:hAnsi="MS PGothic"/>
          <w:sz w:val="18"/>
          <w:szCs w:val="18"/>
          <w:color w:val="auto"/>
        </w:rPr>
        <w:t>‑</w:t>
      </w:r>
      <w:r>
        <w:rPr>
          <w:rFonts w:ascii="Arial" w:cs="Arial" w:eastAsia="Arial" w:hAnsi="Arial"/>
          <w:sz w:val="18"/>
          <w:szCs w:val="18"/>
          <w:color w:val="auto"/>
        </w:rPr>
        <w:t>285 and BLU</w:t>
      </w:r>
      <w:r>
        <w:rPr>
          <w:rFonts w:ascii="MS PGothic" w:cs="MS PGothic" w:eastAsia="MS PGothic" w:hAnsi="MS PGothic"/>
          <w:sz w:val="18"/>
          <w:szCs w:val="18"/>
          <w:color w:val="auto"/>
        </w:rPr>
        <w:t>‑</w:t>
      </w:r>
      <w:r>
        <w:rPr>
          <w:rFonts w:ascii="Arial" w:cs="Arial" w:eastAsia="Arial" w:hAnsi="Arial"/>
          <w:sz w:val="18"/>
          <w:szCs w:val="18"/>
          <w:color w:val="auto"/>
        </w:rPr>
        <w:t>554 as composition of matter. We also own applications relating to composition of matter for KIT Exon 17 inhibitors with different compound families, composition of matter for FGFR4 inhibitors with multiple compound families, and composition of matter for inhibitors of the predicted RET resistant mutants, as well as methods of use for these novel compounds. The issued patent directed to BLU</w:t>
      </w:r>
      <w:r>
        <w:rPr>
          <w:rFonts w:ascii="MS PGothic" w:cs="MS PGothic" w:eastAsia="MS PGothic" w:hAnsi="MS PGothic"/>
          <w:sz w:val="18"/>
          <w:szCs w:val="18"/>
          <w:color w:val="auto"/>
        </w:rPr>
        <w:t>‑</w:t>
      </w:r>
      <w:r>
        <w:rPr>
          <w:rFonts w:ascii="Arial" w:cs="Arial" w:eastAsia="Arial" w:hAnsi="Arial"/>
          <w:sz w:val="18"/>
          <w:szCs w:val="18"/>
          <w:color w:val="auto"/>
        </w:rPr>
        <w:t>554 composition of matter is expected to expire in 2033, and any patents issuing from our pending patent applications are projected to expire between 2034 and 2036.</w:t>
      </w:r>
    </w:p>
    <w:p>
      <w:pPr>
        <w:spacing w:after="0" w:line="95"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6"/>
          <w:szCs w:val="16"/>
          <w:color w:val="auto"/>
        </w:rPr>
        <w:t>As of June 30, 2015, we owned four pending U.S. patent applications, eight pending foreign patent applications and three pending Patent Cooperation Treaty, or PCT, patent applications that relate to our KIT Exon 17 program. Any U.S. or ex</w:t>
      </w:r>
      <w:r>
        <w:rPr>
          <w:rFonts w:ascii="MS PGothic" w:cs="MS PGothic" w:eastAsia="MS PGothic" w:hAnsi="MS PGothic"/>
          <w:sz w:val="16"/>
          <w:szCs w:val="16"/>
          <w:color w:val="auto"/>
        </w:rPr>
        <w:t>‑</w:t>
      </w:r>
      <w:r>
        <w:rPr>
          <w:rFonts w:ascii="Arial" w:cs="Arial" w:eastAsia="Arial" w:hAnsi="Arial"/>
          <w:sz w:val="16"/>
          <w:szCs w:val="16"/>
          <w:color w:val="auto"/>
        </w:rPr>
        <w:t>U.S. patents issuing from the pending applications covering BLU</w:t>
      </w:r>
      <w:r>
        <w:rPr>
          <w:rFonts w:ascii="MS PGothic" w:cs="MS PGothic" w:eastAsia="MS PGothic" w:hAnsi="MS PGothic"/>
          <w:sz w:val="16"/>
          <w:szCs w:val="16"/>
          <w:color w:val="auto"/>
        </w:rPr>
        <w:t>‑</w:t>
      </w:r>
      <w:r>
        <w:rPr>
          <w:rFonts w:ascii="Arial" w:cs="Arial" w:eastAsia="Arial" w:hAnsi="Arial"/>
          <w:sz w:val="16"/>
          <w:szCs w:val="16"/>
          <w:color w:val="auto"/>
        </w:rPr>
        <w:t>285 will have a statutory expiration date of October 2034. Patent term adjustments or patent term extensions could result in later expiration dates.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1" w:right="139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As of June 30, 2015, we owned one issued U.S. patent, four pending U.S. patent applications, 30 foreign patent applications corresponding to two of these pending U.S. applications, and two pending PCT patent applications that relate to our FGFR4 program. Each of the U.S. and ex</w:t>
      </w:r>
      <w:r>
        <w:rPr>
          <w:rFonts w:ascii="MS PGothic" w:cs="MS PGothic" w:eastAsia="MS PGothic" w:hAnsi="MS PGothic"/>
          <w:sz w:val="18"/>
          <w:szCs w:val="18"/>
          <w:color w:val="auto"/>
        </w:rPr>
        <w:t>‑</w:t>
      </w:r>
      <w:r>
        <w:rPr>
          <w:rFonts w:ascii="Arial" w:cs="Arial" w:eastAsia="Arial" w:hAnsi="Arial"/>
          <w:sz w:val="18"/>
          <w:szCs w:val="18"/>
          <w:color w:val="auto"/>
        </w:rPr>
        <w:t>U.S. patent issuing from the pending applications covering BLU</w:t>
      </w:r>
      <w:r>
        <w:rPr>
          <w:rFonts w:ascii="MS PGothic" w:cs="MS PGothic" w:eastAsia="MS PGothic" w:hAnsi="MS PGothic"/>
          <w:sz w:val="18"/>
          <w:szCs w:val="18"/>
          <w:color w:val="auto"/>
        </w:rPr>
        <w:t>‑</w:t>
      </w:r>
      <w:r>
        <w:rPr>
          <w:rFonts w:ascii="Arial" w:cs="Arial" w:eastAsia="Arial" w:hAnsi="Arial"/>
          <w:sz w:val="18"/>
          <w:szCs w:val="18"/>
          <w:color w:val="auto"/>
        </w:rPr>
        <w:t>554 will have a statutory expiration date of July 2033, December 2033, or October 2034. Patent term adjustments or patent term extensions could result in later expiration dates.</w:t>
      </w:r>
    </w:p>
    <w:p>
      <w:pPr>
        <w:spacing w:after="0" w:line="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2015, we owned one pending U.S. patent application that relates to our RET program.</w:t>
      </w:r>
    </w:p>
    <w:p>
      <w:pPr>
        <w:spacing w:after="0" w:line="104" w:lineRule="exact"/>
        <w:rPr>
          <w:sz w:val="20"/>
          <w:szCs w:val="20"/>
          <w:color w:val="auto"/>
        </w:rPr>
      </w:pPr>
    </w:p>
    <w:p>
      <w:pPr>
        <w:ind w:right="20" w:firstLine="648"/>
        <w:spacing w:after="0" w:line="238"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June 30, 2015, we owned six pending U.S. patent applications and four PCT patent applications related to our platform.</w:t>
      </w:r>
    </w:p>
    <w:p>
      <w:pPr>
        <w:spacing w:after="0" w:line="94"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94"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w:t>
      </w:r>
      <w:r>
        <w:rPr>
          <w:rFonts w:ascii="MS PGothic" w:cs="MS PGothic" w:eastAsia="MS PGothic" w:hAnsi="MS PGothic"/>
          <w:sz w:val="16"/>
          <w:szCs w:val="16"/>
          <w:color w:val="auto"/>
        </w:rPr>
        <w:t>‑</w:t>
      </w:r>
      <w:r>
        <w:rPr>
          <w:rFonts w:ascii="Arial" w:cs="Arial" w:eastAsia="Arial" w:hAnsi="Arial"/>
          <w:sz w:val="16"/>
          <w:szCs w:val="16"/>
          <w:color w:val="auto"/>
        </w:rPr>
        <w:t>285, BLU</w:t>
      </w:r>
      <w:r>
        <w:rPr>
          <w:rFonts w:ascii="MS PGothic" w:cs="MS PGothic" w:eastAsia="MS PGothic" w:hAnsi="MS PGothic"/>
          <w:sz w:val="16"/>
          <w:szCs w:val="16"/>
          <w:color w:val="auto"/>
        </w:rPr>
        <w:t>‑</w:t>
      </w:r>
      <w:r>
        <w:rPr>
          <w:rFonts w:ascii="Arial" w:cs="Arial" w:eastAsia="Arial" w:hAnsi="Arial"/>
          <w:sz w:val="16"/>
          <w:szCs w:val="16"/>
          <w:color w:val="auto"/>
        </w:rPr>
        <w:t>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85"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68"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In addition, the patent prosecution process is expensive and time</w:t>
      </w:r>
      <w:r>
        <w:rPr>
          <w:rFonts w:ascii="MS PGothic" w:cs="MS PGothic" w:eastAsia="MS PGothic" w:hAnsi="MS PGothic"/>
          <w:sz w:val="16"/>
          <w:szCs w:val="16"/>
          <w:color w:val="auto"/>
        </w:rPr>
        <w:t>‑</w:t>
      </w:r>
      <w:r>
        <w:rPr>
          <w:rFonts w:ascii="Arial" w:cs="Arial" w:eastAsia="Arial" w:hAnsi="Arial"/>
          <w:sz w:val="16"/>
          <w:szCs w:val="16"/>
          <w:color w:val="auto"/>
        </w:rPr>
        <w:t xml:space="preserve"> 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right="200" w:firstLine="648"/>
        <w:spacing w:after="0" w:line="185" w:lineRule="exact"/>
        <w:rPr>
          <w:sz w:val="20"/>
          <w:szCs w:val="20"/>
          <w:color w:val="auto"/>
        </w:rPr>
      </w:pPr>
      <w:r>
        <w:rPr>
          <w:rFonts w:ascii="Arial" w:cs="Arial" w:eastAsia="Arial" w:hAnsi="Arial"/>
          <w:sz w:val="17"/>
          <w:szCs w:val="17"/>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w:t>
      </w:r>
      <w:r>
        <w:rPr>
          <w:rFonts w:ascii="MS PGothic" w:cs="MS PGothic" w:eastAsia="MS PGothic" w:hAnsi="MS PGothic"/>
          <w:sz w:val="17"/>
          <w:szCs w:val="17"/>
          <w:color w:val="auto"/>
        </w:rPr>
        <w:t>‑</w:t>
      </w:r>
      <w:r>
        <w:rPr>
          <w:rFonts w:ascii="Arial" w:cs="Arial" w:eastAsia="Arial" w:hAnsi="Arial"/>
          <w:sz w:val="17"/>
          <w:szCs w:val="17"/>
          <w:color w:val="auto"/>
        </w:rPr>
        <w:t>party submission of prior art to the USPTO challenging the priority of an invention claimed within one of our patents, which submissions may also be made prior to</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1" w:right="137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2" w:lineRule="exact"/>
        <w:rPr>
          <w:sz w:val="20"/>
          <w:szCs w:val="20"/>
          <w:color w:val="auto"/>
        </w:rPr>
      </w:pPr>
      <w:r>
        <w:rPr>
          <w:rFonts w:ascii="Arial" w:cs="Arial" w:eastAsia="Arial" w:hAnsi="Arial"/>
          <w:sz w:val="16"/>
          <w:szCs w:val="16"/>
          <w:color w:val="auto"/>
        </w:rPr>
        <w:t xml:space="preserve">a patent’s issuance, precluding the granting of any of our pending patent applications. We may become involved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w:t>
      </w:r>
      <w:r>
        <w:rPr>
          <w:rFonts w:ascii="MS PGothic" w:cs="MS PGothic" w:eastAsia="MS PGothic" w:hAnsi="MS PGothic"/>
          <w:sz w:val="16"/>
          <w:szCs w:val="16"/>
          <w:color w:val="auto"/>
        </w:rPr>
        <w:t>‑</w:t>
      </w:r>
      <w:r>
        <w:rPr>
          <w:rFonts w:ascii="Arial" w:cs="Arial" w:eastAsia="Arial" w:hAnsi="Arial"/>
          <w:sz w:val="16"/>
          <w:szCs w:val="16"/>
          <w:color w:val="auto"/>
        </w:rPr>
        <w: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7"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w:t>
      </w:r>
      <w:r>
        <w:rPr>
          <w:rFonts w:ascii="MS PGothic" w:cs="MS PGothic" w:eastAsia="MS PGothic" w:hAnsi="MS PGothic"/>
          <w:sz w:val="18"/>
          <w:szCs w:val="18"/>
          <w:color w:val="auto"/>
        </w:rPr>
        <w:t>‑</w:t>
      </w:r>
      <w:r>
        <w:rPr>
          <w:rFonts w:ascii="Arial" w:cs="Arial" w:eastAsia="Arial" w:hAnsi="Arial"/>
          <w:sz w:val="18"/>
          <w:szCs w:val="18"/>
          <w:color w:val="auto"/>
        </w:rPr>
        <w:t>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62"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w:t>
      </w:r>
      <w:r>
        <w:rPr>
          <w:rFonts w:ascii="MS PGothic" w:cs="MS PGothic" w:eastAsia="MS PGothic" w:hAnsi="MS PGothic"/>
          <w:sz w:val="16"/>
          <w:szCs w:val="16"/>
          <w:color w:val="auto"/>
        </w:rPr>
        <w:t>‑</w:t>
      </w:r>
      <w:r>
        <w:rPr>
          <w:rFonts w:ascii="Arial" w:cs="Arial" w:eastAsia="Arial" w:hAnsi="Arial"/>
          <w:sz w:val="16"/>
          <w:szCs w:val="16"/>
          <w:color w:val="auto"/>
        </w:rPr>
        <w:t xml:space="preserve"> 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Employee Matters, Managing Growth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Risks Related to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6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are highly dependent on the research and development, clinical and business development expertise of Jeffrey W. Albers, our President and Chief Executive Officer, Anthony L. Boral, our Senior Vice President, Clinical Development, and Christoph Lengauer, our Chief Scientific Officer, as well as the other principal members of our management, scientific and clinical team. Although we have entered into employment letter agreements with our executive officers, each of them may terminate their employment with us at any time. For example, in August 2015, Kyle D. Kuvalanka announced that he is resigning from his current position as our Chief Business Officer in September 2015.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52" w:lineRule="auto"/>
        <w:rPr>
          <w:sz w:val="20"/>
          <w:szCs w:val="20"/>
          <w:color w:val="auto"/>
        </w:rPr>
      </w:pPr>
      <w:r>
        <w:rPr>
          <w:rFonts w:ascii="Arial" w:cs="Arial" w:eastAsia="Arial" w:hAnsi="Arial"/>
          <w:sz w:val="16"/>
          <w:szCs w:val="16"/>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such as Mr. Kuvalanka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12" w:right="139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8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We presently have no publicly announced share repurchase plan or program. All repurchased shares of common stock described in the following table were initially issued as equity incentive awards to employees, directors or consultants in the form of restricted stock or upon the exercise of early-exercisable but unvested stock options. All repurchases were made upon forfeiture of shares of common stock by the recipient of such equity incentive awards in connection with the termination of employment or other service relationship with us. Pursuant to the award agreements governing such grants, the repurchase price for all shares was equal to the price per share initially paid by the recipient. The following table provides information relating to our repurchase of shares of our common stock in the second quarter of 2015.</w:t>
      </w:r>
    </w:p>
    <w:p>
      <w:pPr>
        <w:sectPr>
          <w:pgSz w:w="11900" w:h="16838" w:orient="portrait"/>
          <w:cols w:equalWidth="0" w:num="1">
            <w:col w:w="9140"/>
          </w:cols>
          <w:pgMar w:left="1380" w:top="112" w:right="1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80" w:type="dxa"/>
            <w:vAlign w:val="bottom"/>
            <w:gridSpan w:val="2"/>
            <w:vMerge w:val="restart"/>
          </w:tcPr>
          <w:p>
            <w:pPr>
              <w:ind w:left="460"/>
              <w:spacing w:after="0"/>
              <w:rPr>
                <w:sz w:val="20"/>
                <w:szCs w:val="20"/>
                <w:color w:val="auto"/>
              </w:rPr>
            </w:pPr>
            <w:r>
              <w:rPr>
                <w:rFonts w:ascii="Arial" w:cs="Arial" w:eastAsia="Arial" w:hAnsi="Arial"/>
                <w:sz w:val="18"/>
                <w:szCs w:val="18"/>
                <w:b w:val="1"/>
                <w:bCs w:val="1"/>
                <w:color w:val="auto"/>
              </w:rPr>
              <w:t>Period</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w w:val="94"/>
              </w:rPr>
              <w:t>Total Number of</w:t>
            </w: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0"/>
              </w:rPr>
              <w:t>Average Price Paid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w w:val="86"/>
              </w:rPr>
              <w:t>Shares Purchased</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w w:val="96"/>
              </w:rPr>
              <w:t>per Share ($)</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4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April 1 - April 30</w:t>
            </w:r>
          </w:p>
        </w:tc>
        <w:tc>
          <w:tcPr>
            <w:tcW w:w="260" w:type="dxa"/>
            <w:vAlign w:val="bottom"/>
          </w:tcPr>
          <w:p>
            <w:pPr>
              <w:spacing w:after="0"/>
              <w:rPr>
                <w:sz w:val="13"/>
                <w:szCs w:val="13"/>
                <w:color w:val="auto"/>
              </w:rPr>
            </w:pPr>
          </w:p>
        </w:tc>
        <w:tc>
          <w:tcPr>
            <w:tcW w:w="138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w:t>
            </w:r>
          </w:p>
        </w:tc>
        <w:tc>
          <w:tcPr>
            <w:tcW w:w="300" w:type="dxa"/>
            <w:vAlign w:val="bottom"/>
          </w:tcPr>
          <w:p>
            <w:pPr>
              <w:spacing w:after="0"/>
              <w:rPr>
                <w:sz w:val="13"/>
                <w:szCs w:val="13"/>
                <w:color w:val="auto"/>
              </w:rPr>
            </w:pPr>
          </w:p>
        </w:tc>
        <w:tc>
          <w:tcPr>
            <w:tcW w:w="180" w:type="dxa"/>
            <w:vAlign w:val="bottom"/>
            <w:tcBorders>
              <w:top w:val="single" w:sz="8" w:color="auto"/>
            </w:tcBorders>
          </w:tcPr>
          <w:p>
            <w:pPr>
              <w:jc w:val="right"/>
              <w:ind w:right="17"/>
              <w:spacing w:after="0" w:line="155" w:lineRule="exact"/>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Arial" w:cs="Arial" w:eastAsia="Arial" w:hAnsi="Arial"/>
                <w:sz w:val="18"/>
                <w:szCs w:val="18"/>
                <w:color w:val="auto"/>
              </w:rPr>
              <w:t>May 1 - May 31</w:t>
            </w:r>
          </w:p>
        </w:tc>
        <w:tc>
          <w:tcPr>
            <w:tcW w:w="1380" w:type="dxa"/>
            <w:vAlign w:val="bottom"/>
          </w:tcPr>
          <w:p>
            <w:pPr>
              <w:jc w:val="right"/>
              <w:spacing w:after="0"/>
              <w:rPr>
                <w:sz w:val="20"/>
                <w:szCs w:val="20"/>
                <w:color w:val="auto"/>
              </w:rPr>
            </w:pPr>
            <w:r>
              <w:rPr>
                <w:rFonts w:ascii="Arial" w:cs="Arial" w:eastAsia="Arial" w:hAnsi="Arial"/>
                <w:sz w:val="18"/>
                <w:szCs w:val="18"/>
                <w:color w:val="auto"/>
              </w:rPr>
              <w:t>2,197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30"/>
        </w:trPr>
        <w:tc>
          <w:tcPr>
            <w:tcW w:w="1700" w:type="dxa"/>
            <w:vAlign w:val="bottom"/>
            <w:gridSpan w:val="3"/>
          </w:tcPr>
          <w:p>
            <w:pPr>
              <w:spacing w:after="0"/>
              <w:rPr>
                <w:sz w:val="20"/>
                <w:szCs w:val="20"/>
                <w:color w:val="auto"/>
              </w:rPr>
            </w:pPr>
            <w:r>
              <w:rPr>
                <w:rFonts w:ascii="Arial" w:cs="Arial" w:eastAsia="Arial" w:hAnsi="Arial"/>
                <w:sz w:val="18"/>
                <w:szCs w:val="18"/>
                <w:color w:val="auto"/>
              </w:rPr>
              <w:t>June 1 - June 30</w:t>
            </w:r>
          </w:p>
        </w:tc>
        <w:tc>
          <w:tcPr>
            <w:tcW w:w="1380" w:type="dxa"/>
            <w:vAlign w:val="bottom"/>
          </w:tcPr>
          <w:p>
            <w:pPr>
              <w:jc w:val="right"/>
              <w:spacing w:after="0"/>
              <w:rPr>
                <w:sz w:val="20"/>
                <w:szCs w:val="20"/>
                <w:color w:val="auto"/>
              </w:rPr>
            </w:pPr>
            <w:r>
              <w:rPr>
                <w:rFonts w:ascii="Arial" w:cs="Arial" w:eastAsia="Arial" w:hAnsi="Arial"/>
                <w:sz w:val="18"/>
                <w:szCs w:val="18"/>
                <w:color w:val="auto"/>
              </w:rPr>
              <w:t>4,470</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7"/>
        </w:trPr>
        <w:tc>
          <w:tcPr>
            <w:tcW w:w="17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6,667</w:t>
            </w:r>
          </w:p>
        </w:tc>
        <w:tc>
          <w:tcPr>
            <w:tcW w:w="4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-299720</wp:posOffset>
            </wp:positionV>
            <wp:extent cx="580580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05805" cy="1371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-556895</wp:posOffset>
            </wp:positionV>
            <wp:extent cx="5805805" cy="1200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05805"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jc w:val="center"/>
        <w:ind w:right="60"/>
        <w:spacing w:after="0" w:line="211" w:lineRule="auto"/>
        <w:rPr>
          <w:sz w:val="20"/>
          <w:szCs w:val="20"/>
          <w:color w:val="auto"/>
        </w:rPr>
      </w:pPr>
      <w:r>
        <w:rPr>
          <w:rFonts w:ascii="Arial" w:cs="Arial" w:eastAsia="Arial" w:hAnsi="Arial"/>
          <w:sz w:val="18"/>
          <w:szCs w:val="18"/>
          <w:b w:val="1"/>
          <w:bCs w:val="1"/>
          <w:color w:val="auto"/>
        </w:rPr>
        <w:t>Total Number of Shares Purchased as Part of Publicly Announced Plans or Programs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-10795</wp:posOffset>
            </wp:positionV>
            <wp:extent cx="11493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-1905</wp:posOffset>
            </wp:positionV>
            <wp:extent cx="11493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4935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Maximum Number (or</w:t>
      </w:r>
    </w:p>
    <w:p>
      <w:pPr>
        <w:jc w:val="center"/>
        <w:ind w:left="20" w:right="60"/>
        <w:spacing w:after="0" w:line="218" w:lineRule="auto"/>
        <w:rPr>
          <w:sz w:val="20"/>
          <w:szCs w:val="20"/>
          <w:color w:val="auto"/>
        </w:rPr>
      </w:pPr>
      <w:r>
        <w:rPr>
          <w:rFonts w:ascii="Arial" w:cs="Arial" w:eastAsia="Arial" w:hAnsi="Arial"/>
          <w:sz w:val="17"/>
          <w:szCs w:val="17"/>
          <w:b w:val="1"/>
          <w:bCs w:val="1"/>
          <w:color w:val="auto"/>
        </w:rPr>
        <w:t>Approximate Dollar Value) of Shares that May Yet be Purchased Under the Plans or Programs</w:t>
      </w:r>
    </w:p>
    <w:p>
      <w:pPr>
        <w:spacing w:after="0" w:line="4"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-10795</wp:posOffset>
            </wp:positionV>
            <wp:extent cx="12007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00785" cy="8890"/>
                    </a:xfrm>
                    <a:prstGeom prst="rect">
                      <a:avLst/>
                    </a:prstGeom>
                    <a:noFill/>
                  </pic:spPr>
                </pic:pic>
              </a:graphicData>
            </a:graphic>
          </wp:anchor>
        </w:drawing>
      </w:r>
    </w:p>
    <w:p>
      <w:pPr>
        <w:jc w:val="right"/>
        <w:ind w:right="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-1905</wp:posOffset>
            </wp:positionV>
            <wp:extent cx="120078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3">
            <w:col w:w="4900" w:space="380"/>
            <w:col w:w="1640" w:space="400"/>
            <w:col w:w="1820"/>
          </w:cols>
          <w:pgMar w:left="1380" w:top="112" w:right="1379" w:bottom="1440" w:gutter="0" w:footer="0" w:header="0"/>
          <w:type w:val="continuous"/>
        </w:sectPr>
      </w:pP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Proceeds from Initial Public Offering of Common Stock</w:t>
      </w:r>
    </w:p>
    <w:p>
      <w:pPr>
        <w:spacing w:after="0" w:line="29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May 5, 2015, we closed the sale of 9,367,708 shares of common stock to the public including 1,221,874 shares of</w:t>
      </w:r>
    </w:p>
    <w:p>
      <w:pPr>
        <w:spacing w:after="0" w:line="224" w:lineRule="auto"/>
        <w:rPr>
          <w:sz w:val="20"/>
          <w:szCs w:val="20"/>
          <w:color w:val="auto"/>
        </w:rPr>
      </w:pPr>
      <w:r>
        <w:rPr>
          <w:rFonts w:ascii="Arial" w:cs="Arial" w:eastAsia="Arial" w:hAnsi="Arial"/>
          <w:sz w:val="17"/>
          <w:szCs w:val="17"/>
          <w:color w:val="auto"/>
        </w:rPr>
        <w:t>common stock issued upon the full exercise by the underwriters of their option to purchase additional shares at a price of</w:t>
      </w:r>
    </w:p>
    <w:p>
      <w:pPr>
        <w:spacing w:after="0" w:line="229" w:lineRule="auto"/>
        <w:rPr>
          <w:sz w:val="20"/>
          <w:szCs w:val="20"/>
          <w:color w:val="auto"/>
        </w:rPr>
      </w:pPr>
      <w:r>
        <w:rPr>
          <w:rFonts w:ascii="Arial" w:cs="Arial" w:eastAsia="Arial" w:hAnsi="Arial"/>
          <w:sz w:val="16"/>
          <w:szCs w:val="16"/>
          <w:color w:val="auto"/>
        </w:rPr>
        <w:t>$18.00 per share, before underwriting discounts. The offer and sale of the shares in our initial public offering was registered</w:t>
      </w:r>
    </w:p>
    <w:p>
      <w:pPr>
        <w:spacing w:after="0" w:line="216" w:lineRule="auto"/>
        <w:rPr>
          <w:sz w:val="20"/>
          <w:szCs w:val="20"/>
          <w:color w:val="auto"/>
        </w:rPr>
      </w:pPr>
      <w:r>
        <w:rPr>
          <w:rFonts w:ascii="Arial" w:cs="Arial" w:eastAsia="Arial" w:hAnsi="Arial"/>
          <w:sz w:val="17"/>
          <w:szCs w:val="17"/>
          <w:color w:val="auto"/>
        </w:rPr>
        <w:t>under the Securities Act pursuant to a registration statement on Form S-1 (File No. 333-202938), which was filed with the</w:t>
      </w:r>
    </w:p>
    <w:p>
      <w:pPr>
        <w:spacing w:after="0" w:line="229" w:lineRule="auto"/>
        <w:rPr>
          <w:sz w:val="20"/>
          <w:szCs w:val="20"/>
          <w:color w:val="auto"/>
        </w:rPr>
      </w:pPr>
      <w:r>
        <w:rPr>
          <w:rFonts w:ascii="Arial" w:cs="Arial" w:eastAsia="Arial" w:hAnsi="Arial"/>
          <w:sz w:val="16"/>
          <w:szCs w:val="16"/>
          <w:color w:val="auto"/>
        </w:rPr>
        <w:t>SEC on March 23, 2015 and amended subsequently and declared effective by the SEC on April 29, 2015. Following the sale</w:t>
      </w:r>
    </w:p>
    <w:p>
      <w:pPr>
        <w:spacing w:after="0" w:line="204" w:lineRule="auto"/>
        <w:rPr>
          <w:sz w:val="20"/>
          <w:szCs w:val="20"/>
          <w:color w:val="auto"/>
        </w:rPr>
      </w:pPr>
      <w:r>
        <w:rPr>
          <w:rFonts w:ascii="Arial" w:cs="Arial" w:eastAsia="Arial" w:hAnsi="Arial"/>
          <w:sz w:val="18"/>
          <w:szCs w:val="18"/>
          <w:color w:val="auto"/>
        </w:rPr>
        <w:t>of the shares in connection with the closing of our initial public offering, the offering terminated. The offering did not</w:t>
      </w:r>
    </w:p>
    <w:p>
      <w:pPr>
        <w:spacing w:after="0" w:line="229" w:lineRule="auto"/>
        <w:rPr>
          <w:sz w:val="20"/>
          <w:szCs w:val="20"/>
          <w:color w:val="auto"/>
        </w:rPr>
      </w:pPr>
      <w:r>
        <w:rPr>
          <w:rFonts w:ascii="Arial" w:cs="Arial" w:eastAsia="Arial" w:hAnsi="Arial"/>
          <w:sz w:val="16"/>
          <w:szCs w:val="16"/>
          <w:color w:val="auto"/>
        </w:rPr>
        <w:t>terminate before all the securities registered in the registration statements were sold. Goldman, Sachs &amp; Co. and Cowen and</w:t>
      </w:r>
    </w:p>
    <w:p>
      <w:pPr>
        <w:spacing w:after="0" w:line="215" w:lineRule="auto"/>
        <w:rPr>
          <w:sz w:val="20"/>
          <w:szCs w:val="20"/>
          <w:color w:val="auto"/>
        </w:rPr>
      </w:pPr>
      <w:r>
        <w:rPr>
          <w:rFonts w:ascii="Arial" w:cs="Arial" w:eastAsia="Arial" w:hAnsi="Arial"/>
          <w:sz w:val="17"/>
          <w:szCs w:val="17"/>
          <w:color w:val="auto"/>
        </w:rPr>
        <w:t>Company acted as joint book-running managers for the offering. JMP Securities acted as a co-manager for the offering.</w:t>
      </w:r>
    </w:p>
    <w:p>
      <w:pPr>
        <w:spacing w:after="0"/>
        <w:rPr>
          <w:sz w:val="20"/>
          <w:szCs w:val="20"/>
          <w:color w:val="auto"/>
        </w:rPr>
      </w:pPr>
      <w:r>
        <w:rPr>
          <w:rFonts w:ascii="Arial" w:cs="Arial" w:eastAsia="Arial" w:hAnsi="Arial"/>
          <w:sz w:val="18"/>
          <w:szCs w:val="18"/>
          <w:color w:val="auto"/>
        </w:rPr>
        <w:t>Wedbush PacGrow also acted as a co-manager for the offering.</w:t>
      </w:r>
    </w:p>
    <w:p>
      <w:pPr>
        <w:spacing w:after="0" w:line="169" w:lineRule="exact"/>
        <w:rPr>
          <w:sz w:val="20"/>
          <w:szCs w:val="20"/>
          <w:color w:val="auto"/>
        </w:rPr>
      </w:pPr>
    </w:p>
    <w:p>
      <w:pPr>
        <w:ind w:right="60" w:firstLine="810"/>
        <w:spacing w:after="0" w:line="214" w:lineRule="auto"/>
        <w:rPr>
          <w:sz w:val="20"/>
          <w:szCs w:val="20"/>
          <w:color w:val="auto"/>
        </w:rPr>
      </w:pPr>
      <w:r>
        <w:rPr>
          <w:rFonts w:ascii="Arial" w:cs="Arial" w:eastAsia="Arial" w:hAnsi="Arial"/>
          <w:sz w:val="18"/>
          <w:szCs w:val="18"/>
          <w:color w:val="auto"/>
        </w:rPr>
        <w:t>We raised approximately $154.8 million in net proceeds after deducting underwriting discounts and commissions and offering costs payable by us. None of these expenses consisted of direct or indirect payments made by us to directors, officers or persons owning 10% or more of our common stock or to their associates, or to our affiliates. There has been no material change in the planned use of proceeds from our initial public offering as described in our final prospectus filed with the SEC on April 30, 2015 pursuant to Rule 424(b)(4). We invested the funds received in cash equivalents in accordance with our investment policy.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12" w:right="1379" w:bottom="1440" w:gutter="0" w:footer="0" w:header="0"/>
          <w:type w:val="continuous"/>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879" w:firstLine="441"/>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12"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7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Blueprint Medicines Corporation</w:t>
      </w:r>
    </w:p>
    <w:p>
      <w:pPr>
        <w:spacing w:after="0" w:line="212" w:lineRule="exact"/>
        <w:rPr>
          <w:sz w:val="20"/>
          <w:szCs w:val="20"/>
          <w:color w:val="auto"/>
        </w:rPr>
      </w:pPr>
    </w:p>
    <w:p>
      <w:pPr>
        <w:spacing w:after="0"/>
        <w:tabs>
          <w:tab w:leader="none" w:pos="4380" w:val="left"/>
          <w:tab w:leader="none" w:pos="480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6350</wp:posOffset>
            </wp:positionV>
            <wp:extent cx="27444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Jeffrey W. Albers</w:t>
      </w:r>
    </w:p>
    <w:p>
      <w:pPr>
        <w:ind w:left="482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80" w:val="left"/>
          <w:tab w:leader="none" w:pos="480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Kyle D.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6350</wp:posOffset>
            </wp:positionV>
            <wp:extent cx="2744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4"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Kyle D. Kuvalanka</w:t>
      </w:r>
    </w:p>
    <w:p>
      <w:pPr>
        <w:ind w:left="4820"/>
        <w:spacing w:after="0" w:line="234" w:lineRule="auto"/>
        <w:rPr>
          <w:sz w:val="20"/>
          <w:szCs w:val="20"/>
          <w:color w:val="auto"/>
        </w:rPr>
      </w:pPr>
      <w:r>
        <w:rPr>
          <w:rFonts w:ascii="Arial" w:cs="Arial" w:eastAsia="Arial" w:hAnsi="Arial"/>
          <w:sz w:val="18"/>
          <w:szCs w:val="18"/>
          <w:i w:val="1"/>
          <w:iCs w:val="1"/>
          <w:color w:val="auto"/>
        </w:rPr>
        <w:t>Chief Business Officer (Principal Financial and</w:t>
      </w:r>
    </w:p>
    <w:p>
      <w:pPr>
        <w:spacing w:after="0" w:line="1" w:lineRule="exact"/>
        <w:rPr>
          <w:sz w:val="20"/>
          <w:szCs w:val="20"/>
          <w:color w:val="auto"/>
        </w:rPr>
      </w:pPr>
    </w:p>
    <w:p>
      <w:pPr>
        <w:ind w:left="4820"/>
        <w:spacing w:after="0"/>
        <w:rPr>
          <w:sz w:val="20"/>
          <w:szCs w:val="20"/>
          <w:color w:val="auto"/>
        </w:rPr>
      </w:pPr>
      <w:r>
        <w:rPr>
          <w:rFonts w:ascii="Arial" w:cs="Arial" w:eastAsia="Arial" w:hAnsi="Arial"/>
          <w:sz w:val="18"/>
          <w:szCs w:val="18"/>
          <w:i w:val="1"/>
          <w:iCs w:val="1"/>
          <w:color w:val="auto"/>
        </w:rPr>
        <w:t>Accounting Officer)</w:t>
      </w:r>
    </w:p>
    <w:p>
      <w:pPr>
        <w:spacing w:after="0" w:line="200" w:lineRule="exact"/>
        <w:rPr>
          <w:sz w:val="20"/>
          <w:szCs w:val="20"/>
          <w:color w:val="auto"/>
        </w:rPr>
      </w:pP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12" w:right="1440"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9079"/>
          </w:cols>
          <w:pgMar w:left="1380" w:top="112" w:right="1440" w:bottom="1440" w:gutter="0" w:footer="0" w:header="0"/>
        </w:sectPr>
      </w:pPr>
    </w:p>
    <w:p>
      <w:pPr>
        <w:spacing w:after="0" w:line="207"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-3175</wp:posOffset>
            </wp:positionV>
            <wp:extent cx="55753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31.1 *</w:t>
      </w:r>
    </w:p>
    <w:p>
      <w:pPr>
        <w:spacing w:after="0" w:line="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31.2 *</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 +</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101 *</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6350</wp:posOffset>
            </wp:positionV>
            <wp:extent cx="50425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04253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Certificate of Principal Executive Officer pursuant to Exchange Act rules 13a-14 or 15d-14.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Principal Financial Officer pursuant to Exchange Act rules 13a-14 or 15d-14.</w:t>
      </w:r>
    </w:p>
    <w:p>
      <w:pPr>
        <w:spacing w:after="0" w:line="9" w:lineRule="exact"/>
        <w:rPr>
          <w:sz w:val="20"/>
          <w:szCs w:val="20"/>
          <w:color w:val="auto"/>
        </w:rPr>
      </w:pPr>
    </w:p>
    <w:p>
      <w:pPr>
        <w:ind w:right="219"/>
        <w:spacing w:after="0" w:line="220" w:lineRule="auto"/>
        <w:rPr>
          <w:sz w:val="20"/>
          <w:szCs w:val="20"/>
          <w:color w:val="auto"/>
        </w:rPr>
      </w:pPr>
      <w:r>
        <w:rPr>
          <w:rFonts w:ascii="Arial" w:cs="Arial" w:eastAsia="Arial" w:hAnsi="Arial"/>
          <w:sz w:val="18"/>
          <w:szCs w:val="18"/>
          <w:color w:val="auto"/>
        </w:rPr>
        <w:t>Certification of Principal Executive Officer and Principal Financial Officer pursuant to Exchange Act rules 13a-14(b) or 15d-14(b) and 18 U.S.C. Section 1350.</w:t>
      </w:r>
    </w:p>
    <w:p>
      <w:pPr>
        <w:jc w:val="both"/>
        <w:ind w:right="199"/>
        <w:spacing w:after="0" w:line="239" w:lineRule="auto"/>
        <w:rPr>
          <w:sz w:val="20"/>
          <w:szCs w:val="20"/>
          <w:color w:val="auto"/>
        </w:rPr>
      </w:pPr>
      <w:r>
        <w:rPr>
          <w:rFonts w:ascii="Arial" w:cs="Arial" w:eastAsia="Arial" w:hAnsi="Arial"/>
          <w:sz w:val="17"/>
          <w:szCs w:val="17"/>
          <w:color w:val="auto"/>
        </w:rPr>
        <w:t>Interactive Data Files Pursuant to Rule 405 of Regulation S-T: (i) Condensed Balance Sheets as of June 30, 2015 and December 31, 2014, (ii) Condensed Statements of Operations for the three and six months ended June 30, 2015 and 2014, (iii) Condensed Statements of Cash Flows for the six months ended June 30, 2015 and 2014 and (iv) Notes to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-747395</wp:posOffset>
            </wp:positionH>
            <wp:positionV relativeFrom="paragraph">
              <wp:posOffset>160655</wp:posOffset>
            </wp:positionV>
            <wp:extent cx="1491615"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80" w:space="180"/>
            <w:col w:w="7919"/>
          </w:cols>
          <w:pgMar w:left="1380" w:top="112" w:right="1440" w:bottom="1440" w:gutter="0" w:footer="0" w:header="0"/>
          <w:type w:val="continuous"/>
        </w:sectPr>
      </w:pP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jc w:val="both"/>
        <w:ind w:left="200" w:right="79" w:hanging="198"/>
        <w:spacing w:after="0" w:line="235" w:lineRule="auto"/>
        <w:tabs>
          <w:tab w:leader="none" w:pos="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53340</wp:posOffset>
            </wp:positionV>
            <wp:extent cx="584835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12" w:right="1440"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Jeffrey W. Albers, certify that: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Blueprint Medicines Corporation;</w:t>
      </w:r>
    </w:p>
    <w:p>
      <w:pPr>
        <w:spacing w:after="0" w:line="131" w:lineRule="exact"/>
        <w:rPr>
          <w:sz w:val="20"/>
          <w:szCs w:val="20"/>
          <w:color w:val="auto"/>
        </w:rPr>
      </w:pPr>
    </w:p>
    <w:p>
      <w:pPr>
        <w:jc w:val="both"/>
        <w:ind w:left="460" w:right="140"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sz w:val="20"/>
          <w:szCs w:val="20"/>
          <w:color w:val="auto"/>
        </w:rPr>
      </w:pPr>
    </w:p>
    <w:p>
      <w:pPr>
        <w:ind w:left="460" w:right="100"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sz w:val="20"/>
          <w:szCs w:val="20"/>
          <w:color w:val="auto"/>
        </w:rPr>
      </w:pPr>
    </w:p>
    <w:p>
      <w:pPr>
        <w:ind w:left="460" w:right="260" w:hanging="134"/>
        <w:spacing w:after="0" w:line="25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for the registrant and have:</w:t>
      </w:r>
    </w:p>
    <w:p>
      <w:pPr>
        <w:spacing w:after="0" w:line="93" w:lineRule="exact"/>
        <w:rPr>
          <w:sz w:val="20"/>
          <w:szCs w:val="20"/>
          <w:color w:val="auto"/>
        </w:rPr>
      </w:pPr>
    </w:p>
    <w:p>
      <w:pPr>
        <w:ind w:left="1240" w:right="120" w:hanging="256"/>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(Paragraph omitted pursuant to SEC Release Nos. 33-8238/34-47986 and 33-8392/34-49313);</w:t>
      </w:r>
    </w:p>
    <w:p>
      <w:pPr>
        <w:spacing w:after="0" w:line="131" w:lineRule="exact"/>
        <w:rPr>
          <w:sz w:val="20"/>
          <w:szCs w:val="20"/>
          <w:color w:val="auto"/>
        </w:rPr>
      </w:pPr>
    </w:p>
    <w:p>
      <w:pPr>
        <w:jc w:val="both"/>
        <w:ind w:left="1240" w:right="100" w:hanging="256"/>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sz w:val="20"/>
          <w:szCs w:val="20"/>
          <w:color w:val="auto"/>
        </w:rPr>
      </w:pPr>
    </w:p>
    <w:p>
      <w:pPr>
        <w:ind w:left="1240" w:right="20" w:hanging="256"/>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460" w:right="340"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sz w:val="20"/>
          <w:szCs w:val="20"/>
          <w:color w:val="auto"/>
        </w:rPr>
      </w:pPr>
    </w:p>
    <w:p>
      <w:pPr>
        <w:ind w:left="1240" w:right="200" w:hanging="256"/>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sz w:val="20"/>
          <w:szCs w:val="20"/>
          <w:color w:val="auto"/>
        </w:rPr>
      </w:pPr>
    </w:p>
    <w:p>
      <w:pPr>
        <w:ind w:left="1240" w:hanging="256"/>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ind w:left="4380" w:right="2900" w:hanging="4766"/>
        <w:spacing w:after="0" w:line="250" w:lineRule="auto"/>
        <w:tabs>
          <w:tab w:leader="none" w:pos="436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7"/>
          <w:szCs w:val="17"/>
          <w:color w:val="auto"/>
        </w:rPr>
        <w:t>By: /s/ Jeffrey W. Albers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-120015</wp:posOffset>
            </wp:positionV>
            <wp:extent cx="28213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ind w:left="4760"/>
        <w:spacing w:after="0" w:line="219"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343535</wp:posOffset>
            </wp:positionV>
            <wp:extent cx="584835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I, Kyle D. Kuvalanka, certify that: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 I have reviewed this Quarterly Report on Form 10-Q of Blueprint Medicines Corporation;</w:t>
      </w:r>
    </w:p>
    <w:p>
      <w:pPr>
        <w:spacing w:after="0" w:line="131" w:lineRule="exact"/>
        <w:rPr>
          <w:sz w:val="20"/>
          <w:szCs w:val="20"/>
          <w:color w:val="auto"/>
        </w:rPr>
      </w:pPr>
    </w:p>
    <w:p>
      <w:pPr>
        <w:jc w:val="both"/>
        <w:ind w:left="460" w:right="140" w:hanging="134"/>
        <w:spacing w:after="0" w:line="224" w:lineRule="auto"/>
        <w:rPr>
          <w:sz w:val="20"/>
          <w:szCs w:val="20"/>
          <w:color w:val="auto"/>
        </w:rPr>
      </w:pPr>
      <w:r>
        <w:rPr>
          <w:rFonts w:ascii="Arial" w:cs="Arial" w:eastAsia="Arial" w:hAnsi="Arial"/>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sz w:val="20"/>
          <w:szCs w:val="20"/>
          <w:color w:val="auto"/>
        </w:rPr>
      </w:pPr>
    </w:p>
    <w:p>
      <w:pPr>
        <w:ind w:left="460" w:right="100" w:hanging="134"/>
        <w:spacing w:after="0" w:line="224" w:lineRule="auto"/>
        <w:rPr>
          <w:sz w:val="20"/>
          <w:szCs w:val="20"/>
          <w:color w:val="auto"/>
        </w:rPr>
      </w:pPr>
      <w:r>
        <w:rPr>
          <w:rFonts w:ascii="Arial" w:cs="Arial" w:eastAsia="Arial" w:hAnsi="Arial"/>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sz w:val="20"/>
          <w:szCs w:val="20"/>
          <w:color w:val="auto"/>
        </w:rPr>
      </w:pPr>
    </w:p>
    <w:p>
      <w:pPr>
        <w:ind w:left="460" w:right="260" w:hanging="134"/>
        <w:spacing w:after="0" w:line="258" w:lineRule="auto"/>
        <w:rPr>
          <w:sz w:val="20"/>
          <w:szCs w:val="20"/>
          <w:color w:val="auto"/>
        </w:rPr>
      </w:pPr>
      <w:r>
        <w:rPr>
          <w:rFonts w:ascii="Arial" w:cs="Arial" w:eastAsia="Arial" w:hAnsi="Arial"/>
          <w:sz w:val="17"/>
          <w:szCs w:val="17"/>
          <w:color w:val="auto"/>
        </w:rPr>
        <w:t>4.The registrant’s other certifying officer and I are responsible for establishing and maintaining disclosure controls and procedures (as defined in Exchange Act Rules 13a-15(e) and 15d-15(e)) for the registrant and have:</w:t>
      </w:r>
    </w:p>
    <w:p>
      <w:pPr>
        <w:spacing w:after="0" w:line="93" w:lineRule="exact"/>
        <w:rPr>
          <w:sz w:val="20"/>
          <w:szCs w:val="20"/>
          <w:color w:val="auto"/>
        </w:rPr>
      </w:pPr>
    </w:p>
    <w:p>
      <w:pPr>
        <w:ind w:left="1240" w:right="120" w:hanging="256"/>
        <w:spacing w:after="0" w:line="219" w:lineRule="auto"/>
        <w:rPr>
          <w:sz w:val="20"/>
          <w:szCs w:val="20"/>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 (Paragraph omitted pursuant to SEC Release Nos. 33-8238/34-47986 and 33-8392/34-49313);</w:t>
      </w:r>
    </w:p>
    <w:p>
      <w:pPr>
        <w:spacing w:after="0" w:line="131" w:lineRule="exact"/>
        <w:rPr>
          <w:sz w:val="20"/>
          <w:szCs w:val="20"/>
          <w:color w:val="auto"/>
        </w:rPr>
      </w:pPr>
    </w:p>
    <w:p>
      <w:pPr>
        <w:jc w:val="both"/>
        <w:ind w:left="1240" w:right="100" w:hanging="256"/>
        <w:spacing w:after="0" w:line="224" w:lineRule="auto"/>
        <w:rPr>
          <w:sz w:val="20"/>
          <w:szCs w:val="20"/>
          <w:color w:val="auto"/>
        </w:rPr>
      </w:pPr>
      <w:r>
        <w:rPr>
          <w:rFonts w:ascii="Arial" w:cs="Arial" w:eastAsia="Arial" w:hAnsi="Arial"/>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sz w:val="20"/>
          <w:szCs w:val="20"/>
          <w:color w:val="auto"/>
        </w:rPr>
      </w:pPr>
    </w:p>
    <w:p>
      <w:pPr>
        <w:ind w:left="1240" w:right="20" w:hanging="256"/>
        <w:spacing w:after="0" w:line="219" w:lineRule="auto"/>
        <w:rPr>
          <w:sz w:val="20"/>
          <w:szCs w:val="20"/>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sz w:val="20"/>
          <w:szCs w:val="20"/>
          <w:color w:val="auto"/>
        </w:rPr>
      </w:pPr>
    </w:p>
    <w:p>
      <w:pPr>
        <w:jc w:val="both"/>
        <w:ind w:left="460" w:right="340" w:hanging="134"/>
        <w:spacing w:after="0" w:line="224" w:lineRule="auto"/>
        <w:rPr>
          <w:sz w:val="20"/>
          <w:szCs w:val="20"/>
          <w:color w:val="auto"/>
        </w:rPr>
      </w:pPr>
      <w:r>
        <w:rPr>
          <w:rFonts w:ascii="Arial" w:cs="Arial" w:eastAsia="Arial" w:hAnsi="Arial"/>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sz w:val="20"/>
          <w:szCs w:val="20"/>
          <w:color w:val="auto"/>
        </w:rPr>
      </w:pPr>
    </w:p>
    <w:p>
      <w:pPr>
        <w:ind w:left="1240" w:right="200" w:hanging="256"/>
        <w:spacing w:after="0" w:line="224" w:lineRule="auto"/>
        <w:rPr>
          <w:sz w:val="20"/>
          <w:szCs w:val="20"/>
          <w:color w:val="auto"/>
        </w:rPr>
      </w:pPr>
      <w:r>
        <w:rPr>
          <w:rFonts w:ascii="Arial" w:cs="Arial" w:eastAsia="Arial" w:hAnsi="Arial"/>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sz w:val="20"/>
          <w:szCs w:val="20"/>
          <w:color w:val="auto"/>
        </w:rPr>
      </w:pPr>
    </w:p>
    <w:p>
      <w:pPr>
        <w:ind w:left="1240" w:hanging="256"/>
        <w:spacing w:after="0" w:line="235" w:lineRule="auto"/>
        <w:rPr>
          <w:sz w:val="20"/>
          <w:szCs w:val="20"/>
          <w:color w:val="auto"/>
        </w:rPr>
      </w:pPr>
      <w:r>
        <w:rPr>
          <w:rFonts w:ascii="Arial" w:cs="Arial" w:eastAsia="Arial" w:hAnsi="Arial"/>
          <w:sz w:val="18"/>
          <w:szCs w:val="18"/>
          <w:color w:val="auto"/>
        </w:rPr>
        <w:t>(b).Any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tabs>
          <w:tab w:leader="none" w:pos="436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7"/>
          <w:szCs w:val="17"/>
          <w:color w:val="auto"/>
        </w:rPr>
        <w:t>By:  /s/ Kyle D.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6350</wp:posOffset>
            </wp:positionV>
            <wp:extent cx="27787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ind w:left="4760"/>
        <w:spacing w:after="0" w:line="232" w:lineRule="auto"/>
        <w:rPr>
          <w:sz w:val="20"/>
          <w:szCs w:val="20"/>
          <w:color w:val="auto"/>
        </w:rPr>
      </w:pPr>
      <w:r>
        <w:rPr>
          <w:rFonts w:ascii="Arial" w:cs="Arial" w:eastAsia="Arial" w:hAnsi="Arial"/>
          <w:sz w:val="18"/>
          <w:szCs w:val="18"/>
          <w:color w:val="auto"/>
        </w:rPr>
        <w:t>Kyle D. Kuvalanka</w:t>
      </w:r>
    </w:p>
    <w:p>
      <w:pPr>
        <w:ind w:left="4760"/>
        <w:spacing w:after="0" w:line="219" w:lineRule="auto"/>
        <w:rPr>
          <w:sz w:val="20"/>
          <w:szCs w:val="20"/>
          <w:color w:val="auto"/>
        </w:rPr>
      </w:pPr>
      <w:r>
        <w:rPr>
          <w:rFonts w:ascii="Arial" w:cs="Arial" w:eastAsia="Arial" w:hAnsi="Arial"/>
          <w:sz w:val="18"/>
          <w:szCs w:val="18"/>
          <w:color w:val="auto"/>
        </w:rPr>
        <w:t>Chief Business Officer</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343535</wp:posOffset>
            </wp:positionV>
            <wp:extent cx="584835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76" w:lineRule="exact"/>
        <w:rPr>
          <w:sz w:val="20"/>
          <w:szCs w:val="20"/>
          <w:color w:val="auto"/>
        </w:rPr>
      </w:pPr>
    </w:p>
    <w:p>
      <w:pPr>
        <w:jc w:val="center"/>
        <w:ind w:left="1400" w:right="2140"/>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jc w:val="both"/>
        <w:ind w:right="160" w:firstLine="501"/>
        <w:spacing w:after="0" w:line="259" w:lineRule="auto"/>
        <w:rPr>
          <w:sz w:val="20"/>
          <w:szCs w:val="20"/>
          <w:color w:val="auto"/>
        </w:rPr>
      </w:pPr>
      <w:r>
        <w:rPr>
          <w:rFonts w:ascii="Arial" w:cs="Arial" w:eastAsia="Arial" w:hAnsi="Arial"/>
          <w:sz w:val="16"/>
          <w:szCs w:val="16"/>
          <w:color w:val="auto"/>
        </w:rPr>
        <w:t>In connection with the Quarterly Report on Form 10-Q of Blueprint Medicines Corporation (the “Company”) for the period ended June 30, 2015 as filed with the Securities and Exchange Commission on the date hereof (the “Report”), each of the undersigned officers of the Company hereby certifies, pursuant to 18 U.S.C. Section 1350, that to his or her knowledge:</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61" w:lineRule="exact"/>
        <w:rPr>
          <w:sz w:val="20"/>
          <w:szCs w:val="20"/>
          <w:color w:val="auto"/>
        </w:rPr>
      </w:pPr>
    </w:p>
    <w:p>
      <w:pPr>
        <w:ind w:right="20" w:firstLine="503"/>
        <w:spacing w:after="0" w:line="235" w:lineRule="auto"/>
        <w:tabs>
          <w:tab w:leader="none" w:pos="75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4"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6350</wp:posOffset>
            </wp:positionV>
            <wp:extent cx="2710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ind w:left="4760"/>
        <w:spacing w:after="0" w:line="232" w:lineRule="auto"/>
        <w:rPr>
          <w:sz w:val="20"/>
          <w:szCs w:val="20"/>
          <w:color w:val="auto"/>
        </w:rPr>
      </w:pPr>
      <w:r>
        <w:rPr>
          <w:rFonts w:ascii="Arial" w:cs="Arial" w:eastAsia="Arial" w:hAnsi="Arial"/>
          <w:sz w:val="18"/>
          <w:szCs w:val="18"/>
          <w:color w:val="auto"/>
        </w:rPr>
        <w:t>Jeffrey W. Albers</w:t>
      </w:r>
    </w:p>
    <w:p>
      <w:pPr>
        <w:ind w:left="4760"/>
        <w:spacing w:after="0" w:line="235" w:lineRule="auto"/>
        <w:rPr>
          <w:sz w:val="20"/>
          <w:szCs w:val="20"/>
          <w:color w:val="auto"/>
        </w:rPr>
      </w:pPr>
      <w:r>
        <w:rPr>
          <w:rFonts w:ascii="Arial" w:cs="Arial" w:eastAsia="Arial" w:hAnsi="Arial"/>
          <w:sz w:val="18"/>
          <w:szCs w:val="18"/>
          <w:i w:val="1"/>
          <w:iCs w:val="1"/>
          <w:color w:val="auto"/>
        </w:rPr>
        <w:t>President, 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-120015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2977515</wp:posOffset>
            </wp:positionH>
            <wp:positionV relativeFrom="paragraph">
              <wp:posOffset>-123190</wp:posOffset>
            </wp:positionV>
            <wp:extent cx="5143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6" w:lineRule="exact"/>
        <w:rPr>
          <w:sz w:val="20"/>
          <w:szCs w:val="20"/>
          <w:color w:val="auto"/>
        </w:rPr>
      </w:pPr>
    </w:p>
    <w:p>
      <w:pPr>
        <w:spacing w:after="0"/>
        <w:tabs>
          <w:tab w:leader="none" w:pos="4380" w:val="left"/>
        </w:tabs>
        <w:rPr>
          <w:sz w:val="20"/>
          <w:szCs w:val="20"/>
          <w:color w:val="auto"/>
        </w:rPr>
      </w:pPr>
      <w:r>
        <w:rPr>
          <w:rFonts w:ascii="Arial" w:cs="Arial" w:eastAsia="Arial" w:hAnsi="Arial"/>
          <w:sz w:val="18"/>
          <w:szCs w:val="18"/>
          <w:color w:val="auto"/>
        </w:rPr>
        <w:t>Date: August 10, 2015</w:t>
      </w:r>
      <w:r>
        <w:rPr>
          <w:sz w:val="20"/>
          <w:szCs w:val="20"/>
          <w:color w:val="auto"/>
        </w:rPr>
        <w:tab/>
      </w:r>
      <w:r>
        <w:rPr>
          <w:rFonts w:ascii="Arial" w:cs="Arial" w:eastAsia="Arial" w:hAnsi="Arial"/>
          <w:sz w:val="17"/>
          <w:szCs w:val="17"/>
          <w:color w:val="auto"/>
        </w:rPr>
        <w:t>By: /s/ Kyle D.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6350</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ind w:left="4760"/>
        <w:spacing w:after="0" w:line="232" w:lineRule="auto"/>
        <w:rPr>
          <w:sz w:val="20"/>
          <w:szCs w:val="20"/>
          <w:color w:val="auto"/>
        </w:rPr>
      </w:pPr>
      <w:r>
        <w:rPr>
          <w:rFonts w:ascii="Arial" w:cs="Arial" w:eastAsia="Arial" w:hAnsi="Arial"/>
          <w:sz w:val="18"/>
          <w:szCs w:val="18"/>
          <w:color w:val="auto"/>
        </w:rPr>
        <w:t>Kyle D. Kuvalanka</w:t>
      </w:r>
    </w:p>
    <w:p>
      <w:pPr>
        <w:ind w:left="4760"/>
        <w:spacing w:after="0" w:line="219" w:lineRule="auto"/>
        <w:rPr>
          <w:sz w:val="20"/>
          <w:szCs w:val="20"/>
          <w:color w:val="auto"/>
        </w:rPr>
      </w:pPr>
      <w:r>
        <w:rPr>
          <w:rFonts w:ascii="Arial" w:cs="Arial" w:eastAsia="Arial" w:hAnsi="Arial"/>
          <w:sz w:val="18"/>
          <w:szCs w:val="18"/>
          <w:i w:val="1"/>
          <w:iCs w:val="1"/>
          <w:color w:val="auto"/>
        </w:rPr>
        <w:t>Chief Business Officer (Principal Financial and</w:t>
      </w:r>
    </w:p>
    <w:p>
      <w:pPr>
        <w:spacing w:after="0" w:line="1" w:lineRule="exact"/>
        <w:rPr>
          <w:sz w:val="20"/>
          <w:szCs w:val="20"/>
          <w:color w:val="auto"/>
        </w:rPr>
      </w:pPr>
    </w:p>
    <w:p>
      <w:pPr>
        <w:ind w:left="4760"/>
        <w:spacing w:after="0"/>
        <w:rPr>
          <w:sz w:val="20"/>
          <w:szCs w:val="20"/>
          <w:color w:val="auto"/>
        </w:rPr>
      </w:pPr>
      <w:r>
        <w:rPr>
          <w:rFonts w:ascii="Arial" w:cs="Arial" w:eastAsia="Arial" w:hAnsi="Arial"/>
          <w:sz w:val="18"/>
          <w:szCs w:val="18"/>
          <w:i w:val="1"/>
          <w:iCs w:val="1"/>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343535</wp:posOffset>
            </wp:positionV>
            <wp:extent cx="584835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140"/>
      </w:cols>
      <w:pgMar w:left="1380" w:top="10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
      <w:numFmt w:val="bullet"/>
      <w:start w:val="1"/>
    </w:lvl>
  </w:abstractNum>
  <w:abstractNum w:abstractNumId="1">
    <w:nsid w:val="515F007C"/>
    <w:multiLevelType w:val="hybridMultilevel"/>
    <w:lvl w:ilvl="0">
      <w:lvlJc w:val="left"/>
      <w:lvlText w:val=" "/>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Roman"/>
      <w:start w:val="2"/>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2019-12-29T15:39:57Z</dcterms:created>
  <dcterms:modified xsi:type="dcterms:W3CDTF">2019-12-29T15:39:57Z</dcterms:modified>
</cp:coreProperties>
</file>