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As filed with the Securities and Exchange Commission on May 10, 2016</w:t>
      </w:r>
    </w:p>
    <w:p>
      <w:pPr>
        <w:spacing w:after="0" w:line="13" w:lineRule="exact"/>
        <w:rPr>
          <w:sz w:val="24"/>
          <w:szCs w:val="24"/>
          <w:color w:val="auto"/>
        </w:rPr>
      </w:pPr>
    </w:p>
    <w:p>
      <w:pPr>
        <w:ind w:left="9240"/>
        <w:spacing w:after="0"/>
        <w:rPr>
          <w:sz w:val="20"/>
          <w:szCs w:val="20"/>
          <w:color w:val="auto"/>
        </w:rPr>
      </w:pPr>
      <w:r>
        <w:rPr>
          <w:rFonts w:ascii="Arial" w:cs="Arial" w:eastAsia="Arial" w:hAnsi="Arial"/>
          <w:sz w:val="11"/>
          <w:szCs w:val="11"/>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68" w:lineRule="exact"/>
        <w:rPr>
          <w:sz w:val="24"/>
          <w:szCs w:val="24"/>
          <w:color w:val="auto"/>
        </w:rPr>
      </w:pPr>
    </w:p>
    <w:tbl>
      <w:tblPr>
        <w:tblLayout w:type="fixed"/>
        <w:tblInd w:w="1320" w:type="dxa"/>
        <w:tblCellMar>
          <w:top w:w="0" w:type="dxa"/>
          <w:left w:w="0" w:type="dxa"/>
          <w:bottom w:w="0" w:type="dxa"/>
          <w:right w:w="0" w:type="dxa"/>
        </w:tblCellMar>
      </w:tblPr>
      <w:tr>
        <w:trPr>
          <w:trHeight w:val="149"/>
        </w:trPr>
        <w:tc>
          <w:tcPr>
            <w:tcW w:w="1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9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UNITED STATES</w:t>
            </w:r>
          </w:p>
        </w:tc>
      </w:tr>
      <w:tr>
        <w:trPr>
          <w:trHeight w:val="135"/>
        </w:trPr>
        <w:tc>
          <w:tcPr>
            <w:tcW w:w="1940" w:type="dxa"/>
            <w:vAlign w:val="bottom"/>
          </w:tcPr>
          <w:p>
            <w:pPr>
              <w:spacing w:after="0"/>
              <w:rPr>
                <w:sz w:val="11"/>
                <w:szCs w:val="11"/>
                <w:color w:val="auto"/>
              </w:rPr>
            </w:pPr>
          </w:p>
        </w:tc>
        <w:tc>
          <w:tcPr>
            <w:tcW w:w="3620" w:type="dxa"/>
            <w:vAlign w:val="bottom"/>
            <w:gridSpan w:val="3"/>
          </w:tcPr>
          <w:p>
            <w:pPr>
              <w:jc w:val="center"/>
              <w:ind w:left="237"/>
              <w:spacing w:after="0" w:line="135" w:lineRule="exact"/>
              <w:rPr>
                <w:sz w:val="20"/>
                <w:szCs w:val="20"/>
                <w:color w:val="auto"/>
              </w:rPr>
            </w:pPr>
            <w:r>
              <w:rPr>
                <w:rFonts w:ascii="Arial" w:cs="Arial" w:eastAsia="Arial" w:hAnsi="Arial"/>
                <w:sz w:val="13"/>
                <w:szCs w:val="13"/>
                <w:b w:val="1"/>
                <w:bCs w:val="1"/>
                <w:color w:val="auto"/>
                <w:w w:val="98"/>
              </w:rPr>
              <w:t>SECURITIES AND EXCHANGE COMMISSION</w:t>
            </w:r>
          </w:p>
        </w:tc>
      </w:tr>
      <w:tr>
        <w:trPr>
          <w:trHeight w:val="164"/>
        </w:trPr>
        <w:tc>
          <w:tcPr>
            <w:tcW w:w="1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8"/>
              </w:rPr>
              <w:t>Washington, D.C. 20549</w:t>
            </w:r>
          </w:p>
        </w:tc>
      </w:tr>
      <w:tr>
        <w:trPr>
          <w:trHeight w:val="146"/>
        </w:trPr>
        <w:tc>
          <w:tcPr>
            <w:tcW w:w="1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60" w:type="dxa"/>
            <w:vAlign w:val="bottom"/>
            <w:gridSpan w:val="2"/>
          </w:tcPr>
          <w:p>
            <w:pPr>
              <w:jc w:val="center"/>
              <w:ind w:right="380"/>
              <w:spacing w:after="0" w:line="146" w:lineRule="exact"/>
              <w:rPr>
                <w:sz w:val="20"/>
                <w:szCs w:val="20"/>
                <w:color w:val="auto"/>
              </w:rPr>
            </w:pPr>
            <w:r>
              <w:rPr>
                <w:rFonts w:ascii="Arial" w:cs="Arial" w:eastAsia="Arial" w:hAnsi="Arial"/>
                <w:sz w:val="13"/>
                <w:szCs w:val="13"/>
                <w:b w:val="1"/>
                <w:bCs w:val="1"/>
                <w:color w:val="auto"/>
                <w:w w:val="93"/>
              </w:rPr>
              <w:t>FORM S-3</w:t>
            </w:r>
          </w:p>
        </w:tc>
      </w:tr>
      <w:tr>
        <w:trPr>
          <w:trHeight w:val="135"/>
        </w:trPr>
        <w:tc>
          <w:tcPr>
            <w:tcW w:w="1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6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7"/>
              </w:rPr>
              <w:t>REGISTRATION STATEMENT</w:t>
            </w:r>
          </w:p>
        </w:tc>
      </w:tr>
      <w:tr>
        <w:trPr>
          <w:trHeight w:val="164"/>
        </w:trPr>
        <w:tc>
          <w:tcPr>
            <w:tcW w:w="1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5"/>
              </w:rPr>
              <w:t>UNDER THE SECURITIES ACT OF 1933</w:t>
            </w:r>
          </w:p>
        </w:tc>
      </w:tr>
      <w:tr>
        <w:trPr>
          <w:trHeight w:val="150"/>
        </w:trPr>
        <w:tc>
          <w:tcPr>
            <w:tcW w:w="1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9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Blueprint Medicines Corporation</w:t>
            </w:r>
          </w:p>
        </w:tc>
      </w:tr>
      <w:tr>
        <w:trPr>
          <w:trHeight w:val="160"/>
        </w:trPr>
        <w:tc>
          <w:tcPr>
            <w:tcW w:w="1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960" w:type="dxa"/>
            <w:vAlign w:val="bottom"/>
            <w:gridSpan w:val="2"/>
          </w:tcPr>
          <w:p>
            <w:pPr>
              <w:jc w:val="center"/>
              <w:ind w:right="360"/>
              <w:spacing w:after="0"/>
              <w:rPr>
                <w:sz w:val="20"/>
                <w:szCs w:val="20"/>
                <w:color w:val="auto"/>
              </w:rPr>
            </w:pPr>
            <w:r>
              <w:rPr>
                <w:rFonts w:ascii="Arial" w:cs="Arial" w:eastAsia="Arial" w:hAnsi="Arial"/>
                <w:sz w:val="13"/>
                <w:szCs w:val="13"/>
                <w:color w:val="auto"/>
                <w:w w:val="87"/>
              </w:rPr>
              <w:t>(Exact name of registrant as specified in its charter)</w:t>
            </w:r>
          </w:p>
        </w:tc>
      </w:tr>
      <w:tr>
        <w:trPr>
          <w:trHeight w:val="218"/>
        </w:trPr>
        <w:tc>
          <w:tcPr>
            <w:tcW w:w="1940" w:type="dxa"/>
            <w:vAlign w:val="bottom"/>
          </w:tcPr>
          <w:p>
            <w:pPr>
              <w:jc w:val="center"/>
              <w:ind w:right="337"/>
              <w:spacing w:after="0"/>
              <w:rPr>
                <w:sz w:val="20"/>
                <w:szCs w:val="20"/>
                <w:color w:val="auto"/>
              </w:rPr>
            </w:pPr>
            <w:r>
              <w:rPr>
                <w:rFonts w:ascii="Arial" w:cs="Arial" w:eastAsia="Arial" w:hAnsi="Arial"/>
                <w:sz w:val="13"/>
                <w:szCs w:val="13"/>
                <w:b w:val="1"/>
                <w:bCs w:val="1"/>
                <w:color w:val="auto"/>
                <w:w w:val="87"/>
              </w:rPr>
              <w:t>Delaware</w:t>
            </w:r>
          </w:p>
        </w:tc>
        <w:tc>
          <w:tcPr>
            <w:tcW w:w="3620" w:type="dxa"/>
            <w:vAlign w:val="bottom"/>
            <w:gridSpan w:val="3"/>
          </w:tcPr>
          <w:p>
            <w:pPr>
              <w:jc w:val="center"/>
              <w:ind w:left="2297"/>
              <w:spacing w:after="0"/>
              <w:rPr>
                <w:sz w:val="20"/>
                <w:szCs w:val="20"/>
                <w:color w:val="auto"/>
              </w:rPr>
            </w:pPr>
            <w:r>
              <w:rPr>
                <w:rFonts w:ascii="Arial" w:cs="Arial" w:eastAsia="Arial" w:hAnsi="Arial"/>
                <w:sz w:val="13"/>
                <w:szCs w:val="13"/>
                <w:b w:val="1"/>
                <w:bCs w:val="1"/>
                <w:color w:val="auto"/>
                <w:w w:val="86"/>
              </w:rPr>
              <w:t>001-37359</w:t>
            </w:r>
          </w:p>
        </w:tc>
      </w:tr>
      <w:tr>
        <w:trPr>
          <w:trHeight w:val="135"/>
        </w:trPr>
        <w:tc>
          <w:tcPr>
            <w:tcW w:w="1940" w:type="dxa"/>
            <w:vAlign w:val="bottom"/>
          </w:tcPr>
          <w:p>
            <w:pPr>
              <w:jc w:val="center"/>
              <w:ind w:right="357"/>
              <w:spacing w:after="0" w:line="135" w:lineRule="exact"/>
              <w:rPr>
                <w:sz w:val="20"/>
                <w:szCs w:val="20"/>
                <w:color w:val="auto"/>
              </w:rPr>
            </w:pPr>
            <w:r>
              <w:rPr>
                <w:rFonts w:ascii="Arial" w:cs="Arial" w:eastAsia="Arial" w:hAnsi="Arial"/>
                <w:sz w:val="13"/>
                <w:szCs w:val="13"/>
                <w:color w:val="auto"/>
                <w:w w:val="89"/>
              </w:rPr>
              <w:t>(State or other jurisdiction</w:t>
            </w:r>
          </w:p>
        </w:tc>
        <w:tc>
          <w:tcPr>
            <w:tcW w:w="660" w:type="dxa"/>
            <w:vAlign w:val="bottom"/>
          </w:tcPr>
          <w:p>
            <w:pPr>
              <w:spacing w:after="0"/>
              <w:rPr>
                <w:sz w:val="11"/>
                <w:szCs w:val="11"/>
                <w:color w:val="auto"/>
              </w:rPr>
            </w:pPr>
          </w:p>
        </w:tc>
        <w:tc>
          <w:tcPr>
            <w:tcW w:w="2960" w:type="dxa"/>
            <w:vAlign w:val="bottom"/>
            <w:gridSpan w:val="2"/>
          </w:tcPr>
          <w:p>
            <w:pPr>
              <w:jc w:val="center"/>
              <w:ind w:left="1597"/>
              <w:spacing w:after="0" w:line="135" w:lineRule="exact"/>
              <w:rPr>
                <w:sz w:val="20"/>
                <w:szCs w:val="20"/>
                <w:color w:val="auto"/>
              </w:rPr>
            </w:pPr>
            <w:r>
              <w:rPr>
                <w:rFonts w:ascii="Arial" w:cs="Arial" w:eastAsia="Arial" w:hAnsi="Arial"/>
                <w:sz w:val="13"/>
                <w:szCs w:val="13"/>
                <w:color w:val="auto"/>
                <w:w w:val="90"/>
              </w:rPr>
              <w:t>(I.R.S. Employer</w:t>
            </w:r>
          </w:p>
        </w:tc>
      </w:tr>
      <w:tr>
        <w:trPr>
          <w:trHeight w:val="158"/>
        </w:trPr>
        <w:tc>
          <w:tcPr>
            <w:tcW w:w="1940" w:type="dxa"/>
            <w:vAlign w:val="bottom"/>
          </w:tcPr>
          <w:p>
            <w:pPr>
              <w:spacing w:after="0"/>
              <w:rPr>
                <w:sz w:val="20"/>
                <w:szCs w:val="20"/>
                <w:color w:val="auto"/>
              </w:rPr>
            </w:pPr>
            <w:r>
              <w:rPr>
                <w:rFonts w:ascii="Arial" w:cs="Arial" w:eastAsia="Arial" w:hAnsi="Arial"/>
                <w:sz w:val="13"/>
                <w:szCs w:val="13"/>
                <w:color w:val="auto"/>
              </w:rPr>
              <w:t>of incorporation or organization)</w:t>
            </w:r>
          </w:p>
        </w:tc>
        <w:tc>
          <w:tcPr>
            <w:tcW w:w="660" w:type="dxa"/>
            <w:vAlign w:val="bottom"/>
          </w:tcPr>
          <w:p>
            <w:pPr>
              <w:spacing w:after="0"/>
              <w:rPr>
                <w:sz w:val="13"/>
                <w:szCs w:val="13"/>
                <w:color w:val="auto"/>
              </w:rPr>
            </w:pPr>
          </w:p>
        </w:tc>
        <w:tc>
          <w:tcPr>
            <w:tcW w:w="2960" w:type="dxa"/>
            <w:vAlign w:val="bottom"/>
            <w:gridSpan w:val="2"/>
          </w:tcPr>
          <w:p>
            <w:pPr>
              <w:jc w:val="center"/>
              <w:ind w:left="1637"/>
              <w:spacing w:after="0"/>
              <w:rPr>
                <w:sz w:val="20"/>
                <w:szCs w:val="20"/>
                <w:color w:val="auto"/>
              </w:rPr>
            </w:pPr>
            <w:r>
              <w:rPr>
                <w:rFonts w:ascii="Arial" w:cs="Arial" w:eastAsia="Arial" w:hAnsi="Arial"/>
                <w:sz w:val="13"/>
                <w:szCs w:val="13"/>
                <w:color w:val="auto"/>
                <w:w w:val="92"/>
              </w:rPr>
              <w:t>Identification Number)</w:t>
            </w:r>
          </w:p>
        </w:tc>
      </w:tr>
      <w:tr>
        <w:trPr>
          <w:trHeight w:val="135"/>
        </w:trPr>
        <w:tc>
          <w:tcPr>
            <w:tcW w:w="1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5"/>
              </w:rPr>
              <w:t>38 Sidney Street, Suite 200</w:t>
            </w:r>
          </w:p>
        </w:tc>
      </w:tr>
      <w:tr>
        <w:trPr>
          <w:trHeight w:val="135"/>
        </w:trPr>
        <w:tc>
          <w:tcPr>
            <w:tcW w:w="1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6"/>
              </w:rPr>
              <w:t>Cambridge, Massachusetts 02139</w:t>
            </w:r>
          </w:p>
        </w:tc>
      </w:tr>
      <w:tr>
        <w:trPr>
          <w:trHeight w:val="139"/>
        </w:trPr>
        <w:tc>
          <w:tcPr>
            <w:tcW w:w="1940" w:type="dxa"/>
            <w:vAlign w:val="bottom"/>
          </w:tcPr>
          <w:p>
            <w:pPr>
              <w:spacing w:after="0"/>
              <w:rPr>
                <w:sz w:val="12"/>
                <w:szCs w:val="12"/>
                <w:color w:val="auto"/>
              </w:rPr>
            </w:pPr>
          </w:p>
        </w:tc>
        <w:tc>
          <w:tcPr>
            <w:tcW w:w="3260" w:type="dxa"/>
            <w:vAlign w:val="bottom"/>
            <w:gridSpan w:val="2"/>
          </w:tcPr>
          <w:p>
            <w:pPr>
              <w:jc w:val="center"/>
              <w:ind w:left="577"/>
              <w:spacing w:after="0" w:line="139" w:lineRule="exact"/>
              <w:rPr>
                <w:sz w:val="20"/>
                <w:szCs w:val="20"/>
                <w:color w:val="auto"/>
              </w:rPr>
            </w:pPr>
            <w:r>
              <w:rPr>
                <w:rFonts w:ascii="Arial" w:cs="Arial" w:eastAsia="Arial" w:hAnsi="Arial"/>
                <w:sz w:val="13"/>
                <w:szCs w:val="13"/>
                <w:b w:val="1"/>
                <w:bCs w:val="1"/>
                <w:color w:val="auto"/>
                <w:w w:val="87"/>
              </w:rPr>
              <w:t>(617) 374-7580</w:t>
            </w:r>
          </w:p>
        </w:tc>
        <w:tc>
          <w:tcPr>
            <w:tcW w:w="360" w:type="dxa"/>
            <w:vAlign w:val="bottom"/>
          </w:tcPr>
          <w:p>
            <w:pPr>
              <w:spacing w:after="0"/>
              <w:rPr>
                <w:sz w:val="12"/>
                <w:szCs w:val="12"/>
                <w:color w:val="auto"/>
              </w:rPr>
            </w:pPr>
          </w:p>
        </w:tc>
      </w:tr>
      <w:tr>
        <w:trPr>
          <w:trHeight w:val="135"/>
        </w:trPr>
        <w:tc>
          <w:tcPr>
            <w:tcW w:w="1940" w:type="dxa"/>
            <w:vAlign w:val="bottom"/>
          </w:tcPr>
          <w:p>
            <w:pPr>
              <w:spacing w:after="0"/>
              <w:rPr>
                <w:sz w:val="11"/>
                <w:szCs w:val="11"/>
                <w:color w:val="auto"/>
              </w:rPr>
            </w:pPr>
          </w:p>
        </w:tc>
        <w:tc>
          <w:tcPr>
            <w:tcW w:w="3620" w:type="dxa"/>
            <w:vAlign w:val="bottom"/>
            <w:gridSpan w:val="3"/>
          </w:tcPr>
          <w:p>
            <w:pPr>
              <w:jc w:val="center"/>
              <w:ind w:left="217"/>
              <w:spacing w:after="0" w:line="135" w:lineRule="exact"/>
              <w:rPr>
                <w:sz w:val="20"/>
                <w:szCs w:val="20"/>
                <w:color w:val="auto"/>
              </w:rPr>
            </w:pPr>
            <w:r>
              <w:rPr>
                <w:rFonts w:ascii="Arial" w:cs="Arial" w:eastAsia="Arial" w:hAnsi="Arial"/>
                <w:sz w:val="13"/>
                <w:szCs w:val="13"/>
                <w:color w:val="auto"/>
                <w:w w:val="88"/>
              </w:rPr>
              <w:t>(Address, Including Zip Code, and Telephone Number,</w:t>
            </w:r>
          </w:p>
        </w:tc>
      </w:tr>
      <w:tr>
        <w:trPr>
          <w:trHeight w:val="160"/>
        </w:trPr>
        <w:tc>
          <w:tcPr>
            <w:tcW w:w="1940" w:type="dxa"/>
            <w:vAlign w:val="bottom"/>
          </w:tcPr>
          <w:p>
            <w:pPr>
              <w:spacing w:after="0"/>
              <w:rPr>
                <w:sz w:val="13"/>
                <w:szCs w:val="13"/>
                <w:color w:val="auto"/>
              </w:rPr>
            </w:pPr>
          </w:p>
        </w:tc>
        <w:tc>
          <w:tcPr>
            <w:tcW w:w="3620" w:type="dxa"/>
            <w:vAlign w:val="bottom"/>
            <w:gridSpan w:val="3"/>
          </w:tcPr>
          <w:p>
            <w:pPr>
              <w:jc w:val="center"/>
              <w:ind w:left="237"/>
              <w:spacing w:after="0"/>
              <w:rPr>
                <w:sz w:val="20"/>
                <w:szCs w:val="20"/>
                <w:color w:val="auto"/>
              </w:rPr>
            </w:pPr>
            <w:r>
              <w:rPr>
                <w:rFonts w:ascii="Arial" w:cs="Arial" w:eastAsia="Arial" w:hAnsi="Arial"/>
                <w:sz w:val="13"/>
                <w:szCs w:val="13"/>
                <w:color w:val="auto"/>
                <w:w w:val="89"/>
              </w:rPr>
              <w:t>Including Area Code, of Registrant’s Principal Executive Offices)</w:t>
            </w:r>
          </w:p>
        </w:tc>
      </w:tr>
      <w:tr>
        <w:trPr>
          <w:trHeight w:val="104"/>
        </w:trPr>
        <w:tc>
          <w:tcPr>
            <w:tcW w:w="19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r>
      <w:tr>
        <w:trPr>
          <w:trHeight w:val="265"/>
        </w:trPr>
        <w:tc>
          <w:tcPr>
            <w:tcW w:w="19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9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8"/>
              </w:rPr>
              <w:t>Jeffrey W. Albers</w:t>
            </w:r>
          </w:p>
        </w:tc>
      </w:tr>
      <w:tr>
        <w:trPr>
          <w:trHeight w:val="135"/>
        </w:trPr>
        <w:tc>
          <w:tcPr>
            <w:tcW w:w="1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7"/>
              </w:rPr>
              <w:t>President and Chief Executive Officer</w:t>
            </w:r>
          </w:p>
        </w:tc>
      </w:tr>
      <w:tr>
        <w:trPr>
          <w:trHeight w:val="135"/>
        </w:trPr>
        <w:tc>
          <w:tcPr>
            <w:tcW w:w="1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9"/>
              </w:rPr>
              <w:t>Blueprint Medicines Corporation</w:t>
            </w:r>
          </w:p>
        </w:tc>
      </w:tr>
      <w:tr>
        <w:trPr>
          <w:trHeight w:val="135"/>
        </w:trPr>
        <w:tc>
          <w:tcPr>
            <w:tcW w:w="1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5"/>
              </w:rPr>
              <w:t>38 Sidney Street, Suite 200</w:t>
            </w:r>
          </w:p>
        </w:tc>
      </w:tr>
      <w:tr>
        <w:trPr>
          <w:trHeight w:val="135"/>
        </w:trPr>
        <w:tc>
          <w:tcPr>
            <w:tcW w:w="1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0"/>
              </w:rPr>
              <w:t>Cambridge, MA 02139</w:t>
            </w:r>
          </w:p>
        </w:tc>
      </w:tr>
      <w:tr>
        <w:trPr>
          <w:trHeight w:val="139"/>
        </w:trPr>
        <w:tc>
          <w:tcPr>
            <w:tcW w:w="1940" w:type="dxa"/>
            <w:vAlign w:val="bottom"/>
          </w:tcPr>
          <w:p>
            <w:pPr>
              <w:spacing w:after="0"/>
              <w:rPr>
                <w:sz w:val="12"/>
                <w:szCs w:val="12"/>
                <w:color w:val="auto"/>
              </w:rPr>
            </w:pPr>
          </w:p>
        </w:tc>
        <w:tc>
          <w:tcPr>
            <w:tcW w:w="3260" w:type="dxa"/>
            <w:vAlign w:val="bottom"/>
            <w:gridSpan w:val="2"/>
          </w:tcPr>
          <w:p>
            <w:pPr>
              <w:jc w:val="center"/>
              <w:ind w:left="577"/>
              <w:spacing w:after="0" w:line="139" w:lineRule="exact"/>
              <w:rPr>
                <w:sz w:val="20"/>
                <w:szCs w:val="20"/>
                <w:color w:val="auto"/>
              </w:rPr>
            </w:pPr>
            <w:r>
              <w:rPr>
                <w:rFonts w:ascii="Arial" w:cs="Arial" w:eastAsia="Arial" w:hAnsi="Arial"/>
                <w:sz w:val="13"/>
                <w:szCs w:val="13"/>
                <w:b w:val="1"/>
                <w:bCs w:val="1"/>
                <w:color w:val="auto"/>
                <w:w w:val="87"/>
              </w:rPr>
              <w:t>(617) 374-7580</w:t>
            </w:r>
          </w:p>
        </w:tc>
        <w:tc>
          <w:tcPr>
            <w:tcW w:w="360" w:type="dxa"/>
            <w:vAlign w:val="bottom"/>
          </w:tcPr>
          <w:p>
            <w:pPr>
              <w:spacing w:after="0"/>
              <w:rPr>
                <w:sz w:val="12"/>
                <w:szCs w:val="12"/>
                <w:color w:val="auto"/>
              </w:rPr>
            </w:pPr>
          </w:p>
        </w:tc>
      </w:tr>
      <w:tr>
        <w:trPr>
          <w:trHeight w:val="135"/>
        </w:trPr>
        <w:tc>
          <w:tcPr>
            <w:tcW w:w="1940" w:type="dxa"/>
            <w:vAlign w:val="bottom"/>
          </w:tcPr>
          <w:p>
            <w:pPr>
              <w:spacing w:after="0"/>
              <w:rPr>
                <w:sz w:val="11"/>
                <w:szCs w:val="11"/>
                <w:color w:val="auto"/>
              </w:rPr>
            </w:pPr>
          </w:p>
        </w:tc>
        <w:tc>
          <w:tcPr>
            <w:tcW w:w="3620" w:type="dxa"/>
            <w:vAlign w:val="bottom"/>
            <w:gridSpan w:val="3"/>
          </w:tcPr>
          <w:p>
            <w:pPr>
              <w:jc w:val="center"/>
              <w:ind w:left="217"/>
              <w:spacing w:after="0" w:line="135" w:lineRule="exact"/>
              <w:rPr>
                <w:sz w:val="20"/>
                <w:szCs w:val="20"/>
                <w:color w:val="auto"/>
              </w:rPr>
            </w:pPr>
            <w:r>
              <w:rPr>
                <w:rFonts w:ascii="Arial" w:cs="Arial" w:eastAsia="Arial" w:hAnsi="Arial"/>
                <w:sz w:val="13"/>
                <w:szCs w:val="13"/>
                <w:color w:val="auto"/>
                <w:w w:val="87"/>
              </w:rPr>
              <w:t>(Name, Address, Including Zip Code, and Telephone Number,</w:t>
            </w:r>
          </w:p>
        </w:tc>
      </w:tr>
      <w:tr>
        <w:trPr>
          <w:trHeight w:val="160"/>
        </w:trPr>
        <w:tc>
          <w:tcPr>
            <w:tcW w:w="1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960" w:type="dxa"/>
            <w:vAlign w:val="bottom"/>
            <w:gridSpan w:val="2"/>
          </w:tcPr>
          <w:p>
            <w:pPr>
              <w:jc w:val="center"/>
              <w:ind w:right="360"/>
              <w:spacing w:after="0"/>
              <w:rPr>
                <w:sz w:val="20"/>
                <w:szCs w:val="20"/>
                <w:color w:val="auto"/>
              </w:rPr>
            </w:pPr>
            <w:r>
              <w:rPr>
                <w:rFonts w:ascii="Arial" w:cs="Arial" w:eastAsia="Arial" w:hAnsi="Arial"/>
                <w:sz w:val="13"/>
                <w:szCs w:val="13"/>
                <w:color w:val="auto"/>
                <w:w w:val="90"/>
              </w:rPr>
              <w:t>Including Area Code, of Agent for Service)</w:t>
            </w:r>
          </w:p>
        </w:tc>
      </w:tr>
      <w:tr>
        <w:trPr>
          <w:trHeight w:val="97"/>
        </w:trPr>
        <w:tc>
          <w:tcPr>
            <w:tcW w:w="19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r>
      <w:tr>
        <w:trPr>
          <w:trHeight w:val="288"/>
        </w:trPr>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60" w:type="dxa"/>
            <w:vAlign w:val="bottom"/>
            <w:gridSpan w:val="2"/>
          </w:tcPr>
          <w:p>
            <w:pPr>
              <w:jc w:val="center"/>
              <w:ind w:right="360"/>
              <w:spacing w:after="0"/>
              <w:rPr>
                <w:sz w:val="20"/>
                <w:szCs w:val="20"/>
                <w:color w:val="auto"/>
              </w:rPr>
            </w:pPr>
            <w:r>
              <w:rPr>
                <w:rFonts w:ascii="Arial" w:cs="Arial" w:eastAsia="Arial" w:hAnsi="Arial"/>
                <w:sz w:val="13"/>
                <w:szCs w:val="13"/>
                <w:color w:val="auto"/>
                <w:w w:val="90"/>
              </w:rPr>
              <w:t>Copy to:</w:t>
            </w:r>
          </w:p>
        </w:tc>
      </w:tr>
      <w:tr>
        <w:trPr>
          <w:trHeight w:val="146"/>
        </w:trPr>
        <w:tc>
          <w:tcPr>
            <w:tcW w:w="1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60" w:type="dxa"/>
            <w:vAlign w:val="bottom"/>
            <w:gridSpan w:val="2"/>
          </w:tcPr>
          <w:p>
            <w:pPr>
              <w:jc w:val="center"/>
              <w:ind w:right="380"/>
              <w:spacing w:after="0" w:line="146" w:lineRule="exact"/>
              <w:rPr>
                <w:sz w:val="20"/>
                <w:szCs w:val="20"/>
                <w:color w:val="auto"/>
              </w:rPr>
            </w:pPr>
            <w:r>
              <w:rPr>
                <w:rFonts w:ascii="Arial" w:cs="Arial" w:eastAsia="Arial" w:hAnsi="Arial"/>
                <w:sz w:val="13"/>
                <w:szCs w:val="13"/>
                <w:b w:val="1"/>
                <w:bCs w:val="1"/>
                <w:color w:val="auto"/>
                <w:w w:val="88"/>
              </w:rPr>
              <w:t>Kingsley L. Taft</w:t>
            </w:r>
          </w:p>
        </w:tc>
      </w:tr>
      <w:tr>
        <w:trPr>
          <w:trHeight w:val="135"/>
        </w:trPr>
        <w:tc>
          <w:tcPr>
            <w:tcW w:w="1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0"/>
              </w:rPr>
              <w:t>Danielle M. Lauzon</w:t>
            </w:r>
          </w:p>
        </w:tc>
      </w:tr>
      <w:tr>
        <w:trPr>
          <w:trHeight w:val="135"/>
        </w:trPr>
        <w:tc>
          <w:tcPr>
            <w:tcW w:w="1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0"/>
              </w:rPr>
              <w:t>Goodwin Procter LLP</w:t>
            </w:r>
          </w:p>
        </w:tc>
      </w:tr>
      <w:tr>
        <w:trPr>
          <w:trHeight w:val="135"/>
        </w:trPr>
        <w:tc>
          <w:tcPr>
            <w:tcW w:w="1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4"/>
              </w:rPr>
              <w:t>Exchange Place</w:t>
            </w:r>
          </w:p>
        </w:tc>
      </w:tr>
      <w:tr>
        <w:trPr>
          <w:trHeight w:val="135"/>
        </w:trPr>
        <w:tc>
          <w:tcPr>
            <w:tcW w:w="1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6"/>
              </w:rPr>
              <w:t>53 State Street</w:t>
            </w:r>
          </w:p>
        </w:tc>
      </w:tr>
      <w:tr>
        <w:trPr>
          <w:trHeight w:val="135"/>
        </w:trPr>
        <w:tc>
          <w:tcPr>
            <w:tcW w:w="1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7"/>
              </w:rPr>
              <w:t>Boston, MA 02109</w:t>
            </w:r>
          </w:p>
        </w:tc>
      </w:tr>
      <w:tr>
        <w:trPr>
          <w:trHeight w:val="164"/>
        </w:trPr>
        <w:tc>
          <w:tcPr>
            <w:tcW w:w="1940" w:type="dxa"/>
            <w:vAlign w:val="bottom"/>
          </w:tcPr>
          <w:p>
            <w:pPr>
              <w:spacing w:after="0"/>
              <w:rPr>
                <w:sz w:val="14"/>
                <w:szCs w:val="14"/>
                <w:color w:val="auto"/>
              </w:rPr>
            </w:pPr>
          </w:p>
        </w:tc>
        <w:tc>
          <w:tcPr>
            <w:tcW w:w="3260" w:type="dxa"/>
            <w:vAlign w:val="bottom"/>
            <w:gridSpan w:val="2"/>
          </w:tcPr>
          <w:p>
            <w:pPr>
              <w:jc w:val="center"/>
              <w:ind w:left="577"/>
              <w:spacing w:after="0"/>
              <w:rPr>
                <w:sz w:val="20"/>
                <w:szCs w:val="20"/>
                <w:color w:val="auto"/>
              </w:rPr>
            </w:pPr>
            <w:r>
              <w:rPr>
                <w:rFonts w:ascii="Arial" w:cs="Arial" w:eastAsia="Arial" w:hAnsi="Arial"/>
                <w:sz w:val="13"/>
                <w:szCs w:val="13"/>
                <w:b w:val="1"/>
                <w:bCs w:val="1"/>
                <w:color w:val="auto"/>
                <w:w w:val="87"/>
              </w:rPr>
              <w:t>(617) 570-1000</w:t>
            </w:r>
          </w:p>
        </w:tc>
        <w:tc>
          <w:tcPr>
            <w:tcW w:w="360" w:type="dxa"/>
            <w:vAlign w:val="bottom"/>
          </w:tcPr>
          <w:p>
            <w:pPr>
              <w:spacing w:after="0"/>
              <w:rPr>
                <w:sz w:val="14"/>
                <w:szCs w:val="14"/>
                <w:color w:val="auto"/>
              </w:rPr>
            </w:pPr>
          </w:p>
        </w:tc>
      </w:tr>
    </w:tbl>
    <w:p>
      <w:pPr>
        <w:spacing w:after="0" w:line="11" w:lineRule="exact"/>
        <w:rPr>
          <w:sz w:val="24"/>
          <w:szCs w:val="24"/>
          <w:color w:val="auto"/>
        </w:rPr>
      </w:pPr>
    </w:p>
    <w:p>
      <w:pPr>
        <w:ind w:left="340"/>
        <w:spacing w:after="0"/>
        <w:rPr>
          <w:sz w:val="20"/>
          <w:szCs w:val="20"/>
          <w:color w:val="auto"/>
        </w:rPr>
      </w:pPr>
      <w:r>
        <w:rPr>
          <w:rFonts w:ascii="Arial" w:cs="Arial" w:eastAsia="Arial" w:hAnsi="Arial"/>
          <w:sz w:val="13"/>
          <w:szCs w:val="13"/>
          <w:b w:val="1"/>
          <w:bCs w:val="1"/>
          <w:color w:val="auto"/>
        </w:rPr>
        <w:t>Approximate date of commencement of proposed sale to the public</w:t>
      </w:r>
      <w:r>
        <w:rPr>
          <w:rFonts w:ascii="Arial" w:cs="Arial" w:eastAsia="Arial" w:hAnsi="Arial"/>
          <w:sz w:val="13"/>
          <w:szCs w:val="13"/>
          <w:color w:val="auto"/>
        </w:rPr>
        <w:t>: From time to time after this registration statement becomes effective.</w:t>
      </w:r>
    </w:p>
    <w:p>
      <w:pPr>
        <w:spacing w:after="0" w:line="15" w:lineRule="exact"/>
        <w:rPr>
          <w:sz w:val="24"/>
          <w:szCs w:val="24"/>
          <w:color w:val="auto"/>
        </w:rPr>
      </w:pPr>
    </w:p>
    <w:p>
      <w:pPr>
        <w:ind w:left="340"/>
        <w:spacing w:after="0" w:line="150" w:lineRule="exact"/>
        <w:rPr>
          <w:sz w:val="20"/>
          <w:szCs w:val="20"/>
          <w:color w:val="auto"/>
        </w:rPr>
      </w:pPr>
      <w:r>
        <w:rPr>
          <w:rFonts w:ascii="Arial" w:cs="Arial" w:eastAsia="Arial" w:hAnsi="Arial"/>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41" w:lineRule="exact"/>
        <w:rPr>
          <w:sz w:val="24"/>
          <w:szCs w:val="24"/>
          <w:color w:val="auto"/>
        </w:rPr>
      </w:pPr>
    </w:p>
    <w:p>
      <w:pPr>
        <w:ind w:left="20" w:right="40" w:firstLine="324"/>
        <w:spacing w:after="0" w:line="162"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left="20" w:right="140" w:firstLine="324"/>
        <w:spacing w:after="0" w:line="161"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20" w:right="320" w:firstLine="324"/>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20" w:right="20" w:firstLine="324"/>
        <w:spacing w:after="0" w:line="162" w:lineRule="exact"/>
        <w:rPr>
          <w:sz w:val="20"/>
          <w:szCs w:val="20"/>
          <w:color w:val="auto"/>
        </w:rPr>
      </w:pPr>
      <w:r>
        <w:rPr>
          <w:rFonts w:ascii="Arial" w:cs="Arial" w:eastAsia="Arial" w:hAnsi="Arial"/>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left="20" w:right="40" w:firstLine="324"/>
        <w:spacing w:after="0" w:line="161" w:lineRule="exact"/>
        <w:rPr>
          <w:sz w:val="20"/>
          <w:szCs w:val="20"/>
          <w:color w:val="auto"/>
        </w:rPr>
      </w:pPr>
      <w:r>
        <w:rPr>
          <w:rFonts w:ascii="Arial" w:cs="Arial" w:eastAsia="Arial" w:hAnsi="Arial"/>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ind w:left="20" w:right="160" w:firstLine="324"/>
        <w:spacing w:after="0" w:line="22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1940" w:type="dxa"/>
            <w:vAlign w:val="bottom"/>
          </w:tcPr>
          <w:p>
            <w:pPr>
              <w:ind w:left="12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60" w:type="dxa"/>
            <w:vAlign w:val="bottom"/>
            <w:gridSpan w:val="2"/>
          </w:tcPr>
          <w:p>
            <w:pPr>
              <w:ind w:left="780"/>
              <w:spacing w:after="0"/>
              <w:rPr>
                <w:sz w:val="20"/>
                <w:szCs w:val="20"/>
                <w:color w:val="auto"/>
              </w:rPr>
            </w:pPr>
            <w:r>
              <w:rPr>
                <w:rFonts w:ascii="Arial" w:cs="Arial" w:eastAsia="Arial" w:hAnsi="Arial"/>
                <w:sz w:val="13"/>
                <w:szCs w:val="13"/>
                <w:color w:val="auto"/>
                <w:w w:val="92"/>
              </w:rPr>
              <w:t>Accelerated filer</w:t>
            </w:r>
          </w:p>
        </w:tc>
        <w:tc>
          <w:tcPr>
            <w:tcW w:w="1480" w:type="dxa"/>
            <w:vAlign w:val="bottom"/>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1260" w:type="dxa"/>
            <w:vAlign w:val="bottom"/>
            <w:gridSpan w:val="2"/>
          </w:tcPr>
          <w:p>
            <w:pPr>
              <w:jc w:val="right"/>
              <w:ind w:right="8"/>
              <w:spacing w:after="0"/>
              <w:rPr>
                <w:sz w:val="20"/>
                <w:szCs w:val="20"/>
                <w:color w:val="auto"/>
              </w:rPr>
            </w:pPr>
            <w:r>
              <w:rPr>
                <w:rFonts w:ascii="Arial" w:cs="Arial" w:eastAsia="Arial" w:hAnsi="Arial"/>
                <w:sz w:val="13"/>
                <w:szCs w:val="13"/>
                <w:color w:val="auto"/>
                <w:w w:val="98"/>
              </w:rPr>
              <w:t>Non-accelerated filer</w:t>
            </w:r>
          </w:p>
        </w:tc>
        <w:tc>
          <w:tcPr>
            <w:tcW w:w="1320" w:type="dxa"/>
            <w:vAlign w:val="bottom"/>
          </w:tcPr>
          <w:p>
            <w:pPr>
              <w:jc w:val="right"/>
              <w:ind w:right="1141"/>
              <w:spacing w:after="0" w:line="131" w:lineRule="exact"/>
              <w:rPr>
                <w:sz w:val="20"/>
                <w:szCs w:val="20"/>
                <w:color w:val="auto"/>
              </w:rPr>
            </w:pPr>
            <w:r>
              <w:rPr>
                <w:rFonts w:ascii="MS PGothic" w:cs="MS PGothic" w:eastAsia="MS PGothic" w:hAnsi="MS PGothic"/>
                <w:sz w:val="13"/>
                <w:szCs w:val="13"/>
                <w:color w:val="auto"/>
                <w:w w:val="76"/>
              </w:rPr>
              <w:t>☒</w:t>
            </w:r>
          </w:p>
        </w:tc>
        <w:tc>
          <w:tcPr>
            <w:tcW w:w="300" w:type="dxa"/>
            <w:vAlign w:val="bottom"/>
          </w:tcPr>
          <w:p>
            <w:pPr>
              <w:spacing w:after="0"/>
              <w:rPr>
                <w:sz w:val="13"/>
                <w:szCs w:val="13"/>
                <w:color w:val="auto"/>
              </w:rPr>
            </w:pPr>
          </w:p>
        </w:tc>
        <w:tc>
          <w:tcPr>
            <w:tcW w:w="1720" w:type="dxa"/>
            <w:vAlign w:val="bottom"/>
          </w:tcPr>
          <w:p>
            <w:pPr>
              <w:jc w:val="right"/>
              <w:ind w:right="3"/>
              <w:spacing w:after="0" w:line="150" w:lineRule="exact"/>
              <w:rPr>
                <w:sz w:val="20"/>
                <w:szCs w:val="20"/>
                <w:color w:val="auto"/>
              </w:rPr>
            </w:pPr>
            <w:r>
              <w:rPr>
                <w:rFonts w:ascii="Arial" w:cs="Arial" w:eastAsia="Arial" w:hAnsi="Arial"/>
                <w:sz w:val="13"/>
                <w:szCs w:val="13"/>
                <w:color w:val="auto"/>
                <w:w w:val="95"/>
              </w:rPr>
              <w:t xml:space="preserve">Smaller reporting company </w:t>
            </w:r>
            <w:r>
              <w:rPr>
                <w:rFonts w:ascii="MS PGothic" w:cs="MS PGothic" w:eastAsia="MS PGothic" w:hAnsi="MS PGothic"/>
                <w:sz w:val="13"/>
                <w:szCs w:val="13"/>
                <w:color w:val="auto"/>
                <w:w w:val="95"/>
              </w:rPr>
              <w:t>☐</w:t>
            </w:r>
          </w:p>
        </w:tc>
      </w:tr>
      <w:tr>
        <w:trPr>
          <w:trHeight w:val="135"/>
        </w:trPr>
        <w:tc>
          <w:tcPr>
            <w:tcW w:w="1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580" w:type="dxa"/>
            <w:vAlign w:val="bottom"/>
            <w:gridSpan w:val="3"/>
          </w:tcPr>
          <w:p>
            <w:pPr>
              <w:jc w:val="center"/>
              <w:ind w:right="1041"/>
              <w:spacing w:after="0" w:line="135" w:lineRule="exact"/>
              <w:rPr>
                <w:sz w:val="20"/>
                <w:szCs w:val="20"/>
                <w:color w:val="auto"/>
              </w:rPr>
            </w:pPr>
            <w:r>
              <w:rPr>
                <w:rFonts w:ascii="Arial" w:cs="Arial" w:eastAsia="Arial" w:hAnsi="Arial"/>
                <w:sz w:val="13"/>
                <w:szCs w:val="13"/>
                <w:color w:val="auto"/>
                <w:w w:val="89"/>
              </w:rPr>
              <w:t>(Do not check if a smaller</w:t>
            </w:r>
          </w:p>
        </w:tc>
        <w:tc>
          <w:tcPr>
            <w:tcW w:w="30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60"/>
        </w:trPr>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60" w:type="dxa"/>
            <w:vAlign w:val="bottom"/>
            <w:gridSpan w:val="2"/>
          </w:tcPr>
          <w:p>
            <w:pPr>
              <w:jc w:val="center"/>
              <w:ind w:left="197"/>
              <w:spacing w:after="0"/>
              <w:rPr>
                <w:sz w:val="20"/>
                <w:szCs w:val="20"/>
                <w:color w:val="auto"/>
              </w:rPr>
            </w:pPr>
            <w:r>
              <w:rPr>
                <w:rFonts w:ascii="Arial" w:cs="Arial" w:eastAsia="Arial" w:hAnsi="Arial"/>
                <w:sz w:val="13"/>
                <w:szCs w:val="13"/>
                <w:color w:val="auto"/>
                <w:w w:val="89"/>
              </w:rPr>
              <w:t>reporting company)</w:t>
            </w: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39"/>
        </w:trPr>
        <w:tc>
          <w:tcPr>
            <w:tcW w:w="1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3"/>
                <w:szCs w:val="13"/>
                <w:b w:val="1"/>
                <w:bCs w:val="1"/>
                <w:color w:val="auto"/>
              </w:rPr>
              <w:t>CALCULATION OF REGISTRATION FEE</w:t>
            </w:r>
          </w:p>
        </w:tc>
        <w:tc>
          <w:tcPr>
            <w:tcW w:w="1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112"/>
        </w:trPr>
        <w:tc>
          <w:tcPr>
            <w:tcW w:w="1940" w:type="dxa"/>
            <w:vAlign w:val="bottom"/>
            <w:tcBorders>
              <w:right w:val="single" w:sz="8" w:color="auto"/>
            </w:tcBorders>
          </w:tcPr>
          <w:p>
            <w:pPr>
              <w:ind w:left="420"/>
              <w:spacing w:after="0" w:line="112" w:lineRule="exact"/>
              <w:rPr>
                <w:sz w:val="20"/>
                <w:szCs w:val="20"/>
                <w:color w:val="auto"/>
              </w:rPr>
            </w:pPr>
            <w:r>
              <w:rPr>
                <w:rFonts w:ascii="Arial" w:cs="Arial" w:eastAsia="Arial" w:hAnsi="Arial"/>
                <w:sz w:val="11"/>
                <w:szCs w:val="11"/>
                <w:color w:val="auto"/>
              </w:rPr>
              <w:t>Title of each class of</w:t>
            </w: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80" w:type="dxa"/>
            <w:vAlign w:val="bottom"/>
          </w:tcPr>
          <w:p>
            <w:pPr>
              <w:jc w:val="center"/>
              <w:spacing w:after="0" w:line="112" w:lineRule="exact"/>
              <w:rPr>
                <w:sz w:val="20"/>
                <w:szCs w:val="20"/>
                <w:color w:val="auto"/>
              </w:rPr>
            </w:pPr>
            <w:r>
              <w:rPr>
                <w:rFonts w:ascii="Arial" w:cs="Arial" w:eastAsia="Arial" w:hAnsi="Arial"/>
                <w:sz w:val="11"/>
                <w:szCs w:val="11"/>
                <w:color w:val="auto"/>
                <w:w w:val="89"/>
              </w:rPr>
              <w:t>Proposed Maximum Offering</w:t>
            </w:r>
          </w:p>
        </w:tc>
        <w:tc>
          <w:tcPr>
            <w:tcW w:w="460" w:type="dxa"/>
            <w:vAlign w:val="bottom"/>
            <w:tcBorders>
              <w:right w:val="single" w:sz="8" w:color="auto"/>
            </w:tcBorders>
          </w:tcPr>
          <w:p>
            <w:pPr>
              <w:spacing w:after="0"/>
              <w:rPr>
                <w:sz w:val="9"/>
                <w:szCs w:val="9"/>
                <w:color w:val="auto"/>
              </w:rPr>
            </w:pPr>
          </w:p>
        </w:tc>
        <w:tc>
          <w:tcPr>
            <w:tcW w:w="2120" w:type="dxa"/>
            <w:vAlign w:val="bottom"/>
            <w:tcBorders>
              <w:right w:val="single" w:sz="8" w:color="auto"/>
            </w:tcBorders>
            <w:gridSpan w:val="2"/>
          </w:tcPr>
          <w:p>
            <w:pPr>
              <w:jc w:val="center"/>
              <w:ind w:left="28"/>
              <w:spacing w:after="0" w:line="112" w:lineRule="exact"/>
              <w:rPr>
                <w:sz w:val="20"/>
                <w:szCs w:val="20"/>
                <w:color w:val="auto"/>
              </w:rPr>
            </w:pPr>
            <w:r>
              <w:rPr>
                <w:rFonts w:ascii="Arial" w:cs="Arial" w:eastAsia="Arial" w:hAnsi="Arial"/>
                <w:sz w:val="11"/>
                <w:szCs w:val="11"/>
                <w:color w:val="auto"/>
                <w:w w:val="89"/>
              </w:rPr>
              <w:t>Proposed Maximum Aggregate</w:t>
            </w:r>
          </w:p>
        </w:tc>
        <w:tc>
          <w:tcPr>
            <w:tcW w:w="300" w:type="dxa"/>
            <w:vAlign w:val="bottom"/>
          </w:tcPr>
          <w:p>
            <w:pPr>
              <w:spacing w:after="0"/>
              <w:rPr>
                <w:sz w:val="9"/>
                <w:szCs w:val="9"/>
                <w:color w:val="auto"/>
              </w:rPr>
            </w:pPr>
          </w:p>
        </w:tc>
        <w:tc>
          <w:tcPr>
            <w:tcW w:w="1720" w:type="dxa"/>
            <w:vAlign w:val="bottom"/>
          </w:tcPr>
          <w:p>
            <w:pPr>
              <w:spacing w:after="0"/>
              <w:rPr>
                <w:sz w:val="9"/>
                <w:szCs w:val="9"/>
                <w:color w:val="auto"/>
              </w:rPr>
            </w:pPr>
          </w:p>
        </w:tc>
      </w:tr>
      <w:tr>
        <w:trPr>
          <w:trHeight w:val="131"/>
        </w:trPr>
        <w:tc>
          <w:tcPr>
            <w:tcW w:w="19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1"/>
                <w:szCs w:val="11"/>
                <w:color w:val="auto"/>
              </w:rPr>
              <w:t>securities to be registered</w:t>
            </w:r>
          </w:p>
        </w:tc>
        <w:tc>
          <w:tcPr>
            <w:tcW w:w="240" w:type="dxa"/>
            <w:vAlign w:val="bottom"/>
            <w:tcBorders>
              <w:bottom w:val="single" w:sz="8" w:color="auto"/>
            </w:tcBorders>
          </w:tcPr>
          <w:p>
            <w:pPr>
              <w:spacing w:after="0"/>
              <w:rPr>
                <w:sz w:val="11"/>
                <w:szCs w:val="11"/>
                <w:color w:val="auto"/>
              </w:rPr>
            </w:pPr>
          </w:p>
        </w:tc>
        <w:tc>
          <w:tcPr>
            <w:tcW w:w="1680" w:type="dxa"/>
            <w:vAlign w:val="bottom"/>
            <w:tcBorders>
              <w:bottom w:val="single" w:sz="8" w:color="auto"/>
              <w:right w:val="single" w:sz="8" w:color="auto"/>
            </w:tcBorders>
            <w:gridSpan w:val="2"/>
          </w:tcPr>
          <w:p>
            <w:pPr>
              <w:jc w:val="right"/>
              <w:ind w:right="237"/>
              <w:spacing w:after="0"/>
              <w:rPr>
                <w:sz w:val="20"/>
                <w:szCs w:val="20"/>
                <w:color w:val="auto"/>
              </w:rPr>
            </w:pPr>
            <w:r>
              <w:rPr>
                <w:rFonts w:ascii="Arial" w:cs="Arial" w:eastAsia="Arial" w:hAnsi="Arial"/>
                <w:sz w:val="11"/>
                <w:szCs w:val="11"/>
                <w:color w:val="auto"/>
              </w:rPr>
              <w:t>Amount to be Registered(1)</w:t>
            </w:r>
          </w:p>
        </w:tc>
        <w:tc>
          <w:tcPr>
            <w:tcW w:w="4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2"/>
              </w:rPr>
              <w:t>Price Per Unit (2)</w:t>
            </w:r>
          </w:p>
        </w:tc>
        <w:tc>
          <w:tcPr>
            <w:tcW w:w="460" w:type="dxa"/>
            <w:vAlign w:val="bottom"/>
            <w:tcBorders>
              <w:bottom w:val="single" w:sz="8" w:color="auto"/>
              <w:right w:val="single" w:sz="8" w:color="auto"/>
            </w:tcBorders>
          </w:tcPr>
          <w:p>
            <w:pPr>
              <w:spacing w:after="0"/>
              <w:rPr>
                <w:sz w:val="11"/>
                <w:szCs w:val="11"/>
                <w:color w:val="auto"/>
              </w:rPr>
            </w:pPr>
          </w:p>
        </w:tc>
        <w:tc>
          <w:tcPr>
            <w:tcW w:w="2120" w:type="dxa"/>
            <w:vAlign w:val="bottom"/>
            <w:tcBorders>
              <w:bottom w:val="single" w:sz="8" w:color="auto"/>
              <w:right w:val="single" w:sz="8" w:color="auto"/>
            </w:tcBorders>
            <w:gridSpan w:val="2"/>
          </w:tcPr>
          <w:p>
            <w:pPr>
              <w:jc w:val="center"/>
              <w:ind w:left="28"/>
              <w:spacing w:after="0"/>
              <w:rPr>
                <w:sz w:val="20"/>
                <w:szCs w:val="20"/>
                <w:color w:val="auto"/>
              </w:rPr>
            </w:pPr>
            <w:r>
              <w:rPr>
                <w:rFonts w:ascii="Arial" w:cs="Arial" w:eastAsia="Arial" w:hAnsi="Arial"/>
                <w:sz w:val="11"/>
                <w:szCs w:val="11"/>
                <w:color w:val="auto"/>
                <w:w w:val="90"/>
              </w:rPr>
              <w:t>Offering Price (3)</w:t>
            </w:r>
          </w:p>
        </w:tc>
        <w:tc>
          <w:tcPr>
            <w:tcW w:w="30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Amount of Registration Fee</w:t>
            </w:r>
          </w:p>
        </w:tc>
      </w:tr>
      <w:tr>
        <w:trPr>
          <w:trHeight w:val="105"/>
        </w:trPr>
        <w:tc>
          <w:tcPr>
            <w:tcW w:w="1940" w:type="dxa"/>
            <w:vAlign w:val="bottom"/>
            <w:tcBorders>
              <w:right w:val="single" w:sz="8" w:color="auto"/>
            </w:tcBorders>
          </w:tcPr>
          <w:p>
            <w:pPr>
              <w:ind w:left="140"/>
              <w:spacing w:after="0" w:line="105" w:lineRule="exact"/>
              <w:rPr>
                <w:sz w:val="20"/>
                <w:szCs w:val="20"/>
                <w:color w:val="auto"/>
              </w:rPr>
            </w:pPr>
            <w:r>
              <w:rPr>
                <w:rFonts w:ascii="Arial" w:cs="Arial" w:eastAsia="Arial" w:hAnsi="Arial"/>
                <w:sz w:val="11"/>
                <w:szCs w:val="11"/>
                <w:color w:val="auto"/>
              </w:rPr>
              <w:t>Common Stock, par value $0.001</w:t>
            </w: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720" w:type="dxa"/>
            <w:vAlign w:val="bottom"/>
          </w:tcPr>
          <w:p>
            <w:pPr>
              <w:spacing w:after="0"/>
              <w:rPr>
                <w:sz w:val="9"/>
                <w:szCs w:val="9"/>
                <w:color w:val="auto"/>
              </w:rPr>
            </w:pPr>
          </w:p>
        </w:tc>
      </w:tr>
      <w:tr>
        <w:trPr>
          <w:trHeight w:val="131"/>
        </w:trPr>
        <w:tc>
          <w:tcPr>
            <w:tcW w:w="19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1"/>
                <w:szCs w:val="11"/>
                <w:color w:val="auto"/>
              </w:rPr>
              <w:t>per share</w:t>
            </w:r>
          </w:p>
        </w:tc>
        <w:tc>
          <w:tcPr>
            <w:tcW w:w="2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40" w:type="dxa"/>
            <w:vAlign w:val="bottom"/>
            <w:tcBorders>
              <w:bottom w:val="single" w:sz="8" w:color="auto"/>
              <w:right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r>
      <w:tr>
        <w:trPr>
          <w:trHeight w:val="210"/>
        </w:trPr>
        <w:tc>
          <w:tcPr>
            <w:tcW w:w="19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1"/>
                <w:szCs w:val="11"/>
                <w:color w:val="auto"/>
              </w:rPr>
              <w:t>Preferred Stock</w:t>
            </w: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r>
      <w:tr>
        <w:trPr>
          <w:trHeight w:val="210"/>
        </w:trPr>
        <w:tc>
          <w:tcPr>
            <w:tcW w:w="19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1"/>
                <w:szCs w:val="11"/>
                <w:color w:val="auto"/>
              </w:rPr>
              <w:t>Debt Securities</w:t>
            </w: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r>
      <w:tr>
        <w:trPr>
          <w:trHeight w:val="210"/>
        </w:trPr>
        <w:tc>
          <w:tcPr>
            <w:tcW w:w="19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1"/>
                <w:szCs w:val="11"/>
                <w:color w:val="auto"/>
              </w:rPr>
              <w:t>Depositary Shares (4)</w:t>
            </w: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r>
      <w:tr>
        <w:trPr>
          <w:trHeight w:val="210"/>
        </w:trPr>
        <w:tc>
          <w:tcPr>
            <w:tcW w:w="19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1"/>
                <w:szCs w:val="11"/>
                <w:color w:val="auto"/>
              </w:rPr>
              <w:t>Purchase Contracts</w:t>
            </w: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r>
      <w:tr>
        <w:trPr>
          <w:trHeight w:val="210"/>
        </w:trPr>
        <w:tc>
          <w:tcPr>
            <w:tcW w:w="19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1"/>
                <w:szCs w:val="11"/>
                <w:color w:val="auto"/>
              </w:rPr>
              <w:t>Purchase Units</w:t>
            </w: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r>
      <w:tr>
        <w:trPr>
          <w:trHeight w:val="210"/>
        </w:trPr>
        <w:tc>
          <w:tcPr>
            <w:tcW w:w="19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1"/>
                <w:szCs w:val="11"/>
                <w:color w:val="auto"/>
              </w:rPr>
              <w:t>Warrants</w:t>
            </w: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r>
      <w:tr>
        <w:trPr>
          <w:trHeight w:val="217"/>
        </w:trPr>
        <w:tc>
          <w:tcPr>
            <w:tcW w:w="194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1"/>
                <w:szCs w:val="11"/>
                <w:color w:val="auto"/>
              </w:rPr>
              <w:t>Total</w:t>
            </w: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1"/>
                <w:szCs w:val="11"/>
                <w:color w:val="auto"/>
              </w:rPr>
              <w:t>250,000,000</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jc w:val="right"/>
              <w:ind w:right="688"/>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250,000,000</w:t>
            </w:r>
          </w:p>
        </w:tc>
        <w:tc>
          <w:tcPr>
            <w:tcW w:w="3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25,175.00 (5)</w:t>
            </w:r>
          </w:p>
        </w:tc>
      </w:tr>
      <w:tr>
        <w:trPr>
          <w:trHeight w:val="108"/>
        </w:trPr>
        <w:tc>
          <w:tcPr>
            <w:tcW w:w="19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20" w:type="dxa"/>
            <w:vAlign w:val="bottom"/>
          </w:tcPr>
          <w:p>
            <w:pPr>
              <w:spacing w:after="0"/>
              <w:rPr>
                <w:sz w:val="9"/>
                <w:szCs w:val="9"/>
                <w:color w:val="auto"/>
              </w:rPr>
            </w:pPr>
          </w:p>
        </w:tc>
      </w:tr>
    </w:tbl>
    <w:p>
      <w:pPr>
        <w:spacing w:after="0" w:line="94" w:lineRule="exact"/>
        <w:rPr>
          <w:sz w:val="24"/>
          <w:szCs w:val="24"/>
          <w:color w:val="auto"/>
        </w:rPr>
      </w:pPr>
    </w:p>
    <w:p>
      <w:pPr>
        <w:ind w:left="540" w:right="60" w:hanging="205"/>
        <w:spacing w:after="0" w:line="281" w:lineRule="auto"/>
        <w:tabs>
          <w:tab w:leader="none" w:pos="540" w:val="left"/>
        </w:tabs>
        <w:numPr>
          <w:ilvl w:val="0"/>
          <w:numId w:val="1"/>
        </w:numPr>
        <w:rPr>
          <w:rFonts w:ascii="Arial" w:cs="Arial" w:eastAsia="Arial" w:hAnsi="Arial"/>
          <w:sz w:val="11"/>
          <w:szCs w:val="11"/>
          <w:color w:val="auto"/>
        </w:rPr>
      </w:pPr>
      <w:r>
        <w:rPr>
          <w:rFonts w:ascii="Arial" w:cs="Arial" w:eastAsia="Arial" w:hAnsi="Arial"/>
          <w:sz w:val="11"/>
          <w:szCs w:val="11"/>
          <w:color w:val="auto"/>
        </w:rPr>
        <w:t>The amount to be registered consists of up to $250,000,000 of 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or that are represented by depositary shares. Separate consideration may or may not be received for securities that are issuable upon conversion, exercise or exchange of other securities.</w:t>
      </w:r>
    </w:p>
    <w:p>
      <w:pPr>
        <w:spacing w:after="0" w:line="1" w:lineRule="exact"/>
        <w:rPr>
          <w:rFonts w:ascii="Arial" w:cs="Arial" w:eastAsia="Arial" w:hAnsi="Arial"/>
          <w:sz w:val="11"/>
          <w:szCs w:val="11"/>
          <w:color w:val="auto"/>
        </w:rPr>
      </w:pPr>
    </w:p>
    <w:p>
      <w:pPr>
        <w:ind w:left="540" w:right="380" w:hanging="205"/>
        <w:spacing w:after="0" w:line="270" w:lineRule="auto"/>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proposed maximum aggregate offering price per unit will be determined from time to time by the Registrant in connection with the sale and issuance by the Registrant of the securities registered hereunder and is not specified as to each class of security pursuant to General Instruction II.D. of Form S-3 under the Securities Act.</w:t>
      </w:r>
    </w:p>
    <w:p>
      <w:pPr>
        <w:ind w:left="640" w:hanging="305"/>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457(o) under the Securities Act.</w:t>
      </w:r>
    </w:p>
    <w:p>
      <w:pPr>
        <w:spacing w:after="0" w:line="26" w:lineRule="exact"/>
        <w:rPr>
          <w:rFonts w:ascii="Arial" w:cs="Arial" w:eastAsia="Arial" w:hAnsi="Arial"/>
          <w:sz w:val="13"/>
          <w:szCs w:val="13"/>
          <w:color w:val="auto"/>
        </w:rPr>
      </w:pPr>
    </w:p>
    <w:p>
      <w:pPr>
        <w:ind w:left="540" w:hanging="205"/>
        <w:spacing w:after="0"/>
        <w:tabs>
          <w:tab w:leader="none" w:pos="540" w:val="left"/>
        </w:tabs>
        <w:numPr>
          <w:ilvl w:val="0"/>
          <w:numId w:val="1"/>
        </w:numPr>
        <w:rPr>
          <w:rFonts w:ascii="Arial" w:cs="Arial" w:eastAsia="Arial" w:hAnsi="Arial"/>
          <w:sz w:val="11"/>
          <w:szCs w:val="11"/>
          <w:color w:val="auto"/>
        </w:rPr>
      </w:pPr>
      <w:r>
        <w:rPr>
          <w:rFonts w:ascii="Arial" w:cs="Arial" w:eastAsia="Arial" w:hAnsi="Arial"/>
          <w:sz w:val="11"/>
          <w:szCs w:val="11"/>
          <w:color w:val="auto"/>
        </w:rPr>
        <w:t>Each depositary share will be issued under a deposit agreement, will represent an interest in a fractional share or multiple shares of preferred stock and will be evidenced by a depositary receipt.</w:t>
      </w:r>
    </w:p>
    <w:p>
      <w:pPr>
        <w:spacing w:after="0" w:line="49" w:lineRule="exact"/>
        <w:rPr>
          <w:rFonts w:ascii="Arial" w:cs="Arial" w:eastAsia="Arial" w:hAnsi="Arial"/>
          <w:sz w:val="11"/>
          <w:szCs w:val="11"/>
          <w:color w:val="auto"/>
        </w:rPr>
      </w:pPr>
    </w:p>
    <w:p>
      <w:pPr>
        <w:ind w:left="840" w:hanging="505"/>
        <w:spacing w:after="0"/>
        <w:tabs>
          <w:tab w:leader="none" w:pos="840" w:val="left"/>
        </w:tabs>
        <w:numPr>
          <w:ilvl w:val="0"/>
          <w:numId w:val="1"/>
        </w:numPr>
        <w:rPr>
          <w:rFonts w:ascii="Arial" w:cs="Arial" w:eastAsia="Arial" w:hAnsi="Arial"/>
          <w:sz w:val="13"/>
          <w:szCs w:val="13"/>
          <w:color w:val="auto"/>
        </w:rPr>
      </w:pPr>
      <w:r>
        <w:rPr>
          <w:rFonts w:ascii="Arial" w:cs="Arial" w:eastAsia="Arial" w:hAnsi="Arial"/>
          <w:sz w:val="13"/>
          <w:szCs w:val="13"/>
          <w:color w:val="auto"/>
        </w:rPr>
        <w:t>Calculated pursuant to Rule 457(o)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93980</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45" w:lineRule="exact"/>
        <w:rPr>
          <w:sz w:val="24"/>
          <w:szCs w:val="24"/>
          <w:color w:val="auto"/>
        </w:rPr>
      </w:pPr>
    </w:p>
    <w:p>
      <w:pPr>
        <w:ind w:left="20"/>
        <w:spacing w:after="0" w:line="257"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66122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66122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40" w:top="233" w:right="79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May 10, 2016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$250,000,000</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Blueprint Medicines Corporation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Depositary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Units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103"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We may offer and sell securities from time to time in one or more offerings of up to $250,000,000 in aggregate dollar amount. This prospectus describes the general terms of these securities and the general manner in which these securities will be offered. We will provide the specific terms of these securities in one or more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or amendment carefully before you invest in our securities.</w:t>
      </w:r>
    </w:p>
    <w:p>
      <w:pPr>
        <w:spacing w:after="0" w:line="124"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Select Market under the symbol “BPMC.”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126365</wp:posOffset>
            </wp:positionV>
            <wp:extent cx="14319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82" w:lineRule="exact"/>
        <w:rPr>
          <w:sz w:val="20"/>
          <w:szCs w:val="20"/>
          <w:color w:val="auto"/>
        </w:rPr>
      </w:pPr>
    </w:p>
    <w:p>
      <w:pPr>
        <w:jc w:val="both"/>
        <w:ind w:right="440" w:firstLine="648"/>
        <w:spacing w:after="0" w:line="289" w:lineRule="auto"/>
        <w:rPr>
          <w:sz w:val="20"/>
          <w:szCs w:val="20"/>
          <w:color w:val="auto"/>
        </w:rPr>
      </w:pPr>
      <w:r>
        <w:rPr>
          <w:rFonts w:ascii="Arial" w:cs="Arial" w:eastAsia="Arial" w:hAnsi="Arial"/>
          <w:sz w:val="17"/>
          <w:szCs w:val="17"/>
          <w:b w:val="1"/>
          <w:bCs w:val="1"/>
          <w:color w:val="auto"/>
        </w:rPr>
        <w:t>Investing in these securities involves significant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43180</wp:posOffset>
            </wp:positionV>
            <wp:extent cx="14319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16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ind w:left="2900"/>
              <w:spacing w:after="0"/>
              <w:rPr>
                <w:sz w:val="20"/>
                <w:szCs w:val="20"/>
                <w:color w:val="auto"/>
              </w:rPr>
            </w:pPr>
            <w:r>
              <w:rPr>
                <w:rFonts w:ascii="Arial" w:cs="Arial" w:eastAsia="Arial" w:hAnsi="Arial"/>
                <w:sz w:val="18"/>
                <w:szCs w:val="18"/>
                <w:color w:val="auto"/>
              </w:rPr>
              <w:t>The date of this prospectus is</w:t>
            </w:r>
          </w:p>
        </w:tc>
        <w:tc>
          <w:tcPr>
            <w:tcW w:w="3700" w:type="dxa"/>
            <w:vAlign w:val="bottom"/>
          </w:tcPr>
          <w:p>
            <w:pPr>
              <w:jc w:val="right"/>
              <w:ind w:right="2790"/>
              <w:spacing w:after="0"/>
              <w:rPr>
                <w:sz w:val="20"/>
                <w:szCs w:val="20"/>
                <w:color w:val="auto"/>
              </w:rPr>
            </w:pPr>
            <w:r>
              <w:rPr>
                <w:rFonts w:ascii="Arial" w:cs="Arial" w:eastAsia="Arial" w:hAnsi="Arial"/>
                <w:sz w:val="18"/>
                <w:szCs w:val="18"/>
                <w:color w:val="auto"/>
              </w:rPr>
              <w:t>, 2016</w:t>
            </w:r>
          </w:p>
        </w:tc>
      </w:tr>
      <w:tr>
        <w:trPr>
          <w:trHeight w:val="561"/>
        </w:trPr>
        <w:tc>
          <w:tcPr>
            <w:tcW w:w="53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gridSpan w:val="19"/>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860" w:type="dxa"/>
            <w:vAlign w:val="bottom"/>
          </w:tcPr>
          <w:p>
            <w:pPr>
              <w:spacing w:after="0"/>
              <w:rPr>
                <w:sz w:val="17"/>
                <w:szCs w:val="17"/>
                <w:color w:val="auto"/>
              </w:rPr>
            </w:pPr>
          </w:p>
        </w:tc>
      </w:tr>
      <w:tr>
        <w:trPr>
          <w:trHeight w:val="777"/>
        </w:trPr>
        <w:tc>
          <w:tcPr>
            <w:tcW w:w="78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80" w:type="dxa"/>
            <w:vAlign w:val="bottom"/>
            <w:gridSpan w:val="4"/>
          </w:tcPr>
          <w:p>
            <w:pPr>
              <w:ind w:left="260"/>
              <w:spacing w:after="0"/>
              <w:rPr>
                <w:sz w:val="20"/>
                <w:szCs w:val="20"/>
                <w:color w:val="auto"/>
              </w:rPr>
            </w:pPr>
            <w:r>
              <w:rPr>
                <w:rFonts w:ascii="Arial" w:cs="Arial" w:eastAsia="Arial" w:hAnsi="Arial"/>
                <w:sz w:val="18"/>
                <w:szCs w:val="18"/>
                <w:b w:val="1"/>
                <w:bCs w:val="1"/>
                <w:color w:val="auto"/>
              </w:rPr>
              <w:t>TABLE OF CONTENTS</w:t>
            </w:r>
          </w:p>
        </w:tc>
        <w:tc>
          <w:tcPr>
            <w:tcW w:w="1860" w:type="dxa"/>
            <w:vAlign w:val="bottom"/>
          </w:tcPr>
          <w:p>
            <w:pPr>
              <w:spacing w:after="0"/>
              <w:rPr>
                <w:sz w:val="24"/>
                <w:szCs w:val="24"/>
                <w:color w:val="auto"/>
              </w:rPr>
            </w:pPr>
          </w:p>
        </w:tc>
      </w:tr>
      <w:tr>
        <w:trPr>
          <w:trHeight w:val="351"/>
        </w:trPr>
        <w:tc>
          <w:tcPr>
            <w:tcW w:w="22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ABOUT THIS PROSPECTUS</w:t>
              </w:r>
            </w:hyperlink>
          </w:p>
        </w:tc>
        <w:tc>
          <w:tcPr>
            <w:tcW w:w="4960" w:type="dxa"/>
            <w:vAlign w:val="bottom"/>
            <w:gridSpan w:val="10"/>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126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RISK FACTORS</w:t>
              </w:r>
            </w:hyperlink>
          </w:p>
        </w:tc>
        <w:tc>
          <w:tcPr>
            <w:tcW w:w="5940" w:type="dxa"/>
            <w:vAlign w:val="bottom"/>
            <w:gridSpan w:val="16"/>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382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WHERE YOU CAN FIND MORE INFORMATION</w:t>
              </w:r>
            </w:hyperlink>
          </w:p>
        </w:tc>
        <w:tc>
          <w:tcPr>
            <w:tcW w:w="3380" w:type="dxa"/>
            <w:vAlign w:val="bottom"/>
            <w:gridSpan w:val="3"/>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720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INCORPORATION BY REFERENCE</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12"/>
        </w:trPr>
        <w:tc>
          <w:tcPr>
            <w:tcW w:w="294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FORWARD-LOOKING STATEMENTS</w:t>
              </w:r>
            </w:hyperlink>
          </w:p>
        </w:tc>
        <w:tc>
          <w:tcPr>
            <w:tcW w:w="4260" w:type="dxa"/>
            <w:vAlign w:val="bottom"/>
            <w:gridSpan w:val="6"/>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720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BLUEPRINT MEDICINES CORPORATION</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12"/>
        </w:trPr>
        <w:tc>
          <w:tcPr>
            <w:tcW w:w="5020" w:type="dxa"/>
            <w:vAlign w:val="bottom"/>
            <w:tcBorders>
              <w:bottom w:val="single" w:sz="8" w:color="0000EE"/>
            </w:tcBorders>
            <w:gridSpan w:val="17"/>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CONSOLIDATED RATIOS OF EARNINGS TO FIXED CHARGES</w:t>
              </w:r>
            </w:hyperlink>
          </w:p>
        </w:tc>
        <w:tc>
          <w:tcPr>
            <w:tcW w:w="2180" w:type="dxa"/>
            <w:vAlign w:val="bottom"/>
            <w:gridSpan w:val="2"/>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7200" w:type="dxa"/>
            <w:vAlign w:val="bottom"/>
            <w:gridSpan w:val="1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1580" w:type="dxa"/>
            <w:vAlign w:val="bottom"/>
            <w:tcBorders>
              <w:top w:val="single" w:sz="8" w:color="0000EE"/>
            </w:tcBorders>
            <w:gridSpan w:val="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DILUTION</w:t>
              </w:r>
            </w:hyperlink>
          </w:p>
        </w:tc>
        <w:tc>
          <w:tcPr>
            <w:tcW w:w="5620" w:type="dxa"/>
            <w:vAlign w:val="bottom"/>
            <w:gridSpan w:val="13"/>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12"/>
        </w:trPr>
        <w:tc>
          <w:tcPr>
            <w:tcW w:w="288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12">
              <w:r>
                <w:rPr>
                  <w:rFonts w:ascii="Arial" w:cs="Arial" w:eastAsia="Arial" w:hAnsi="Arial"/>
                  <w:sz w:val="18"/>
                  <w:szCs w:val="18"/>
                  <w:color w:val="0000EE"/>
                  <w:w w:val="95"/>
                </w:rPr>
                <w:t>DESCRIPTION OF CAPITAL STOCK</w:t>
              </w:r>
            </w:hyperlink>
          </w:p>
        </w:tc>
        <w:tc>
          <w:tcPr>
            <w:tcW w:w="4320" w:type="dxa"/>
            <w:vAlign w:val="bottom"/>
            <w:gridSpan w:val="7"/>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2"/>
        </w:trPr>
        <w:tc>
          <w:tcPr>
            <w:tcW w:w="720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DESCRIPTION OF DEBT SECURITIES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12"/>
        </w:trPr>
        <w:tc>
          <w:tcPr>
            <w:tcW w:w="720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DESCRIPTION OF DEPOSITARY SHARES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12"/>
        </w:trPr>
        <w:tc>
          <w:tcPr>
            <w:tcW w:w="720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DESCRIPTION OF PURCHASE CONTRACTS AND PURCHASE UNITS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5540" w:type="dxa"/>
            <w:vAlign w:val="bottom"/>
            <w:tcBorders>
              <w:top w:val="single" w:sz="8" w:color="0000EE"/>
            </w:tcBorders>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DESCRIPTION OF WARRANTS</w:t>
              </w:r>
            </w:hyperlink>
          </w:p>
        </w:tc>
        <w:tc>
          <w:tcPr>
            <w:tcW w:w="16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19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3"/>
              </w:rPr>
            </w:pPr>
            <w:hyperlink w:anchor="page38">
              <w:r>
                <w:rPr>
                  <w:rFonts w:ascii="Arial" w:cs="Arial" w:eastAsia="Arial" w:hAnsi="Arial"/>
                  <w:sz w:val="18"/>
                  <w:szCs w:val="18"/>
                  <w:color w:val="0000EE"/>
                  <w:w w:val="93"/>
                </w:rPr>
                <w:t>FORMS OF SECURITIES</w:t>
              </w:r>
            </w:hyperlink>
          </w:p>
        </w:tc>
        <w:tc>
          <w:tcPr>
            <w:tcW w:w="520" w:type="dxa"/>
            <w:vAlign w:val="bottom"/>
            <w:tcBorders>
              <w:top w:val="single" w:sz="8" w:color="0000EE"/>
            </w:tcBorders>
            <w:gridSpan w:val="3"/>
          </w:tcPr>
          <w:p>
            <w:pPr>
              <w:spacing w:after="0"/>
              <w:rPr>
                <w:sz w:val="24"/>
                <w:szCs w:val="24"/>
                <w:color w:val="auto"/>
              </w:rPr>
            </w:pPr>
          </w:p>
        </w:tc>
        <w:tc>
          <w:tcPr>
            <w:tcW w:w="4720" w:type="dxa"/>
            <w:vAlign w:val="bottom"/>
            <w:gridSpan w:val="9"/>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206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40">
              <w:r>
                <w:rPr>
                  <w:rFonts w:ascii="Arial" w:cs="Arial" w:eastAsia="Arial" w:hAnsi="Arial"/>
                  <w:sz w:val="18"/>
                  <w:szCs w:val="18"/>
                  <w:color w:val="0000EE"/>
                  <w:w w:val="97"/>
                </w:rPr>
                <w:t>PLAN OF DISTRIBUTION</w:t>
              </w:r>
            </w:hyperlink>
          </w:p>
        </w:tc>
        <w:tc>
          <w:tcPr>
            <w:tcW w:w="5140" w:type="dxa"/>
            <w:vAlign w:val="bottom"/>
            <w:gridSpan w:val="11"/>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2"/>
        </w:trPr>
        <w:tc>
          <w:tcPr>
            <w:tcW w:w="146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43">
              <w:r>
                <w:rPr>
                  <w:rFonts w:ascii="Arial" w:cs="Arial" w:eastAsia="Arial" w:hAnsi="Arial"/>
                  <w:sz w:val="18"/>
                  <w:szCs w:val="18"/>
                  <w:color w:val="0000EE"/>
                  <w:w w:val="96"/>
                </w:rPr>
                <w:t>LEGAL MATTERS</w:t>
              </w:r>
            </w:hyperlink>
          </w:p>
        </w:tc>
        <w:tc>
          <w:tcPr>
            <w:tcW w:w="5740" w:type="dxa"/>
            <w:vAlign w:val="bottom"/>
            <w:gridSpan w:val="14"/>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2"/>
        </w:trPr>
        <w:tc>
          <w:tcPr>
            <w:tcW w:w="7200" w:type="dxa"/>
            <w:vAlign w:val="bottom"/>
            <w:gridSpan w:val="1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EXPERTS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1027"/>
        </w:trPr>
        <w:tc>
          <w:tcPr>
            <w:tcW w:w="78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9" w:firstLine="648"/>
        <w:spacing w:after="0" w:line="259"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initial offering price of up to $250,000,000.</w:t>
      </w:r>
    </w:p>
    <w:p>
      <w:pPr>
        <w:spacing w:after="0" w:line="146" w:lineRule="exact"/>
        <w:rPr>
          <w:sz w:val="20"/>
          <w:szCs w:val="20"/>
          <w:color w:val="auto"/>
        </w:rPr>
      </w:pPr>
    </w:p>
    <w:p>
      <w:pPr>
        <w:ind w:right="59" w:firstLine="648"/>
        <w:spacing w:after="0" w:line="297"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3 of this prospectus.</w:t>
      </w:r>
    </w:p>
    <w:p>
      <w:pPr>
        <w:spacing w:after="0" w:line="131" w:lineRule="exact"/>
        <w:rPr>
          <w:sz w:val="20"/>
          <w:szCs w:val="20"/>
          <w:color w:val="auto"/>
        </w:rPr>
      </w:pPr>
    </w:p>
    <w:p>
      <w:pPr>
        <w:ind w:right="79" w:firstLine="648"/>
        <w:spacing w:after="0" w:line="270" w:lineRule="auto"/>
        <w:rPr>
          <w:sz w:val="20"/>
          <w:szCs w:val="20"/>
          <w:color w:val="auto"/>
        </w:rPr>
      </w:pPr>
      <w:r>
        <w:rPr>
          <w:rFonts w:ascii="Arial" w:cs="Arial" w:eastAsia="Arial" w:hAnsi="Arial"/>
          <w:sz w:val="17"/>
          <w:szCs w:val="17"/>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41" w:lineRule="exact"/>
        <w:rPr>
          <w:sz w:val="20"/>
          <w:szCs w:val="20"/>
          <w:color w:val="auto"/>
        </w:rPr>
      </w:pPr>
    </w:p>
    <w:p>
      <w:pPr>
        <w:ind w:right="419" w:firstLine="648"/>
        <w:spacing w:after="0" w:line="286" w:lineRule="auto"/>
        <w:rPr>
          <w:sz w:val="20"/>
          <w:szCs w:val="20"/>
          <w:color w:val="auto"/>
        </w:rPr>
      </w:pPr>
      <w:r>
        <w:rPr>
          <w:rFonts w:ascii="Arial" w:cs="Arial" w:eastAsia="Arial" w:hAnsi="Arial"/>
          <w:sz w:val="17"/>
          <w:szCs w:val="17"/>
          <w:i w:val="1"/>
          <w:iCs w:val="1"/>
          <w:color w:val="auto"/>
        </w:rPr>
        <w:t>Unless otherwise stated, all references in this prospectus to “us,” “our,” “Blueprint,” “Blueprint Medicines,” “we,” the “Company” and similar designations refer, collectively, to Blueprint Medicines Corporation, a Delaware corporation, and its consolidated subsidiary, Blueprint Medicines Security Corporation.</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39" w:firstLine="636"/>
        <w:spacing w:after="0" w:line="297" w:lineRule="auto"/>
        <w:rPr>
          <w:sz w:val="20"/>
          <w:szCs w:val="20"/>
          <w:color w:val="auto"/>
        </w:rPr>
      </w:pPr>
      <w:r>
        <w:rPr>
          <w:rFonts w:ascii="Arial" w:cs="Arial" w:eastAsia="Arial" w:hAnsi="Arial"/>
          <w:sz w:val="16"/>
          <w:szCs w:val="16"/>
          <w:color w:val="auto"/>
        </w:rPr>
        <w:t>Investing in our securities involves significant risks. You should carefully consider the risks and uncertainties described in this prospectus and any accompanying prospectus supplement, including the risk factors set forth in our filings with the SEC that are incorporated by reference herein, including the risk factors in our Annual Report on Form 10-K for the fiscal year ended December 31, 2015 and any of our subsequent filings with the SEC, before making an investment decision pursuant to this prospectus and any accompanying prospectus supplement relating to a specific offering.</w:t>
      </w:r>
    </w:p>
    <w:p>
      <w:pPr>
        <w:spacing w:after="0" w:line="118" w:lineRule="exact"/>
        <w:rPr>
          <w:sz w:val="20"/>
          <w:szCs w:val="20"/>
          <w:color w:val="auto"/>
        </w:rPr>
      </w:pPr>
    </w:p>
    <w:p>
      <w:pPr>
        <w:ind w:right="159" w:firstLine="636"/>
        <w:spacing w:after="0" w:line="264" w:lineRule="auto"/>
        <w:rPr>
          <w:sz w:val="20"/>
          <w:szCs w:val="20"/>
          <w:color w:val="auto"/>
        </w:rPr>
      </w:pPr>
      <w:r>
        <w:rPr>
          <w:rFonts w:ascii="Arial" w:cs="Arial" w:eastAsia="Arial" w:hAnsi="Arial"/>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and is not incorporated by reference in this prospectus. You may also read and copy any document we file at the SEC’s Public Reference Room, 100 F Street, N.E., Washington, D.C. 20549. Please call the SEC at 1-800-SEC-0330 for further information on the operation of the Public Reference Room.</w:t>
      </w:r>
    </w:p>
    <w:p>
      <w:pPr>
        <w:spacing w:after="0" w:line="11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001-37359) and any future filings we make with the SEC under Sections 13(a), 13(c), 14 or 15(d) of the Securities Exchange Act of 1934, as amended, or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w:t>
      </w:r>
    </w:p>
    <w:p>
      <w:pPr>
        <w:spacing w:after="0" w:line="112" w:lineRule="exact"/>
        <w:rPr>
          <w:sz w:val="20"/>
          <w:szCs w:val="20"/>
          <w:color w:val="auto"/>
        </w:rPr>
      </w:pPr>
    </w:p>
    <w:p>
      <w:pPr>
        <w:ind w:left="1080" w:right="200" w:hanging="105"/>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2015, including the information specifically incorporated by reference into the Annual Report on Form 10-K from our definitive proxy statement (other than information furnished rather than filed) for the 2016 Annual Meeting of Stockholders, which was filed with the SEC on April 28, 2016;</w:t>
      </w:r>
    </w:p>
    <w:p>
      <w:pPr>
        <w:spacing w:after="0" w:line="146" w:lineRule="exact"/>
        <w:rPr>
          <w:rFonts w:ascii="Arial" w:cs="Arial" w:eastAsia="Arial" w:hAnsi="Arial"/>
          <w:sz w:val="18"/>
          <w:szCs w:val="18"/>
          <w:color w:val="auto"/>
        </w:rPr>
      </w:pPr>
    </w:p>
    <w:p>
      <w:pPr>
        <w:ind w:left="1100" w:hanging="125"/>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 on Form 10-Q for the fiscal quarter ended March 31, 2016;</w:t>
      </w:r>
    </w:p>
    <w:p>
      <w:pPr>
        <w:spacing w:after="0" w:line="184" w:lineRule="exact"/>
        <w:rPr>
          <w:rFonts w:ascii="Arial" w:cs="Arial" w:eastAsia="Arial" w:hAnsi="Arial"/>
          <w:sz w:val="18"/>
          <w:szCs w:val="18"/>
          <w:color w:val="auto"/>
        </w:rPr>
      </w:pPr>
    </w:p>
    <w:p>
      <w:pPr>
        <w:ind w:left="1080" w:right="320" w:hanging="105"/>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Reports on Form 8-K filed on January 6, 2016, February 8, 2016, March 7, 2016, March 18, 2016 (solely with respect to Items 1.01 and 8.01) and April 15, 2016; and</w:t>
      </w:r>
    </w:p>
    <w:p>
      <w:pPr>
        <w:spacing w:after="0" w:line="129" w:lineRule="exact"/>
        <w:rPr>
          <w:rFonts w:ascii="Arial" w:cs="Arial" w:eastAsia="Arial" w:hAnsi="Arial"/>
          <w:sz w:val="18"/>
          <w:szCs w:val="18"/>
          <w:color w:val="auto"/>
        </w:rPr>
      </w:pPr>
    </w:p>
    <w:p>
      <w:pPr>
        <w:ind w:left="1080" w:right="60" w:hanging="105"/>
        <w:spacing w:after="0" w:line="308" w:lineRule="auto"/>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description of our common stock contained in our Registration Statement on Form 8-A filed on April 27, 2015, including any amendments or reports filed for the purpose of updating such description.</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You may request a copy of these filings, at no cost, by contacting us, either orally or in writing, at the following:</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Blueprint Medicines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 Sidney Street, Suite 200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Cambridge, Massachusetts 02139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Phone: (617) 714-6674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E-mail: ir@blueprintmedicines.com</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This prospectus and the information incorporated by reference in this prospectus include “forward-looking statements” within the meaning of Section 27A of the Securities Act of 1933, as amended, or the Securities Act, and Section 21E of the Exchange Act. All statements, other than statements of historical facts, contained or incorporated by reference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 the initiation, timing, progress and results of our pre-clinical studies and clinical trials, including our Phase 1 clinical trials for BLU-285 and BLU-554, and our research and development programs; our ability to advance drug candidates into, and successfully complete, clinical trials; the accuracy of our estimates regarding expenses, future revenues and capital requirements; the timing or likelihood of regulatory filings and approvals; the commercialization of our drug candidates, if approved; the pricing and reimbursement of our drug candidates, if approved; the implementation of our business model, strategic plans for our business, drug candidates and technology; the scope of protection we are able to establish and maintain for intellectual property rights covering our drug candidates and technology; estimates of our expenses, future revenues, capital requirements and our needs for additional financing; the potential benefits of our existing rare genetic disease collaboration with Alexion Pharma Holding and our existing cancer immunotherapy collaboration with F. Hoffmann-La Roche Ltd and Hoffmann-La Roche Inc., as well as our ability to enter into other strategic arrangements; our ability to maintain and establish collaborations or obtain additional grant funding; our financial performance; and developments relating to our competitors and our industry.</w:t>
      </w:r>
    </w:p>
    <w:p>
      <w:pPr>
        <w:spacing w:after="0" w:line="130"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Any forward-looking statements contained or incorporated by reference in this prospectus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See “Risk Factors” for more information. Given these uncertainties, you should not place undue reliance on these forward-looking statements. Our forward-looking statements do not reflect the potential impact of any future acquisitions, mergers, dispositions, joint ventures or investments we may make or enter into. Except as required by law, we assume no obligation to update or revise these forward-looking statements for any reason, whether as a result of new information, future events or otherwise.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CORPORATION</w:t>
      </w:r>
    </w:p>
    <w:p>
      <w:pPr>
        <w:spacing w:after="0" w:line="22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We are a biopharmaceutical company focused on improving the lives of patients with genomically defined diseases driven by abnormal kinase activation. Our approach is to systematically and reproducibly identify kinases that are drivers of diseases in genomically defined patient populations and to craft drug candidates with therapeutic windows that may provide significant and durable clinical responses to patients without adequate treatment options. This integrated biology and chemistry approach enables us to drug known kinases that have been difficult to inhibit selectively and also identify, characterize and drug novel kinase targets. By focusing on diseases in genomically defined patient populations, we believe that we will have a more efficient development path with a greater likelihood of success. Leveraging our novel target discovery engine, we have developed a robust small molecule drug pipeline in cancer and a rare genetic disease.</w:t>
      </w:r>
    </w:p>
    <w:p>
      <w:pPr>
        <w:spacing w:after="0" w:line="12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principal executive offices are located at 38 Sidney Street, Suite 200, Cambridge, Massachusetts 02139, and our telephone number is (617) 714-6674.</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RATIOS OF EARNINGS TO FIXED CHARGES</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following table sets forth our ratio of earnings to fixed charges for each of the periods indicated. You should read this table in conjunction with the consolidated financial statements and notes incorporated by reference in this prospectus.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1760" w:type="dxa"/>
            <w:vAlign w:val="bottom"/>
            <w:gridSpan w:val="6"/>
          </w:tcPr>
          <w:p>
            <w:pPr>
              <w:ind w:left="60"/>
              <w:spacing w:after="0"/>
              <w:rPr>
                <w:sz w:val="20"/>
                <w:szCs w:val="20"/>
                <w:color w:val="auto"/>
              </w:rPr>
            </w:pPr>
            <w:r>
              <w:rPr>
                <w:rFonts w:ascii="Arial" w:cs="Arial" w:eastAsia="Arial" w:hAnsi="Arial"/>
                <w:sz w:val="14"/>
                <w:szCs w:val="14"/>
                <w:b w:val="1"/>
                <w:bCs w:val="1"/>
                <w:color w:val="auto"/>
                <w:w w:val="97"/>
              </w:rPr>
              <w:t>Year Ended December 31,</w:t>
            </w:r>
          </w:p>
        </w:tc>
      </w:tr>
      <w:tr>
        <w:trPr>
          <w:trHeight w:val="142"/>
        </w:trPr>
        <w:tc>
          <w:tcPr>
            <w:tcW w:w="5800" w:type="dxa"/>
            <w:vAlign w:val="bottom"/>
          </w:tcPr>
          <w:p>
            <w:pPr>
              <w:spacing w:after="0"/>
              <w:rPr>
                <w:sz w:val="12"/>
                <w:szCs w:val="12"/>
                <w:color w:val="auto"/>
              </w:rPr>
            </w:pPr>
          </w:p>
        </w:tc>
        <w:tc>
          <w:tcPr>
            <w:tcW w:w="15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4"/>
              </w:rPr>
              <w:t>March 31, 2016</w:t>
            </w:r>
          </w:p>
        </w:tc>
        <w:tc>
          <w:tcPr>
            <w:tcW w:w="3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2"/>
                <w:szCs w:val="12"/>
                <w:color w:val="auto"/>
              </w:rPr>
            </w:pP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ratios of earnings to fixed charges</w:t>
            </w: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For purposes of calculating the consolidated ratios of earnings to fixed charges, earnings consist of net income (loss) plus fixed charges. Fixed charges include interest expense, non-cash interest expense and the interest portion of rent expense which is deemed to be representative of the interest factor.</w:t>
      </w:r>
    </w:p>
    <w:p>
      <w:pPr>
        <w:spacing w:after="0" w:line="154"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Our earnings were insufficient to cover fixed charges by $15.5 million for the three months ended March 31, 2016, $52.8 million for the year ended December 31, 2015, $40.3 million for the year ended December 31, 2014 and $20.9 million for the year ended December 31, 2013.</w:t>
      </w:r>
    </w:p>
    <w:p>
      <w:pPr>
        <w:spacing w:after="0" w:line="14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ratios of earnings to combined fixed charges and preferred stock dividends for the periods indicated above are the same as our ratios of earnings to fixed charges set forth above.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intend to use the net proceeds from the sale of any securities offered under this prospectus for general corporate purposes unless the applicable prospectus supplement provides otherwise. General corporate purposes may include research and development costs, the acquisition or licensing of other drugs or drug candidates, business or technologies, repayment and refinancing of debt, working capital and capital expenditures. We may temporarily invest the net proceeds in a variety of capital preservation instruments, including short-term,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If there is a material dilution of the purchasers’ equity interest from the sale of common equity securities offered under this prospectus, we will set forth in any prospectus supplement the following information regarding any such material dilution of the equity interests of purchasers purchasing securities in an offering under this prospectus:</w:t>
      </w:r>
    </w:p>
    <w:p>
      <w:pPr>
        <w:spacing w:after="0" w:line="125" w:lineRule="exact"/>
        <w:rPr>
          <w:sz w:val="20"/>
          <w:szCs w:val="20"/>
          <w:color w:val="auto"/>
        </w:rPr>
      </w:pPr>
    </w:p>
    <w:p>
      <w:pPr>
        <w:ind w:left="1080" w:hanging="105"/>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net tangible book value per share of our equity securities before and after the offering;</w:t>
      </w:r>
    </w:p>
    <w:p>
      <w:pPr>
        <w:spacing w:after="0" w:line="184" w:lineRule="exact"/>
        <w:rPr>
          <w:rFonts w:ascii="Arial" w:cs="Arial" w:eastAsia="Arial" w:hAnsi="Arial"/>
          <w:sz w:val="18"/>
          <w:szCs w:val="18"/>
          <w:color w:val="auto"/>
        </w:rPr>
      </w:pPr>
    </w:p>
    <w:p>
      <w:pPr>
        <w:ind w:left="1080" w:hanging="105"/>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of the increase in such net tangible book value per share attributable to the cash payments made by the purchasers in the offering; and</w:t>
      </w:r>
    </w:p>
    <w:p>
      <w:pPr>
        <w:spacing w:after="0" w:line="129" w:lineRule="exact"/>
        <w:rPr>
          <w:rFonts w:ascii="Arial" w:cs="Arial" w:eastAsia="Arial" w:hAnsi="Arial"/>
          <w:sz w:val="18"/>
          <w:szCs w:val="18"/>
          <w:color w:val="auto"/>
        </w:rPr>
      </w:pPr>
    </w:p>
    <w:p>
      <w:pPr>
        <w:ind w:left="1080" w:right="780" w:hanging="105"/>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such purchasers.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following description of our capital stock is intended as a summary only. This description is based upon, and is qualified by reference to, our amended and restated certificate of incorporation, or certificate of incorporation, our amended and restated bylaws, or bylaws, and applicable provisions of the Delaware General Corporation Law. This summary is not complete. You should read our certificate of incorporation and bylaws, which are filed as exhibits to the registration statement of which this prospectus forms a part, for the provisions that are important to you.</w:t>
      </w:r>
    </w:p>
    <w:p>
      <w:pPr>
        <w:spacing w:after="0" w:line="119" w:lineRule="exact"/>
        <w:rPr>
          <w:sz w:val="20"/>
          <w:szCs w:val="20"/>
          <w:color w:val="auto"/>
        </w:rPr>
      </w:pPr>
    </w:p>
    <w:p>
      <w:pPr>
        <w:ind w:right="480" w:firstLine="648"/>
        <w:spacing w:after="0" w:line="312" w:lineRule="auto"/>
        <w:rPr>
          <w:sz w:val="20"/>
          <w:szCs w:val="20"/>
          <w:color w:val="auto"/>
        </w:rPr>
      </w:pPr>
      <w:r>
        <w:rPr>
          <w:rFonts w:ascii="Arial" w:cs="Arial" w:eastAsia="Arial" w:hAnsi="Arial"/>
          <w:sz w:val="16"/>
          <w:szCs w:val="16"/>
          <w:color w:val="auto"/>
        </w:rPr>
        <w:t>Our authorized capital stock consists of 120,000,000 shares of common stock, par value $0.001 per share, and 5,000,000 shares of preferred stock, par value $0.001 per share, all of which are undesignated. As of May 6, 2016, 27,238,661 shares of common stock were outstanding, and no shares of preferred stock were outstanding.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Annual Meeting. </w:t>
      </w:r>
      <w:r>
        <w:rPr>
          <w:rFonts w:ascii="Arial" w:cs="Arial" w:eastAsia="Arial" w:hAnsi="Arial"/>
          <w:sz w:val="17"/>
          <w:szCs w:val="17"/>
          <w:color w:val="auto"/>
        </w:rPr>
        <w:t>Annual meetings of our stockholders are held on the date designated in accordance with our</w:t>
      </w:r>
      <w:r>
        <w:rPr>
          <w:rFonts w:ascii="Arial" w:cs="Arial" w:eastAsia="Arial" w:hAnsi="Arial"/>
          <w:sz w:val="17"/>
          <w:szCs w:val="17"/>
          <w:i w:val="1"/>
          <w:iCs w:val="1"/>
          <w:color w:val="auto"/>
        </w:rPr>
        <w:t xml:space="preserve"> </w:t>
      </w:r>
      <w:r>
        <w:rPr>
          <w:rFonts w:ascii="Arial" w:cs="Arial" w:eastAsia="Arial" w:hAnsi="Arial"/>
          <w:sz w:val="17"/>
          <w:szCs w:val="17"/>
          <w:color w:val="auto"/>
        </w:rPr>
        <w:t>bylaws. Written notice must be mailed to 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by the board of directors and shall be called by the chairman of the board or the secretary upon the written request, stating the purpose of such meeting, of the holders of a majority of the outstanding shares of all classes of capital stock entitled to vote at the meeting. Except as may be otherwise provided by applicable law, our certificate of incorporation or our bylaws, all elections shall be decided by a plurality, and all other questions shall be decided by a majority, of the votes cast by stockholders entitled to vote thereon at a duly held meeting of stockholders at which a quorum is present.</w:t>
      </w:r>
    </w:p>
    <w:p>
      <w:pPr>
        <w:spacing w:after="0" w:line="12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Each holder of common stock is entitled to one vote for each share held on all matters to be voted</w:t>
      </w:r>
      <w:r>
        <w:rPr>
          <w:rFonts w:ascii="Arial" w:cs="Arial" w:eastAsia="Arial" w:hAnsi="Arial"/>
          <w:sz w:val="18"/>
          <w:szCs w:val="18"/>
          <w:i w:val="1"/>
          <w:iCs w:val="1"/>
          <w:color w:val="auto"/>
        </w:rPr>
        <w:t xml:space="preserve"> </w:t>
      </w:r>
      <w:r>
        <w:rPr>
          <w:rFonts w:ascii="Arial" w:cs="Arial" w:eastAsia="Arial" w:hAnsi="Arial"/>
          <w:sz w:val="18"/>
          <w:szCs w:val="18"/>
          <w:color w:val="auto"/>
        </w:rPr>
        <w:t>upon by stockholders.</w:t>
      </w:r>
    </w:p>
    <w:p>
      <w:pPr>
        <w:spacing w:after="0" w:line="11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The holders of common stock, after any preferences of holders of any preferred stock, are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dividends when and if declared by the board of directors out of legally available funds.</w:t>
      </w:r>
    </w:p>
    <w:p>
      <w:pPr>
        <w:spacing w:after="0" w:line="116"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i w:val="1"/>
          <w:iCs w:val="1"/>
          <w:color w:val="auto"/>
        </w:rPr>
        <w:t>Liquidation and Dissolution</w:t>
      </w:r>
      <w:r>
        <w:rPr>
          <w:rFonts w:ascii="Arial" w:cs="Arial" w:eastAsia="Arial" w:hAnsi="Arial"/>
          <w:sz w:val="17"/>
          <w:szCs w:val="17"/>
          <w:color w:val="auto"/>
        </w:rPr>
        <w:t>. If we are liquidated or dissolved, the holders of the common stock will be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share in our assets available for distribution to stockholders in proportion to the amount of common stock they own. The amount available for common stockholders is calculated after payment of liabilities. Holders of any preferred stock will receive a preferential share of our assets before the holders of the common stock receive any assets.</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 Holders of the common stock have no right to convert the stock into any other security, have the stock</w:t>
      </w:r>
      <w:r>
        <w:rPr>
          <w:rFonts w:ascii="Arial" w:cs="Arial" w:eastAsia="Arial" w:hAnsi="Arial"/>
          <w:sz w:val="18"/>
          <w:szCs w:val="18"/>
          <w:i w:val="1"/>
          <w:iCs w:val="1"/>
          <w:color w:val="auto"/>
        </w:rPr>
        <w:t xml:space="preserve"> </w:t>
      </w:r>
      <w:r>
        <w:rPr>
          <w:rFonts w:ascii="Arial" w:cs="Arial" w:eastAsia="Arial" w:hAnsi="Arial"/>
          <w:sz w:val="18"/>
          <w:szCs w:val="18"/>
          <w:color w:val="auto"/>
        </w:rPr>
        <w:t>redeemed or purchase additional stock or to maintain their proportionate ownership interest. The common stock does not have cumulative voting rights. Holders of shares of the common stock are not required to make additional capital contributions.</w:t>
      </w:r>
    </w:p>
    <w:p>
      <w:pPr>
        <w:spacing w:after="0" w:line="13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i w:val="1"/>
          <w:iCs w:val="1"/>
          <w:color w:val="auto"/>
        </w:rPr>
        <w:t xml:space="preserve">NASDAQ Global Select Market. </w:t>
      </w:r>
      <w:r>
        <w:rPr>
          <w:rFonts w:ascii="Arial" w:cs="Arial" w:eastAsia="Arial" w:hAnsi="Arial"/>
          <w:sz w:val="18"/>
          <w:szCs w:val="18"/>
          <w:color w:val="auto"/>
        </w:rPr>
        <w:t>Our common stock is listed on The NASDAQ Global Select Market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symbol “BPMC.”</w:t>
      </w:r>
    </w:p>
    <w:p>
      <w:pPr>
        <w:spacing w:after="0" w:line="116"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Computershare Trust Company, N.A. is the transfer agent and registrar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are authorized to issue “blank check” preferred stock, which may be issued in one or more series upon authorization of our board of directors. Our board of directors is authorized to fix the designation of the series, the number of authorized shares of the series, dividend rights and terms, conversion rights, voting rights, redemption rights and terms, liquidation preferences and any other rights, powers, preferences and limitations applicable to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 series of our preferred stock could, depending on the terms of such series, impede the completion of a merger, tender offer or other takeover attempt. Our board of directors will make any determination to issue shares of preferred stock based upon its judgment as to the best interests of our stockholders. Our board of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4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154" w:lineRule="exact"/>
        <w:rPr>
          <w:sz w:val="20"/>
          <w:szCs w:val="20"/>
          <w:color w:val="auto"/>
        </w:rPr>
      </w:pPr>
    </w:p>
    <w:p>
      <w:pPr>
        <w:ind w:left="1080" w:hanging="105"/>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designation and stated value per share of the preferred stock and the number of shares offered;</w:t>
      </w:r>
    </w:p>
    <w:p>
      <w:pPr>
        <w:spacing w:after="0" w:line="184" w:lineRule="exact"/>
        <w:rPr>
          <w:rFonts w:ascii="Arial" w:cs="Arial" w:eastAsia="Arial" w:hAnsi="Arial"/>
          <w:sz w:val="18"/>
          <w:szCs w:val="18"/>
          <w:color w:val="auto"/>
        </w:rPr>
      </w:pPr>
    </w:p>
    <w:p>
      <w:pPr>
        <w:ind w:left="1160" w:hanging="185"/>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 of liquidation preference per share;</w:t>
      </w:r>
    </w:p>
    <w:p>
      <w:pPr>
        <w:spacing w:after="0" w:line="184" w:lineRule="exact"/>
        <w:rPr>
          <w:rFonts w:ascii="Arial" w:cs="Arial" w:eastAsia="Arial" w:hAnsi="Arial"/>
          <w:sz w:val="18"/>
          <w:szCs w:val="18"/>
          <w:color w:val="auto"/>
        </w:rPr>
      </w:pPr>
    </w:p>
    <w:p>
      <w:pPr>
        <w:ind w:left="1140" w:hanging="165"/>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price at which the preferred stock will be issued;</w:t>
      </w:r>
    </w:p>
    <w:p>
      <w:pPr>
        <w:spacing w:after="0" w:line="184" w:lineRule="exact"/>
        <w:rPr>
          <w:rFonts w:ascii="Arial" w:cs="Arial" w:eastAsia="Arial" w:hAnsi="Arial"/>
          <w:sz w:val="18"/>
          <w:szCs w:val="18"/>
          <w:color w:val="auto"/>
        </w:rPr>
      </w:pPr>
    </w:p>
    <w:p>
      <w:pPr>
        <w:ind w:left="1080" w:right="260" w:hanging="105"/>
        <w:spacing w:after="0" w:line="264"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140" w:lineRule="exact"/>
        <w:rPr>
          <w:rFonts w:ascii="Arial" w:cs="Arial" w:eastAsia="Arial" w:hAnsi="Arial"/>
          <w:sz w:val="18"/>
          <w:szCs w:val="18"/>
          <w:color w:val="auto"/>
        </w:rPr>
      </w:pPr>
    </w:p>
    <w:p>
      <w:pPr>
        <w:ind w:left="1160" w:hanging="185"/>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184" w:lineRule="exact"/>
        <w:rPr>
          <w:rFonts w:ascii="Arial" w:cs="Arial" w:eastAsia="Arial" w:hAnsi="Arial"/>
          <w:sz w:val="18"/>
          <w:szCs w:val="18"/>
          <w:color w:val="auto"/>
        </w:rPr>
      </w:pPr>
    </w:p>
    <w:p>
      <w:pPr>
        <w:ind w:left="1080" w:right="240" w:hanging="105"/>
        <w:spacing w:after="0" w:line="34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other than the currency of the United States, the currency or currencies including composite currencies in which the preferred stock is denominated and/or in which payments will or may be payable;</w:t>
      </w:r>
    </w:p>
    <w:p>
      <w:pPr>
        <w:spacing w:after="0" w:line="83" w:lineRule="exact"/>
        <w:rPr>
          <w:rFonts w:ascii="Arial" w:cs="Arial" w:eastAsia="Arial" w:hAnsi="Arial"/>
          <w:sz w:val="16"/>
          <w:szCs w:val="16"/>
          <w:color w:val="auto"/>
        </w:rPr>
      </w:pPr>
    </w:p>
    <w:p>
      <w:pPr>
        <w:ind w:left="1240" w:hanging="26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conversion provisions;</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whether we have elected to offer depositary shares as described under “Description of Depositary Shares;” and</w:t>
      </w:r>
    </w:p>
    <w:p>
      <w:pPr>
        <w:spacing w:after="0" w:line="207" w:lineRule="exact"/>
        <w:rPr>
          <w:rFonts w:ascii="Arial" w:cs="Arial" w:eastAsia="Arial" w:hAnsi="Arial"/>
          <w:sz w:val="16"/>
          <w:szCs w:val="16"/>
          <w:color w:val="auto"/>
        </w:rPr>
      </w:pPr>
    </w:p>
    <w:p>
      <w:pPr>
        <w:ind w:left="1080" w:hanging="105"/>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rights, preferences, privileges, limitations and restrictions on the preferred stock.</w:t>
      </w:r>
    </w:p>
    <w:p>
      <w:pPr>
        <w:spacing w:after="0" w:line="18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preferred stock will, when issued, be fully paid and nonassessable. Unless otherwise provided in the applicable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46"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1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Rank</w:t>
      </w:r>
      <w:r>
        <w:rPr>
          <w:rFonts w:ascii="Arial" w:cs="Arial" w:eastAsia="Arial" w:hAnsi="Arial"/>
          <w:sz w:val="18"/>
          <w:szCs w:val="18"/>
          <w:color w:val="auto"/>
        </w:rPr>
        <w:t>. Unless otherwise provided in the applicable prospectus supplement, the preferred stock will,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rights and rights upon our liquidation, dissolution or winding up of our affairs, rank:</w:t>
      </w:r>
    </w:p>
    <w:p>
      <w:pPr>
        <w:spacing w:after="0" w:line="143" w:lineRule="exact"/>
        <w:rPr>
          <w:sz w:val="20"/>
          <w:szCs w:val="20"/>
          <w:color w:val="auto"/>
        </w:rPr>
      </w:pPr>
    </w:p>
    <w:p>
      <w:pPr>
        <w:ind w:left="1080" w:right="160" w:hanging="105"/>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129" w:lineRule="exact"/>
        <w:rPr>
          <w:rFonts w:ascii="Arial" w:cs="Arial" w:eastAsia="Arial" w:hAnsi="Arial"/>
          <w:sz w:val="18"/>
          <w:szCs w:val="18"/>
          <w:color w:val="auto"/>
        </w:rPr>
      </w:pPr>
    </w:p>
    <w:p>
      <w:pPr>
        <w:ind w:left="1080" w:right="380" w:hanging="105"/>
        <w:spacing w:after="0" w:line="264"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080" w:right="120" w:hanging="105"/>
        <w:spacing w:after="0" w:line="264"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18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Holders of the preferred stock of each series will be entitled to receive, when, as and if declared by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cash dividends at 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3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4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41"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3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Liquidation Preference</w:t>
      </w:r>
      <w:r>
        <w:rPr>
          <w:rFonts w:ascii="Arial" w:cs="Arial" w:eastAsia="Arial" w:hAnsi="Arial"/>
          <w:sz w:val="17"/>
          <w:szCs w:val="17"/>
          <w:color w:val="auto"/>
        </w:rPr>
        <w:t>. Upon any voluntary or involuntary liquidation, dissolution or winding up of our affairs,</w:t>
      </w:r>
      <w:r>
        <w:rPr>
          <w:rFonts w:ascii="Arial" w:cs="Arial" w:eastAsia="Arial" w:hAnsi="Arial"/>
          <w:sz w:val="17"/>
          <w:szCs w:val="17"/>
          <w:i w:val="1"/>
          <w:iCs w:val="1"/>
          <w:color w:val="auto"/>
        </w:rPr>
        <w:t xml:space="preserve"> </w:t>
      </w:r>
      <w:r>
        <w:rPr>
          <w:rFonts w:ascii="Arial" w:cs="Arial" w:eastAsia="Arial" w:hAnsi="Arial"/>
          <w:sz w:val="17"/>
          <w:szCs w:val="17"/>
          <w:color w:val="auto"/>
        </w:rPr>
        <w:t>then, before we make any 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provided in the applicable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will share ratably in any such distribution of assets in proportion to the full liquidating distributions to which they would otherwise be entitled.</w:t>
      </w:r>
    </w:p>
    <w:p>
      <w:pPr>
        <w:spacing w:after="0" w:line="14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53"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If so provided in the applicable prospectus supplement, the preferred stock will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mandatory redemption or redemption at our option, as a whole or in part, in each case upon the terms, at the times and at the redemption prices set forth in such prospectus supplement.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 w:firstLine="648"/>
        <w:spacing w:after="0" w:line="287" w:lineRule="auto"/>
        <w:rPr>
          <w:sz w:val="20"/>
          <w:szCs w:val="20"/>
          <w:color w:val="auto"/>
        </w:rPr>
      </w:pPr>
      <w:r>
        <w:rPr>
          <w:rFonts w:ascii="Arial" w:cs="Arial" w:eastAsia="Arial" w:hAnsi="Arial"/>
          <w:sz w:val="16"/>
          <w:szCs w:val="16"/>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132" w:lineRule="exact"/>
        <w:rPr>
          <w:sz w:val="20"/>
          <w:szCs w:val="20"/>
          <w:color w:val="auto"/>
        </w:rPr>
      </w:pPr>
    </w:p>
    <w:p>
      <w:pPr>
        <w:ind w:left="1080" w:right="39" w:hanging="105"/>
        <w:spacing w:after="0" w:line="264"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140" w:lineRule="exact"/>
        <w:rPr>
          <w:rFonts w:ascii="Arial" w:cs="Arial" w:eastAsia="Arial" w:hAnsi="Arial"/>
          <w:sz w:val="18"/>
          <w:szCs w:val="18"/>
          <w:color w:val="auto"/>
        </w:rPr>
      </w:pPr>
    </w:p>
    <w:p>
      <w:pPr>
        <w:ind w:left="1080" w:right="439" w:hanging="105"/>
        <w:spacing w:after="0" w:line="264"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we will not acquire any preferred stock of a series unless:</w:t>
      </w:r>
    </w:p>
    <w:p>
      <w:pPr>
        <w:spacing w:after="0" w:line="198" w:lineRule="exact"/>
        <w:rPr>
          <w:sz w:val="20"/>
          <w:szCs w:val="20"/>
          <w:color w:val="auto"/>
        </w:rPr>
      </w:pPr>
    </w:p>
    <w:p>
      <w:pPr>
        <w:ind w:left="1080" w:right="99" w:hanging="105"/>
        <w:spacing w:after="0" w:line="31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106" w:lineRule="exact"/>
        <w:rPr>
          <w:rFonts w:ascii="Arial" w:cs="Arial" w:eastAsia="Arial" w:hAnsi="Arial"/>
          <w:sz w:val="16"/>
          <w:szCs w:val="16"/>
          <w:color w:val="auto"/>
        </w:rPr>
      </w:pPr>
    </w:p>
    <w:p>
      <w:pPr>
        <w:ind w:left="1080" w:right="359" w:hanging="105"/>
        <w:spacing w:after="0" w:line="264"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41" w:lineRule="exact"/>
        <w:rPr>
          <w:sz w:val="20"/>
          <w:szCs w:val="20"/>
          <w:color w:val="auto"/>
        </w:rPr>
      </w:pPr>
    </w:p>
    <w:p>
      <w:pPr>
        <w:ind w:right="119" w:firstLine="648"/>
        <w:spacing w:after="0" w:line="259" w:lineRule="auto"/>
        <w:rPr>
          <w:sz w:val="20"/>
          <w:szCs w:val="20"/>
          <w:color w:val="auto"/>
        </w:rPr>
      </w:pPr>
      <w:r>
        <w:rPr>
          <w:rFonts w:ascii="Arial" w:cs="Arial" w:eastAsia="Arial" w:hAnsi="Arial"/>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46" w:lineRule="exact"/>
        <w:rPr>
          <w:sz w:val="20"/>
          <w:szCs w:val="20"/>
          <w:color w:val="auto"/>
        </w:rPr>
      </w:pPr>
    </w:p>
    <w:p>
      <w:pPr>
        <w:ind w:right="59" w:firstLine="648"/>
        <w:spacing w:after="0" w:line="279" w:lineRule="auto"/>
        <w:rPr>
          <w:sz w:val="20"/>
          <w:szCs w:val="20"/>
          <w:color w:val="auto"/>
        </w:rPr>
      </w:pPr>
      <w:r>
        <w:rPr>
          <w:rFonts w:ascii="Arial" w:cs="Arial" w:eastAsia="Arial" w:hAnsi="Arial"/>
          <w:sz w:val="17"/>
          <w:szCs w:val="17"/>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31" w:lineRule="exact"/>
        <w:rPr>
          <w:sz w:val="20"/>
          <w:szCs w:val="20"/>
          <w:color w:val="auto"/>
        </w:rPr>
      </w:pPr>
    </w:p>
    <w:p>
      <w:pPr>
        <w:ind w:right="139" w:firstLine="648"/>
        <w:spacing w:after="0" w:line="264" w:lineRule="auto"/>
        <w:rPr>
          <w:sz w:val="20"/>
          <w:szCs w:val="20"/>
          <w:color w:val="auto"/>
        </w:rPr>
      </w:pPr>
      <w:r>
        <w:rPr>
          <w:rFonts w:ascii="Arial" w:cs="Arial" w:eastAsia="Arial" w:hAnsi="Arial"/>
          <w:sz w:val="18"/>
          <w:szCs w:val="18"/>
          <w:color w:val="auto"/>
        </w:rPr>
        <w:t>Unless otherwise provided in the applicable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154" w:lineRule="exact"/>
        <w:rPr>
          <w:sz w:val="20"/>
          <w:szCs w:val="20"/>
          <w:color w:val="auto"/>
        </w:rPr>
      </w:pPr>
    </w:p>
    <w:p>
      <w:pPr>
        <w:ind w:left="1300" w:hanging="32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and series of preferred stock to be redeemed;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84" w:lineRule="exact"/>
        <w:rPr>
          <w:rFonts w:ascii="Arial" w:cs="Arial" w:eastAsia="Arial" w:hAnsi="Arial"/>
          <w:sz w:val="18"/>
          <w:szCs w:val="18"/>
          <w:color w:val="auto"/>
        </w:rPr>
      </w:pPr>
    </w:p>
    <w:p>
      <w:pPr>
        <w:ind w:left="1080" w:right="599" w:hanging="105"/>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place or places where certificates for such preferred stock are to be surrendered for payment of the redemption price;</w:t>
      </w:r>
    </w:p>
    <w:p>
      <w:pPr>
        <w:spacing w:after="0" w:line="200" w:lineRule="exact"/>
        <w:rPr>
          <w:sz w:val="20"/>
          <w:szCs w:val="20"/>
          <w:color w:val="auto"/>
        </w:rPr>
      </w:pP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80" w:hanging="105"/>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such redemption date;</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on which the holder’s conversion rights, if any, as to such shares shall terminate; and</w:t>
      </w:r>
    </w:p>
    <w:p>
      <w:pPr>
        <w:spacing w:after="0" w:line="184" w:lineRule="exact"/>
        <w:rPr>
          <w:rFonts w:ascii="Arial" w:cs="Arial" w:eastAsia="Arial" w:hAnsi="Arial"/>
          <w:sz w:val="18"/>
          <w:szCs w:val="18"/>
          <w:color w:val="auto"/>
        </w:rPr>
      </w:pPr>
    </w:p>
    <w:p>
      <w:pPr>
        <w:ind w:left="1080" w:right="160" w:hanging="105"/>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specific number of shares to be redeemed from each such holder if fewer than all the shares of any series are to be redeemed.</w:t>
      </w:r>
    </w:p>
    <w:p>
      <w:pPr>
        <w:spacing w:after="0" w:line="116" w:lineRule="exact"/>
        <w:rPr>
          <w:sz w:val="20"/>
          <w:szCs w:val="20"/>
          <w:color w:val="auto"/>
        </w:rPr>
      </w:pPr>
    </w:p>
    <w:p>
      <w:pPr>
        <w:ind w:firstLine="648"/>
        <w:spacing w:after="0" w:line="231" w:lineRule="auto"/>
        <w:rPr>
          <w:sz w:val="20"/>
          <w:szCs w:val="20"/>
          <w:color w:val="auto"/>
        </w:rPr>
      </w:pPr>
      <w:r>
        <w:rPr>
          <w:rFonts w:ascii="Arial" w:cs="Arial" w:eastAsia="Arial" w:hAnsi="Arial"/>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21"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Holders of preferred stock will not have any voting rights, except as required by law or as indicated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applicable prospectus supplement.</w:t>
      </w:r>
    </w:p>
    <w:p>
      <w:pPr>
        <w:spacing w:after="0" w:line="116" w:lineRule="exact"/>
        <w:rPr>
          <w:sz w:val="20"/>
          <w:szCs w:val="20"/>
          <w:color w:val="auto"/>
        </w:rPr>
      </w:pPr>
    </w:p>
    <w:p>
      <w:pPr>
        <w:ind w:right="40" w:firstLine="648"/>
        <w:spacing w:after="0" w:line="261" w:lineRule="auto"/>
        <w:rPr>
          <w:sz w:val="20"/>
          <w:szCs w:val="20"/>
          <w:color w:val="auto"/>
        </w:rPr>
      </w:pPr>
      <w:r>
        <w:rPr>
          <w:rFonts w:ascii="Arial" w:cs="Arial" w:eastAsia="Arial" w:hAnsi="Arial"/>
          <w:sz w:val="16"/>
          <w:szCs w:val="16"/>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07" w:lineRule="exact"/>
        <w:rPr>
          <w:sz w:val="20"/>
          <w:szCs w:val="20"/>
          <w:color w:val="auto"/>
        </w:rPr>
      </w:pPr>
    </w:p>
    <w:p>
      <w:pPr>
        <w:ind w:right="260" w:firstLine="648"/>
        <w:spacing w:after="0"/>
        <w:rPr>
          <w:sz w:val="20"/>
          <w:szCs w:val="20"/>
          <w:color w:val="auto"/>
        </w:rPr>
      </w:pPr>
      <w:r>
        <w:rPr>
          <w:rFonts w:ascii="Arial" w:cs="Arial" w:eastAsia="Arial" w:hAnsi="Arial"/>
          <w:sz w:val="17"/>
          <w:szCs w:val="17"/>
          <w:i w:val="1"/>
          <w:iCs w:val="1"/>
          <w:color w:val="auto"/>
        </w:rPr>
        <w:t>Conversion Rights</w:t>
      </w:r>
      <w:r>
        <w:rPr>
          <w:rFonts w:ascii="Arial" w:cs="Arial" w:eastAsia="Arial" w:hAnsi="Arial"/>
          <w:sz w:val="17"/>
          <w:szCs w:val="17"/>
          <w:color w:val="auto"/>
        </w:rPr>
        <w:t>. The terms and conditions, if any, upon which any series of preferred stock is convertible into</w:t>
      </w:r>
      <w:r>
        <w:rPr>
          <w:rFonts w:ascii="Arial" w:cs="Arial" w:eastAsia="Arial" w:hAnsi="Arial"/>
          <w:sz w:val="17"/>
          <w:szCs w:val="17"/>
          <w:i w:val="1"/>
          <w:iCs w:val="1"/>
          <w:color w:val="auto"/>
        </w:rPr>
        <w:t xml:space="preserve"> </w:t>
      </w:r>
      <w:r>
        <w:rPr>
          <w:rFonts w:ascii="Arial" w:cs="Arial" w:eastAsia="Arial" w:hAnsi="Arial"/>
          <w:sz w:val="17"/>
          <w:szCs w:val="17"/>
          <w:color w:val="auto"/>
        </w:rPr>
        <w:t>our common stock will be set 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24" w:lineRule="exact"/>
        <w:rPr>
          <w:sz w:val="20"/>
          <w:szCs w:val="20"/>
          <w:color w:val="auto"/>
        </w:rPr>
      </w:pPr>
    </w:p>
    <w:p>
      <w:pPr>
        <w:ind w:right="620" w:firstLine="648"/>
        <w:spacing w:after="0" w:line="246" w:lineRule="auto"/>
        <w:rPr>
          <w:sz w:val="20"/>
          <w:szCs w:val="20"/>
          <w:color w:val="auto"/>
        </w:rPr>
      </w:pPr>
      <w:r>
        <w:rPr>
          <w:rFonts w:ascii="Arial" w:cs="Arial" w:eastAsia="Arial" w:hAnsi="Arial"/>
          <w:sz w:val="18"/>
          <w:szCs w:val="18"/>
          <w:i w:val="1"/>
          <w:iCs w:val="1"/>
          <w:color w:val="auto"/>
        </w:rPr>
        <w:t>Transfer Agent and Registrar</w:t>
      </w:r>
      <w:r>
        <w:rPr>
          <w:rFonts w:ascii="Arial" w:cs="Arial" w:eastAsia="Arial" w:hAnsi="Arial"/>
          <w:sz w:val="18"/>
          <w:szCs w:val="18"/>
          <w:color w:val="auto"/>
        </w:rPr>
        <w:t>. The transfer agent and registrar for the preferred stock will be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prospectus supplement.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Authorized but Unissued Stock</w:t>
      </w:r>
    </w:p>
    <w:p>
      <w:pPr>
        <w:spacing w:after="0" w:line="148"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color w:val="auto"/>
        </w:rPr>
        <w:t>We have shares of common stock and preferred stock available for future issuance without stockholder approval, subject to any limitations imposed by the listing standards of The NASDAQ Global Select Market.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our company by means of a merger, tender offer, proxy contest or otherwise. In addition, if we issue preferred stock, the issuance could adversely affect the voting power of holders of common stock and the likelihood that such holders will receive dividend payments and payments upon liquidation.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48" w:lineRule="exact"/>
        <w:rPr>
          <w:sz w:val="20"/>
          <w:szCs w:val="20"/>
          <w:color w:val="auto"/>
        </w:rPr>
      </w:pPr>
    </w:p>
    <w:p>
      <w:pPr>
        <w:ind w:right="40" w:firstLine="648"/>
        <w:spacing w:after="0" w:line="237" w:lineRule="auto"/>
        <w:rPr>
          <w:sz w:val="20"/>
          <w:szCs w:val="20"/>
          <w:color w:val="auto"/>
        </w:rPr>
      </w:pPr>
      <w:r>
        <w:rPr>
          <w:rFonts w:ascii="Arial" w:cs="Arial" w:eastAsia="Arial" w:hAnsi="Arial"/>
          <w:sz w:val="17"/>
          <w:szCs w:val="17"/>
          <w:color w:val="auto"/>
        </w:rPr>
        <w:t>We entered into a second amended and restated investors' rights agreement, dated as of November 7, 2014, which we refer to as the Investors’ Rights Agreement, with the holders of shares of our common stock. Under the Investors’ Rights Agreement,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registration on Form S-1 within 60 days before or 180 days following any offering of our securities or a requested registration on Form S-3 within 30 days before or 90 days following any offering of our securities. The registration rights will terminate upon the later of the date on which all registrable shares have been sold and May 5, 2020.</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280" w:firstLine="648"/>
        <w:spacing w:after="0" w:line="231" w:lineRule="auto"/>
        <w:rPr>
          <w:sz w:val="20"/>
          <w:szCs w:val="20"/>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The holders of at least a majority of our registrable shares may require us to file a</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under the Securities Act of 1933, as amended, or the Securities Act, on a Form S-1 or Form S-3, if available, at our expense with respect to the resale of their registrable shares, and we are required to use our best efforts to effect the registration.</w:t>
      </w:r>
    </w:p>
    <w:p>
      <w:pPr>
        <w:spacing w:after="0" w:line="121" w:lineRule="exact"/>
        <w:rPr>
          <w:sz w:val="20"/>
          <w:szCs w:val="20"/>
          <w:color w:val="auto"/>
        </w:rPr>
      </w:pPr>
    </w:p>
    <w:p>
      <w:pPr>
        <w:jc w:val="both"/>
        <w:ind w:right="180" w:firstLine="648"/>
        <w:spacing w:after="0" w:line="231" w:lineRule="auto"/>
        <w:rPr>
          <w:sz w:val="20"/>
          <w:szCs w:val="20"/>
          <w:color w:val="auto"/>
        </w:rPr>
      </w:pPr>
      <w:r>
        <w:rPr>
          <w:rFonts w:ascii="Arial" w:cs="Arial" w:eastAsia="Arial" w:hAnsi="Arial"/>
          <w:sz w:val="18"/>
          <w:szCs w:val="18"/>
          <w:i w:val="1"/>
          <w:iCs w:val="1"/>
          <w:color w:val="auto"/>
        </w:rPr>
        <w:t xml:space="preserve">Piggyback Registration Rights. </w:t>
      </w:r>
      <w:r>
        <w:rPr>
          <w:rFonts w:ascii="Arial" w:cs="Arial" w:eastAsia="Arial" w:hAnsi="Arial"/>
          <w:sz w:val="18"/>
          <w:szCs w:val="18"/>
          <w:color w:val="auto"/>
        </w:rPr>
        <w:t>If we propose to register any of our securities under the Securities Act for our own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or the account of any other holder, the holders of registrable shares are entitled to notice of such registration and to request that we include registrable shares for resale on such registration statement, subject to the right of any underwriter to limit the number of shares included in such registration.</w:t>
      </w:r>
    </w:p>
    <w:p>
      <w:pPr>
        <w:spacing w:after="0" w:line="121" w:lineRule="exact"/>
        <w:rPr>
          <w:sz w:val="20"/>
          <w:szCs w:val="20"/>
          <w:color w:val="auto"/>
        </w:rPr>
      </w:pPr>
    </w:p>
    <w:p>
      <w:pPr>
        <w:ind w:right="100" w:firstLine="648"/>
        <w:spacing w:after="0" w:line="228"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We will pay all registration expenses, other than underwriting discounts and commissions, related to any</w:t>
      </w:r>
      <w:r>
        <w:rPr>
          <w:rFonts w:ascii="Arial" w:cs="Arial" w:eastAsia="Arial" w:hAnsi="Arial"/>
          <w:sz w:val="18"/>
          <w:szCs w:val="18"/>
          <w:i w:val="1"/>
          <w:iCs w:val="1"/>
          <w:color w:val="auto"/>
        </w:rPr>
        <w:t xml:space="preserve"> </w:t>
      </w:r>
      <w:r>
        <w:rPr>
          <w:rFonts w:ascii="Arial" w:cs="Arial" w:eastAsia="Arial" w:hAnsi="Arial"/>
          <w:sz w:val="18"/>
          <w:szCs w:val="18"/>
          <w:color w:val="auto"/>
        </w:rPr>
        <w:t>demand or piggyback registration. The Investors’ Rights Agreement contains customary cross-indemnification provisions pursuant to which we are obligated to indemnify the selling stockholders in the event of misstatements or omissions in the registration statement attributable to us except in the event of fraud and they are obligated to indemnify us for misstatements or omissions attributable to them.</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Provisions of our Certificate of Incorporation and Bylaws and Delaware Law That May Have Anti-takeover Effects</w:t>
      </w:r>
    </w:p>
    <w:p>
      <w:pPr>
        <w:spacing w:after="0" w:line="171" w:lineRule="exact"/>
        <w:rPr>
          <w:sz w:val="20"/>
          <w:szCs w:val="20"/>
          <w:color w:val="auto"/>
        </w:rPr>
      </w:pPr>
    </w:p>
    <w:p>
      <w:pPr>
        <w:ind w:right="120" w:firstLine="648"/>
        <w:spacing w:after="0" w:line="203" w:lineRule="exact"/>
        <w:rPr>
          <w:sz w:val="20"/>
          <w:szCs w:val="20"/>
          <w:color w:val="auto"/>
        </w:rPr>
      </w:pPr>
      <w:r>
        <w:rPr>
          <w:rFonts w:ascii="Arial" w:cs="Arial" w:eastAsia="Arial" w:hAnsi="Arial"/>
          <w:sz w:val="16"/>
          <w:szCs w:val="16"/>
          <w:color w:val="auto"/>
        </w:rPr>
        <w:t>Our certificate of incorporation and bylaws include a number of provisions that may have the effect of encouraging persons considering unsolicited tender offers or other unilateral takeover proposals to negotiate with our board of directors rather than pursue non</w:t>
      </w:r>
      <w:r>
        <w:rPr>
          <w:rFonts w:ascii="MS PGothic" w:cs="MS PGothic" w:eastAsia="MS PGothic" w:hAnsi="MS PGothic"/>
          <w:sz w:val="16"/>
          <w:szCs w:val="16"/>
          <w:color w:val="auto"/>
        </w:rPr>
        <w:t>‑</w:t>
      </w:r>
      <w:r>
        <w:rPr>
          <w:rFonts w:ascii="Arial" w:cs="Arial" w:eastAsia="Arial" w:hAnsi="Arial"/>
          <w:sz w:val="16"/>
          <w:szCs w:val="16"/>
          <w:color w:val="auto"/>
        </w:rPr>
        <w:t>negotiated takeover attempts. These provisions include the items described below.</w:t>
      </w:r>
    </w:p>
    <w:p>
      <w:pPr>
        <w:spacing w:after="0" w:line="122" w:lineRule="exact"/>
        <w:rPr>
          <w:sz w:val="20"/>
          <w:szCs w:val="20"/>
          <w:color w:val="auto"/>
        </w:rPr>
      </w:pPr>
    </w:p>
    <w:p>
      <w:pPr>
        <w:ind w:right="20" w:firstLine="648"/>
        <w:spacing w:after="0"/>
        <w:rPr>
          <w:sz w:val="20"/>
          <w:szCs w:val="20"/>
          <w:color w:val="auto"/>
        </w:rPr>
      </w:pPr>
      <w:r>
        <w:rPr>
          <w:rFonts w:ascii="Arial" w:cs="Arial" w:eastAsia="Arial" w:hAnsi="Arial"/>
          <w:sz w:val="17"/>
          <w:szCs w:val="17"/>
          <w:i w:val="1"/>
          <w:iCs w:val="1"/>
          <w:color w:val="auto"/>
        </w:rPr>
        <w:t xml:space="preserve">Board Composition and Filling Vacancies. </w:t>
      </w:r>
      <w:r>
        <w:rPr>
          <w:rFonts w:ascii="Arial" w:cs="Arial" w:eastAsia="Arial" w:hAnsi="Arial"/>
          <w:sz w:val="17"/>
          <w:szCs w:val="17"/>
          <w:color w:val="auto"/>
        </w:rPr>
        <w:t>In accordance with our certificate of incorporation, our board is divided</w:t>
      </w:r>
      <w:r>
        <w:rPr>
          <w:rFonts w:ascii="Arial" w:cs="Arial" w:eastAsia="Arial" w:hAnsi="Arial"/>
          <w:sz w:val="17"/>
          <w:szCs w:val="17"/>
          <w:i w:val="1"/>
          <w:iCs w:val="1"/>
          <w:color w:val="auto"/>
        </w:rPr>
        <w:t xml:space="preserve"> </w:t>
      </w:r>
      <w:r>
        <w:rPr>
          <w:rFonts w:ascii="Arial" w:cs="Arial" w:eastAsia="Arial" w:hAnsi="Arial"/>
          <w:sz w:val="17"/>
          <w:szCs w:val="17"/>
          <w:color w:val="auto"/>
        </w:rPr>
        <w:t>into three classes serving three-year terms, with one class being elected each year. Our certificate of incorporation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24"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i w:val="1"/>
          <w:iCs w:val="1"/>
          <w:color w:val="auto"/>
        </w:rPr>
        <w:t xml:space="preserve">No Written Consent of Stockholders. </w:t>
      </w:r>
      <w:r>
        <w:rPr>
          <w:rFonts w:ascii="Arial" w:cs="Arial" w:eastAsia="Arial" w:hAnsi="Arial"/>
          <w:sz w:val="18"/>
          <w:szCs w:val="18"/>
          <w:color w:val="auto"/>
        </w:rPr>
        <w:t>Our certificate of incorporation provides that all stockholder actions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taken by a vote of the stockholders at an annual or special meeting, and that stockholders may not take any action by written consent in lieu of a meeting.</w:t>
      </w:r>
    </w:p>
    <w:p>
      <w:pPr>
        <w:spacing w:after="0" w:line="121" w:lineRule="exact"/>
        <w:rPr>
          <w:sz w:val="20"/>
          <w:szCs w:val="20"/>
          <w:color w:val="auto"/>
        </w:rPr>
      </w:pPr>
    </w:p>
    <w:p>
      <w:pPr>
        <w:ind w:right="100" w:firstLine="648"/>
        <w:spacing w:after="0" w:line="246" w:lineRule="auto"/>
        <w:rPr>
          <w:sz w:val="20"/>
          <w:szCs w:val="20"/>
          <w:color w:val="auto"/>
        </w:rPr>
      </w:pPr>
      <w:r>
        <w:rPr>
          <w:rFonts w:ascii="Arial" w:cs="Arial" w:eastAsia="Arial" w:hAnsi="Arial"/>
          <w:sz w:val="17"/>
          <w:szCs w:val="17"/>
          <w:i w:val="1"/>
          <w:iCs w:val="1"/>
          <w:color w:val="auto"/>
        </w:rPr>
        <w:t xml:space="preserve">Meetings of Stockholders. </w:t>
      </w:r>
      <w:r>
        <w:rPr>
          <w:rFonts w:ascii="Arial" w:cs="Arial" w:eastAsia="Arial" w:hAnsi="Arial"/>
          <w:sz w:val="17"/>
          <w:szCs w:val="17"/>
          <w:color w:val="auto"/>
        </w:rPr>
        <w:t>Our bylaws provide that only a majority of the members of our board of directors then in</w:t>
      </w:r>
      <w:r>
        <w:rPr>
          <w:rFonts w:ascii="Arial" w:cs="Arial" w:eastAsia="Arial" w:hAnsi="Arial"/>
          <w:sz w:val="17"/>
          <w:szCs w:val="17"/>
          <w:i w:val="1"/>
          <w:iCs w:val="1"/>
          <w:color w:val="auto"/>
        </w:rPr>
        <w:t xml:space="preserve"> </w:t>
      </w:r>
      <w:r>
        <w:rPr>
          <w:rFonts w:ascii="Arial" w:cs="Arial" w:eastAsia="Arial" w:hAnsi="Arial"/>
          <w:sz w:val="17"/>
          <w:szCs w:val="17"/>
          <w:color w:val="auto"/>
        </w:rPr>
        <w:t>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17" w:lineRule="exact"/>
        <w:rPr>
          <w:sz w:val="20"/>
          <w:szCs w:val="20"/>
          <w:color w:val="auto"/>
        </w:rPr>
      </w:pPr>
    </w:p>
    <w:p>
      <w:pPr>
        <w:ind w:right="20" w:firstLine="648"/>
        <w:spacing w:after="0" w:line="254" w:lineRule="auto"/>
        <w:rPr>
          <w:sz w:val="20"/>
          <w:szCs w:val="20"/>
          <w:color w:val="auto"/>
        </w:rPr>
      </w:pPr>
      <w:r>
        <w:rPr>
          <w:rFonts w:ascii="Arial" w:cs="Arial" w:eastAsia="Arial" w:hAnsi="Arial"/>
          <w:sz w:val="16"/>
          <w:szCs w:val="16"/>
          <w:i w:val="1"/>
          <w:iCs w:val="1"/>
          <w:color w:val="auto"/>
        </w:rPr>
        <w:t xml:space="preserve">Advance Notice Requirements. </w:t>
      </w:r>
      <w:r>
        <w:rPr>
          <w:rFonts w:ascii="Arial" w:cs="Arial" w:eastAsia="Arial" w:hAnsi="Arial"/>
          <w:sz w:val="16"/>
          <w:szCs w:val="16"/>
          <w:color w:val="auto"/>
        </w:rPr>
        <w:t>Our bylaws establish advance notice procedures with regard to stockholder proposals</w:t>
      </w:r>
      <w:r>
        <w:rPr>
          <w:rFonts w:ascii="Arial" w:cs="Arial" w:eastAsia="Arial" w:hAnsi="Arial"/>
          <w:sz w:val="16"/>
          <w:szCs w:val="16"/>
          <w:i w:val="1"/>
          <w:iCs w:val="1"/>
          <w:color w:val="auto"/>
        </w:rPr>
        <w:t xml:space="preserve"> </w:t>
      </w:r>
      <w:r>
        <w:rPr>
          <w:rFonts w:ascii="Arial" w:cs="Arial" w:eastAsia="Arial" w:hAnsi="Arial"/>
          <w:sz w:val="16"/>
          <w:szCs w:val="16"/>
          <w:color w:val="auto"/>
        </w:rPr>
        <w:t>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the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11" w:lineRule="exact"/>
        <w:rPr>
          <w:sz w:val="20"/>
          <w:szCs w:val="20"/>
          <w:color w:val="auto"/>
        </w:rPr>
      </w:pPr>
    </w:p>
    <w:p>
      <w:pPr>
        <w:ind w:firstLine="648"/>
        <w:spacing w:after="0" w:line="254" w:lineRule="auto"/>
        <w:rPr>
          <w:sz w:val="20"/>
          <w:szCs w:val="20"/>
          <w:color w:val="auto"/>
        </w:rPr>
      </w:pPr>
      <w:r>
        <w:rPr>
          <w:rFonts w:ascii="Arial" w:cs="Arial" w:eastAsia="Arial" w:hAnsi="Arial"/>
          <w:sz w:val="16"/>
          <w:szCs w:val="16"/>
          <w:i w:val="1"/>
          <w:iCs w:val="1"/>
          <w:color w:val="auto"/>
        </w:rPr>
        <w:t xml:space="preserve">Amendment to Certificate of Incorporation and Bylaws. </w:t>
      </w:r>
      <w:r>
        <w:rPr>
          <w:rFonts w:ascii="Arial" w:cs="Arial" w:eastAsia="Arial" w:hAnsi="Arial"/>
          <w:sz w:val="16"/>
          <w:szCs w:val="16"/>
          <w:color w:val="auto"/>
        </w:rPr>
        <w:t>As required by the Delaware General Corporation Law, any</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of our certificate of incorporation must first be approved by a majority of our board of directors and, if required by law or our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exclusive jurisdiction of Delaware Courts and the amendment of our bylaws and certificate of incorporation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affirmative vote of at least 75%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121" w:lineRule="exact"/>
        <w:rPr>
          <w:sz w:val="20"/>
          <w:szCs w:val="20"/>
          <w:color w:val="auto"/>
        </w:rPr>
      </w:pPr>
    </w:p>
    <w:p>
      <w:pPr>
        <w:ind w:firstLine="648"/>
        <w:spacing w:after="0" w:line="236" w:lineRule="auto"/>
        <w:rPr>
          <w:sz w:val="20"/>
          <w:szCs w:val="20"/>
          <w:color w:val="auto"/>
        </w:rPr>
      </w:pPr>
      <w:r>
        <w:rPr>
          <w:rFonts w:ascii="Arial" w:cs="Arial" w:eastAsia="Arial" w:hAnsi="Arial"/>
          <w:sz w:val="17"/>
          <w:szCs w:val="17"/>
          <w:i w:val="1"/>
          <w:iCs w:val="1"/>
          <w:color w:val="auto"/>
        </w:rPr>
        <w:t xml:space="preserve">Blank Check Preferred Stock. </w:t>
      </w:r>
      <w:r>
        <w:rPr>
          <w:rFonts w:ascii="Arial" w:cs="Arial" w:eastAsia="Arial" w:hAnsi="Arial"/>
          <w:sz w:val="17"/>
          <w:szCs w:val="17"/>
          <w:color w:val="auto"/>
        </w:rPr>
        <w:t>Our certificate of incorporation provides for 5,000,000 authorized shares of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24" w:lineRule="exact"/>
        <w:rPr>
          <w:sz w:val="20"/>
          <w:szCs w:val="20"/>
          <w:color w:val="auto"/>
        </w:rPr>
      </w:pPr>
    </w:p>
    <w:p>
      <w:pPr>
        <w:ind w:right="20" w:firstLine="648"/>
        <w:spacing w:after="0" w:line="237" w:lineRule="auto"/>
        <w:rPr>
          <w:sz w:val="20"/>
          <w:szCs w:val="20"/>
          <w:color w:val="auto"/>
        </w:rPr>
      </w:pPr>
      <w:r>
        <w:rPr>
          <w:rFonts w:ascii="Arial" w:cs="Arial" w:eastAsia="Arial" w:hAnsi="Arial"/>
          <w:sz w:val="17"/>
          <w:szCs w:val="17"/>
          <w:i w:val="1"/>
          <w:iCs w:val="1"/>
          <w:color w:val="auto"/>
        </w:rPr>
        <w:t xml:space="preserve">Section 203 of the Delaware General Corporation Law. </w:t>
      </w:r>
      <w:r>
        <w:rPr>
          <w:rFonts w:ascii="Arial" w:cs="Arial" w:eastAsia="Arial" w:hAnsi="Arial"/>
          <w:sz w:val="17"/>
          <w:szCs w:val="17"/>
          <w:color w:val="auto"/>
        </w:rPr>
        <w:t>We are subject to the provisions of Section 203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General Corporation Law.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140" w:lineRule="exact"/>
        <w:rPr>
          <w:sz w:val="20"/>
          <w:szCs w:val="20"/>
          <w:color w:val="auto"/>
        </w:rPr>
      </w:pPr>
    </w:p>
    <w:p>
      <w:pPr>
        <w:ind w:left="1080" w:right="160" w:hanging="105"/>
        <w:spacing w:after="0" w:line="308"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before the stockholder became interested, the board of directors approved either the business combination or the transaction which resulted in the stockholder becoming an interested stockholder;</w:t>
      </w:r>
    </w:p>
    <w:p>
      <w:pPr>
        <w:spacing w:after="0" w:line="106" w:lineRule="exact"/>
        <w:rPr>
          <w:rFonts w:ascii="Arial" w:cs="Arial" w:eastAsia="Arial" w:hAnsi="Arial"/>
          <w:sz w:val="17"/>
          <w:szCs w:val="17"/>
          <w:color w:val="auto"/>
        </w:rPr>
      </w:pPr>
    </w:p>
    <w:p>
      <w:pPr>
        <w:ind w:left="1080" w:right="60" w:hanging="105"/>
        <w:spacing w:after="0" w:line="302"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13" w:lineRule="exact"/>
        <w:rPr>
          <w:rFonts w:ascii="Arial" w:cs="Arial" w:eastAsia="Arial" w:hAnsi="Arial"/>
          <w:sz w:val="16"/>
          <w:szCs w:val="16"/>
          <w:color w:val="auto"/>
        </w:rPr>
      </w:pPr>
    </w:p>
    <w:p>
      <w:pPr>
        <w:ind w:left="1080" w:right="60" w:hanging="105"/>
        <w:spacing w:after="0" w:line="220" w:lineRule="exact"/>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w:t>
      </w:r>
      <w:r>
        <w:rPr>
          <w:rFonts w:ascii="MS PGothic" w:cs="MS PGothic" w:eastAsia="MS PGothic" w:hAnsi="MS PGothic"/>
          <w:sz w:val="18"/>
          <w:szCs w:val="18"/>
          <w:color w:val="auto"/>
        </w:rPr>
        <w:t>‑</w:t>
      </w:r>
      <w:r>
        <w:rPr>
          <w:rFonts w:ascii="Arial" w:cs="Arial" w:eastAsia="Arial" w:hAnsi="Arial"/>
          <w:sz w:val="18"/>
          <w:szCs w:val="18"/>
          <w:color w:val="auto"/>
        </w:rPr>
        <w:t>thirds of the outstanding voting stock that is not owned by the interested stockholder.</w:t>
      </w:r>
    </w:p>
    <w:p>
      <w:pPr>
        <w:spacing w:after="0" w:line="150" w:lineRule="exact"/>
        <w:rPr>
          <w:sz w:val="20"/>
          <w:szCs w:val="20"/>
          <w:color w:val="auto"/>
        </w:rPr>
      </w:pPr>
    </w:p>
    <w:p>
      <w:pPr>
        <w:ind w:right="140" w:firstLine="648"/>
        <w:spacing w:after="0" w:line="266" w:lineRule="auto"/>
        <w:rPr>
          <w:sz w:val="20"/>
          <w:szCs w:val="20"/>
          <w:color w:val="auto"/>
        </w:rPr>
      </w:pPr>
      <w:r>
        <w:rPr>
          <w:rFonts w:ascii="Arial" w:cs="Arial" w:eastAsia="Arial" w:hAnsi="Arial"/>
          <w:sz w:val="16"/>
          <w:szCs w:val="16"/>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1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Exclusive Jurisdiction of Certain Actions</w:t>
      </w:r>
      <w:r>
        <w:rPr>
          <w:rFonts w:ascii="Arial" w:cs="Arial" w:eastAsia="Arial" w:hAnsi="Arial"/>
          <w:sz w:val="18"/>
          <w:szCs w:val="18"/>
          <w:color w:val="auto"/>
        </w:rPr>
        <w:t>. Our certificate of incorporation requires, to the fullest extent permitted by</w:t>
      </w:r>
      <w:r>
        <w:rPr>
          <w:rFonts w:ascii="Arial" w:cs="Arial" w:eastAsia="Arial" w:hAnsi="Arial"/>
          <w:sz w:val="18"/>
          <w:szCs w:val="18"/>
          <w:i w:val="1"/>
          <w:iCs w:val="1"/>
          <w:color w:val="auto"/>
        </w:rPr>
        <w:t xml:space="preserve"> </w:t>
      </w:r>
      <w:r>
        <w:rPr>
          <w:rFonts w:ascii="Arial" w:cs="Arial" w:eastAsia="Arial" w:hAnsi="Arial"/>
          <w:sz w:val="18"/>
          <w:szCs w:val="18"/>
          <w:color w:val="auto"/>
        </w:rPr>
        <w:t>law, that derivative actions brought in our name, actions against our directors, officers and employees for breach of fiduciary duty and other similar actions may be brought only in the Court of Chancery in the State of Delaware, unless we otherwise consent.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Blueprint Medicines Corporation excluding, unless the context otherwise requires or as otherwise expressly stated, our subsidiaries.</w:t>
      </w:r>
    </w:p>
    <w:p>
      <w:pPr>
        <w:spacing w:after="0" w:line="14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w:t>
      </w:r>
    </w:p>
    <w:p>
      <w:pPr>
        <w:spacing w:after="0" w:line="185" w:lineRule="exact"/>
        <w:rPr>
          <w:sz w:val="20"/>
          <w:szCs w:val="20"/>
          <w:color w:val="auto"/>
        </w:rPr>
      </w:pPr>
    </w:p>
    <w:p>
      <w:pPr>
        <w:ind w:left="1120" w:hanging="145"/>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 not limit the amount of debt securities that we may issue;</w:t>
      </w:r>
    </w:p>
    <w:p>
      <w:pPr>
        <w:spacing w:after="0" w:line="184" w:lineRule="exact"/>
        <w:rPr>
          <w:rFonts w:ascii="Arial" w:cs="Arial" w:eastAsia="Arial" w:hAnsi="Arial"/>
          <w:sz w:val="18"/>
          <w:szCs w:val="18"/>
          <w:color w:val="auto"/>
        </w:rPr>
      </w:pPr>
    </w:p>
    <w:p>
      <w:pPr>
        <w:ind w:left="1140" w:hanging="165"/>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184" w:lineRule="exact"/>
        <w:rPr>
          <w:rFonts w:ascii="Arial" w:cs="Arial" w:eastAsia="Arial" w:hAnsi="Arial"/>
          <w:sz w:val="18"/>
          <w:szCs w:val="18"/>
          <w:color w:val="auto"/>
        </w:rPr>
      </w:pPr>
    </w:p>
    <w:p>
      <w:pPr>
        <w:ind w:left="1100" w:hanging="125"/>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 not require us to issue all of the debt securities of a series at the same time;</w:t>
      </w:r>
    </w:p>
    <w:p>
      <w:pPr>
        <w:spacing w:after="0" w:line="184" w:lineRule="exact"/>
        <w:rPr>
          <w:rFonts w:ascii="Arial" w:cs="Arial" w:eastAsia="Arial" w:hAnsi="Arial"/>
          <w:sz w:val="18"/>
          <w:szCs w:val="18"/>
          <w:color w:val="auto"/>
        </w:rPr>
      </w:pPr>
    </w:p>
    <w:p>
      <w:pPr>
        <w:ind w:left="1080" w:right="340" w:hanging="105"/>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allow us to reopen a series to issue additional debt securities without the consent of the holders of the debt securities of such series; and</w:t>
      </w:r>
    </w:p>
    <w:p>
      <w:pPr>
        <w:spacing w:after="0" w:line="129" w:lineRule="exact"/>
        <w:rPr>
          <w:rFonts w:ascii="Arial" w:cs="Arial" w:eastAsia="Arial" w:hAnsi="Arial"/>
          <w:sz w:val="18"/>
          <w:szCs w:val="18"/>
          <w:color w:val="auto"/>
        </w:rPr>
      </w:pPr>
    </w:p>
    <w:p>
      <w:pPr>
        <w:ind w:left="1080" w:right="440" w:hanging="105"/>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that the debt securities will be unsecured, except as may be set forth in the applicable prospectus supplement.</w:t>
      </w:r>
    </w:p>
    <w:p>
      <w:pPr>
        <w:spacing w:after="0" w:line="13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6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185" w:lineRule="exact"/>
        <w:rPr>
          <w:sz w:val="20"/>
          <w:szCs w:val="20"/>
          <w:color w:val="auto"/>
        </w:rPr>
      </w:pPr>
    </w:p>
    <w:p>
      <w:pPr>
        <w:ind w:left="1100" w:hanging="125"/>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title of the debt securities and whether they are senior or subordinated;</w:t>
      </w:r>
    </w:p>
    <w:p>
      <w:pPr>
        <w:spacing w:after="0" w:line="184" w:lineRule="exact"/>
        <w:rPr>
          <w:rFonts w:ascii="Arial" w:cs="Arial" w:eastAsia="Arial" w:hAnsi="Arial"/>
          <w:sz w:val="18"/>
          <w:szCs w:val="18"/>
          <w:color w:val="auto"/>
        </w:rPr>
      </w:pPr>
    </w:p>
    <w:p>
      <w:pPr>
        <w:jc w:val="both"/>
        <w:ind w:left="1080" w:right="20" w:hanging="105"/>
        <w:spacing w:after="0" w:line="264"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140" w:lineRule="exact"/>
        <w:rPr>
          <w:rFonts w:ascii="Arial" w:cs="Arial" w:eastAsia="Arial" w:hAnsi="Arial"/>
          <w:sz w:val="18"/>
          <w:szCs w:val="18"/>
          <w:color w:val="auto"/>
        </w:rPr>
      </w:pPr>
    </w:p>
    <w:p>
      <w:pPr>
        <w:ind w:left="1080" w:hanging="105"/>
        <w:spacing w:after="0" w:line="25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147" w:lineRule="exact"/>
        <w:rPr>
          <w:rFonts w:ascii="Arial" w:cs="Arial" w:eastAsia="Arial" w:hAnsi="Arial"/>
          <w:sz w:val="18"/>
          <w:szCs w:val="18"/>
          <w:color w:val="auto"/>
        </w:rPr>
      </w:pPr>
    </w:p>
    <w:p>
      <w:pPr>
        <w:ind w:left="1080" w:right="20" w:hanging="105"/>
        <w:spacing w:after="0" w:line="264"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140" w:lineRule="exact"/>
        <w:rPr>
          <w:rFonts w:ascii="Arial" w:cs="Arial" w:eastAsia="Arial" w:hAnsi="Arial"/>
          <w:sz w:val="18"/>
          <w:szCs w:val="18"/>
          <w:color w:val="auto"/>
        </w:rPr>
      </w:pPr>
    </w:p>
    <w:p>
      <w:pPr>
        <w:ind w:left="1080" w:right="60" w:hanging="105"/>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w:t>
      </w:r>
    </w:p>
    <w:p>
      <w:pPr>
        <w:spacing w:after="0" w:line="129" w:lineRule="exact"/>
        <w:rPr>
          <w:rFonts w:ascii="Arial" w:cs="Arial" w:eastAsia="Arial" w:hAnsi="Arial"/>
          <w:sz w:val="18"/>
          <w:szCs w:val="18"/>
          <w:color w:val="auto"/>
        </w:rPr>
      </w:pPr>
    </w:p>
    <w:p>
      <w:pPr>
        <w:ind w:left="1080" w:right="340" w:hanging="105"/>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fixed or variable interest rate or rates of the debt securities, or the method by which the interest rate or rates is determined;</w:t>
      </w:r>
    </w:p>
    <w:p>
      <w:pPr>
        <w:spacing w:after="0" w:line="129" w:lineRule="exact"/>
        <w:rPr>
          <w:rFonts w:ascii="Arial" w:cs="Arial" w:eastAsia="Arial" w:hAnsi="Arial"/>
          <w:sz w:val="18"/>
          <w:szCs w:val="18"/>
          <w:color w:val="auto"/>
        </w:rPr>
      </w:pPr>
    </w:p>
    <w:p>
      <w:pPr>
        <w:ind w:left="1080" w:hanging="105"/>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from which interest will accrue;</w:t>
      </w:r>
    </w:p>
    <w:p>
      <w:pPr>
        <w:spacing w:after="0" w:line="184" w:lineRule="exact"/>
        <w:rPr>
          <w:rFonts w:ascii="Arial" w:cs="Arial" w:eastAsia="Arial" w:hAnsi="Arial"/>
          <w:sz w:val="18"/>
          <w:szCs w:val="18"/>
          <w:color w:val="auto"/>
        </w:rPr>
      </w:pPr>
    </w:p>
    <w:p>
      <w:pPr>
        <w:ind w:left="1160" w:hanging="185"/>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record dates for interest payment dates, or the method by which such dates will be determine;</w:t>
      </w:r>
    </w:p>
    <w:p>
      <w:pPr>
        <w:spacing w:after="0" w:line="184" w:lineRule="exact"/>
        <w:rPr>
          <w:rFonts w:ascii="Arial" w:cs="Arial" w:eastAsia="Arial" w:hAnsi="Arial"/>
          <w:sz w:val="18"/>
          <w:szCs w:val="18"/>
          <w:color w:val="auto"/>
        </w:rPr>
      </w:pPr>
    </w:p>
    <w:p>
      <w:pPr>
        <w:ind w:left="1160" w:hanging="185"/>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basis upon which interest will be calculated if other than that of a 360-day year of twelve 30-day months;</w:t>
      </w:r>
    </w:p>
    <w:p>
      <w:pPr>
        <w:spacing w:after="0" w:line="207" w:lineRule="exact"/>
        <w:rPr>
          <w:rFonts w:ascii="Arial" w:cs="Arial" w:eastAsia="Arial" w:hAnsi="Arial"/>
          <w:sz w:val="16"/>
          <w:szCs w:val="16"/>
          <w:color w:val="auto"/>
        </w:rPr>
      </w:pPr>
    </w:p>
    <w:p>
      <w:pPr>
        <w:ind w:left="1080" w:hanging="105"/>
        <w:spacing w:after="0" w:line="264"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140" w:lineRule="exact"/>
        <w:rPr>
          <w:rFonts w:ascii="Arial" w:cs="Arial" w:eastAsia="Arial" w:hAnsi="Arial"/>
          <w:sz w:val="18"/>
          <w:szCs w:val="18"/>
          <w:color w:val="auto"/>
        </w:rPr>
      </w:pPr>
    </w:p>
    <w:p>
      <w:pPr>
        <w:ind w:left="1080" w:right="120" w:hanging="105"/>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premium or make-whole amount, and interest on, the debt securities will be payable;</w:t>
      </w:r>
    </w:p>
    <w:p>
      <w:pPr>
        <w:spacing w:after="0" w:line="129" w:lineRule="exact"/>
        <w:rPr>
          <w:rFonts w:ascii="Arial" w:cs="Arial" w:eastAsia="Arial" w:hAnsi="Arial"/>
          <w:sz w:val="18"/>
          <w:szCs w:val="18"/>
          <w:color w:val="auto"/>
        </w:rPr>
      </w:pPr>
    </w:p>
    <w:p>
      <w:pPr>
        <w:ind w:left="1080" w:hanging="105"/>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where the debt securities may be surrendered for registration of transfer or conversion or exchange;</w:t>
      </w:r>
    </w:p>
    <w:p>
      <w:pPr>
        <w:spacing w:after="0" w:line="184" w:lineRule="exact"/>
        <w:rPr>
          <w:rFonts w:ascii="Arial" w:cs="Arial" w:eastAsia="Arial" w:hAnsi="Arial"/>
          <w:sz w:val="18"/>
          <w:szCs w:val="18"/>
          <w:color w:val="auto"/>
        </w:rPr>
      </w:pPr>
    </w:p>
    <w:p>
      <w:pPr>
        <w:ind w:left="1080" w:right="160" w:hanging="105"/>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where notices or demands to or upon us in respect of the debt securities and the applicable indenture may be served;</w:t>
      </w:r>
    </w:p>
    <w:p>
      <w:pPr>
        <w:spacing w:after="0" w:line="129" w:lineRule="exact"/>
        <w:rPr>
          <w:rFonts w:ascii="Arial" w:cs="Arial" w:eastAsia="Arial" w:hAnsi="Arial"/>
          <w:sz w:val="18"/>
          <w:szCs w:val="18"/>
          <w:color w:val="auto"/>
        </w:rPr>
      </w:pPr>
    </w:p>
    <w:p>
      <w:pPr>
        <w:ind w:left="1080" w:hanging="105"/>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times, prices and other terms and conditions upon which we may redeem the debt securities;</w:t>
      </w:r>
    </w:p>
    <w:p>
      <w:pPr>
        <w:spacing w:after="0" w:line="184" w:lineRule="exact"/>
        <w:rPr>
          <w:rFonts w:ascii="Arial" w:cs="Arial" w:eastAsia="Arial" w:hAnsi="Arial"/>
          <w:sz w:val="18"/>
          <w:szCs w:val="18"/>
          <w:color w:val="auto"/>
        </w:rPr>
      </w:pPr>
    </w:p>
    <w:p>
      <w:pPr>
        <w:ind w:left="1080" w:right="300" w:hanging="105"/>
        <w:spacing w:after="0" w:line="286"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obligation;</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80" w:hanging="105"/>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146" w:lineRule="exact"/>
        <w:rPr>
          <w:rFonts w:ascii="Arial" w:cs="Arial" w:eastAsia="Arial" w:hAnsi="Arial"/>
          <w:sz w:val="18"/>
          <w:szCs w:val="18"/>
          <w:color w:val="auto"/>
        </w:rPr>
      </w:pPr>
    </w:p>
    <w:p>
      <w:pPr>
        <w:ind w:left="1080" w:right="20" w:hanging="105"/>
        <w:spacing w:after="0" w:line="31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106" w:lineRule="exact"/>
        <w:rPr>
          <w:rFonts w:ascii="Arial" w:cs="Arial" w:eastAsia="Arial" w:hAnsi="Arial"/>
          <w:sz w:val="16"/>
          <w:szCs w:val="16"/>
          <w:color w:val="auto"/>
        </w:rPr>
      </w:pPr>
    </w:p>
    <w:p>
      <w:pPr>
        <w:ind w:left="1080" w:right="40" w:hanging="105"/>
        <w:spacing w:after="0" w:line="264"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140" w:lineRule="exact"/>
        <w:rPr>
          <w:rFonts w:ascii="Arial" w:cs="Arial" w:eastAsia="Arial" w:hAnsi="Arial"/>
          <w:sz w:val="18"/>
          <w:szCs w:val="18"/>
          <w:color w:val="auto"/>
        </w:rPr>
      </w:pPr>
    </w:p>
    <w:p>
      <w:pPr>
        <w:ind w:left="1080" w:hanging="105"/>
        <w:spacing w:after="0" w:line="25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 (ii) if in bearer form, the manner in which, or the person to whom, any interest on the security shall be payable if otherwise than upon presentation and surrender upon maturity;</w:t>
      </w:r>
    </w:p>
    <w:p>
      <w:pPr>
        <w:spacing w:after="0" w:line="147" w:lineRule="exact"/>
        <w:rPr>
          <w:rFonts w:ascii="Arial" w:cs="Arial" w:eastAsia="Arial" w:hAnsi="Arial"/>
          <w:sz w:val="18"/>
          <w:szCs w:val="18"/>
          <w:color w:val="auto"/>
        </w:rPr>
      </w:pPr>
    </w:p>
    <w:p>
      <w:pPr>
        <w:ind w:left="1080" w:right="40" w:hanging="105"/>
        <w:spacing w:after="0" w:line="264"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140" w:lineRule="exact"/>
        <w:rPr>
          <w:rFonts w:ascii="Arial" w:cs="Arial" w:eastAsia="Arial" w:hAnsi="Arial"/>
          <w:sz w:val="18"/>
          <w:szCs w:val="18"/>
          <w:color w:val="auto"/>
        </w:rPr>
      </w:pPr>
    </w:p>
    <w:p>
      <w:pPr>
        <w:ind w:left="1080" w:right="100" w:hanging="105"/>
        <w:spacing w:after="0" w:line="30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113" w:lineRule="exact"/>
        <w:rPr>
          <w:rFonts w:ascii="Arial" w:cs="Arial" w:eastAsia="Arial" w:hAnsi="Arial"/>
          <w:sz w:val="16"/>
          <w:szCs w:val="16"/>
          <w:color w:val="auto"/>
        </w:rPr>
      </w:pPr>
    </w:p>
    <w:p>
      <w:pPr>
        <w:ind w:left="1080" w:right="460" w:hanging="105"/>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identity of the depositary for securities in registered form, if such series are to be issuable as a global security;</w:t>
      </w:r>
    </w:p>
    <w:p>
      <w:pPr>
        <w:spacing w:after="0" w:line="129" w:lineRule="exact"/>
        <w:rPr>
          <w:rFonts w:ascii="Arial" w:cs="Arial" w:eastAsia="Arial" w:hAnsi="Arial"/>
          <w:sz w:val="18"/>
          <w:szCs w:val="18"/>
          <w:color w:val="auto"/>
        </w:rPr>
      </w:pPr>
    </w:p>
    <w:p>
      <w:pPr>
        <w:ind w:left="1080" w:right="60" w:hanging="105"/>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as of which any debt securities in bearer form or in temporary global form shall be dated if other than the original issuance date of the first security of the series to be issued;</w:t>
      </w:r>
    </w:p>
    <w:p>
      <w:pPr>
        <w:spacing w:after="0" w:line="129" w:lineRule="exact"/>
        <w:rPr>
          <w:rFonts w:ascii="Arial" w:cs="Arial" w:eastAsia="Arial" w:hAnsi="Arial"/>
          <w:sz w:val="18"/>
          <w:szCs w:val="18"/>
          <w:color w:val="auto"/>
        </w:rPr>
      </w:pPr>
    </w:p>
    <w:p>
      <w:pPr>
        <w:ind w:left="1080" w:right="120" w:hanging="105"/>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applicability, if any, of the defeasance and covenant defeasance provisions described in this prospectus or in the applicable indenture;</w:t>
      </w:r>
    </w:p>
    <w:p>
      <w:pPr>
        <w:spacing w:after="0" w:line="129" w:lineRule="exact"/>
        <w:rPr>
          <w:rFonts w:ascii="Arial" w:cs="Arial" w:eastAsia="Arial" w:hAnsi="Arial"/>
          <w:sz w:val="18"/>
          <w:szCs w:val="18"/>
          <w:color w:val="auto"/>
        </w:rPr>
      </w:pPr>
    </w:p>
    <w:p>
      <w:pPr>
        <w:ind w:left="1080" w:right="60" w:hanging="105"/>
        <w:spacing w:after="0" w:line="264"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140" w:lineRule="exact"/>
        <w:rPr>
          <w:rFonts w:ascii="Arial" w:cs="Arial" w:eastAsia="Arial" w:hAnsi="Arial"/>
          <w:sz w:val="18"/>
          <w:szCs w:val="18"/>
          <w:color w:val="auto"/>
        </w:rPr>
      </w:pPr>
    </w:p>
    <w:p>
      <w:pPr>
        <w:ind w:left="1080" w:right="80" w:hanging="105"/>
        <w:spacing w:after="0" w:line="264"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140" w:lineRule="exact"/>
        <w:rPr>
          <w:rFonts w:ascii="Arial" w:cs="Arial" w:eastAsia="Arial" w:hAnsi="Arial"/>
          <w:sz w:val="18"/>
          <w:szCs w:val="18"/>
          <w:color w:val="auto"/>
        </w:rPr>
      </w:pPr>
    </w:p>
    <w:p>
      <w:pPr>
        <w:ind w:left="1080" w:right="40" w:hanging="105"/>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146" w:lineRule="exact"/>
        <w:rPr>
          <w:rFonts w:ascii="Arial" w:cs="Arial" w:eastAsia="Arial" w:hAnsi="Arial"/>
          <w:sz w:val="18"/>
          <w:szCs w:val="18"/>
          <w:color w:val="auto"/>
        </w:rPr>
      </w:pPr>
    </w:p>
    <w:p>
      <w:pPr>
        <w:ind w:left="1080" w:right="120" w:hanging="105"/>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of securities upon the occurrence of such events as specified in the applicable prospectus supplement;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80" w:right="20" w:hanging="105"/>
        <w:spacing w:after="0" w:line="264"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140" w:lineRule="exact"/>
        <w:rPr>
          <w:rFonts w:ascii="Arial" w:cs="Arial" w:eastAsia="Arial" w:hAnsi="Arial"/>
          <w:sz w:val="18"/>
          <w:szCs w:val="18"/>
          <w:color w:val="auto"/>
        </w:rPr>
      </w:pPr>
    </w:p>
    <w:p>
      <w:pPr>
        <w:ind w:left="1080" w:right="200" w:hanging="105"/>
        <w:spacing w:after="0" w:line="34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name of the applicable trustee and the nature of any material relationship with us or any of our affiliates, and the percentage of debt securities of the class necessary to require the trustee to take action;</w:t>
      </w:r>
    </w:p>
    <w:p>
      <w:pPr>
        <w:spacing w:after="0" w:line="83" w:lineRule="exact"/>
        <w:rPr>
          <w:rFonts w:ascii="Arial" w:cs="Arial" w:eastAsia="Arial" w:hAnsi="Arial"/>
          <w:sz w:val="16"/>
          <w:szCs w:val="16"/>
          <w:color w:val="auto"/>
        </w:rPr>
      </w:pPr>
    </w:p>
    <w:p>
      <w:pPr>
        <w:ind w:left="1080" w:right="100" w:hanging="105"/>
        <w:spacing w:after="0" w:line="264"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deletions from, modifications of or additions to our events of default or covenants with regard to such debt securities and any change in the right of any trustee or any of the holders to declare the principal amount of any of such debt securities due and payable;</w:t>
      </w:r>
    </w:p>
    <w:p>
      <w:pPr>
        <w:spacing w:after="0" w:line="140" w:lineRule="exact"/>
        <w:rPr>
          <w:rFonts w:ascii="Arial" w:cs="Arial" w:eastAsia="Arial" w:hAnsi="Arial"/>
          <w:sz w:val="18"/>
          <w:szCs w:val="18"/>
          <w:color w:val="auto"/>
        </w:rPr>
      </w:pPr>
    </w:p>
    <w:p>
      <w:pPr>
        <w:ind w:left="1200" w:hanging="225"/>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applicable CUSIP numbers; and</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other terms of such debt securities not inconsistent with the provisions of the applicable indenture.</w:t>
      </w:r>
    </w:p>
    <w:p>
      <w:pPr>
        <w:spacing w:after="0" w:line="196" w:lineRule="exact"/>
        <w:rPr>
          <w:sz w:val="20"/>
          <w:szCs w:val="20"/>
          <w:color w:val="auto"/>
        </w:rPr>
      </w:pPr>
    </w:p>
    <w:p>
      <w:pPr>
        <w:ind w:right="460" w:firstLine="693"/>
        <w:spacing w:after="0" w:line="302" w:lineRule="auto"/>
        <w:rPr>
          <w:sz w:val="20"/>
          <w:szCs w:val="20"/>
          <w:color w:val="auto"/>
        </w:rPr>
      </w:pPr>
      <w:r>
        <w:rPr>
          <w:rFonts w:ascii="Arial" w:cs="Arial" w:eastAsia="Arial" w:hAnsi="Arial"/>
          <w:sz w:val="16"/>
          <w:szCs w:val="16"/>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14" w:lineRule="exact"/>
        <w:rPr>
          <w:sz w:val="20"/>
          <w:szCs w:val="20"/>
          <w:color w:val="auto"/>
        </w:rPr>
      </w:pPr>
    </w:p>
    <w:p>
      <w:pPr>
        <w:jc w:val="both"/>
        <w:ind w:right="360" w:firstLine="648"/>
        <w:spacing w:after="0" w:line="302" w:lineRule="auto"/>
        <w:rPr>
          <w:sz w:val="20"/>
          <w:szCs w:val="20"/>
          <w:color w:val="auto"/>
        </w:rPr>
      </w:pPr>
      <w:r>
        <w:rPr>
          <w:rFonts w:ascii="Arial" w:cs="Arial" w:eastAsia="Arial" w:hAnsi="Arial"/>
          <w:sz w:val="16"/>
          <w:szCs w:val="16"/>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127" w:lineRule="exact"/>
        <w:rPr>
          <w:sz w:val="20"/>
          <w:szCs w:val="20"/>
          <w:color w:val="auto"/>
        </w:rPr>
      </w:pPr>
    </w:p>
    <w:p>
      <w:pPr>
        <w:jc w:val="both"/>
        <w:ind w:right="360" w:firstLine="648"/>
        <w:spacing w:after="0" w:line="291" w:lineRule="auto"/>
        <w:rPr>
          <w:sz w:val="20"/>
          <w:szCs w:val="20"/>
          <w:color w:val="auto"/>
        </w:rPr>
      </w:pPr>
      <w:r>
        <w:rPr>
          <w:rFonts w:ascii="Arial" w:cs="Arial" w:eastAsia="Arial" w:hAnsi="Arial"/>
          <w:sz w:val="16"/>
          <w:szCs w:val="16"/>
          <w:color w:val="auto"/>
        </w:rPr>
        <w:t>Except as described under “—Merger, Consolidation or Sale of Assets” or as may be set forth in any prospectus supplement, the debt securities will not contain any provisions that (i) would limit our ability to incur indebtedness or</w:t>
      </w:r>
    </w:p>
    <w:p>
      <w:pPr>
        <w:ind w:firstLine="3"/>
        <w:spacing w:after="0" w:line="271" w:lineRule="auto"/>
        <w:tabs>
          <w:tab w:leader="none" w:pos="265" w:val="left"/>
        </w:tabs>
        <w:numPr>
          <w:ilvl w:val="0"/>
          <w:numId w:val="16"/>
        </w:numPr>
        <w:rPr>
          <w:rFonts w:ascii="Arial" w:cs="Arial" w:eastAsia="Arial" w:hAnsi="Arial"/>
          <w:sz w:val="17"/>
          <w:szCs w:val="17"/>
          <w:color w:val="auto"/>
        </w:rPr>
      </w:pPr>
      <w:r>
        <w:rPr>
          <w:rFonts w:ascii="Arial" w:cs="Arial" w:eastAsia="Arial" w:hAnsi="Arial"/>
          <w:sz w:val="17"/>
          <w:szCs w:val="17"/>
          <w:color w:val="auto"/>
        </w:rPr>
        <w:t>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38"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31" w:lineRule="exact"/>
        <w:rPr>
          <w:sz w:val="20"/>
          <w:szCs w:val="20"/>
          <w:color w:val="auto"/>
        </w:rPr>
      </w:pPr>
    </w:p>
    <w:p>
      <w:pPr>
        <w:jc w:val="both"/>
        <w:ind w:right="560" w:firstLine="648"/>
        <w:spacing w:after="0" w:line="264" w:lineRule="auto"/>
        <w:rPr>
          <w:sz w:val="20"/>
          <w:szCs w:val="20"/>
          <w:color w:val="auto"/>
        </w:rPr>
      </w:pPr>
      <w:r>
        <w:rPr>
          <w:rFonts w:ascii="Arial" w:cs="Arial" w:eastAsia="Arial" w:hAnsi="Arial"/>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w:t>
      </w:r>
    </w:p>
    <w:p>
      <w:pPr>
        <w:spacing w:after="0" w:line="18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Unless otherwise provided in the applicable prospectus supplement, the principal of, and any premium or make-whole amount, and interest on, any series of the debt securities will be payable at 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3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 Interest, Registration and Transfer</w:t>
      </w:r>
    </w:p>
    <w:p>
      <w:pPr>
        <w:spacing w:after="0" w:line="18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Unless otherwise provided in the applicable prospectus supplement, the debt securities of any series will be issuable in denominations of $1,000 and integral multiples of $1,000.</w:t>
      </w:r>
    </w:p>
    <w:p>
      <w:pPr>
        <w:spacing w:after="0" w:line="143"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83" w:lineRule="exact"/>
        <w:rPr>
          <w:sz w:val="20"/>
          <w:szCs w:val="20"/>
          <w:color w:val="auto"/>
        </w:rPr>
      </w:pPr>
    </w:p>
    <w:p>
      <w:pPr>
        <w:ind w:left="1080" w:right="100" w:hanging="105"/>
        <w:spacing w:after="0" w:line="286"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125" w:lineRule="exact"/>
        <w:rPr>
          <w:rFonts w:ascii="Arial" w:cs="Arial" w:eastAsia="Arial" w:hAnsi="Arial"/>
          <w:sz w:val="17"/>
          <w:szCs w:val="17"/>
          <w:color w:val="auto"/>
        </w:rPr>
      </w:pPr>
    </w:p>
    <w:p>
      <w:pPr>
        <w:ind w:left="1080" w:right="100" w:hanging="105"/>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130"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Neither we, nor any trustee, will be required to:</w:t>
      </w:r>
    </w:p>
    <w:p>
      <w:pPr>
        <w:spacing w:after="0" w:line="198" w:lineRule="exact"/>
        <w:rPr>
          <w:sz w:val="20"/>
          <w:szCs w:val="20"/>
          <w:color w:val="auto"/>
        </w:rPr>
      </w:pPr>
    </w:p>
    <w:p>
      <w:pPr>
        <w:jc w:val="both"/>
        <w:ind w:left="1080" w:hanging="105"/>
        <w:spacing w:after="0" w:line="264"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140" w:lineRule="exact"/>
        <w:rPr>
          <w:rFonts w:ascii="Arial" w:cs="Arial" w:eastAsia="Arial" w:hAnsi="Arial"/>
          <w:sz w:val="18"/>
          <w:szCs w:val="18"/>
          <w:color w:val="auto"/>
        </w:rPr>
      </w:pPr>
    </w:p>
    <w:p>
      <w:pPr>
        <w:ind w:left="1080" w:right="140" w:hanging="105"/>
        <w:spacing w:after="0" w:line="308"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register the transfer of or exchange any debt security, or portion thereof, so selected for redemption, in whole or in part, except the unredeemed portion of any debt security being redeemed in part; and</w:t>
      </w:r>
    </w:p>
    <w:p>
      <w:pPr>
        <w:spacing w:after="0" w:line="106" w:lineRule="exact"/>
        <w:rPr>
          <w:rFonts w:ascii="Arial" w:cs="Arial" w:eastAsia="Arial" w:hAnsi="Arial"/>
          <w:sz w:val="17"/>
          <w:szCs w:val="17"/>
          <w:color w:val="auto"/>
        </w:rPr>
      </w:pPr>
    </w:p>
    <w:p>
      <w:pPr>
        <w:ind w:left="1080" w:right="360" w:hanging="105"/>
        <w:spacing w:after="0" w:line="308"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issue, register the transfer of or exchange any debt security that has been surrendered for repayment at the option of the holder, except the portion, if any, of such debt security not to be so repaid.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indentures provide that we may, without the consent of the holders of any outstanding debt securities,</w:t>
      </w:r>
    </w:p>
    <w:p>
      <w:pPr>
        <w:spacing w:after="0" w:line="35" w:lineRule="exact"/>
        <w:rPr>
          <w:sz w:val="20"/>
          <w:szCs w:val="20"/>
          <w:color w:val="auto"/>
        </w:rPr>
      </w:pPr>
    </w:p>
    <w:p>
      <w:pPr>
        <w:ind w:right="420" w:firstLine="3"/>
        <w:spacing w:after="0" w:line="261" w:lineRule="auto"/>
        <w:tabs>
          <w:tab w:leader="none" w:pos="2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 with, (ii) sell, lease or convey all or substantially all of our assets to, or (iii) merge with or into, any other entity provided that:</w:t>
      </w:r>
    </w:p>
    <w:p>
      <w:pPr>
        <w:spacing w:after="0" w:line="143" w:lineRule="exact"/>
        <w:rPr>
          <w:rFonts w:ascii="Arial" w:cs="Arial" w:eastAsia="Arial" w:hAnsi="Arial"/>
          <w:sz w:val="18"/>
          <w:szCs w:val="18"/>
          <w:color w:val="auto"/>
        </w:rPr>
      </w:pPr>
    </w:p>
    <w:p>
      <w:pPr>
        <w:jc w:val="both"/>
        <w:ind w:left="1080" w:right="100" w:hanging="105"/>
        <w:spacing w:after="0" w:line="312" w:lineRule="auto"/>
        <w:tabs>
          <w:tab w:leader="none" w:pos="10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each indenture;</w:t>
      </w:r>
    </w:p>
    <w:p>
      <w:pPr>
        <w:spacing w:after="0" w:line="106" w:lineRule="exact"/>
        <w:rPr>
          <w:rFonts w:ascii="Arial" w:cs="Arial" w:eastAsia="Arial" w:hAnsi="Arial"/>
          <w:sz w:val="16"/>
          <w:szCs w:val="16"/>
          <w:color w:val="auto"/>
        </w:rPr>
      </w:pPr>
    </w:p>
    <w:p>
      <w:pPr>
        <w:ind w:left="1080" w:hanging="105"/>
        <w:spacing w:after="0" w:line="342" w:lineRule="auto"/>
        <w:tabs>
          <w:tab w:leader="none" w:pos="10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after giving effect to the transaction, there is no event of default under the indentures and no event which, after notice or the lapse of time, or both, would become such an event of default, occurs and continues; and</w:t>
      </w:r>
    </w:p>
    <w:p>
      <w:pPr>
        <w:spacing w:after="0" w:line="83" w:lineRule="exact"/>
        <w:rPr>
          <w:rFonts w:ascii="Arial" w:cs="Arial" w:eastAsia="Arial" w:hAnsi="Arial"/>
          <w:sz w:val="16"/>
          <w:szCs w:val="16"/>
          <w:color w:val="auto"/>
        </w:rPr>
      </w:pPr>
    </w:p>
    <w:p>
      <w:pPr>
        <w:ind w:left="1080" w:hanging="105"/>
        <w:spacing w:after="0"/>
        <w:tabs>
          <w:tab w:leader="none" w:pos="10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an officers’ certificate and legal opinion covering such conditions are delivered to each applicable trustee.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8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Existence</w:t>
      </w:r>
      <w:r>
        <w:rPr>
          <w:rFonts w:ascii="Arial" w:cs="Arial" w:eastAsia="Arial" w:hAnsi="Arial"/>
          <w:sz w:val="18"/>
          <w:szCs w:val="18"/>
          <w:color w:val="auto"/>
        </w:rPr>
        <w:t>. Except as described under “—Merger, Consolidation or Sale of Assets,” the indentures require us to do or</w:t>
      </w:r>
      <w:r>
        <w:rPr>
          <w:rFonts w:ascii="Arial" w:cs="Arial" w:eastAsia="Arial" w:hAnsi="Arial"/>
          <w:sz w:val="18"/>
          <w:szCs w:val="18"/>
          <w:i w:val="1"/>
          <w:iCs w:val="1"/>
          <w:color w:val="auto"/>
        </w:rPr>
        <w:t xml:space="preserve"> </w:t>
      </w:r>
      <w:r>
        <w:rPr>
          <w:rFonts w:ascii="Arial" w:cs="Arial" w:eastAsia="Arial" w:hAnsi="Arial"/>
          <w:sz w:val="18"/>
          <w:szCs w:val="18"/>
          <w:color w:val="auto"/>
        </w:rPr>
        <w:t>cause to be done all things necessary to 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6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Payment of taxes and other claims</w:t>
      </w:r>
      <w:r>
        <w:rPr>
          <w:rFonts w:ascii="Arial" w:cs="Arial" w:eastAsia="Arial" w:hAnsi="Arial"/>
          <w:sz w:val="17"/>
          <w:szCs w:val="17"/>
          <w:color w:val="auto"/>
        </w:rPr>
        <w:t>. The indentures require us to pay, discharge or cause to be paid or discharged,</w:t>
      </w:r>
      <w:r>
        <w:rPr>
          <w:rFonts w:ascii="Arial" w:cs="Arial" w:eastAsia="Arial" w:hAnsi="Arial"/>
          <w:sz w:val="17"/>
          <w:szCs w:val="17"/>
          <w:i w:val="1"/>
          <w:iCs w:val="1"/>
          <w:color w:val="auto"/>
        </w:rPr>
        <w:t xml:space="preserve"> </w:t>
      </w:r>
      <w:r>
        <w:rPr>
          <w:rFonts w:ascii="Arial" w:cs="Arial" w:eastAsia="Arial" w:hAnsi="Arial"/>
          <w:sz w:val="17"/>
          <w:szCs w:val="17"/>
          <w:color w:val="auto"/>
        </w:rPr>
        <w:t>before they become delinquent (i) all taxes, assessments and governmental charges levied or imposed on us, our subsidiaries or our subsidiaries’ income, profits or property, and (ii) all lawful claims for labor, materials and supplies which, if unpaid, might by law become a lien upon our property or the property of our subsidiaries. However, we will not be required to pay, discharge or cause to be paid or discharged any such tax, assessment, charge or claim whose amount, applicability or validity is being contested in good faith by appropriate proceedings.</w:t>
      </w:r>
    </w:p>
    <w:p>
      <w:pPr>
        <w:spacing w:after="0" w:line="138"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i w:val="1"/>
          <w:iCs w:val="1"/>
          <w:color w:val="auto"/>
        </w:rPr>
        <w:t>Provision of financial information</w:t>
      </w:r>
      <w:r>
        <w:rPr>
          <w:rFonts w:ascii="Arial" w:cs="Arial" w:eastAsia="Arial" w:hAnsi="Arial"/>
          <w:sz w:val="16"/>
          <w:szCs w:val="16"/>
          <w:color w:val="auto"/>
        </w:rPr>
        <w:t>. The indentures require us to (i) within 15 days of each of the respective dates by</w:t>
      </w:r>
      <w:r>
        <w:rPr>
          <w:rFonts w:ascii="Arial" w:cs="Arial" w:eastAsia="Arial" w:hAnsi="Arial"/>
          <w:sz w:val="16"/>
          <w:szCs w:val="16"/>
          <w:i w:val="1"/>
          <w:iCs w:val="1"/>
          <w:color w:val="auto"/>
        </w:rPr>
        <w:t xml:space="preserve"> </w:t>
      </w:r>
      <w:r>
        <w:rPr>
          <w:rFonts w:ascii="Arial" w:cs="Arial" w:eastAsia="Arial" w:hAnsi="Arial"/>
          <w:sz w:val="16"/>
          <w:szCs w:val="16"/>
          <w:color w:val="auto"/>
        </w:rPr>
        <w:t>which we are required to file our annual reports, quarterly reports and other documents with the SEC, file with the trustee copies of the annual report, quarterly report and other documents that we file with the SEC under Section 13 or 15(d) of the Exchange Act, (ii) file with the trustee and the SEC any additional information, documents and reports regarding compliance by us with the conditions and covenants of the indentures, as required, (iii) within 30 days after the filing with the trustee, mail to all holders of debt securities, as their names and addresses appear in the applicable register for such debt securities, without cost to such holders, summaries of any documents and reports required to be filed by us pursuant to (i) and</w:t>
      </w:r>
    </w:p>
    <w:p>
      <w:pPr>
        <w:spacing w:after="0" w:line="3" w:lineRule="exact"/>
        <w:rPr>
          <w:sz w:val="20"/>
          <w:szCs w:val="20"/>
          <w:color w:val="auto"/>
        </w:rPr>
      </w:pPr>
    </w:p>
    <w:p>
      <w:pPr>
        <w:ind w:right="320" w:firstLine="3"/>
        <w:spacing w:after="0" w:line="261" w:lineRule="auto"/>
        <w:tabs>
          <w:tab w:leader="none" w:pos="2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above, and (iv) supply, promptly upon written request and payment of the reasonable cost of duplication and delivery, copies of such documents to any prospective holder.</w:t>
      </w:r>
    </w:p>
    <w:p>
      <w:pPr>
        <w:spacing w:after="0" w:line="14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Additional covenants</w:t>
      </w:r>
      <w:r>
        <w:rPr>
          <w:rFonts w:ascii="Arial" w:cs="Arial" w:eastAsia="Arial" w:hAnsi="Arial"/>
          <w:sz w:val="18"/>
          <w:szCs w:val="18"/>
          <w:color w:val="auto"/>
        </w:rPr>
        <w:t>. The applicable prospectus supplement will set forth any additional covenants relating to any</w:t>
      </w:r>
      <w:r>
        <w:rPr>
          <w:rFonts w:ascii="Arial" w:cs="Arial" w:eastAsia="Arial" w:hAnsi="Arial"/>
          <w:sz w:val="18"/>
          <w:szCs w:val="18"/>
          <w:i w:val="1"/>
          <w:iCs w:val="1"/>
          <w:color w:val="auto"/>
        </w:rPr>
        <w:t xml:space="preserve"> </w:t>
      </w:r>
      <w:r>
        <w:rPr>
          <w:rFonts w:ascii="Arial" w:cs="Arial" w:eastAsia="Arial" w:hAnsi="Arial"/>
          <w:sz w:val="18"/>
          <w:szCs w:val="18"/>
          <w:color w:val="auto"/>
        </w:rPr>
        <w:t>series of debt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18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130" w:lineRule="exact"/>
        <w:rPr>
          <w:sz w:val="20"/>
          <w:szCs w:val="20"/>
          <w:color w:val="auto"/>
        </w:rPr>
      </w:pPr>
    </w:p>
    <w:p>
      <w:pPr>
        <w:ind w:left="1080" w:hanging="105"/>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default in the payment of any installment of interest on any debt security of such series continuing for 30 days;</w:t>
      </w:r>
    </w:p>
    <w:p>
      <w:pPr>
        <w:spacing w:after="0" w:line="207" w:lineRule="exact"/>
        <w:rPr>
          <w:rFonts w:ascii="Arial" w:cs="Arial" w:eastAsia="Arial" w:hAnsi="Arial"/>
          <w:sz w:val="16"/>
          <w:szCs w:val="16"/>
          <w:color w:val="auto"/>
        </w:rPr>
      </w:pPr>
    </w:p>
    <w:p>
      <w:pPr>
        <w:ind w:left="1080" w:right="220" w:hanging="105"/>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or make-whole amount on, any debt security of such series for five business days at its stated maturity;</w:t>
      </w:r>
    </w:p>
    <w:p>
      <w:pPr>
        <w:spacing w:after="0" w:line="129" w:lineRule="exact"/>
        <w:rPr>
          <w:rFonts w:ascii="Arial" w:cs="Arial" w:eastAsia="Arial" w:hAnsi="Arial"/>
          <w:sz w:val="18"/>
          <w:szCs w:val="18"/>
          <w:color w:val="auto"/>
        </w:rPr>
      </w:pPr>
    </w:p>
    <w:p>
      <w:pPr>
        <w:ind w:left="1080" w:right="160" w:hanging="105"/>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in making any sinking fund payment as required for any debt security of such series for five business days;</w:t>
      </w:r>
    </w:p>
    <w:p>
      <w:pPr>
        <w:spacing w:after="0" w:line="129" w:lineRule="exact"/>
        <w:rPr>
          <w:rFonts w:ascii="Arial" w:cs="Arial" w:eastAsia="Arial" w:hAnsi="Arial"/>
          <w:sz w:val="18"/>
          <w:szCs w:val="18"/>
          <w:color w:val="auto"/>
        </w:rPr>
      </w:pPr>
    </w:p>
    <w:p>
      <w:pPr>
        <w:ind w:left="1080" w:right="160" w:hanging="105"/>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us continuing for 60 days after written notice as provided in the applicable indenture, but not of a covenant added to the indenture solely for the benefit of a series of debt securities issued thereunder other than such series;</w:t>
      </w:r>
    </w:p>
    <w:p>
      <w:pPr>
        <w:spacing w:after="0" w:line="146" w:lineRule="exact"/>
        <w:rPr>
          <w:rFonts w:ascii="Arial" w:cs="Arial" w:eastAsia="Arial" w:hAnsi="Arial"/>
          <w:sz w:val="18"/>
          <w:szCs w:val="18"/>
          <w:color w:val="auto"/>
        </w:rPr>
      </w:pPr>
    </w:p>
    <w:p>
      <w:pPr>
        <w:ind w:left="1080" w:right="240" w:hanging="105"/>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default under any bond, debenture, note, mortgage, indenture or instrument: (i) having an aggregate principal amount of at least $30,000,000; or (ii) under which there may be issued, secured or evidenced any existing or later created indebtedness for money borrowed by us or our subsidiaries, if we are directly responsible or liable as obligor or guarantor,</w:t>
      </w:r>
    </w:p>
    <w:p>
      <w:pPr>
        <w:spacing w:after="0" w:line="146"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if the default results in the indebtedness becoming or being declared due and payable prior to the date it otherwise would have, without such indebtedness having been discharged, or such acceleration having been rescinded or annulled, within</w:t>
      </w:r>
    </w:p>
    <w:p>
      <w:pPr>
        <w:ind w:right="200"/>
        <w:spacing w:after="0" w:line="323" w:lineRule="auto"/>
        <w:rPr>
          <w:sz w:val="20"/>
          <w:szCs w:val="20"/>
          <w:color w:val="auto"/>
        </w:rPr>
      </w:pPr>
      <w:r>
        <w:rPr>
          <w:rFonts w:ascii="Arial" w:cs="Arial" w:eastAsia="Arial" w:hAnsi="Arial"/>
          <w:sz w:val="16"/>
          <w:szCs w:val="16"/>
          <w:color w:val="auto"/>
        </w:rPr>
        <w:t>30 days after notice to the issuing company specifying such default. Such notice shall be given to us by the trustee, or to us and the trustee by the holders of at least 10% in principal amount of the outstanding debt securities of that series. The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written notice shall specify such default and require us to cause such indebtedness to be discharged or cause such acceleration to be rescinded or annulled and shall state that such notice is a “Notice of Default” under such indenture;</w:t>
      </w:r>
    </w:p>
    <w:p>
      <w:pPr>
        <w:spacing w:after="0" w:line="106" w:lineRule="exact"/>
        <w:rPr>
          <w:sz w:val="20"/>
          <w:szCs w:val="20"/>
          <w:color w:val="auto"/>
        </w:rPr>
      </w:pPr>
    </w:p>
    <w:p>
      <w:pPr>
        <w:ind w:left="1080" w:right="80" w:hanging="105"/>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bankruptcy, insolvency or reorganization, or court appointment of a receiver, liquidator or trustee of us or any significant subsidiary of ours; and</w:t>
      </w:r>
    </w:p>
    <w:p>
      <w:pPr>
        <w:spacing w:after="0" w:line="129" w:lineRule="exact"/>
        <w:rPr>
          <w:rFonts w:ascii="Arial" w:cs="Arial" w:eastAsia="Arial" w:hAnsi="Arial"/>
          <w:sz w:val="18"/>
          <w:szCs w:val="18"/>
          <w:color w:val="auto"/>
        </w:rPr>
      </w:pPr>
    </w:p>
    <w:p>
      <w:pPr>
        <w:ind w:left="1100" w:hanging="125"/>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pacing w:after="0" w:line="18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When we use the term “significant subsidiary,” we refer to the meaning ascribed to such term in Rule 1-02 of Regulation S-X promulgated under the Securities Act.</w:t>
      </w:r>
    </w:p>
    <w:p>
      <w:pPr>
        <w:spacing w:after="0" w:line="14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126" w:lineRule="exact"/>
        <w:rPr>
          <w:sz w:val="20"/>
          <w:szCs w:val="20"/>
          <w:color w:val="auto"/>
        </w:rPr>
      </w:pPr>
    </w:p>
    <w:p>
      <w:pPr>
        <w:ind w:left="1080" w:right="220" w:hanging="105"/>
        <w:spacing w:after="0" w:line="286"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125" w:lineRule="exact"/>
        <w:rPr>
          <w:rFonts w:ascii="Arial" w:cs="Arial" w:eastAsia="Arial" w:hAnsi="Arial"/>
          <w:sz w:val="17"/>
          <w:szCs w:val="17"/>
          <w:color w:val="auto"/>
        </w:rPr>
      </w:pPr>
    </w:p>
    <w:p>
      <w:pPr>
        <w:ind w:left="1080" w:right="220" w:hanging="105"/>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13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141" w:lineRule="exact"/>
        <w:rPr>
          <w:sz w:val="20"/>
          <w:szCs w:val="20"/>
          <w:color w:val="auto"/>
        </w:rPr>
      </w:pPr>
    </w:p>
    <w:p>
      <w:pPr>
        <w:ind w:left="1100" w:hanging="125"/>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payment of the principal, any premium or make-whole amount, or interest;</w:t>
      </w:r>
    </w:p>
    <w:p>
      <w:pPr>
        <w:spacing w:after="0" w:line="184" w:lineRule="exact"/>
        <w:rPr>
          <w:rFonts w:ascii="Arial" w:cs="Arial" w:eastAsia="Arial" w:hAnsi="Arial"/>
          <w:sz w:val="18"/>
          <w:szCs w:val="18"/>
          <w:color w:val="auto"/>
        </w:rPr>
      </w:pPr>
    </w:p>
    <w:p>
      <w:pPr>
        <w:ind w:left="1080" w:hanging="105"/>
        <w:spacing w:after="0" w:line="34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respect of a covenant or provision contained in the applicable indenture that cannot be modified or amended without the consent of the holders of the outstanding debt security that is affected by the default; or</w:t>
      </w:r>
    </w:p>
    <w:p>
      <w:pPr>
        <w:spacing w:after="0" w:line="83" w:lineRule="exact"/>
        <w:rPr>
          <w:rFonts w:ascii="Arial" w:cs="Arial" w:eastAsia="Arial" w:hAnsi="Arial"/>
          <w:sz w:val="16"/>
          <w:szCs w:val="16"/>
          <w:color w:val="auto"/>
        </w:rPr>
      </w:pPr>
    </w:p>
    <w:p>
      <w:pPr>
        <w:ind w:left="1080" w:right="340" w:hanging="105"/>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respect of a covenant or provision for the benefit or protection of the trustee, without its express written consent.</w:t>
      </w:r>
    </w:p>
    <w:p>
      <w:pPr>
        <w:spacing w:after="0" w:line="130" w:lineRule="exact"/>
        <w:rPr>
          <w:sz w:val="20"/>
          <w:szCs w:val="20"/>
          <w:color w:val="auto"/>
        </w:rPr>
      </w:pPr>
    </w:p>
    <w:p>
      <w:pPr>
        <w:ind w:right="20" w:firstLine="690"/>
        <w:spacing w:after="0" w:line="276" w:lineRule="auto"/>
        <w:rPr>
          <w:sz w:val="20"/>
          <w:szCs w:val="20"/>
          <w:color w:val="auto"/>
        </w:rPr>
      </w:pPr>
      <w:r>
        <w:rPr>
          <w:rFonts w:ascii="Arial" w:cs="Arial" w:eastAsia="Arial" w:hAnsi="Arial"/>
          <w:sz w:val="17"/>
          <w:szCs w:val="17"/>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4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137" w:lineRule="exact"/>
        <w:rPr>
          <w:sz w:val="20"/>
          <w:szCs w:val="20"/>
          <w:color w:val="auto"/>
        </w:rPr>
      </w:pPr>
    </w:p>
    <w:p>
      <w:pPr>
        <w:ind w:left="1140" w:hanging="1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184" w:lineRule="exact"/>
        <w:rPr>
          <w:rFonts w:ascii="Arial" w:cs="Arial" w:eastAsia="Arial" w:hAnsi="Arial"/>
          <w:sz w:val="18"/>
          <w:szCs w:val="18"/>
          <w:color w:val="auto"/>
        </w:rPr>
      </w:pPr>
    </w:p>
    <w:p>
      <w:pPr>
        <w:ind w:left="1160" w:hanging="185"/>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be unduly prejudicial to the holders of debt securities of the series not joining the proceeding.</w:t>
      </w:r>
    </w:p>
    <w:p>
      <w:pPr>
        <w:spacing w:after="0" w:line="185"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Indentures</w:t>
      </w:r>
    </w:p>
    <w:p>
      <w:pPr>
        <w:spacing w:after="0" w:line="189"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 majority in principal amount of all outstanding debt securities issued under that indenture. However, no such modification or amendment may, without the consent of the holders of the debt securities affected by the modification or amendment:</w:t>
      </w:r>
    </w:p>
    <w:p>
      <w:pPr>
        <w:spacing w:after="0" w:line="146" w:lineRule="exact"/>
        <w:rPr>
          <w:sz w:val="20"/>
          <w:szCs w:val="20"/>
          <w:color w:val="auto"/>
        </w:rPr>
      </w:pPr>
    </w:p>
    <w:p>
      <w:pPr>
        <w:ind w:left="1080" w:right="180" w:hanging="105"/>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premium or make-whole amount on, or any installment of principal of or interest on, any such debt security;</w:t>
      </w:r>
    </w:p>
    <w:p>
      <w:pPr>
        <w:spacing w:after="0" w:line="129" w:lineRule="exact"/>
        <w:rPr>
          <w:rFonts w:ascii="Arial" w:cs="Arial" w:eastAsia="Arial" w:hAnsi="Arial"/>
          <w:sz w:val="18"/>
          <w:szCs w:val="18"/>
          <w:color w:val="auto"/>
        </w:rPr>
      </w:pPr>
    </w:p>
    <w:p>
      <w:pPr>
        <w:ind w:left="1080" w:right="420" w:hanging="105"/>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principal amount of, the rate or amount of interest on, or any premium or make-whole amount payable on redemption of, any such debt security;</w:t>
      </w:r>
    </w:p>
    <w:p>
      <w:pPr>
        <w:spacing w:after="0" w:line="129" w:lineRule="exact"/>
        <w:rPr>
          <w:rFonts w:ascii="Arial" w:cs="Arial" w:eastAsia="Arial" w:hAnsi="Arial"/>
          <w:sz w:val="18"/>
          <w:szCs w:val="18"/>
          <w:color w:val="auto"/>
        </w:rPr>
      </w:pPr>
    </w:p>
    <w:p>
      <w:pPr>
        <w:ind w:left="1080" w:right="60" w:hanging="105"/>
        <w:spacing w:after="0" w:line="264"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140" w:lineRule="exact"/>
        <w:rPr>
          <w:rFonts w:ascii="Arial" w:cs="Arial" w:eastAsia="Arial" w:hAnsi="Arial"/>
          <w:sz w:val="18"/>
          <w:szCs w:val="18"/>
          <w:color w:val="auto"/>
        </w:rPr>
      </w:pPr>
    </w:p>
    <w:p>
      <w:pPr>
        <w:ind w:left="1080" w:right="300" w:hanging="105"/>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the place of payment or the coin or currency for payment of principal of, or any premium or make-whole amount, or interest on, any such debt security;</w:t>
      </w:r>
    </w:p>
    <w:p>
      <w:pPr>
        <w:spacing w:after="0" w:line="129" w:lineRule="exact"/>
        <w:rPr>
          <w:rFonts w:ascii="Arial" w:cs="Arial" w:eastAsia="Arial" w:hAnsi="Arial"/>
          <w:sz w:val="18"/>
          <w:szCs w:val="18"/>
          <w:color w:val="auto"/>
        </w:rPr>
      </w:pPr>
    </w:p>
    <w:p>
      <w:pPr>
        <w:ind w:left="1080" w:right="560" w:hanging="105"/>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such debt security;</w:t>
      </w:r>
    </w:p>
    <w:p>
      <w:pPr>
        <w:spacing w:after="0" w:line="129" w:lineRule="exact"/>
        <w:rPr>
          <w:rFonts w:ascii="Arial" w:cs="Arial" w:eastAsia="Arial" w:hAnsi="Arial"/>
          <w:sz w:val="18"/>
          <w:szCs w:val="18"/>
          <w:color w:val="auto"/>
        </w:rPr>
      </w:pPr>
    </w:p>
    <w:p>
      <w:pPr>
        <w:ind w:left="1080" w:hanging="105"/>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146" w:lineRule="exact"/>
        <w:rPr>
          <w:rFonts w:ascii="Arial" w:cs="Arial" w:eastAsia="Arial" w:hAnsi="Arial"/>
          <w:sz w:val="18"/>
          <w:szCs w:val="18"/>
          <w:color w:val="auto"/>
        </w:rPr>
      </w:pPr>
    </w:p>
    <w:p>
      <w:pPr>
        <w:ind w:left="1080" w:right="60" w:hanging="105"/>
        <w:spacing w:after="0" w:line="31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0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130" w:lineRule="exact"/>
        <w:rPr>
          <w:sz w:val="20"/>
          <w:szCs w:val="20"/>
          <w:color w:val="auto"/>
        </w:rPr>
      </w:pPr>
    </w:p>
    <w:p>
      <w:pPr>
        <w:ind w:left="1100" w:hanging="125"/>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184" w:lineRule="exact"/>
        <w:rPr>
          <w:rFonts w:ascii="Arial" w:cs="Arial" w:eastAsia="Arial" w:hAnsi="Arial"/>
          <w:sz w:val="18"/>
          <w:szCs w:val="18"/>
          <w:color w:val="auto"/>
        </w:rPr>
      </w:pPr>
    </w:p>
    <w:p>
      <w:pPr>
        <w:ind w:left="1080" w:right="120" w:hanging="105"/>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129" w:lineRule="exact"/>
        <w:rPr>
          <w:rFonts w:ascii="Arial" w:cs="Arial" w:eastAsia="Arial" w:hAnsi="Arial"/>
          <w:sz w:val="18"/>
          <w:szCs w:val="18"/>
          <w:color w:val="auto"/>
        </w:rPr>
      </w:pPr>
    </w:p>
    <w:p>
      <w:pPr>
        <w:ind w:left="1080" w:hanging="105"/>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184" w:lineRule="exact"/>
        <w:rPr>
          <w:rFonts w:ascii="Arial" w:cs="Arial" w:eastAsia="Arial" w:hAnsi="Arial"/>
          <w:sz w:val="18"/>
          <w:szCs w:val="18"/>
          <w:color w:val="auto"/>
        </w:rPr>
      </w:pPr>
    </w:p>
    <w:p>
      <w:pPr>
        <w:ind w:left="1080" w:right="20" w:hanging="105"/>
        <w:spacing w:after="0" w:line="30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add or change any provisions of an indenture (i) to change or eliminate restrictions on the payment of principal of, or premium or make-whole amount, or interest on, debt securities in bearer form, or (ii) to permit or facilitate the issuance of debt securities in uncertificated form, provided that such action shall not adversely affect the interests of the holders of the debt securities of any series in any material respect;</w:t>
      </w:r>
    </w:p>
    <w:p>
      <w:pPr>
        <w:spacing w:after="0" w:line="113" w:lineRule="exact"/>
        <w:rPr>
          <w:rFonts w:ascii="Arial" w:cs="Arial" w:eastAsia="Arial" w:hAnsi="Arial"/>
          <w:sz w:val="16"/>
          <w:szCs w:val="16"/>
          <w:color w:val="auto"/>
        </w:rPr>
      </w:pPr>
    </w:p>
    <w:p>
      <w:pPr>
        <w:ind w:left="1080" w:right="120" w:hanging="105"/>
        <w:spacing w:after="0" w:line="264"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140" w:lineRule="exact"/>
        <w:rPr>
          <w:rFonts w:ascii="Arial" w:cs="Arial" w:eastAsia="Arial" w:hAnsi="Arial"/>
          <w:sz w:val="18"/>
          <w:szCs w:val="18"/>
          <w:color w:val="auto"/>
        </w:rPr>
      </w:pPr>
    </w:p>
    <w:p>
      <w:pPr>
        <w:ind w:left="1240" w:hanging="265"/>
        <w:spacing w:after="0"/>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184" w:lineRule="exact"/>
        <w:rPr>
          <w:rFonts w:ascii="Arial" w:cs="Arial" w:eastAsia="Arial" w:hAnsi="Arial"/>
          <w:sz w:val="18"/>
          <w:szCs w:val="18"/>
          <w:color w:val="auto"/>
        </w:rPr>
      </w:pPr>
    </w:p>
    <w:p>
      <w:pPr>
        <w:ind w:left="1080" w:hanging="105"/>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w:t>
      </w:r>
    </w:p>
    <w:p>
      <w:pPr>
        <w:spacing w:after="0" w:line="129" w:lineRule="exact"/>
        <w:rPr>
          <w:rFonts w:ascii="Arial" w:cs="Arial" w:eastAsia="Arial" w:hAnsi="Arial"/>
          <w:sz w:val="18"/>
          <w:szCs w:val="18"/>
          <w:color w:val="auto"/>
        </w:rPr>
      </w:pPr>
    </w:p>
    <w:p>
      <w:pPr>
        <w:ind w:left="1080" w:right="220" w:hanging="105"/>
        <w:spacing w:after="0" w:line="34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cure any ambiguity, defect or inconsistency in an indenture, provided that such action shall not adversely affect the interests of holders of debt securities of any series issued under such indenture; and</w:t>
      </w:r>
    </w:p>
    <w:p>
      <w:pPr>
        <w:spacing w:after="0" w:line="83" w:lineRule="exact"/>
        <w:rPr>
          <w:rFonts w:ascii="Arial" w:cs="Arial" w:eastAsia="Arial" w:hAnsi="Arial"/>
          <w:sz w:val="16"/>
          <w:szCs w:val="16"/>
          <w:color w:val="auto"/>
        </w:rPr>
      </w:pPr>
    </w:p>
    <w:p>
      <w:pPr>
        <w:ind w:left="1080" w:right="160" w:hanging="105"/>
        <w:spacing w:after="0" w:line="264"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0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141" w:lineRule="exact"/>
        <w:rPr>
          <w:sz w:val="20"/>
          <w:szCs w:val="20"/>
          <w:color w:val="auto"/>
        </w:rPr>
      </w:pPr>
    </w:p>
    <w:p>
      <w:pPr>
        <w:ind w:left="1080" w:right="100" w:hanging="105"/>
        <w:spacing w:after="0" w:line="264"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140" w:lineRule="exact"/>
        <w:rPr>
          <w:rFonts w:ascii="Arial" w:cs="Arial" w:eastAsia="Arial" w:hAnsi="Arial"/>
          <w:sz w:val="18"/>
          <w:szCs w:val="18"/>
          <w:color w:val="auto"/>
        </w:rPr>
      </w:pPr>
    </w:p>
    <w:p>
      <w:pPr>
        <w:ind w:left="1080" w:right="60" w:hanging="105"/>
        <w:spacing w:after="0" w:line="30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113" w:lineRule="exact"/>
        <w:rPr>
          <w:rFonts w:ascii="Arial" w:cs="Arial" w:eastAsia="Arial" w:hAnsi="Arial"/>
          <w:sz w:val="16"/>
          <w:szCs w:val="16"/>
          <w:color w:val="auto"/>
        </w:rPr>
      </w:pPr>
    </w:p>
    <w:p>
      <w:pPr>
        <w:ind w:left="1080" w:right="360" w:hanging="105"/>
        <w:spacing w:after="0" w:line="264"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80" w:right="100" w:hanging="105"/>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debt securities owned by us or any other obligor upon the debt securities or by any affiliate of ours or of such other obligor shall be disregarded.</w:t>
      </w:r>
    </w:p>
    <w:p>
      <w:pPr>
        <w:spacing w:after="0" w:line="130" w:lineRule="exact"/>
        <w:rPr>
          <w:sz w:val="20"/>
          <w:szCs w:val="20"/>
          <w:color w:val="auto"/>
        </w:rPr>
      </w:pPr>
    </w:p>
    <w:p>
      <w:pPr>
        <w:ind w:right="280" w:firstLine="648"/>
        <w:spacing w:after="0" w:line="291" w:lineRule="auto"/>
        <w:rPr>
          <w:sz w:val="20"/>
          <w:szCs w:val="20"/>
          <w:color w:val="auto"/>
        </w:rPr>
      </w:pPr>
      <w:r>
        <w:rPr>
          <w:rFonts w:ascii="Arial" w:cs="Arial" w:eastAsia="Arial" w:hAnsi="Arial"/>
          <w:sz w:val="16"/>
          <w:szCs w:val="16"/>
          <w:color w:val="auto"/>
        </w:rPr>
        <w:t>The indentures contain provisions for convening meetings of the holders of debt securities of a series. A meeting will be permitted to be called at any time by the applicable trustee, and also, upon request, by us or the holders of at least</w:t>
      </w:r>
    </w:p>
    <w:p>
      <w:pPr>
        <w:spacing w:after="0" w:line="292" w:lineRule="auto"/>
        <w:rPr>
          <w:sz w:val="20"/>
          <w:szCs w:val="20"/>
          <w:color w:val="auto"/>
        </w:rPr>
      </w:pPr>
      <w:r>
        <w:rPr>
          <w:rFonts w:ascii="Arial" w:cs="Arial" w:eastAsia="Arial" w:hAnsi="Arial"/>
          <w:sz w:val="16"/>
          <w:szCs w:val="16"/>
          <w:color w:val="auto"/>
        </w:rPr>
        <w:t>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2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6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153"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114" w:lineRule="exact"/>
        <w:rPr>
          <w:sz w:val="20"/>
          <w:szCs w:val="20"/>
          <w:color w:val="auto"/>
        </w:rPr>
      </w:pPr>
    </w:p>
    <w:p>
      <w:pPr>
        <w:ind w:left="1120" w:hanging="145"/>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184" w:lineRule="exact"/>
        <w:rPr>
          <w:rFonts w:ascii="Arial" w:cs="Arial" w:eastAsia="Arial" w:hAnsi="Arial"/>
          <w:sz w:val="18"/>
          <w:szCs w:val="18"/>
          <w:color w:val="auto"/>
        </w:rPr>
      </w:pPr>
    </w:p>
    <w:p>
      <w:pPr>
        <w:ind w:left="1080" w:right="20" w:hanging="105"/>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principal amount of the outstanding debt securities of such series that vote in favor of such request, demand, authorization, direction, notice, consent, waiver or other action shall be taken account in determining whether such request, demand, authorization, direction, notice, consent, waiver or other action has been made, given or taken under such indenture.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Unless otherwise provided in the applicable prospectus supplement, subordinated debt securities will be subject to the following subordination provisions.</w:t>
      </w:r>
    </w:p>
    <w:p>
      <w:pPr>
        <w:spacing w:after="0" w:line="13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and our subsidiaries. As a result of these subordination provisions, in the event of a distribution of assets upon insolvency, holders of subordinated debt securities may recover less, ratably, than our general creditors.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46"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pacing w:after="0" w:line="143"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8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Unless otherwise provided in the applicable prospectus supplement, the indentures allow us to discharge our obligations to holders of any series of debt securities issued under any indenture when:</w:t>
      </w:r>
    </w:p>
    <w:p>
      <w:pPr>
        <w:spacing w:after="0" w:line="143" w:lineRule="exact"/>
        <w:rPr>
          <w:sz w:val="20"/>
          <w:szCs w:val="20"/>
          <w:color w:val="auto"/>
        </w:rPr>
      </w:pPr>
    </w:p>
    <w:p>
      <w:pPr>
        <w:ind w:left="1080" w:hanging="105"/>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either (i) all securities of such series have already been delivered to the applicable trustee for cancellation; or</w:t>
      </w:r>
    </w:p>
    <w:p>
      <w:pPr>
        <w:spacing w:after="0" w:line="46" w:lineRule="exact"/>
        <w:rPr>
          <w:rFonts w:ascii="Arial" w:cs="Arial" w:eastAsia="Arial" w:hAnsi="Arial"/>
          <w:sz w:val="16"/>
          <w:szCs w:val="16"/>
          <w:color w:val="auto"/>
        </w:rPr>
      </w:pPr>
    </w:p>
    <w:p>
      <w:pPr>
        <w:ind w:left="1340" w:hanging="257"/>
        <w:spacing w:after="0"/>
        <w:tabs>
          <w:tab w:leader="none" w:pos="13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securities of such series have not already been delivered to the applicable trustee for cancellation but</w:t>
      </w:r>
    </w:p>
    <w:p>
      <w:pPr>
        <w:spacing w:after="0" w:line="32" w:lineRule="exact"/>
        <w:rPr>
          <w:rFonts w:ascii="Arial" w:cs="Arial" w:eastAsia="Arial" w:hAnsi="Arial"/>
          <w:sz w:val="16"/>
          <w:szCs w:val="16"/>
          <w:color w:val="auto"/>
        </w:rPr>
      </w:pPr>
    </w:p>
    <w:p>
      <w:pPr>
        <w:ind w:left="1080" w:firstLine="3"/>
        <w:spacing w:after="0" w:line="290" w:lineRule="auto"/>
        <w:tabs>
          <w:tab w:leader="none" w:pos="1325" w:val="left"/>
        </w:tabs>
        <w:numPr>
          <w:ilvl w:val="1"/>
          <w:numId w:val="32"/>
        </w:numPr>
        <w:rPr>
          <w:rFonts w:ascii="Arial" w:cs="Arial" w:eastAsia="Arial" w:hAnsi="Arial"/>
          <w:sz w:val="16"/>
          <w:szCs w:val="16"/>
          <w:color w:val="auto"/>
        </w:rPr>
      </w:pPr>
      <w:r>
        <w:rPr>
          <w:rFonts w:ascii="Arial" w:cs="Arial" w:eastAsia="Arial" w:hAnsi="Arial"/>
          <w:sz w:val="16"/>
          <w:szCs w:val="16"/>
          <w:color w:val="auto"/>
        </w:rPr>
        <w:t>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123" w:lineRule="exact"/>
        <w:rPr>
          <w:rFonts w:ascii="Arial" w:cs="Arial" w:eastAsia="Arial" w:hAnsi="Arial"/>
          <w:sz w:val="16"/>
          <w:szCs w:val="16"/>
          <w:color w:val="auto"/>
        </w:rPr>
      </w:pPr>
    </w:p>
    <w:p>
      <w:pPr>
        <w:ind w:left="1120" w:hanging="145"/>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and</w:t>
      </w:r>
    </w:p>
    <w:p>
      <w:pPr>
        <w:spacing w:after="0" w:line="184" w:lineRule="exact"/>
        <w:rPr>
          <w:rFonts w:ascii="Arial" w:cs="Arial" w:eastAsia="Arial" w:hAnsi="Arial"/>
          <w:sz w:val="18"/>
          <w:szCs w:val="18"/>
          <w:color w:val="auto"/>
        </w:rPr>
      </w:pPr>
    </w:p>
    <w:p>
      <w:pPr>
        <w:ind w:left="1080" w:right="100" w:hanging="105"/>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13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Unless otherwise provided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137" w:lineRule="exact"/>
        <w:rPr>
          <w:sz w:val="20"/>
          <w:szCs w:val="20"/>
          <w:color w:val="auto"/>
        </w:rPr>
      </w:pPr>
    </w:p>
    <w:p>
      <w:pPr>
        <w:ind w:left="1080" w:hanging="105"/>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defease and be discharged from any and all obligations with respect to such debt securities; or</w:t>
      </w:r>
    </w:p>
    <w:p>
      <w:pPr>
        <w:spacing w:after="0" w:line="184" w:lineRule="exact"/>
        <w:rPr>
          <w:rFonts w:ascii="Arial" w:cs="Arial" w:eastAsia="Arial" w:hAnsi="Arial"/>
          <w:sz w:val="18"/>
          <w:szCs w:val="18"/>
          <w:color w:val="auto"/>
        </w:rPr>
      </w:pPr>
    </w:p>
    <w:p>
      <w:pPr>
        <w:ind w:left="1080" w:right="140" w:hanging="105"/>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4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48"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indentures only permit us to establish the trust described in the paragraph above if, among other things, we have delivered to the applicable trustee an opinion of counsel to the effect that the holders of such debt securities will not recognize income, gain or loss for United States federal income tax purposes as a result of such defeasance or covenant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9"/>
        <w:spacing w:after="0" w:line="273" w:lineRule="auto"/>
        <w:rPr>
          <w:sz w:val="20"/>
          <w:szCs w:val="20"/>
          <w:color w:val="auto"/>
        </w:rPr>
      </w:pPr>
      <w:r>
        <w:rPr>
          <w:rFonts w:ascii="Arial" w:cs="Arial" w:eastAsia="Arial" w:hAnsi="Arial"/>
          <w:sz w:val="17"/>
          <w:szCs w:val="17"/>
          <w:color w:val="auto"/>
        </w:rPr>
        <w:t>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 of such debt securities would be able to look only to such trust fund for payment of principal, any premium or make-whole amount, and interest.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we use the term “government obligations,” we mean securities that are:</w:t>
      </w:r>
    </w:p>
    <w:p>
      <w:pPr>
        <w:spacing w:after="0" w:line="198" w:lineRule="exact"/>
        <w:rPr>
          <w:sz w:val="20"/>
          <w:szCs w:val="20"/>
          <w:color w:val="auto"/>
        </w:rPr>
      </w:pPr>
    </w:p>
    <w:p>
      <w:pPr>
        <w:jc w:val="both"/>
        <w:ind w:left="1080" w:right="259" w:hanging="105"/>
        <w:spacing w:after="0" w:line="34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83" w:lineRule="exact"/>
        <w:rPr>
          <w:rFonts w:ascii="Arial" w:cs="Arial" w:eastAsia="Arial" w:hAnsi="Arial"/>
          <w:sz w:val="16"/>
          <w:szCs w:val="16"/>
          <w:color w:val="auto"/>
        </w:rPr>
      </w:pPr>
    </w:p>
    <w:p>
      <w:pPr>
        <w:ind w:left="1080" w:right="19" w:hanging="105"/>
        <w:spacing w:after="0" w:line="269"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42" w:lineRule="exact"/>
        <w:rPr>
          <w:sz w:val="20"/>
          <w:szCs w:val="20"/>
          <w:color w:val="auto"/>
        </w:rPr>
      </w:pPr>
    </w:p>
    <w:p>
      <w:pPr>
        <w:ind w:right="119" w:firstLine="648"/>
        <w:spacing w:after="0" w:line="269" w:lineRule="auto"/>
        <w:rPr>
          <w:sz w:val="20"/>
          <w:szCs w:val="20"/>
          <w:color w:val="auto"/>
        </w:rPr>
      </w:pPr>
      <w:r>
        <w:rPr>
          <w:rFonts w:ascii="Arial" w:cs="Arial" w:eastAsia="Arial" w:hAnsi="Arial"/>
          <w:sz w:val="17"/>
          <w:szCs w:val="17"/>
          <w:color w:val="auto"/>
        </w:rPr>
        <w:t>Unless otherwise provided in the applicable prospectus supplement, if after we have deposited funds and/or government obligations to effect defeasance or covenant defeasance with respect to debt securities of any series, (i)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(ii)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we use the term “conversion event,” we mean the cessation of use of:</w:t>
      </w:r>
    </w:p>
    <w:p>
      <w:pPr>
        <w:spacing w:after="0" w:line="185" w:lineRule="exact"/>
        <w:rPr>
          <w:sz w:val="20"/>
          <w:szCs w:val="20"/>
          <w:color w:val="auto"/>
        </w:rPr>
      </w:pPr>
    </w:p>
    <w:p>
      <w:pPr>
        <w:ind w:left="1080" w:right="219" w:hanging="105"/>
        <w:spacing w:after="0" w:line="264"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140" w:lineRule="exact"/>
        <w:rPr>
          <w:rFonts w:ascii="Arial" w:cs="Arial" w:eastAsia="Arial" w:hAnsi="Arial"/>
          <w:sz w:val="18"/>
          <w:szCs w:val="18"/>
          <w:color w:val="auto"/>
        </w:rPr>
      </w:pPr>
    </w:p>
    <w:p>
      <w:pPr>
        <w:ind w:left="1080" w:right="19" w:hanging="105"/>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European Currency Unit both within the European Monetary System and for the settlement of transactions by public institutions of or within the European Communities; or</w:t>
      </w:r>
    </w:p>
    <w:p>
      <w:pPr>
        <w:spacing w:after="0" w:line="129" w:lineRule="exact"/>
        <w:rPr>
          <w:rFonts w:ascii="Arial" w:cs="Arial" w:eastAsia="Arial" w:hAnsi="Arial"/>
          <w:sz w:val="18"/>
          <w:szCs w:val="18"/>
          <w:color w:val="auto"/>
        </w:rPr>
      </w:pPr>
    </w:p>
    <w:p>
      <w:pPr>
        <w:ind w:left="1080" w:right="99" w:hanging="105"/>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currency unit or composite currency other than the European Currency Unit for the purposes for which it was established.</w:t>
      </w:r>
    </w:p>
    <w:p>
      <w:pPr>
        <w:spacing w:after="0" w:line="130" w:lineRule="exact"/>
        <w:rPr>
          <w:sz w:val="20"/>
          <w:szCs w:val="20"/>
          <w:color w:val="auto"/>
        </w:rPr>
      </w:pPr>
    </w:p>
    <w:p>
      <w:pPr>
        <w:ind w:right="119" w:firstLine="648"/>
        <w:spacing w:after="0" w:line="264" w:lineRule="auto"/>
        <w:rPr>
          <w:sz w:val="20"/>
          <w:szCs w:val="20"/>
          <w:color w:val="auto"/>
        </w:rPr>
      </w:pPr>
      <w:r>
        <w:rPr>
          <w:rFonts w:ascii="Arial" w:cs="Arial" w:eastAsia="Arial" w:hAnsi="Arial"/>
          <w:sz w:val="18"/>
          <w:szCs w:val="18"/>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54" w:lineRule="exact"/>
        <w:rPr>
          <w:sz w:val="20"/>
          <w:szCs w:val="20"/>
          <w:color w:val="auto"/>
        </w:rPr>
      </w:pPr>
    </w:p>
    <w:p>
      <w:pPr>
        <w:ind w:right="219" w:firstLine="648"/>
        <w:spacing w:after="0" w:line="342" w:lineRule="auto"/>
        <w:rPr>
          <w:sz w:val="20"/>
          <w:szCs w:val="20"/>
          <w:color w:val="auto"/>
        </w:rPr>
      </w:pPr>
      <w:r>
        <w:rPr>
          <w:rFonts w:ascii="Arial" w:cs="Arial" w:eastAsia="Arial" w:hAnsi="Arial"/>
          <w:sz w:val="16"/>
          <w:szCs w:val="16"/>
          <w:color w:val="auto"/>
        </w:rPr>
        <w:t>In the event that (i) we effect covenant defeasance with respect to any debt securities and (ii) those debt securities are declared due and payable because of the occurrence of any event of default, the amount in the currency,</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issuing company would remain liable to make payments of any amounts due at the time of acceleration.</w:t>
      </w:r>
    </w:p>
    <w:p>
      <w:pPr>
        <w:spacing w:after="0" w:line="14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Recourse</w:t>
      </w:r>
    </w:p>
    <w:p>
      <w:pPr>
        <w:spacing w:after="0" w:line="18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No recourse shall be had under any obligation, covenant or agreement of ours in the senior indenture or any supplemental indenture, or in any of the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debt securities, waives and releases all such liability.</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right="20" w:firstLine="636"/>
        <w:spacing w:after="0" w:line="272" w:lineRule="auto"/>
        <w:rPr>
          <w:sz w:val="20"/>
          <w:szCs w:val="20"/>
          <w:color w:val="auto"/>
        </w:rPr>
      </w:pPr>
      <w:r>
        <w:rPr>
          <w:rFonts w:ascii="Arial" w:cs="Arial" w:eastAsia="Arial" w:hAnsi="Arial"/>
          <w:sz w:val="17"/>
          <w:szCs w:val="17"/>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applicable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51" w:lineRule="exact"/>
        <w:rPr>
          <w:sz w:val="20"/>
          <w:szCs w:val="20"/>
          <w:color w:val="auto"/>
        </w:rPr>
      </w:pPr>
    </w:p>
    <w:p>
      <w:pPr>
        <w:ind w:right="320" w:firstLine="636"/>
        <w:spacing w:after="0" w:line="340" w:lineRule="auto"/>
        <w:rPr>
          <w:sz w:val="20"/>
          <w:szCs w:val="20"/>
          <w:color w:val="auto"/>
        </w:rPr>
      </w:pPr>
      <w:r>
        <w:rPr>
          <w:rFonts w:ascii="Arial" w:cs="Arial" w:eastAsia="Arial" w:hAnsi="Arial"/>
          <w:sz w:val="15"/>
          <w:szCs w:val="15"/>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91" w:lineRule="exact"/>
        <w:rPr>
          <w:sz w:val="20"/>
          <w:szCs w:val="20"/>
          <w:color w:val="auto"/>
        </w:rPr>
      </w:pPr>
    </w:p>
    <w:p>
      <w:pPr>
        <w:jc w:val="both"/>
        <w:ind w:right="80" w:firstLine="636"/>
        <w:spacing w:after="0" w:line="264" w:lineRule="auto"/>
        <w:rPr>
          <w:sz w:val="20"/>
          <w:szCs w:val="20"/>
          <w:color w:val="auto"/>
        </w:rPr>
      </w:pPr>
      <w:r>
        <w:rPr>
          <w:rFonts w:ascii="Arial" w:cs="Arial" w:eastAsia="Arial" w:hAnsi="Arial"/>
          <w:sz w:val="18"/>
          <w:szCs w:val="18"/>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w:t>
      </w:r>
    </w:p>
    <w:p>
      <w:pPr>
        <w:spacing w:after="0" w:line="141" w:lineRule="exact"/>
        <w:rPr>
          <w:sz w:val="20"/>
          <w:szCs w:val="20"/>
          <w:color w:val="auto"/>
        </w:rPr>
      </w:pPr>
    </w:p>
    <w:p>
      <w:pPr>
        <w:ind w:right="100" w:firstLine="636"/>
        <w:spacing w:after="0" w:line="264" w:lineRule="auto"/>
        <w:rPr>
          <w:sz w:val="20"/>
          <w:szCs w:val="20"/>
          <w:color w:val="auto"/>
        </w:rPr>
      </w:pPr>
      <w:r>
        <w:rPr>
          <w:rFonts w:ascii="Arial" w:cs="Arial" w:eastAsia="Arial" w:hAnsi="Arial"/>
          <w:sz w:val="18"/>
          <w:szCs w:val="18"/>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189" w:lineRule="exact"/>
        <w:rPr>
          <w:sz w:val="20"/>
          <w:szCs w:val="20"/>
          <w:color w:val="auto"/>
        </w:rPr>
      </w:pPr>
    </w:p>
    <w:p>
      <w:pPr>
        <w:ind w:right="180" w:firstLine="636"/>
        <w:spacing w:after="0" w:line="259" w:lineRule="auto"/>
        <w:rPr>
          <w:sz w:val="20"/>
          <w:szCs w:val="20"/>
          <w:color w:val="auto"/>
        </w:rPr>
      </w:pPr>
      <w:r>
        <w:rPr>
          <w:rFonts w:ascii="Arial" w:cs="Arial" w:eastAsia="Arial" w:hAnsi="Arial"/>
          <w:sz w:val="18"/>
          <w:szCs w:val="18"/>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46" w:lineRule="exact"/>
        <w:rPr>
          <w:sz w:val="20"/>
          <w:szCs w:val="20"/>
          <w:color w:val="auto"/>
        </w:rPr>
      </w:pPr>
    </w:p>
    <w:p>
      <w:pPr>
        <w:ind w:firstLine="636"/>
        <w:spacing w:after="0" w:line="259" w:lineRule="auto"/>
        <w:rPr>
          <w:sz w:val="20"/>
          <w:szCs w:val="20"/>
          <w:color w:val="auto"/>
        </w:rPr>
      </w:pPr>
      <w:r>
        <w:rPr>
          <w:rFonts w:ascii="Arial" w:cs="Arial" w:eastAsia="Arial" w:hAnsi="Arial"/>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189" w:lineRule="exact"/>
        <w:rPr>
          <w:sz w:val="20"/>
          <w:szCs w:val="20"/>
          <w:color w:val="auto"/>
        </w:rPr>
      </w:pPr>
    </w:p>
    <w:p>
      <w:pPr>
        <w:ind w:right="160" w:firstLine="636"/>
        <w:spacing w:after="0" w:line="259"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Stock</w:t>
      </w:r>
    </w:p>
    <w:p>
      <w:pPr>
        <w:spacing w:after="0" w:line="202" w:lineRule="exact"/>
        <w:rPr>
          <w:sz w:val="20"/>
          <w:szCs w:val="20"/>
          <w:color w:val="auto"/>
        </w:rPr>
      </w:pPr>
    </w:p>
    <w:p>
      <w:pPr>
        <w:ind w:right="100" w:firstLine="636"/>
        <w:spacing w:after="0" w:line="289" w:lineRule="auto"/>
        <w:rPr>
          <w:sz w:val="20"/>
          <w:szCs w:val="20"/>
          <w:color w:val="auto"/>
        </w:rPr>
      </w:pPr>
      <w:r>
        <w:rPr>
          <w:rFonts w:ascii="Arial" w:cs="Arial" w:eastAsia="Arial" w:hAnsi="Arial"/>
          <w:sz w:val="16"/>
          <w:szCs w:val="16"/>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189" w:lineRule="exact"/>
        <w:rPr>
          <w:sz w:val="20"/>
          <w:szCs w:val="20"/>
          <w:color w:val="auto"/>
        </w:rPr>
      </w:pPr>
    </w:p>
    <w:p>
      <w:pPr>
        <w:ind w:right="119" w:firstLine="636"/>
        <w:spacing w:after="0" w:line="271" w:lineRule="auto"/>
        <w:rPr>
          <w:sz w:val="20"/>
          <w:szCs w:val="20"/>
          <w:color w:val="auto"/>
        </w:rPr>
      </w:pPr>
      <w:r>
        <w:rPr>
          <w:rFonts w:ascii="Arial" w:cs="Arial" w:eastAsia="Arial" w:hAnsi="Arial"/>
          <w:sz w:val="17"/>
          <w:szCs w:val="17"/>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52" w:lineRule="exact"/>
        <w:rPr>
          <w:sz w:val="20"/>
          <w:szCs w:val="20"/>
          <w:color w:val="auto"/>
        </w:rPr>
      </w:pPr>
    </w:p>
    <w:p>
      <w:pPr>
        <w:ind w:right="139" w:firstLine="636"/>
        <w:spacing w:after="0" w:line="279" w:lineRule="auto"/>
        <w:rPr>
          <w:sz w:val="20"/>
          <w:szCs w:val="20"/>
          <w:color w:val="auto"/>
        </w:rPr>
      </w:pPr>
      <w:r>
        <w:rPr>
          <w:rFonts w:ascii="Arial" w:cs="Arial" w:eastAsia="Arial" w:hAnsi="Arial"/>
          <w:sz w:val="17"/>
          <w:szCs w:val="17"/>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the Preferred Stock</w:t>
      </w:r>
    </w:p>
    <w:p>
      <w:pPr>
        <w:spacing w:after="0" w:line="189" w:lineRule="exact"/>
        <w:rPr>
          <w:sz w:val="20"/>
          <w:szCs w:val="20"/>
          <w:color w:val="auto"/>
        </w:rPr>
      </w:pPr>
    </w:p>
    <w:p>
      <w:pPr>
        <w:ind w:right="19" w:firstLine="636"/>
        <w:spacing w:after="0" w:line="270" w:lineRule="auto"/>
        <w:rPr>
          <w:sz w:val="20"/>
          <w:szCs w:val="20"/>
          <w:color w:val="auto"/>
        </w:rPr>
      </w:pPr>
      <w:r>
        <w:rPr>
          <w:rFonts w:ascii="Arial" w:cs="Arial" w:eastAsia="Arial" w:hAnsi="Arial"/>
          <w:sz w:val="17"/>
          <w:szCs w:val="17"/>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189" w:lineRule="exact"/>
        <w:rPr>
          <w:sz w:val="20"/>
          <w:szCs w:val="20"/>
          <w:color w:val="auto"/>
        </w:rPr>
      </w:pPr>
    </w:p>
    <w:p>
      <w:pPr>
        <w:ind w:right="19" w:firstLine="636"/>
        <w:spacing w:after="0" w:line="271" w:lineRule="auto"/>
        <w:rPr>
          <w:sz w:val="20"/>
          <w:szCs w:val="20"/>
          <w:color w:val="auto"/>
        </w:rPr>
      </w:pPr>
      <w:r>
        <w:rPr>
          <w:rFonts w:ascii="Arial" w:cs="Arial" w:eastAsia="Arial" w:hAnsi="Arial"/>
          <w:sz w:val="17"/>
          <w:szCs w:val="17"/>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02" w:lineRule="exact"/>
        <w:rPr>
          <w:sz w:val="20"/>
          <w:szCs w:val="20"/>
          <w:color w:val="auto"/>
        </w:rPr>
      </w:pPr>
    </w:p>
    <w:p>
      <w:pPr>
        <w:ind w:right="79" w:firstLine="636"/>
        <w:spacing w:after="0" w:line="257"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148" w:lineRule="exact"/>
        <w:rPr>
          <w:sz w:val="20"/>
          <w:szCs w:val="20"/>
          <w:color w:val="auto"/>
        </w:rPr>
      </w:pPr>
    </w:p>
    <w:p>
      <w:pPr>
        <w:ind w:left="1120" w:hanging="145"/>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184" w:lineRule="exact"/>
        <w:rPr>
          <w:rFonts w:ascii="Arial" w:cs="Arial" w:eastAsia="Arial" w:hAnsi="Arial"/>
          <w:sz w:val="18"/>
          <w:szCs w:val="18"/>
          <w:color w:val="auto"/>
        </w:rPr>
      </w:pPr>
    </w:p>
    <w:p>
      <w:pPr>
        <w:ind w:left="1080" w:right="779" w:hanging="105"/>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189" w:lineRule="exact"/>
        <w:rPr>
          <w:sz w:val="20"/>
          <w:szCs w:val="20"/>
          <w:color w:val="auto"/>
        </w:rPr>
      </w:pPr>
    </w:p>
    <w:p>
      <w:pPr>
        <w:ind w:right="60" w:firstLine="636"/>
        <w:spacing w:after="0" w:line="297" w:lineRule="auto"/>
        <w:rPr>
          <w:sz w:val="20"/>
          <w:szCs w:val="20"/>
          <w:color w:val="auto"/>
        </w:rPr>
      </w:pPr>
      <w:r>
        <w:rPr>
          <w:rFonts w:ascii="Arial" w:cs="Arial" w:eastAsia="Arial" w:hAnsi="Arial"/>
          <w:sz w:val="16"/>
          <w:szCs w:val="16"/>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89" w:lineRule="exact"/>
        <w:rPr>
          <w:sz w:val="20"/>
          <w:szCs w:val="20"/>
          <w:color w:val="auto"/>
        </w:rPr>
      </w:pPr>
    </w:p>
    <w:p>
      <w:pPr>
        <w:ind w:firstLine="636"/>
        <w:spacing w:after="0" w:line="276" w:lineRule="auto"/>
        <w:rPr>
          <w:sz w:val="20"/>
          <w:szCs w:val="20"/>
          <w:color w:val="auto"/>
        </w:rPr>
      </w:pPr>
      <w:r>
        <w:rPr>
          <w:rFonts w:ascii="Arial" w:cs="Arial" w:eastAsia="Arial" w:hAnsi="Arial"/>
          <w:sz w:val="17"/>
          <w:szCs w:val="17"/>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w:t>
      </w:r>
    </w:p>
    <w:p>
      <w:pPr>
        <w:spacing w:after="0" w:line="202" w:lineRule="exact"/>
        <w:rPr>
          <w:sz w:val="20"/>
          <w:szCs w:val="20"/>
          <w:color w:val="auto"/>
        </w:rPr>
      </w:pPr>
    </w:p>
    <w:p>
      <w:pPr>
        <w:ind w:right="20" w:firstLine="636"/>
        <w:spacing w:after="0" w:line="291" w:lineRule="auto"/>
        <w:rPr>
          <w:sz w:val="20"/>
          <w:szCs w:val="20"/>
          <w:color w:val="auto"/>
        </w:rPr>
      </w:pPr>
      <w:r>
        <w:rPr>
          <w:rFonts w:ascii="Arial" w:cs="Arial" w:eastAsia="Arial" w:hAnsi="Arial"/>
          <w:sz w:val="16"/>
          <w:szCs w:val="16"/>
          <w:color w:val="auto"/>
        </w:rPr>
        <w:t>Neither we nor the depositary will be liable if either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PURCHASE CONTRACTS AND PURCHASE UNITS</w:t>
      </w:r>
    </w:p>
    <w:p>
      <w:pPr>
        <w:spacing w:after="0" w:line="229" w:lineRule="exact"/>
        <w:rPr>
          <w:sz w:val="20"/>
          <w:szCs w:val="20"/>
          <w:color w:val="auto"/>
        </w:rPr>
      </w:pPr>
    </w:p>
    <w:p>
      <w:pPr>
        <w:ind w:right="19" w:firstLine="636"/>
        <w:spacing w:after="0" w:line="270" w:lineRule="auto"/>
        <w:rPr>
          <w:sz w:val="20"/>
          <w:szCs w:val="20"/>
          <w:color w:val="auto"/>
        </w:rPr>
      </w:pPr>
      <w:r>
        <w:rPr>
          <w:rFonts w:ascii="Arial" w:cs="Arial" w:eastAsia="Arial" w:hAnsi="Arial"/>
          <w:sz w:val="17"/>
          <w:szCs w:val="17"/>
          <w:color w:val="auto"/>
        </w:rPr>
        <w:t>We may issue purchase contracts, including contracts obligating holders to purchase from or sell to us, and obligating us to sell to or purchase from the holders, a specified number of shares of our common stock, preferred stock or depositary shares at a future date or dates, which we refer to in this prospectus as purchase contracts. The price per share of common stock, preferred stock or depositary shares and the number of shares of each may be fixed at the time the purchase contracts are issued or may be determined by reference to a specific formula set forth in the purchase contracts. The purchase contracts may be issued separately or as part of units, often known as purchase units, consisting of one or more purchase contracts and beneficial interests in debt securities or any other securities described in the applicable prospectus supplement or any combination of the foregoing, securing the holders’ obligations to purchase the common stock, preferred stock or depositary shares under the purchase contracts.</w:t>
      </w:r>
    </w:p>
    <w:p>
      <w:pPr>
        <w:spacing w:after="0" w:line="141" w:lineRule="exact"/>
        <w:rPr>
          <w:sz w:val="20"/>
          <w:szCs w:val="20"/>
          <w:color w:val="auto"/>
        </w:rPr>
      </w:pPr>
    </w:p>
    <w:p>
      <w:pPr>
        <w:ind w:right="59" w:firstLine="636"/>
        <w:spacing w:after="0" w:line="312" w:lineRule="auto"/>
        <w:rPr>
          <w:sz w:val="20"/>
          <w:szCs w:val="20"/>
          <w:color w:val="auto"/>
        </w:rPr>
      </w:pPr>
      <w:r>
        <w:rPr>
          <w:rFonts w:ascii="Arial" w:cs="Arial" w:eastAsia="Arial" w:hAnsi="Arial"/>
          <w:sz w:val="16"/>
          <w:szCs w:val="16"/>
          <w:color w:val="auto"/>
        </w:rPr>
        <w:t>The purchase contracts may require us to make periodic payments to the holders of the purchase units or vice versa, and these payments may be unsecured or prefunded on some basis. The purchase contracts may require holders to secure their obligations under those contracts in a specified manner, including pledging their interest in another purchase contract.</w:t>
      </w:r>
    </w:p>
    <w:p>
      <w:pPr>
        <w:spacing w:after="0" w:line="120" w:lineRule="exact"/>
        <w:rPr>
          <w:sz w:val="20"/>
          <w:szCs w:val="20"/>
          <w:color w:val="auto"/>
        </w:rPr>
      </w:pPr>
    </w:p>
    <w:p>
      <w:pPr>
        <w:ind w:right="699" w:firstLine="636"/>
        <w:spacing w:after="0" w:line="277" w:lineRule="auto"/>
        <w:rPr>
          <w:sz w:val="20"/>
          <w:szCs w:val="20"/>
          <w:color w:val="auto"/>
        </w:rPr>
      </w:pPr>
      <w:r>
        <w:rPr>
          <w:rFonts w:ascii="Arial" w:cs="Arial" w:eastAsia="Arial" w:hAnsi="Arial"/>
          <w:sz w:val="18"/>
          <w:szCs w:val="18"/>
          <w:color w:val="auto"/>
        </w:rPr>
        <w:t>The applicable prospectus supplement will describe the terms of the purchase contracts and purchase units, including, if applicable, collateral or depositary arrangements.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100" w:firstLine="636"/>
        <w:spacing w:after="0" w:line="273" w:lineRule="auto"/>
        <w:rPr>
          <w:sz w:val="20"/>
          <w:szCs w:val="20"/>
          <w:color w:val="auto"/>
        </w:rPr>
      </w:pPr>
      <w:r>
        <w:rPr>
          <w:rFonts w:ascii="Arial" w:cs="Arial" w:eastAsia="Arial" w:hAnsi="Arial"/>
          <w:sz w:val="17"/>
          <w:szCs w:val="17"/>
          <w:color w:val="auto"/>
        </w:rPr>
        <w:t>We may issue warrants to purchase debt securities, common stock, preferred stock or depositary shares. We may offer warrants separately or together with one or more additional warrants, debt securities, common stock, preferred stock or depositary shares,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138" w:lineRule="exact"/>
        <w:rPr>
          <w:sz w:val="20"/>
          <w:szCs w:val="20"/>
          <w:color w:val="auto"/>
        </w:rPr>
      </w:pPr>
    </w:p>
    <w:p>
      <w:pPr>
        <w:ind w:left="1080" w:hanging="105"/>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specific designation and aggregate number of, and the offering price at which we will issue, the warrants;</w:t>
      </w:r>
    </w:p>
    <w:p>
      <w:pPr>
        <w:spacing w:after="0" w:line="207" w:lineRule="exact"/>
        <w:rPr>
          <w:rFonts w:ascii="Arial" w:cs="Arial" w:eastAsia="Arial" w:hAnsi="Arial"/>
          <w:sz w:val="16"/>
          <w:szCs w:val="16"/>
          <w:color w:val="auto"/>
        </w:rPr>
      </w:pPr>
    </w:p>
    <w:p>
      <w:pPr>
        <w:ind w:left="1080" w:hanging="105"/>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84" w:lineRule="exact"/>
        <w:rPr>
          <w:rFonts w:ascii="Arial" w:cs="Arial" w:eastAsia="Arial" w:hAnsi="Arial"/>
          <w:sz w:val="18"/>
          <w:szCs w:val="18"/>
          <w:color w:val="auto"/>
        </w:rPr>
      </w:pPr>
    </w:p>
    <w:p>
      <w:pPr>
        <w:ind w:left="1080" w:hanging="105"/>
        <w:spacing w:after="0" w:line="264"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40" w:lineRule="exact"/>
        <w:rPr>
          <w:rFonts w:ascii="Arial" w:cs="Arial" w:eastAsia="Arial" w:hAnsi="Arial"/>
          <w:sz w:val="18"/>
          <w:szCs w:val="18"/>
          <w:color w:val="auto"/>
        </w:rPr>
      </w:pPr>
    </w:p>
    <w:p>
      <w:pPr>
        <w:ind w:left="1100" w:hanging="125"/>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184" w:lineRule="exact"/>
        <w:rPr>
          <w:rFonts w:ascii="Arial" w:cs="Arial" w:eastAsia="Arial" w:hAnsi="Arial"/>
          <w:sz w:val="18"/>
          <w:szCs w:val="18"/>
          <w:color w:val="auto"/>
        </w:rPr>
      </w:pPr>
    </w:p>
    <w:p>
      <w:pPr>
        <w:ind w:left="1080" w:right="240" w:hanging="105"/>
        <w:spacing w:after="0" w:line="264"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140" w:lineRule="exact"/>
        <w:rPr>
          <w:rFonts w:ascii="Arial" w:cs="Arial" w:eastAsia="Arial" w:hAnsi="Arial"/>
          <w:sz w:val="18"/>
          <w:szCs w:val="18"/>
          <w:color w:val="auto"/>
        </w:rPr>
      </w:pPr>
    </w:p>
    <w:p>
      <w:pPr>
        <w:ind w:left="1120" w:hanging="145"/>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184" w:lineRule="exact"/>
        <w:rPr>
          <w:rFonts w:ascii="Arial" w:cs="Arial" w:eastAsia="Arial" w:hAnsi="Arial"/>
          <w:sz w:val="18"/>
          <w:szCs w:val="18"/>
          <w:color w:val="auto"/>
        </w:rPr>
      </w:pPr>
    </w:p>
    <w:p>
      <w:pPr>
        <w:ind w:left="1080" w:right="300" w:hanging="105"/>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129" w:lineRule="exact"/>
        <w:rPr>
          <w:rFonts w:ascii="Arial" w:cs="Arial" w:eastAsia="Arial" w:hAnsi="Arial"/>
          <w:sz w:val="18"/>
          <w:szCs w:val="18"/>
          <w:color w:val="auto"/>
        </w:rPr>
      </w:pPr>
    </w:p>
    <w:p>
      <w:pPr>
        <w:ind w:left="1080" w:right="80" w:hanging="105"/>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129" w:lineRule="exact"/>
        <w:rPr>
          <w:rFonts w:ascii="Arial" w:cs="Arial" w:eastAsia="Arial" w:hAnsi="Arial"/>
          <w:sz w:val="18"/>
          <w:szCs w:val="18"/>
          <w:color w:val="auto"/>
        </w:rPr>
      </w:pPr>
    </w:p>
    <w:p>
      <w:pPr>
        <w:ind w:left="1080" w:hanging="105"/>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184" w:lineRule="exact"/>
        <w:rPr>
          <w:rFonts w:ascii="Arial" w:cs="Arial" w:eastAsia="Arial" w:hAnsi="Arial"/>
          <w:sz w:val="18"/>
          <w:szCs w:val="18"/>
          <w:color w:val="auto"/>
        </w:rPr>
      </w:pPr>
    </w:p>
    <w:p>
      <w:pPr>
        <w:ind w:left="1080" w:right="120" w:hanging="105"/>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designation, aggregate principal amount, currency and terms of any debt securities that may be purchased upon exercise of the warrants;</w:t>
      </w:r>
    </w:p>
    <w:p>
      <w:pPr>
        <w:spacing w:after="0" w:line="129" w:lineRule="exact"/>
        <w:rPr>
          <w:rFonts w:ascii="Arial" w:cs="Arial" w:eastAsia="Arial" w:hAnsi="Arial"/>
          <w:sz w:val="18"/>
          <w:szCs w:val="18"/>
          <w:color w:val="auto"/>
        </w:rPr>
      </w:pPr>
    </w:p>
    <w:p>
      <w:pPr>
        <w:ind w:left="1080" w:right="300" w:hanging="105"/>
        <w:spacing w:after="0" w:line="342"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applicable, the designation and terms of the debt securities, common stock, preferred stock or depositary shares with which the warrants are issued and, the number of warrants issued with each security;</w:t>
      </w:r>
    </w:p>
    <w:p>
      <w:pPr>
        <w:spacing w:after="0" w:line="83" w:lineRule="exact"/>
        <w:rPr>
          <w:rFonts w:ascii="Arial" w:cs="Arial" w:eastAsia="Arial" w:hAnsi="Arial"/>
          <w:sz w:val="16"/>
          <w:szCs w:val="16"/>
          <w:color w:val="auto"/>
        </w:rPr>
      </w:pPr>
    </w:p>
    <w:p>
      <w:pPr>
        <w:ind w:left="1080" w:hanging="105"/>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common stock, preferred stock or depositary shares will be separately transferable;</w:t>
      </w:r>
    </w:p>
    <w:p>
      <w:pPr>
        <w:spacing w:after="0" w:line="129" w:lineRule="exact"/>
        <w:rPr>
          <w:rFonts w:ascii="Arial" w:cs="Arial" w:eastAsia="Arial" w:hAnsi="Arial"/>
          <w:sz w:val="18"/>
          <w:szCs w:val="18"/>
          <w:color w:val="auto"/>
        </w:rPr>
      </w:pPr>
    </w:p>
    <w:p>
      <w:pPr>
        <w:ind w:left="1080" w:right="220" w:hanging="105"/>
        <w:spacing w:after="0" w:line="342"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number of shares of common stock, the number of shares of preferred stock or the number of depositary shares purchasable upon exercise of a warrant and the price at which those shares may be purchased;</w:t>
      </w:r>
    </w:p>
    <w:p>
      <w:pPr>
        <w:spacing w:after="0" w:line="83" w:lineRule="exact"/>
        <w:rPr>
          <w:rFonts w:ascii="Arial" w:cs="Arial" w:eastAsia="Arial" w:hAnsi="Arial"/>
          <w:sz w:val="16"/>
          <w:szCs w:val="16"/>
          <w:color w:val="auto"/>
        </w:rPr>
      </w:pPr>
    </w:p>
    <w:p>
      <w:pPr>
        <w:ind w:left="1080" w:hanging="105"/>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applicable, the minimum or maximum amount of the warrants that may be exercised at any one time;</w:t>
      </w:r>
    </w:p>
    <w:p>
      <w:pPr>
        <w:spacing w:after="0" w:line="196" w:lineRule="exact"/>
        <w:rPr>
          <w:rFonts w:ascii="Arial" w:cs="Arial" w:eastAsia="Arial" w:hAnsi="Arial"/>
          <w:sz w:val="17"/>
          <w:szCs w:val="17"/>
          <w:color w:val="auto"/>
        </w:rPr>
      </w:pPr>
    </w:p>
    <w:p>
      <w:pPr>
        <w:ind w:left="1120" w:hanging="145"/>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84" w:lineRule="exact"/>
        <w:rPr>
          <w:rFonts w:ascii="Arial" w:cs="Arial" w:eastAsia="Arial" w:hAnsi="Arial"/>
          <w:sz w:val="18"/>
          <w:szCs w:val="18"/>
          <w:color w:val="auto"/>
        </w:rPr>
      </w:pPr>
    </w:p>
    <w:p>
      <w:pPr>
        <w:ind w:left="1080" w:right="240" w:hanging="105"/>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antidilution provisions of, and other provisions for changes to or adjustment in the exercise price of, the warrants, if any;</w:t>
      </w:r>
    </w:p>
    <w:p>
      <w:pPr>
        <w:spacing w:after="0" w:line="129" w:lineRule="exact"/>
        <w:rPr>
          <w:rFonts w:ascii="Arial" w:cs="Arial" w:eastAsia="Arial" w:hAnsi="Arial"/>
          <w:sz w:val="18"/>
          <w:szCs w:val="18"/>
          <w:color w:val="auto"/>
        </w:rPr>
      </w:pPr>
    </w:p>
    <w:p>
      <w:pPr>
        <w:ind w:left="1180" w:hanging="205"/>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80" w:right="179" w:hanging="105"/>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or exercise of the warrants.</w:t>
      </w:r>
    </w:p>
    <w:p>
      <w:pPr>
        <w:spacing w:after="0" w:line="200" w:lineRule="exact"/>
        <w:rPr>
          <w:sz w:val="20"/>
          <w:szCs w:val="20"/>
          <w:color w:val="auto"/>
        </w:rPr>
      </w:pP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firstLine="636"/>
        <w:spacing w:after="0" w:line="288" w:lineRule="auto"/>
        <w:rPr>
          <w:sz w:val="20"/>
          <w:szCs w:val="20"/>
          <w:color w:val="auto"/>
        </w:rPr>
      </w:pPr>
      <w:r>
        <w:rPr>
          <w:rFonts w:ascii="Arial" w:cs="Arial" w:eastAsia="Arial" w:hAnsi="Arial"/>
          <w:sz w:val="16"/>
          <w:szCs w:val="16"/>
          <w:color w:val="auto"/>
        </w:rPr>
        <w:t>Each debt security, depositary share, purchase contract, purchase unit and warrant will be represented either by a certificate issued in definitive form to a particular investor or by one or more global securities representing the entire issuance of securities. Unless otherwise provided in the applicable prospectus supplement,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purchase contracts, purchase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Global Securities</w:t>
      </w:r>
    </w:p>
    <w:p>
      <w:pPr>
        <w:spacing w:after="0" w:line="202" w:lineRule="exact"/>
        <w:rPr>
          <w:sz w:val="20"/>
          <w:szCs w:val="20"/>
          <w:color w:val="auto"/>
        </w:rPr>
      </w:pPr>
    </w:p>
    <w:p>
      <w:pPr>
        <w:ind w:right="20" w:firstLine="636"/>
        <w:spacing w:after="0" w:line="254" w:lineRule="auto"/>
        <w:rPr>
          <w:sz w:val="20"/>
          <w:szCs w:val="20"/>
          <w:color w:val="auto"/>
        </w:rPr>
      </w:pPr>
      <w:r>
        <w:rPr>
          <w:rFonts w:ascii="Arial" w:cs="Arial" w:eastAsia="Arial" w:hAnsi="Arial"/>
          <w:sz w:val="18"/>
          <w:szCs w:val="18"/>
          <w:color w:val="auto"/>
        </w:rPr>
        <w:t>We may issue the registered debt securities, depositary shares, purchase contracts, purchase units and warrants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52" w:lineRule="exact"/>
        <w:rPr>
          <w:sz w:val="20"/>
          <w:szCs w:val="20"/>
          <w:color w:val="auto"/>
        </w:rPr>
      </w:pPr>
    </w:p>
    <w:p>
      <w:pPr>
        <w:ind w:right="340" w:firstLine="636"/>
        <w:spacing w:after="0" w:line="286" w:lineRule="auto"/>
        <w:rPr>
          <w:sz w:val="20"/>
          <w:szCs w:val="20"/>
          <w:color w:val="auto"/>
        </w:rPr>
      </w:pPr>
      <w:r>
        <w:rPr>
          <w:rFonts w:ascii="Arial" w:cs="Arial" w:eastAsia="Arial" w:hAnsi="Arial"/>
          <w:sz w:val="17"/>
          <w:szCs w:val="17"/>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25" w:lineRule="exact"/>
        <w:rPr>
          <w:sz w:val="20"/>
          <w:szCs w:val="20"/>
          <w:color w:val="auto"/>
        </w:rPr>
      </w:pPr>
    </w:p>
    <w:p>
      <w:pPr>
        <w:ind w:firstLine="636"/>
        <w:spacing w:after="0" w:line="270" w:lineRule="auto"/>
        <w:rPr>
          <w:sz w:val="20"/>
          <w:szCs w:val="20"/>
          <w:color w:val="auto"/>
        </w:rPr>
      </w:pPr>
      <w:r>
        <w:rPr>
          <w:rFonts w:ascii="Arial" w:cs="Arial" w:eastAsia="Arial" w:hAnsi="Arial"/>
          <w:sz w:val="17"/>
          <w:szCs w:val="17"/>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51" w:lineRule="exact"/>
        <w:rPr>
          <w:sz w:val="20"/>
          <w:szCs w:val="20"/>
          <w:color w:val="auto"/>
        </w:rPr>
      </w:pPr>
    </w:p>
    <w:p>
      <w:pPr>
        <w:ind w:firstLine="636"/>
        <w:spacing w:after="0" w:line="284" w:lineRule="auto"/>
        <w:rPr>
          <w:sz w:val="20"/>
          <w:szCs w:val="20"/>
          <w:color w:val="auto"/>
        </w:rPr>
      </w:pPr>
      <w:r>
        <w:rPr>
          <w:rFonts w:ascii="Arial" w:cs="Arial" w:eastAsia="Arial" w:hAnsi="Arial"/>
          <w:sz w:val="16"/>
          <w:szCs w:val="16"/>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deposit agreement, purchase contract, warrant agreement or purchase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deposit agreement, purchase contract, purchase unit agreement or warrant</w:t>
      </w:r>
    </w:p>
    <w:p>
      <w:pPr>
        <w:spacing w:after="0" w:line="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deposit agreement, purchase contract, purchase unit agreement or warrant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deposit agreement, purchase contract, purchase unit agreement or warrant agreement, the depositary for the registered global security would authorize the participants holding the relevant beneficial interests 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give or take that action, and the participants would authorize beneficial owners owning through them to give or take that action or would otherwise act upon the instructions of beneficial owners holding through them.</w:t>
      </w:r>
    </w:p>
    <w:p>
      <w:pPr>
        <w:spacing w:after="0" w:line="130" w:lineRule="exact"/>
        <w:rPr>
          <w:sz w:val="20"/>
          <w:szCs w:val="20"/>
          <w:color w:val="auto"/>
        </w:rPr>
      </w:pPr>
    </w:p>
    <w:p>
      <w:pPr>
        <w:ind w:firstLine="636"/>
        <w:spacing w:after="0" w:line="291"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depositary shares, warrants, purchase agreements or purchase units, represented by a registered global security registered in the name of a depositary or its nominee will be made to the depositary or its nominee, as the case may be, as the registered owner of the registered global security. None of us, the trustees, the warrant agents, the unit agents or any other agent of ours,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40" w:lineRule="exact"/>
        <w:rPr>
          <w:sz w:val="20"/>
          <w:szCs w:val="20"/>
          <w:color w:val="auto"/>
        </w:rPr>
      </w:pPr>
    </w:p>
    <w:p>
      <w:pPr>
        <w:ind w:right="80" w:firstLine="636"/>
        <w:spacing w:after="0" w:line="291" w:lineRule="auto"/>
        <w:rPr>
          <w:sz w:val="20"/>
          <w:szCs w:val="20"/>
          <w:color w:val="auto"/>
        </w:rPr>
      </w:pPr>
      <w:r>
        <w:rPr>
          <w:rFonts w:ascii="Arial" w:cs="Arial" w:eastAsia="Arial" w:hAnsi="Arial"/>
          <w:sz w:val="16"/>
          <w:szCs w:val="16"/>
          <w:color w:val="auto"/>
        </w:rPr>
        <w:t>We expect that the depositary for any of the securities represented by a registered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27" w:lineRule="exact"/>
        <w:rPr>
          <w:sz w:val="20"/>
          <w:szCs w:val="20"/>
          <w:color w:val="auto"/>
        </w:rPr>
      </w:pPr>
    </w:p>
    <w:p>
      <w:pPr>
        <w:ind w:firstLine="636"/>
        <w:spacing w:after="0" w:line="271" w:lineRule="auto"/>
        <w:rPr>
          <w:sz w:val="20"/>
          <w:szCs w:val="20"/>
          <w:color w:val="auto"/>
        </w:rPr>
      </w:pPr>
      <w:r>
        <w:rPr>
          <w:rFonts w:ascii="Arial" w:cs="Arial" w:eastAsia="Arial" w:hAnsi="Arial"/>
          <w:sz w:val="17"/>
          <w:szCs w:val="17"/>
          <w:color w:val="auto"/>
        </w:rPr>
        <w:t>If the depositary for any of the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sell securities:</w:t>
      </w:r>
    </w:p>
    <w:p>
      <w:pPr>
        <w:spacing w:after="0" w:line="185" w:lineRule="exact"/>
        <w:rPr>
          <w:sz w:val="20"/>
          <w:szCs w:val="20"/>
          <w:color w:val="auto"/>
        </w:rPr>
      </w:pPr>
    </w:p>
    <w:p>
      <w:pPr>
        <w:ind w:left="1160" w:hanging="185"/>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or through underwriters, brokers or dealers;</w:t>
      </w:r>
    </w:p>
    <w:p>
      <w:pPr>
        <w:spacing w:after="0" w:line="184" w:lineRule="exact"/>
        <w:rPr>
          <w:rFonts w:ascii="Arial" w:cs="Arial" w:eastAsia="Arial" w:hAnsi="Arial"/>
          <w:sz w:val="18"/>
          <w:szCs w:val="18"/>
          <w:color w:val="auto"/>
        </w:rPr>
      </w:pPr>
    </w:p>
    <w:p>
      <w:pPr>
        <w:ind w:left="1400" w:hanging="425"/>
        <w:spacing w:after="0"/>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directly to one or more other purchasers in negotiated sales or competitively bid transactions;</w:t>
      </w:r>
    </w:p>
    <w:p>
      <w:pPr>
        <w:spacing w:after="0" w:line="184" w:lineRule="exact"/>
        <w:rPr>
          <w:rFonts w:ascii="Arial" w:cs="Arial" w:eastAsia="Arial" w:hAnsi="Arial"/>
          <w:sz w:val="18"/>
          <w:szCs w:val="18"/>
          <w:color w:val="auto"/>
        </w:rPr>
      </w:pPr>
    </w:p>
    <w:p>
      <w:pPr>
        <w:jc w:val="both"/>
        <w:ind w:left="1080" w:right="120" w:hanging="105"/>
        <w:spacing w:after="0" w:line="264"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140" w:lineRule="exact"/>
        <w:rPr>
          <w:rFonts w:ascii="Arial" w:cs="Arial" w:eastAsia="Arial" w:hAnsi="Arial"/>
          <w:sz w:val="18"/>
          <w:szCs w:val="18"/>
          <w:color w:val="auto"/>
        </w:rPr>
      </w:pPr>
    </w:p>
    <w:p>
      <w:pPr>
        <w:ind w:left="1120" w:hanging="145"/>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w:t>
      </w:r>
    </w:p>
    <w:p>
      <w:pPr>
        <w:spacing w:after="0" w:line="185" w:lineRule="exact"/>
        <w:rPr>
          <w:sz w:val="20"/>
          <w:szCs w:val="20"/>
          <w:color w:val="auto"/>
        </w:rPr>
      </w:pPr>
    </w:p>
    <w:p>
      <w:pPr>
        <w:ind w:right="520" w:firstLine="636"/>
        <w:spacing w:after="0" w:line="277" w:lineRule="auto"/>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w:t>
      </w:r>
    </w:p>
    <w:p>
      <w:pPr>
        <w:spacing w:after="0" w:line="143" w:lineRule="exact"/>
        <w:rPr>
          <w:sz w:val="20"/>
          <w:szCs w:val="20"/>
          <w:color w:val="auto"/>
        </w:rPr>
      </w:pPr>
    </w:p>
    <w:p>
      <w:pPr>
        <w:ind w:right="20" w:firstLine="636"/>
        <w:spacing w:after="0" w:line="273" w:lineRule="auto"/>
        <w:rPr>
          <w:sz w:val="20"/>
          <w:szCs w:val="20"/>
          <w:color w:val="auto"/>
        </w:rPr>
      </w:pPr>
      <w:r>
        <w:rPr>
          <w:rFonts w:ascii="Arial" w:cs="Arial" w:eastAsia="Arial" w:hAnsi="Arial"/>
          <w:sz w:val="17"/>
          <w:szCs w:val="17"/>
          <w:color w:val="auto"/>
        </w:rPr>
        <w:t>We may directly solicit offers to purchase securities, or agents may be designated to solicit such offers. We will, in the prospectus supplement relating to such offering, name any agent that could be viewed as an underwriter under the Securities Act of 1933, as amended, or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85" w:lineRule="exact"/>
        <w:rPr>
          <w:sz w:val="20"/>
          <w:szCs w:val="20"/>
          <w:color w:val="auto"/>
        </w:rPr>
      </w:pPr>
    </w:p>
    <w:p>
      <w:pPr>
        <w:ind w:left="1120" w:hanging="145"/>
        <w:spacing w:after="0"/>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84" w:lineRule="exact"/>
        <w:rPr>
          <w:rFonts w:ascii="Arial" w:cs="Arial" w:eastAsia="Arial" w:hAnsi="Arial"/>
          <w:sz w:val="18"/>
          <w:szCs w:val="18"/>
          <w:color w:val="auto"/>
        </w:rPr>
      </w:pPr>
    </w:p>
    <w:p>
      <w:pPr>
        <w:ind w:left="1160" w:hanging="185"/>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84" w:lineRule="exact"/>
        <w:rPr>
          <w:rFonts w:ascii="Arial" w:cs="Arial" w:eastAsia="Arial" w:hAnsi="Arial"/>
          <w:sz w:val="18"/>
          <w:szCs w:val="18"/>
          <w:color w:val="auto"/>
        </w:rPr>
      </w:pPr>
    </w:p>
    <w:p>
      <w:pPr>
        <w:ind w:left="1140" w:hanging="165"/>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84" w:lineRule="exact"/>
        <w:rPr>
          <w:rFonts w:ascii="Arial" w:cs="Arial" w:eastAsia="Arial" w:hAnsi="Arial"/>
          <w:sz w:val="18"/>
          <w:szCs w:val="18"/>
          <w:color w:val="auto"/>
        </w:rPr>
      </w:pPr>
    </w:p>
    <w:p>
      <w:pPr>
        <w:ind w:left="1320" w:hanging="345"/>
        <w:spacing w:after="0"/>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Each prospectus supplement will describe the method of distribution of the securities and any applicable restrictions.</w:t>
      </w:r>
    </w:p>
    <w:p>
      <w:pPr>
        <w:spacing w:after="0" w:line="221" w:lineRule="exact"/>
        <w:rPr>
          <w:sz w:val="20"/>
          <w:szCs w:val="20"/>
          <w:color w:val="auto"/>
        </w:rPr>
      </w:pPr>
    </w:p>
    <w:p>
      <w:pPr>
        <w:ind w:right="60" w:firstLine="636"/>
        <w:spacing w:after="0" w:line="277"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130" w:lineRule="exact"/>
        <w:rPr>
          <w:sz w:val="20"/>
          <w:szCs w:val="20"/>
          <w:color w:val="auto"/>
        </w:rPr>
      </w:pPr>
    </w:p>
    <w:p>
      <w:pPr>
        <w:ind w:left="1160" w:hanging="185"/>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184" w:lineRule="exact"/>
        <w:rPr>
          <w:rFonts w:ascii="Arial" w:cs="Arial" w:eastAsia="Arial" w:hAnsi="Arial"/>
          <w:sz w:val="18"/>
          <w:szCs w:val="18"/>
          <w:color w:val="auto"/>
        </w:rPr>
      </w:pPr>
    </w:p>
    <w:p>
      <w:pPr>
        <w:ind w:left="1180" w:hanging="205"/>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184" w:lineRule="exact"/>
        <w:rPr>
          <w:rFonts w:ascii="Arial" w:cs="Arial" w:eastAsia="Arial" w:hAnsi="Arial"/>
          <w:sz w:val="18"/>
          <w:szCs w:val="18"/>
          <w:color w:val="auto"/>
        </w:rPr>
      </w:pPr>
    </w:p>
    <w:p>
      <w:pPr>
        <w:ind w:left="1100" w:hanging="125"/>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184" w:lineRule="exact"/>
        <w:rPr>
          <w:rFonts w:ascii="Arial" w:cs="Arial" w:eastAsia="Arial" w:hAnsi="Arial"/>
          <w:sz w:val="18"/>
          <w:szCs w:val="18"/>
          <w:color w:val="auto"/>
        </w:rPr>
      </w:pPr>
    </w:p>
    <w:p>
      <w:pPr>
        <w:ind w:left="1140" w:hanging="165"/>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185" w:lineRule="exact"/>
        <w:rPr>
          <w:sz w:val="20"/>
          <w:szCs w:val="20"/>
          <w:color w:val="auto"/>
        </w:rPr>
      </w:pPr>
    </w:p>
    <w:p>
      <w:pPr>
        <w:ind w:right="40" w:firstLine="636"/>
        <w:spacing w:after="0" w:line="342" w:lineRule="auto"/>
        <w:rPr>
          <w:sz w:val="20"/>
          <w:szCs w:val="20"/>
          <w:color w:val="auto"/>
        </w:rPr>
      </w:pPr>
      <w:r>
        <w:rPr>
          <w:rFonts w:ascii="Arial" w:cs="Arial" w:eastAsia="Arial" w:hAnsi="Arial"/>
          <w:sz w:val="16"/>
          <w:szCs w:val="16"/>
          <w:color w:val="auto"/>
        </w:rPr>
        <w:t>If any underwriters or agents are utilized in the sale of the securities in respect of which this prospectus is delivered, we will enter into an underwriting agreement or other agreement with them at the time of sale to them, and we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will set forth in the prospectus supplement relating to such offering the names of the underwriters or agents and the terms of the related agreement with them.</w:t>
      </w:r>
    </w:p>
    <w:p>
      <w:pPr>
        <w:spacing w:after="0" w:line="130" w:lineRule="exact"/>
        <w:rPr>
          <w:sz w:val="20"/>
          <w:szCs w:val="20"/>
          <w:color w:val="auto"/>
        </w:rPr>
      </w:pPr>
    </w:p>
    <w:p>
      <w:pPr>
        <w:ind w:right="300" w:firstLine="636"/>
        <w:spacing w:after="0" w:line="264"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54" w:lineRule="exact"/>
        <w:rPr>
          <w:sz w:val="20"/>
          <w:szCs w:val="20"/>
          <w:color w:val="auto"/>
        </w:rPr>
      </w:pPr>
    </w:p>
    <w:p>
      <w:pPr>
        <w:ind w:right="20" w:firstLine="636"/>
        <w:spacing w:after="0" w:line="279" w:lineRule="auto"/>
        <w:rPr>
          <w:sz w:val="20"/>
          <w:szCs w:val="20"/>
          <w:color w:val="auto"/>
        </w:rPr>
      </w:pPr>
      <w:r>
        <w:rPr>
          <w:rFonts w:ascii="Arial" w:cs="Arial" w:eastAsia="Arial" w:hAnsi="Arial"/>
          <w:sz w:val="17"/>
          <w:szCs w:val="17"/>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31" w:lineRule="exact"/>
        <w:rPr>
          <w:sz w:val="20"/>
          <w:szCs w:val="20"/>
          <w:color w:val="auto"/>
        </w:rPr>
      </w:pPr>
    </w:p>
    <w:p>
      <w:pPr>
        <w:ind w:right="20" w:firstLine="636"/>
        <w:spacing w:after="0" w:line="264" w:lineRule="auto"/>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41" w:lineRule="exact"/>
        <w:rPr>
          <w:sz w:val="20"/>
          <w:szCs w:val="20"/>
          <w:color w:val="auto"/>
        </w:rPr>
      </w:pPr>
    </w:p>
    <w:p>
      <w:pPr>
        <w:ind w:firstLine="636"/>
        <w:spacing w:after="0" w:line="271" w:lineRule="auto"/>
        <w:rPr>
          <w:sz w:val="20"/>
          <w:szCs w:val="20"/>
          <w:color w:val="auto"/>
        </w:rPr>
      </w:pPr>
      <w:r>
        <w:rPr>
          <w:rFonts w:ascii="Arial" w:cs="Arial" w:eastAsia="Arial" w:hAnsi="Arial"/>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52" w:lineRule="exact"/>
        <w:rPr>
          <w:sz w:val="20"/>
          <w:szCs w:val="20"/>
          <w:color w:val="auto"/>
        </w:rPr>
      </w:pPr>
    </w:p>
    <w:p>
      <w:pPr>
        <w:ind w:left="1080" w:right="160" w:hanging="105"/>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29" w:lineRule="exact"/>
        <w:rPr>
          <w:rFonts w:ascii="Arial" w:cs="Arial" w:eastAsia="Arial" w:hAnsi="Arial"/>
          <w:sz w:val="18"/>
          <w:szCs w:val="18"/>
          <w:color w:val="auto"/>
        </w:rPr>
      </w:pPr>
    </w:p>
    <w:p>
      <w:pPr>
        <w:ind w:left="1080" w:right="60" w:hanging="105"/>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46" w:lineRule="exact"/>
        <w:rPr>
          <w:sz w:val="20"/>
          <w:szCs w:val="20"/>
          <w:color w:val="auto"/>
        </w:rPr>
      </w:pPr>
    </w:p>
    <w:p>
      <w:pPr>
        <w:jc w:val="both"/>
        <w:ind w:right="260" w:firstLine="636"/>
        <w:spacing w:after="0" w:line="264" w:lineRule="auto"/>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41" w:lineRule="exact"/>
        <w:rPr>
          <w:sz w:val="20"/>
          <w:szCs w:val="20"/>
          <w:color w:val="auto"/>
        </w:rPr>
      </w:pPr>
    </w:p>
    <w:p>
      <w:pPr>
        <w:ind w:right="140" w:firstLine="636"/>
        <w:spacing w:after="0" w:line="288"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29" w:lineRule="exact"/>
        <w:rPr>
          <w:sz w:val="20"/>
          <w:szCs w:val="20"/>
          <w:color w:val="auto"/>
        </w:rPr>
      </w:pPr>
    </w:p>
    <w:p>
      <w:pPr>
        <w:ind w:right="40" w:firstLine="636"/>
        <w:spacing w:after="0" w:line="297" w:lineRule="auto"/>
        <w:rPr>
          <w:sz w:val="20"/>
          <w:szCs w:val="20"/>
          <w:color w:val="auto"/>
        </w:rPr>
      </w:pPr>
      <w:r>
        <w:rPr>
          <w:rFonts w:ascii="Arial" w:cs="Arial" w:eastAsia="Arial" w:hAnsi="Arial"/>
          <w:sz w:val="16"/>
          <w:szCs w:val="16"/>
          <w:color w:val="auto"/>
        </w:rPr>
        <w:t>Under Rule 15c6-1 of the Exchange Act, trades in the secondary market generally are required to settle in three business days, unless the parties to any such trade expressly agree otherwise. The applicable prospectus supplement may provide that the original issue date for your securities may be more than three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59"/>
        <w:spacing w:after="0" w:line="277" w:lineRule="auto"/>
        <w:rPr>
          <w:sz w:val="20"/>
          <w:szCs w:val="20"/>
          <w:color w:val="auto"/>
        </w:rPr>
      </w:pPr>
      <w:r>
        <w:rPr>
          <w:rFonts w:ascii="Arial" w:cs="Arial" w:eastAsia="Arial" w:hAnsi="Arial"/>
          <w:sz w:val="18"/>
          <w:szCs w:val="18"/>
          <w:color w:val="auto"/>
        </w:rPr>
        <w:t>initially are expected to settle in more than three scheduled business days after the trade date for your securities, to make alternative settlement arrangements to prevent a failed settlement.</w:t>
      </w:r>
    </w:p>
    <w:p>
      <w:pPr>
        <w:spacing w:after="0" w:line="130" w:lineRule="exact"/>
        <w:rPr>
          <w:sz w:val="20"/>
          <w:szCs w:val="20"/>
          <w:color w:val="auto"/>
        </w:rPr>
      </w:pPr>
    </w:p>
    <w:p>
      <w:pPr>
        <w:ind w:right="219" w:firstLine="636"/>
        <w:spacing w:after="0" w:line="264" w:lineRule="auto"/>
        <w:rPr>
          <w:sz w:val="20"/>
          <w:szCs w:val="20"/>
          <w:color w:val="auto"/>
        </w:rPr>
      </w:pPr>
      <w:r>
        <w:rPr>
          <w:rFonts w:ascii="Arial" w:cs="Arial" w:eastAsia="Arial" w:hAnsi="Arial"/>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54" w:lineRule="exact"/>
        <w:rPr>
          <w:sz w:val="20"/>
          <w:szCs w:val="20"/>
          <w:color w:val="auto"/>
        </w:rPr>
      </w:pPr>
    </w:p>
    <w:p>
      <w:pPr>
        <w:ind w:right="59" w:firstLine="636"/>
        <w:spacing w:after="0" w:line="259" w:lineRule="auto"/>
        <w:rPr>
          <w:sz w:val="20"/>
          <w:szCs w:val="20"/>
          <w:color w:val="auto"/>
        </w:rPr>
      </w:pPr>
      <w:r>
        <w:rPr>
          <w:rFonts w:ascii="Arial" w:cs="Arial" w:eastAsia="Arial" w:hAnsi="Arial"/>
          <w:sz w:val="18"/>
          <w:szCs w:val="18"/>
          <w:color w:val="auto"/>
        </w:rPr>
        <w:t>In compliance with the guidelines of the Financial Industry Regulatory Authority,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39" w:firstLine="636"/>
        <w:spacing w:after="0" w:line="277" w:lineRule="auto"/>
        <w:rPr>
          <w:sz w:val="20"/>
          <w:szCs w:val="20"/>
          <w:color w:val="auto"/>
        </w:rPr>
      </w:pPr>
      <w:r>
        <w:rPr>
          <w:rFonts w:ascii="Arial" w:cs="Arial" w:eastAsia="Arial" w:hAnsi="Arial"/>
          <w:sz w:val="18"/>
          <w:szCs w:val="18"/>
          <w:color w:val="auto"/>
        </w:rPr>
        <w:t>Unless the applicable prospectus supplement indicates otherwise, the validity of the securities in respect of which this prospectus is being delivered will be passed upon by Goodwin Procter LLP.</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79" w:firstLine="636"/>
        <w:spacing w:after="0" w:line="257" w:lineRule="auto"/>
        <w:rPr>
          <w:sz w:val="20"/>
          <w:szCs w:val="20"/>
          <w:color w:val="auto"/>
        </w:rPr>
      </w:pPr>
      <w:r>
        <w:rPr>
          <w:rFonts w:ascii="Arial" w:cs="Arial" w:eastAsia="Arial" w:hAnsi="Arial"/>
          <w:sz w:val="18"/>
          <w:szCs w:val="18"/>
          <w:color w:val="auto"/>
        </w:rPr>
        <w:t>The consolidated financial statements of Blueprint Medicines Corporation appearing in Blueprint Medicines Corporation’s Annual Report on Form 10-K for the year ended December 31, 2015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BLUEPRINT MEDICINES CORPORATION</w:t>
      </w: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$250,000,000</w:t>
      </w: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Depositary Shares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Purchase Units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374650</wp:posOffset>
            </wp:positionV>
            <wp:extent cx="14319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91440</wp:posOffset>
            </wp:positionV>
            <wp:extent cx="14319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May 10,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883285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02"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Set forth below is an estimate (except in the case of the SEC registration fee) of the amount of fees and expenses to be incurred in connection with the issuance and distribution of the offered securities, other than underwriting discounts and commissions.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6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agent’s, trustee’s and depositary’s fees and expenses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Printing fees and expenses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r>
      <w:tr>
        <w:trPr>
          <w:trHeight w:val="217"/>
        </w:trPr>
        <w:tc>
          <w:tcPr>
            <w:tcW w:w="62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9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134" w:lineRule="exact"/>
        <w:rPr>
          <w:sz w:val="20"/>
          <w:szCs w:val="20"/>
          <w:color w:val="auto"/>
        </w:rPr>
      </w:pPr>
    </w:p>
    <w:p>
      <w:pPr>
        <w:ind w:left="220" w:hanging="215"/>
        <w:spacing w:after="0" w:line="277" w:lineRule="auto"/>
        <w:rPr>
          <w:sz w:val="20"/>
          <w:szCs w:val="20"/>
          <w:color w:val="auto"/>
        </w:rPr>
      </w:pPr>
      <w:r>
        <w:rPr>
          <w:rFonts w:ascii="Arial" w:cs="Arial" w:eastAsia="Arial" w:hAnsi="Arial"/>
          <w:sz w:val="18"/>
          <w:szCs w:val="18"/>
          <w:color w:val="auto"/>
        </w:rPr>
        <w:t>(1)These fees and expenses are calculated based on the securities offered and the number of issuances and distributions of the offered securities and, accordingly, cannot be estimated at this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0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Section 102(b)(7) of the Delaware General Corporation Law (“DGCL”) provides, in general, that the certificate of incorporation may contain a provision eliminating or limiting the personal liability of a director to the corporation or its shareholders for monetary damages for breach of fiduciary duty as a director,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provision may not eliminate or limit the liability of a director (i) for any breach of the director’s duty of loyalty to the corporation or its shareholders, (ii) for acts or omissions not in good faith or which involve intentional misconduct or a knowing violation of law, (iii) under section 174 of the DGCL, or (iv) for any transaction from which the director derived an improper personal benefit. No such provision may eliminate or limit the liability of a director for any act or omission occurring prior to the date when such provision became effective.</w:t>
      </w:r>
    </w:p>
    <w:p>
      <w:pPr>
        <w:spacing w:after="0" w:line="1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41"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53"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Registrant’s amended and restated certificate of incorporation (“certificate of incorporation”) provides that no director of the Registrant shall be personally liable to the Registrant or its stockholders for monetary damages for any breach of fiduciary duty as a director, except for liability (1) for any breach of the director’s duty of loyalty to the Registrant or its stockholders, (2) for acts or omissions not in good faith or which involve intentional misconduct or a knowing violation of law, (3) in respect of unlawful dividend payments or stock redemptions or repurchases or (4) for any transaction from which the director derived an improper personal benefit. In addition, the certificate of incorporation provides that if the DGCL is amended to authorize the further elimination or limitation of the liability of directors, then the liability of a director of the Registrant shall be eliminated or limited to the fullest extent permitted by the DGCL, as so amended. The certificate of incorporation further provides that any repeal or modification of such article by the Registrant’s stockholders or amendment to the DGCL will not adversely affect any right or protection existing at the time of such repeal or modification with respect to any acts or omissions occurring before such repeal or modification of a director serving at the time of such repeal or modification.</w:t>
      </w:r>
    </w:p>
    <w:p>
      <w:pPr>
        <w:spacing w:after="0" w:line="153"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The Registrant’s amended and restated bylaws (“bylaws”) provide that the Registrant will indemnify each of its directors and officers and, in the discretion of the Registrant’s board of directors, certain employees, to the fullest extent permitted by the DGCL as the same may be amended (except that in the case of amendment, only to the extent that the amendment permits the Registrant to provide broader indemnification rights than the DGCL permitted the Registrant to provide prior to such the amendment) against any and all expenses, judgments, penalties, fines and amounts reasonably paid in settlement that are incurred by the director, officer or such employee or on the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the Registrant’s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the Registrant and, with respect to any criminal proceeding, had no reasonable cause to believe his or her conduct was unlawful. Article V of the bylaws further provides for the advancement of expenses to each of the Registrant’s directors and, in the discretion of the board of directors, to certain officers and employees.</w:t>
      </w:r>
    </w:p>
    <w:p>
      <w:pPr>
        <w:spacing w:after="0" w:line="14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the bylaws provide that the right of each of the Registrant’s directors and officers to indemnification and advancement of expenses shall be a contract right and shall not be exclusive of any other right now possessed or hereafter acquired under any statute, provision of the certificate of incorporation or bylaws, agreement, vote of stockholders or otherwise. Furthermore, Article V of the bylaws authorizes the Registrant to provide insurance for its directors, officers and employees, against any liability, whether or not the Registrant would have the power to indemnify such person against such liability under the DGCL or the provisions of Article V of the bylaws.</w:t>
      </w:r>
    </w:p>
    <w:p>
      <w:pPr>
        <w:spacing w:after="0" w:line="13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Registrant has entered into indemnification agreements with each of its directors and executive officers. In general, these agreements provide that the Registrant will indemnify each of its directors and executive officers to the fullest extent permitted by law and the certificate of incorporation and bylaws.</w:t>
      </w:r>
    </w:p>
    <w:p>
      <w:pPr>
        <w:spacing w:after="0" w:line="15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Registrant also maintain a general liability insurance policy, which covers certain liabilities of its directors and officers arising out of claims based on acts or omissions in their capacities as directors or officers.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8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exhibits to this Registration Statement are listed in the exhibit index, which appears elsewhere herein and is incorporated herein by reference.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1120" w:right="640" w:hanging="469"/>
        <w:spacing w:after="0" w:line="246" w:lineRule="auto"/>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88" w:lineRule="exact"/>
        <w:rPr>
          <w:rFonts w:ascii="Arial" w:cs="Arial" w:eastAsia="Arial" w:hAnsi="Arial"/>
          <w:sz w:val="18"/>
          <w:szCs w:val="18"/>
          <w:color w:val="auto"/>
        </w:rPr>
      </w:pPr>
    </w:p>
    <w:p>
      <w:pPr>
        <w:ind w:left="1780" w:right="300" w:hanging="481"/>
        <w:spacing w:after="0" w:line="246" w:lineRule="auto"/>
        <w:tabs>
          <w:tab w:leader="none" w:pos="17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 of 1933”);</w:t>
      </w:r>
    </w:p>
    <w:p>
      <w:pPr>
        <w:spacing w:after="0" w:line="88" w:lineRule="exact"/>
        <w:rPr>
          <w:rFonts w:ascii="Arial" w:cs="Arial" w:eastAsia="Arial" w:hAnsi="Arial"/>
          <w:sz w:val="18"/>
          <w:szCs w:val="18"/>
          <w:color w:val="auto"/>
        </w:rPr>
      </w:pPr>
    </w:p>
    <w:p>
      <w:pPr>
        <w:ind w:left="1820" w:right="20" w:hanging="521"/>
        <w:spacing w:after="0" w:line="237" w:lineRule="auto"/>
        <w:tabs>
          <w:tab w:leader="none" w:pos="1820" w:val="left"/>
        </w:tabs>
        <w:numPr>
          <w:ilvl w:val="1"/>
          <w:numId w:val="4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95" w:lineRule="exact"/>
        <w:rPr>
          <w:rFonts w:ascii="Arial" w:cs="Arial" w:eastAsia="Arial" w:hAnsi="Arial"/>
          <w:sz w:val="17"/>
          <w:szCs w:val="17"/>
          <w:color w:val="auto"/>
        </w:rPr>
      </w:pPr>
    </w:p>
    <w:p>
      <w:pPr>
        <w:ind w:left="1860" w:right="40" w:hanging="561"/>
        <w:spacing w:after="0" w:line="235" w:lineRule="auto"/>
        <w:tabs>
          <w:tab w:leader="none" w:pos="18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94" w:lineRule="exact"/>
        <w:rPr>
          <w:sz w:val="20"/>
          <w:szCs w:val="20"/>
          <w:color w:val="auto"/>
        </w:rPr>
      </w:pPr>
    </w:p>
    <w:p>
      <w:pPr>
        <w:spacing w:after="0" w:line="228"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(1)(i), (1)(ii) and (1)(iii)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w:t>
      </w:r>
    </w:p>
    <w:p>
      <w:pPr>
        <w:spacing w:after="0" w:line="97" w:lineRule="exact"/>
        <w:rPr>
          <w:sz w:val="20"/>
          <w:szCs w:val="20"/>
          <w:color w:val="auto"/>
        </w:rPr>
      </w:pPr>
    </w:p>
    <w:p>
      <w:pPr>
        <w:ind w:left="1120" w:right="200" w:hanging="469"/>
        <w:spacing w:after="0" w:line="276" w:lineRule="auto"/>
        <w:tabs>
          <w:tab w:leader="none" w:pos="11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67" w:lineRule="exact"/>
        <w:rPr>
          <w:rFonts w:ascii="Arial" w:cs="Arial" w:eastAsia="Arial" w:hAnsi="Arial"/>
          <w:sz w:val="16"/>
          <w:szCs w:val="16"/>
          <w:color w:val="auto"/>
        </w:rPr>
      </w:pPr>
    </w:p>
    <w:p>
      <w:pPr>
        <w:ind w:left="1120" w:right="240" w:hanging="469"/>
        <w:spacing w:after="0" w:line="246" w:lineRule="auto"/>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88" w:lineRule="exact"/>
        <w:rPr>
          <w:rFonts w:ascii="Arial" w:cs="Arial" w:eastAsia="Arial" w:hAnsi="Arial"/>
          <w:sz w:val="18"/>
          <w:szCs w:val="18"/>
          <w:color w:val="auto"/>
        </w:rPr>
      </w:pPr>
    </w:p>
    <w:p>
      <w:pPr>
        <w:ind w:left="1160" w:hanging="509"/>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17" w:lineRule="exact"/>
        <w:rPr>
          <w:rFonts w:ascii="Arial" w:cs="Arial" w:eastAsia="Arial" w:hAnsi="Arial"/>
          <w:sz w:val="18"/>
          <w:szCs w:val="18"/>
          <w:color w:val="auto"/>
        </w:rPr>
      </w:pPr>
    </w:p>
    <w:p>
      <w:pPr>
        <w:ind w:left="1780" w:right="120" w:hanging="481"/>
        <w:spacing w:after="0" w:line="235" w:lineRule="auto"/>
        <w:tabs>
          <w:tab w:leader="none" w:pos="17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4" w:lineRule="exact"/>
        <w:rPr>
          <w:rFonts w:ascii="Arial" w:cs="Arial" w:eastAsia="Arial" w:hAnsi="Arial"/>
          <w:sz w:val="18"/>
          <w:szCs w:val="18"/>
          <w:color w:val="auto"/>
        </w:rPr>
      </w:pPr>
    </w:p>
    <w:p>
      <w:pPr>
        <w:ind w:left="1820" w:right="20" w:hanging="521"/>
        <w:spacing w:after="0" w:line="257" w:lineRule="auto"/>
        <w:tabs>
          <w:tab w:leader="none" w:pos="18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w:t>
      </w:r>
    </w:p>
    <w:p>
      <w:pPr>
        <w:ind w:left="1820" w:right="60"/>
        <w:spacing w:after="0" w:line="234" w:lineRule="auto"/>
        <w:rPr>
          <w:rFonts w:ascii="Arial" w:cs="Arial" w:eastAsia="Arial" w:hAnsi="Arial"/>
          <w:sz w:val="16"/>
          <w:szCs w:val="16"/>
          <w:color w:val="auto"/>
        </w:rPr>
      </w:pPr>
      <w:r>
        <w:rPr>
          <w:rFonts w:ascii="Arial" w:cs="Arial" w:eastAsia="Arial" w:hAnsi="Arial"/>
          <w:sz w:val="17"/>
          <w:szCs w:val="17"/>
          <w:color w:val="auto"/>
        </w:rPr>
        <w:t xml:space="preserve">(1)(i),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 the registration statement or prospectus that is part of the registration statement will, as to a purchaser with a time of contract of sale prior to such</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1940" w:right="100"/>
        <w:spacing w:after="0" w:line="235" w:lineRule="auto"/>
        <w:rPr>
          <w:sz w:val="20"/>
          <w:szCs w:val="20"/>
          <w:color w:val="auto"/>
        </w:rPr>
      </w:pPr>
      <w:r>
        <w:rPr>
          <w:rFonts w:ascii="Arial" w:cs="Arial" w:eastAsia="Arial" w:hAnsi="Arial"/>
          <w:sz w:val="18"/>
          <w:szCs w:val="18"/>
          <w:color w:val="auto"/>
        </w:rPr>
        <w:t>effective date, supersede or modify any statement that was made in the registration statement or prospectus that was part of the registration statement or made in any such document immediately prior to such effective date.</w:t>
      </w:r>
    </w:p>
    <w:p>
      <w:pPr>
        <w:spacing w:after="0" w:line="94" w:lineRule="exact"/>
        <w:rPr>
          <w:sz w:val="20"/>
          <w:szCs w:val="20"/>
          <w:color w:val="auto"/>
        </w:rPr>
      </w:pPr>
    </w:p>
    <w:p>
      <w:pPr>
        <w:ind w:left="1120" w:right="80" w:hanging="469"/>
        <w:spacing w:after="0"/>
        <w:tabs>
          <w:tab w:leader="none" w:pos="11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That, for the purpose of determining liability of a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6" w:lineRule="exact"/>
        <w:rPr>
          <w:rFonts w:ascii="Arial" w:cs="Arial" w:eastAsia="Arial" w:hAnsi="Arial"/>
          <w:sz w:val="17"/>
          <w:szCs w:val="17"/>
          <w:color w:val="auto"/>
        </w:rPr>
      </w:pPr>
    </w:p>
    <w:p>
      <w:pPr>
        <w:ind w:left="1780" w:right="460" w:hanging="481"/>
        <w:spacing w:after="0" w:line="246" w:lineRule="auto"/>
        <w:tabs>
          <w:tab w:leader="none" w:pos="17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88" w:lineRule="exact"/>
        <w:rPr>
          <w:rFonts w:ascii="Arial" w:cs="Arial" w:eastAsia="Arial" w:hAnsi="Arial"/>
          <w:sz w:val="18"/>
          <w:szCs w:val="18"/>
          <w:color w:val="auto"/>
        </w:rPr>
      </w:pPr>
    </w:p>
    <w:p>
      <w:pPr>
        <w:ind w:left="1820" w:right="380" w:hanging="521"/>
        <w:spacing w:after="0" w:line="246" w:lineRule="auto"/>
        <w:tabs>
          <w:tab w:leader="none" w:pos="18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88" w:lineRule="exact"/>
        <w:rPr>
          <w:rFonts w:ascii="Arial" w:cs="Arial" w:eastAsia="Arial" w:hAnsi="Arial"/>
          <w:sz w:val="18"/>
          <w:szCs w:val="18"/>
          <w:color w:val="auto"/>
        </w:rPr>
      </w:pPr>
    </w:p>
    <w:p>
      <w:pPr>
        <w:ind w:left="1860" w:right="480" w:hanging="561"/>
        <w:spacing w:after="0" w:line="235" w:lineRule="auto"/>
        <w:tabs>
          <w:tab w:leader="none" w:pos="18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94" w:lineRule="exact"/>
        <w:rPr>
          <w:rFonts w:ascii="Arial" w:cs="Arial" w:eastAsia="Arial" w:hAnsi="Arial"/>
          <w:sz w:val="18"/>
          <w:szCs w:val="18"/>
          <w:color w:val="auto"/>
        </w:rPr>
      </w:pPr>
    </w:p>
    <w:p>
      <w:pPr>
        <w:ind w:left="1860" w:right="100" w:hanging="561"/>
        <w:spacing w:after="0" w:line="246" w:lineRule="auto"/>
        <w:tabs>
          <w:tab w:leader="none" w:pos="18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88" w:lineRule="exact"/>
        <w:rPr>
          <w:rFonts w:ascii="Arial" w:cs="Arial" w:eastAsia="Arial" w:hAnsi="Arial"/>
          <w:sz w:val="18"/>
          <w:szCs w:val="18"/>
          <w:color w:val="auto"/>
        </w:rPr>
      </w:pPr>
    </w:p>
    <w:p>
      <w:pPr>
        <w:ind w:left="1120" w:right="20" w:hanging="469"/>
        <w:spacing w:after="0" w:line="227" w:lineRule="auto"/>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94" w:lineRule="exact"/>
        <w:rPr>
          <w:rFonts w:ascii="Arial" w:cs="Arial" w:eastAsia="Arial" w:hAnsi="Arial"/>
          <w:sz w:val="18"/>
          <w:szCs w:val="18"/>
          <w:color w:val="auto"/>
        </w:rPr>
      </w:pPr>
    </w:p>
    <w:p>
      <w:pPr>
        <w:ind w:left="1220" w:hanging="569"/>
        <w:spacing w:after="0"/>
        <w:tabs>
          <w:tab w:leader="none" w:pos="1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w:t>
      </w:r>
    </w:p>
    <w:p>
      <w:pPr>
        <w:spacing w:after="0" w:line="117" w:lineRule="exact"/>
        <w:rPr>
          <w:rFonts w:ascii="Arial" w:cs="Arial" w:eastAsia="Arial" w:hAnsi="Arial"/>
          <w:sz w:val="18"/>
          <w:szCs w:val="18"/>
          <w:color w:val="auto"/>
        </w:rPr>
      </w:pPr>
    </w:p>
    <w:p>
      <w:pPr>
        <w:ind w:left="1780" w:hanging="481"/>
        <w:spacing w:after="0" w:line="231" w:lineRule="auto"/>
        <w:tabs>
          <w:tab w:leader="none" w:pos="17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spacing w:after="0" w:line="94" w:lineRule="exact"/>
        <w:rPr>
          <w:rFonts w:ascii="Arial" w:cs="Arial" w:eastAsia="Arial" w:hAnsi="Arial"/>
          <w:sz w:val="18"/>
          <w:szCs w:val="18"/>
          <w:color w:val="auto"/>
        </w:rPr>
      </w:pPr>
    </w:p>
    <w:p>
      <w:pPr>
        <w:ind w:left="1820" w:right="80" w:hanging="521"/>
        <w:spacing w:after="0" w:line="235" w:lineRule="auto"/>
        <w:tabs>
          <w:tab w:leader="none" w:pos="18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94" w:lineRule="exact"/>
        <w:rPr>
          <w:rFonts w:ascii="Arial" w:cs="Arial" w:eastAsia="Arial" w:hAnsi="Arial"/>
          <w:sz w:val="18"/>
          <w:szCs w:val="18"/>
          <w:color w:val="auto"/>
        </w:rPr>
      </w:pPr>
    </w:p>
    <w:p>
      <w:pPr>
        <w:ind w:left="1120" w:right="20" w:hanging="469"/>
        <w:spacing w:after="0" w:line="253" w:lineRule="auto"/>
        <w:tabs>
          <w:tab w:leader="none" w:pos="11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To file an application for the purpose of determining the eligibility of the trustee to act under subsection (a) of Section 310 of the Trust Indenture Act in accordance with the rules and regulations prescribed by the Securities and Exchange Commission under Section 305(b)(2) of the Trust Indenture Act.</w:t>
      </w:r>
    </w:p>
    <w:p>
      <w:pPr>
        <w:spacing w:after="0" w:line="84" w:lineRule="exact"/>
        <w:rPr>
          <w:sz w:val="20"/>
          <w:szCs w:val="20"/>
          <w:color w:val="auto"/>
        </w:rPr>
      </w:pPr>
    </w:p>
    <w:p>
      <w:pPr>
        <w:ind w:right="60" w:firstLine="636"/>
        <w:spacing w:after="0" w:line="254"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a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City of Cambridge, Commonwealth of Massachusetts, on this 10</w:t>
      </w:r>
      <w:r>
        <w:rPr>
          <w:rFonts w:ascii="Arial" w:cs="Arial" w:eastAsia="Arial" w:hAnsi="Arial"/>
          <w:sz w:val="8"/>
          <w:szCs w:val="8"/>
          <w:color w:val="auto"/>
        </w:rPr>
        <w:t>th</w:t>
      </w:r>
      <w:r>
        <w:rPr>
          <w:rFonts w:ascii="Arial" w:cs="Arial" w:eastAsia="Arial" w:hAnsi="Arial"/>
          <w:sz w:val="18"/>
          <w:szCs w:val="18"/>
          <w:color w:val="auto"/>
        </w:rPr>
        <w:t xml:space="preserve"> day of May, 2016.</w:t>
      </w:r>
    </w:p>
    <w:p>
      <w:pPr>
        <w:spacing w:after="0" w:line="196"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BLUEPRINT MEDICINES CORPORATION</w:t>
      </w:r>
    </w:p>
    <w:p>
      <w:pPr>
        <w:spacing w:after="0" w:line="17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6350</wp:posOffset>
            </wp:positionV>
            <wp:extent cx="27527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4720"/>
        <w:spacing w:after="0" w:line="232" w:lineRule="auto"/>
        <w:rPr>
          <w:sz w:val="20"/>
          <w:szCs w:val="20"/>
          <w:color w:val="auto"/>
        </w:rPr>
      </w:pPr>
      <w:r>
        <w:rPr>
          <w:rFonts w:ascii="Arial" w:cs="Arial" w:eastAsia="Arial" w:hAnsi="Arial"/>
          <w:sz w:val="18"/>
          <w:szCs w:val="18"/>
          <w:color w:val="auto"/>
        </w:rPr>
        <w:t>Jeffrey W. Albers</w:t>
      </w:r>
    </w:p>
    <w:p>
      <w:pPr>
        <w:spacing w:after="0" w:line="1" w:lineRule="exact"/>
        <w:rPr>
          <w:sz w:val="20"/>
          <w:szCs w:val="20"/>
          <w:color w:val="auto"/>
        </w:rPr>
      </w:pPr>
    </w:p>
    <w:p>
      <w:pPr>
        <w:ind w:left="4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94" w:lineRule="exact"/>
        <w:rPr>
          <w:sz w:val="20"/>
          <w:szCs w:val="20"/>
          <w:color w:val="auto"/>
        </w:rPr>
      </w:pPr>
    </w:p>
    <w:p>
      <w:pPr>
        <w:ind w:right="60" w:firstLine="636"/>
        <w:spacing w:after="0" w:line="269" w:lineRule="auto"/>
        <w:rPr>
          <w:sz w:val="20"/>
          <w:szCs w:val="20"/>
          <w:color w:val="auto"/>
        </w:rPr>
      </w:pPr>
      <w:r>
        <w:rPr>
          <w:rFonts w:ascii="Arial" w:cs="Arial" w:eastAsia="Arial" w:hAnsi="Arial"/>
          <w:sz w:val="17"/>
          <w:szCs w:val="17"/>
          <w:color w:val="auto"/>
        </w:rPr>
        <w:t>We, the undersigned officers and directors of Blueprint Medicines Corporation hereby severally constitute and appoint Jeffrey W. Albers and Michael Landsittel, and each of them singly, our true and lawful attorneys with full power to any of them, and to each of them singly, to sign for us and in our names in the capacities indicated below the Registration Statement on Form S-3 filed herewith and any and all amendments (including post-effective amendments) to said Registration Statement, and any registration statement filed pursuant to Rule 462 under the Securities Act of 1933, as amended, in connection with said Registration Statement, and to file or cause to be filed the same, with all exhibits thereto and other documents in connection therewith, with the Securities and Exchange Commission, and generally to do all such things in our name and on our behalf in our capacities as officers and directors to enable Blueprint Medicines Corporation to comply with the provisions of the Securities Act of 1933, as amended, and all requirements of the Securities and Exchange Commission, hereby ratifying and confirming all that said attorneys, and each of them, or their substitute or substitutes, shall do or cause to be done by virtue hereof.</w:t>
      </w:r>
    </w:p>
    <w:p>
      <w:pPr>
        <w:spacing w:after="0" w:line="48" w:lineRule="exact"/>
        <w:rPr>
          <w:sz w:val="20"/>
          <w:szCs w:val="20"/>
          <w:color w:val="auto"/>
        </w:rPr>
      </w:pPr>
    </w:p>
    <w:p>
      <w:pPr>
        <w:ind w:right="80" w:firstLine="63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4"/>
                <w:szCs w:val="14"/>
                <w:color w:val="auto"/>
              </w:rPr>
            </w:pPr>
          </w:p>
        </w:tc>
        <w:tc>
          <w:tcPr>
            <w:tcW w:w="372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W. Albers</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President, Chief Executive Officer and 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May 10, 2016</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Jeffrey W. Albers</w:t>
            </w:r>
          </w:p>
        </w:tc>
        <w:tc>
          <w:tcPr>
            <w:tcW w:w="4200" w:type="dxa"/>
            <w:vAlign w:val="bottom"/>
            <w:gridSpan w:val="3"/>
          </w:tcPr>
          <w:p>
            <w:pPr>
              <w:ind w:left="240"/>
              <w:spacing w:after="0"/>
              <w:rPr>
                <w:sz w:val="20"/>
                <w:szCs w:val="20"/>
                <w:color w:val="auto"/>
              </w:rPr>
            </w:pPr>
            <w:r>
              <w:rPr>
                <w:rFonts w:ascii="Arial" w:cs="Arial" w:eastAsia="Arial" w:hAnsi="Arial"/>
                <w:sz w:val="18"/>
                <w:szCs w:val="18"/>
                <w:i w:val="1"/>
                <w:iCs w:val="1"/>
                <w:color w:val="auto"/>
              </w:rPr>
              <w:t>(Principal Executive Officer)</w:t>
            </w:r>
          </w:p>
        </w:tc>
        <w:tc>
          <w:tcPr>
            <w:tcW w:w="1760" w:type="dxa"/>
            <w:vAlign w:val="bottom"/>
          </w:tcPr>
          <w:p>
            <w:pPr>
              <w:spacing w:after="0"/>
              <w:rPr>
                <w:sz w:val="19"/>
                <w:szCs w:val="19"/>
                <w:color w:val="auto"/>
              </w:rPr>
            </w:pPr>
          </w:p>
        </w:tc>
      </w:tr>
      <w:tr>
        <w:trPr>
          <w:trHeight w:val="418"/>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Landsittel</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Vice President of Finance</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May 10, 2016</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Michael Landsittel</w:t>
            </w:r>
          </w:p>
        </w:tc>
        <w:tc>
          <w:tcPr>
            <w:tcW w:w="4200" w:type="dxa"/>
            <w:vAlign w:val="bottom"/>
            <w:gridSpan w:val="3"/>
          </w:tcPr>
          <w:p>
            <w:pPr>
              <w:ind w:left="240"/>
              <w:spacing w:after="0"/>
              <w:rPr>
                <w:sz w:val="20"/>
                <w:szCs w:val="20"/>
                <w:color w:val="auto"/>
              </w:rPr>
            </w:pPr>
            <w:r>
              <w:rPr>
                <w:rFonts w:ascii="Arial" w:cs="Arial" w:eastAsia="Arial" w:hAnsi="Arial"/>
                <w:sz w:val="18"/>
                <w:szCs w:val="18"/>
                <w:i w:val="1"/>
                <w:iCs w:val="1"/>
                <w:color w:val="auto"/>
              </w:rPr>
              <w:t>(Principal Financial and Accounting Officer)</w:t>
            </w:r>
          </w:p>
        </w:tc>
        <w:tc>
          <w:tcPr>
            <w:tcW w:w="1760" w:type="dxa"/>
            <w:vAlign w:val="bottom"/>
          </w:tcPr>
          <w:p>
            <w:pPr>
              <w:spacing w:after="0"/>
              <w:rPr>
                <w:sz w:val="19"/>
                <w:szCs w:val="19"/>
                <w:color w:val="auto"/>
              </w:rPr>
            </w:pPr>
          </w:p>
        </w:tc>
      </w:tr>
      <w:tr>
        <w:trPr>
          <w:trHeight w:val="418"/>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 Lynch</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Chairman of the Board</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May 10, 2016</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Daniel S. Lynch</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Nicholas Lydon</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May 10, 2016</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Nicholas Lydon, Ph.D.</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Alexis Borisy</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May 10, 2016</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Alexis Borisy</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Goldberg</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May 10, 2016</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Mark Goldberg, M.D.</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A. Rowland, Jr.</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May 10, 2016</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Charles A. Rowland, Jr.</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Demetri</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May 10, 2016</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George Demetri, M.D.</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Lonnel Coats</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May 10, 2016</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Lonnel Coats</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Seely</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May 10, 2016</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Lynn Seely, M.D.</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80" w:type="dxa"/>
            <w:vAlign w:val="bottom"/>
            <w:gridSpan w:val="5"/>
          </w:tcPr>
          <w:p>
            <w:pPr>
              <w:ind w:left="60"/>
              <w:spacing w:after="0"/>
              <w:rPr>
                <w:sz w:val="20"/>
                <w:szCs w:val="20"/>
                <w:color w:val="auto"/>
              </w:rPr>
            </w:pPr>
            <w:r>
              <w:rPr>
                <w:rFonts w:ascii="Arial" w:cs="Arial" w:eastAsia="Arial" w:hAnsi="Arial"/>
                <w:sz w:val="14"/>
                <w:szCs w:val="14"/>
                <w:b w:val="1"/>
                <w:bCs w:val="1"/>
                <w:color w:val="auto"/>
              </w:rPr>
              <w:t>Incorporated by Reference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6"/>
                <w:szCs w:val="16"/>
                <w:color w:val="auto"/>
              </w:rPr>
            </w:pPr>
          </w:p>
        </w:tc>
        <w:tc>
          <w:tcPr>
            <w:tcW w:w="3760" w:type="dxa"/>
            <w:vAlign w:val="bottom"/>
            <w:gridSpan w:val="2"/>
          </w:tcPr>
          <w:p>
            <w:pPr>
              <w:ind w:left="1100"/>
              <w:spacing w:after="0"/>
              <w:rPr>
                <w:sz w:val="20"/>
                <w:szCs w:val="20"/>
                <w:color w:val="auto"/>
              </w:rPr>
            </w:pPr>
            <w:r>
              <w:rPr>
                <w:rFonts w:ascii="Arial" w:cs="Arial" w:eastAsia="Arial" w:hAnsi="Arial"/>
                <w:sz w:val="14"/>
                <w:szCs w:val="14"/>
                <w:b w:val="1"/>
                <w:bCs w:val="1"/>
                <w:color w:val="auto"/>
              </w:rPr>
              <w:t>Description of Exhibit</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180" w:type="dxa"/>
            <w:vAlign w:val="bottom"/>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File No.</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Exhibit Number</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Underwriting Agreement</w:t>
            </w:r>
          </w:p>
        </w:tc>
        <w:tc>
          <w:tcPr>
            <w:tcW w:w="1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760" w:type="dxa"/>
            <w:vAlign w:val="bottom"/>
            <w:gridSpan w:val="2"/>
          </w:tcPr>
          <w:p>
            <w:pPr>
              <w:spacing w:after="0"/>
              <w:rPr>
                <w:sz w:val="20"/>
                <w:szCs w:val="20"/>
                <w:color w:val="auto"/>
              </w:rPr>
            </w:pPr>
            <w:r>
              <w:rPr>
                <w:rFonts w:ascii="Arial" w:cs="Arial" w:eastAsia="Arial" w:hAnsi="Arial"/>
                <w:sz w:val="18"/>
                <w:szCs w:val="18"/>
                <w:color w:val="auto"/>
              </w:rPr>
              <w:t>3.1</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Fifth Amended and Restated Certificate of</w:t>
            </w: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80" w:type="dxa"/>
            <w:vAlign w:val="bottom"/>
          </w:tcPr>
          <w:p>
            <w:pPr>
              <w:spacing w:after="0"/>
              <w:rPr>
                <w:sz w:val="24"/>
                <w:szCs w:val="24"/>
                <w:color w:val="auto"/>
              </w:rPr>
            </w:pPr>
          </w:p>
        </w:tc>
        <w:tc>
          <w:tcPr>
            <w:tcW w:w="1080" w:type="dxa"/>
            <w:vAlign w:val="bottom"/>
            <w:gridSpan w:val="2"/>
          </w:tcPr>
          <w:p>
            <w:pPr>
              <w:jc w:val="center"/>
              <w:ind w:right="180"/>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37359</w:t>
            </w: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November 9, 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Incorporation of the Registrant</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gridSpan w:val="2"/>
          </w:tcPr>
          <w:p>
            <w:pPr>
              <w:spacing w:after="0"/>
              <w:rPr>
                <w:sz w:val="20"/>
                <w:szCs w:val="20"/>
                <w:color w:val="auto"/>
              </w:rPr>
            </w:pPr>
            <w:r>
              <w:rPr>
                <w:rFonts w:ascii="Arial" w:cs="Arial" w:eastAsia="Arial" w:hAnsi="Arial"/>
                <w:sz w:val="18"/>
                <w:szCs w:val="18"/>
                <w:color w:val="auto"/>
              </w:rPr>
              <w:t>3.2</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w w:val="96"/>
              </w:rPr>
              <w:t>Amended and Restated Bylaws of the Registrant</w:t>
            </w: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080" w:type="dxa"/>
            <w:vAlign w:val="bottom"/>
            <w:gridSpan w:val="2"/>
          </w:tcPr>
          <w:p>
            <w:pPr>
              <w:jc w:val="center"/>
              <w:ind w:left="99"/>
              <w:spacing w:after="0"/>
              <w:rPr>
                <w:sz w:val="20"/>
                <w:szCs w:val="20"/>
                <w:color w:val="auto"/>
              </w:rPr>
            </w:pPr>
            <w:r>
              <w:rPr>
                <w:rFonts w:ascii="Arial" w:cs="Arial" w:eastAsia="Arial" w:hAnsi="Arial"/>
                <w:sz w:val="18"/>
                <w:szCs w:val="18"/>
                <w:color w:val="auto"/>
                <w:w w:val="90"/>
              </w:rPr>
              <w:t>001-37359</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November 9, 2015</w:t>
            </w:r>
          </w:p>
        </w:tc>
        <w:tc>
          <w:tcPr>
            <w:tcW w:w="0" w:type="dxa"/>
            <w:vAlign w:val="bottom"/>
          </w:tcPr>
          <w:p>
            <w:pPr>
              <w:spacing w:after="0"/>
              <w:rPr>
                <w:sz w:val="1"/>
                <w:szCs w:val="1"/>
                <w:color w:val="auto"/>
              </w:rPr>
            </w:pP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4.1</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w w:val="95"/>
              </w:rPr>
              <w:t>Second Amended and Restated Investors’ Rights</w:t>
            </w:r>
          </w:p>
        </w:tc>
        <w:tc>
          <w:tcPr>
            <w:tcW w:w="54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80" w:type="dxa"/>
            <w:vAlign w:val="bottom"/>
          </w:tcPr>
          <w:p>
            <w:pPr>
              <w:spacing w:after="0"/>
              <w:rPr>
                <w:sz w:val="24"/>
                <w:szCs w:val="24"/>
                <w:color w:val="auto"/>
              </w:rPr>
            </w:pPr>
          </w:p>
        </w:tc>
        <w:tc>
          <w:tcPr>
            <w:tcW w:w="108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202938</w:t>
            </w: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Agreement, dated as of November 7, 2014, by</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w w:val="94"/>
              </w:rPr>
              <w:t>and among the Registrant and the Investors listed</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therein</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4.2</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Form of Senior Indenture (including Form of</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Senior Note)</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4.3</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w w:val="97"/>
              </w:rPr>
              <w:t>Form of Subordinated Indenture (including Form</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of Subordinated Note)</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gridSpan w:val="2"/>
          </w:tcPr>
          <w:p>
            <w:pPr>
              <w:spacing w:after="0"/>
              <w:rPr>
                <w:sz w:val="20"/>
                <w:szCs w:val="20"/>
                <w:color w:val="auto"/>
              </w:rPr>
            </w:pPr>
            <w:r>
              <w:rPr>
                <w:rFonts w:ascii="Arial" w:cs="Arial" w:eastAsia="Arial" w:hAnsi="Arial"/>
                <w:sz w:val="18"/>
                <w:szCs w:val="18"/>
                <w:color w:val="auto"/>
              </w:rPr>
              <w:t>4.4</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Form of Deposit Agreement</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760" w:type="dxa"/>
            <w:vAlign w:val="bottom"/>
            <w:gridSpan w:val="2"/>
          </w:tcPr>
          <w:p>
            <w:pPr>
              <w:spacing w:after="0"/>
              <w:rPr>
                <w:sz w:val="20"/>
                <w:szCs w:val="20"/>
                <w:color w:val="auto"/>
              </w:rPr>
            </w:pPr>
            <w:r>
              <w:rPr>
                <w:rFonts w:ascii="Arial" w:cs="Arial" w:eastAsia="Arial" w:hAnsi="Arial"/>
                <w:sz w:val="18"/>
                <w:szCs w:val="18"/>
                <w:color w:val="auto"/>
              </w:rPr>
              <w:t>4.5</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Form of Warrant Agreement</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760" w:type="dxa"/>
            <w:vAlign w:val="bottom"/>
            <w:gridSpan w:val="2"/>
          </w:tcPr>
          <w:p>
            <w:pPr>
              <w:spacing w:after="0"/>
              <w:rPr>
                <w:sz w:val="20"/>
                <w:szCs w:val="20"/>
                <w:color w:val="auto"/>
              </w:rPr>
            </w:pPr>
            <w:r>
              <w:rPr>
                <w:rFonts w:ascii="Arial" w:cs="Arial" w:eastAsia="Arial" w:hAnsi="Arial"/>
                <w:sz w:val="18"/>
                <w:szCs w:val="18"/>
                <w:color w:val="auto"/>
              </w:rPr>
              <w:t>4.6</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Form of Purchase Contract Agreement</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760" w:type="dxa"/>
            <w:vAlign w:val="bottom"/>
            <w:gridSpan w:val="2"/>
          </w:tcPr>
          <w:p>
            <w:pPr>
              <w:spacing w:after="0"/>
              <w:rPr>
                <w:sz w:val="20"/>
                <w:szCs w:val="20"/>
                <w:color w:val="auto"/>
              </w:rPr>
            </w:pPr>
            <w:r>
              <w:rPr>
                <w:rFonts w:ascii="Arial" w:cs="Arial" w:eastAsia="Arial" w:hAnsi="Arial"/>
                <w:sz w:val="18"/>
                <w:szCs w:val="18"/>
                <w:color w:val="auto"/>
              </w:rPr>
              <w:t>4.7</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Form of Unit Agreement</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760" w:type="dxa"/>
            <w:vAlign w:val="bottom"/>
            <w:gridSpan w:val="2"/>
          </w:tcPr>
          <w:p>
            <w:pPr>
              <w:spacing w:after="0"/>
              <w:rPr>
                <w:sz w:val="20"/>
                <w:szCs w:val="20"/>
                <w:color w:val="auto"/>
              </w:rPr>
            </w:pPr>
            <w:r>
              <w:rPr>
                <w:rFonts w:ascii="Arial" w:cs="Arial" w:eastAsia="Arial" w:hAnsi="Arial"/>
                <w:sz w:val="18"/>
                <w:szCs w:val="18"/>
                <w:color w:val="auto"/>
              </w:rPr>
              <w:t>5.1</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Opinion of Goodwin Procter LLP</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12.1</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Calculation of Consolidated Ratios of Earnings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to Fixed Charges</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23.1</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Consent of Ernst &amp; Young LLP, independent</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registered public accounting firm for the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Registrant</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23.2</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Consent of Goodwin Procter LLP (included in</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Exhibit 5.1)</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24.1</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Powers of Attorney (included in the signature</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pages to the Registration Statement)</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25.1</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The Statement of Eligibility on Form T-1 under</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w w:val="97"/>
              </w:rPr>
              <w:t>the Trust Indenture Act of 1939, as amended, of</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the Trustee under the Senior Indenture</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25.2</w:t>
            </w: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The Statement of Eligibility on Form T-1 under</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w w:val="97"/>
              </w:rPr>
              <w:t>the Trust Indenture Act of 1939, as amended, of</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rPr>
              <w:t>the Trustee under the Subordinated Indenture</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209" w:lineRule="exact"/>
        <w:rPr>
          <w:sz w:val="20"/>
          <w:szCs w:val="20"/>
          <w:color w:val="auto"/>
        </w:rPr>
      </w:pPr>
    </w:p>
    <w:p>
      <w:pPr>
        <w:ind w:left="320" w:hanging="317"/>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be filed by amendment or by a Current Report on Form 8-K.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To be filed pursuant to Section 305(b)(2) of the Trust Indenture Act of 1939, as amended.</w:t>
      </w:r>
    </w:p>
    <w:p>
      <w:pPr>
        <w:sectPr>
          <w:pgSz w:w="11900" w:h="16838" w:orient="portrait"/>
          <w:cols w:equalWidth="0" w:num="1">
            <w:col w:w="9039"/>
          </w:cols>
          <w:pgMar w:left="1420" w:top="125"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57543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type w:val="continuous"/>
        </w:sectPr>
      </w:pPr>
    </w:p>
    <w:bookmarkStart w:id="50" w:name="page51"/>
    <w:bookmarkEnd w:id="50"/>
    <w:p>
      <w:pPr>
        <w:jc w:val="right"/>
        <w:ind w:right="139"/>
        <w:spacing w:after="0"/>
        <w:rPr>
          <w:sz w:val="20"/>
          <w:szCs w:val="20"/>
          <w:color w:val="auto"/>
        </w:rPr>
      </w:pPr>
      <w:r>
        <w:rPr>
          <w:rFonts w:ascii="Arial" w:cs="Arial" w:eastAsia="Arial" w:hAnsi="Arial"/>
          <w:sz w:val="18"/>
          <w:szCs w:val="18"/>
          <w:b w:val="1"/>
          <w:bCs w:val="1"/>
          <w:color w:val="auto"/>
        </w:rPr>
        <w:t>Exhibit 4.2</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BLUEPRINT MEDICINES CORPORATION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w:t>
      </w:r>
    </w:p>
    <w:p>
      <w:pPr>
        <w:spacing w:after="0" w:line="206"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[___________________]</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Trustee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Indenture</w:t>
      </w:r>
    </w:p>
    <w:p>
      <w:pPr>
        <w:spacing w:after="0" w:line="206"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Dated as of __________, 20__</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Senior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727710</wp:posOffset>
            </wp:positionV>
            <wp:extent cx="554863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81"/>
        </w:trPr>
        <w:tc>
          <w:tcPr>
            <w:tcW w:w="1920" w:type="dxa"/>
            <w:vAlign w:val="bottom"/>
          </w:tcPr>
          <w:p>
            <w:pPr>
              <w:spacing w:after="0"/>
              <w:rPr>
                <w:sz w:val="24"/>
                <w:szCs w:val="24"/>
                <w:color w:val="auto"/>
              </w:rPr>
            </w:pPr>
          </w:p>
        </w:tc>
        <w:tc>
          <w:tcPr>
            <w:tcW w:w="8040" w:type="dxa"/>
            <w:vAlign w:val="bottom"/>
          </w:tcPr>
          <w:p>
            <w:pPr>
              <w:ind w:left="2120"/>
              <w:spacing w:after="0"/>
              <w:rPr>
                <w:sz w:val="20"/>
                <w:szCs w:val="20"/>
                <w:color w:val="auto"/>
              </w:rPr>
            </w:pPr>
            <w:r>
              <w:rPr>
                <w:rFonts w:ascii="Arial" w:cs="Arial" w:eastAsia="Arial" w:hAnsi="Arial"/>
                <w:sz w:val="22"/>
                <w:szCs w:val="22"/>
                <w:b w:val="1"/>
                <w:bCs w:val="1"/>
                <w:color w:val="auto"/>
              </w:rPr>
              <w:t>TABLE OF CONTENTS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9960" w:type="dxa"/>
            <w:vAlign w:val="bottom"/>
            <w:gridSpan w:val="2"/>
            <w:vMerge w:val="restart"/>
          </w:tcPr>
          <w:p>
            <w:pPr>
              <w:spacing w:after="0"/>
              <w:rPr>
                <w:sz w:val="20"/>
                <w:szCs w:val="20"/>
                <w:color w:val="auto"/>
              </w:rPr>
            </w:pPr>
            <w:r>
              <w:rPr>
                <w:rFonts w:ascii="Arial" w:cs="Arial" w:eastAsia="Arial" w:hAnsi="Arial"/>
                <w:sz w:val="22"/>
                <w:szCs w:val="22"/>
                <w:color w:val="auto"/>
              </w:rPr>
              <w:t>ARTICLE ONE - DEFINITIONS AND OTHER PROVISIONS OF GENERAL</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c>
          <w:tcPr>
            <w:tcW w:w="0" w:type="dxa"/>
            <w:vAlign w:val="bottom"/>
          </w:tcPr>
          <w:p>
            <w:pPr>
              <w:spacing w:after="0"/>
              <w:rPr>
                <w:sz w:val="1"/>
                <w:szCs w:val="1"/>
                <w:color w:val="auto"/>
              </w:rPr>
            </w:pPr>
          </w:p>
        </w:tc>
      </w:tr>
      <w:tr>
        <w:trPr>
          <w:trHeight w:val="215"/>
        </w:trPr>
        <w:tc>
          <w:tcPr>
            <w:tcW w:w="99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APPLICATION</w:t>
            </w:r>
          </w:p>
        </w:tc>
        <w:tc>
          <w:tcPr>
            <w:tcW w:w="8040" w:type="dxa"/>
            <w:vAlign w:val="bottom"/>
          </w:tcPr>
          <w:p>
            <w:pPr>
              <w:spacing w:after="0"/>
              <w:rPr>
                <w:sz w:val="21"/>
                <w:szCs w:val="21"/>
                <w:color w:val="auto"/>
              </w:rPr>
            </w:pP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43"/>
        </w:trPr>
        <w:tc>
          <w:tcPr>
            <w:tcW w:w="1920" w:type="dxa"/>
            <w:vAlign w:val="bottom"/>
          </w:tcPr>
          <w:p>
            <w:pPr>
              <w:ind w:left="500"/>
              <w:spacing w:after="0" w:line="243" w:lineRule="exact"/>
              <w:rPr>
                <w:sz w:val="20"/>
                <w:szCs w:val="20"/>
                <w:color w:val="auto"/>
              </w:rPr>
            </w:pPr>
            <w:r>
              <w:rPr>
                <w:rFonts w:ascii="Arial" w:cs="Arial" w:eastAsia="Arial" w:hAnsi="Arial"/>
                <w:sz w:val="22"/>
                <w:szCs w:val="22"/>
                <w:color w:val="auto"/>
                <w:w w:val="95"/>
              </w:rPr>
              <w:t>SECTION 101.</w:t>
            </w:r>
          </w:p>
        </w:tc>
        <w:tc>
          <w:tcPr>
            <w:tcW w:w="8040" w:type="dxa"/>
            <w:vAlign w:val="bottom"/>
          </w:tcPr>
          <w:p>
            <w:pPr>
              <w:ind w:left="100"/>
              <w:spacing w:after="0" w:line="243" w:lineRule="exact"/>
              <w:rPr>
                <w:sz w:val="20"/>
                <w:szCs w:val="20"/>
                <w:color w:val="auto"/>
              </w:rPr>
            </w:pPr>
            <w:r>
              <w:rPr>
                <w:rFonts w:ascii="Arial" w:cs="Arial" w:eastAsia="Arial" w:hAnsi="Arial"/>
                <w:sz w:val="22"/>
                <w:szCs w:val="22"/>
                <w:color w:val="auto"/>
              </w:rPr>
              <w:t>Definitions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102.  Compliance Certificates and Opinions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103.  Form of Documents Delivered to Trustee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243"/>
        </w:trPr>
        <w:tc>
          <w:tcPr>
            <w:tcW w:w="1920" w:type="dxa"/>
            <w:vAlign w:val="bottom"/>
          </w:tcPr>
          <w:p>
            <w:pPr>
              <w:ind w:left="500"/>
              <w:spacing w:after="0" w:line="243" w:lineRule="exact"/>
              <w:rPr>
                <w:sz w:val="20"/>
                <w:szCs w:val="20"/>
                <w:color w:val="auto"/>
              </w:rPr>
            </w:pPr>
            <w:r>
              <w:rPr>
                <w:rFonts w:ascii="Arial" w:cs="Arial" w:eastAsia="Arial" w:hAnsi="Arial"/>
                <w:sz w:val="22"/>
                <w:szCs w:val="22"/>
                <w:color w:val="auto"/>
                <w:w w:val="95"/>
              </w:rPr>
              <w:t>SECTION 104.</w:t>
            </w:r>
          </w:p>
        </w:tc>
        <w:tc>
          <w:tcPr>
            <w:tcW w:w="8040" w:type="dxa"/>
            <w:vAlign w:val="bottom"/>
          </w:tcPr>
          <w:p>
            <w:pPr>
              <w:ind w:left="80"/>
              <w:spacing w:after="0" w:line="243" w:lineRule="exact"/>
              <w:rPr>
                <w:sz w:val="20"/>
                <w:szCs w:val="20"/>
                <w:color w:val="auto"/>
              </w:rPr>
            </w:pPr>
            <w:r>
              <w:rPr>
                <w:rFonts w:ascii="Arial" w:cs="Arial" w:eastAsia="Arial" w:hAnsi="Arial"/>
                <w:sz w:val="22"/>
                <w:szCs w:val="22"/>
                <w:color w:val="auto"/>
              </w:rPr>
              <w:t>Acts of Holders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105.  Notices, etc., to Trustee and Company</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106.  Notice to Holders; Waiver</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107.  Counterparts; Effect of Headings and Table of Contents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108.  Successors and Assigns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43"/>
        </w:trPr>
        <w:tc>
          <w:tcPr>
            <w:tcW w:w="1920" w:type="dxa"/>
            <w:vAlign w:val="bottom"/>
          </w:tcPr>
          <w:p>
            <w:pPr>
              <w:ind w:left="500"/>
              <w:spacing w:after="0" w:line="243" w:lineRule="exact"/>
              <w:rPr>
                <w:sz w:val="20"/>
                <w:szCs w:val="20"/>
                <w:color w:val="auto"/>
              </w:rPr>
            </w:pPr>
            <w:r>
              <w:rPr>
                <w:rFonts w:ascii="Arial" w:cs="Arial" w:eastAsia="Arial" w:hAnsi="Arial"/>
                <w:sz w:val="22"/>
                <w:szCs w:val="22"/>
                <w:color w:val="auto"/>
                <w:w w:val="95"/>
              </w:rPr>
              <w:t>SECTION 109.</w:t>
            </w:r>
          </w:p>
        </w:tc>
        <w:tc>
          <w:tcPr>
            <w:tcW w:w="8040" w:type="dxa"/>
            <w:vAlign w:val="bottom"/>
          </w:tcPr>
          <w:p>
            <w:pPr>
              <w:ind w:left="100"/>
              <w:spacing w:after="0" w:line="243" w:lineRule="exact"/>
              <w:rPr>
                <w:sz w:val="20"/>
                <w:szCs w:val="20"/>
                <w:color w:val="auto"/>
              </w:rPr>
            </w:pPr>
            <w:r>
              <w:rPr>
                <w:rFonts w:ascii="Arial" w:cs="Arial" w:eastAsia="Arial" w:hAnsi="Arial"/>
                <w:sz w:val="22"/>
                <w:szCs w:val="22"/>
                <w:color w:val="auto"/>
              </w:rPr>
              <w:t>Severability Clause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110.  Benefits of Indenture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43"/>
        </w:trPr>
        <w:tc>
          <w:tcPr>
            <w:tcW w:w="1920" w:type="dxa"/>
            <w:vAlign w:val="bottom"/>
          </w:tcPr>
          <w:p>
            <w:pPr>
              <w:ind w:left="500"/>
              <w:spacing w:after="0" w:line="243" w:lineRule="exact"/>
              <w:rPr>
                <w:sz w:val="20"/>
                <w:szCs w:val="20"/>
                <w:color w:val="auto"/>
              </w:rPr>
            </w:pPr>
            <w:r>
              <w:rPr>
                <w:rFonts w:ascii="Arial" w:cs="Arial" w:eastAsia="Arial" w:hAnsi="Arial"/>
                <w:sz w:val="22"/>
                <w:szCs w:val="22"/>
                <w:color w:val="auto"/>
                <w:w w:val="95"/>
              </w:rPr>
              <w:t>SECTION 111.</w:t>
            </w:r>
          </w:p>
        </w:tc>
        <w:tc>
          <w:tcPr>
            <w:tcW w:w="8040" w:type="dxa"/>
            <w:vAlign w:val="bottom"/>
          </w:tcPr>
          <w:p>
            <w:pPr>
              <w:ind w:left="80"/>
              <w:spacing w:after="0" w:line="243" w:lineRule="exact"/>
              <w:rPr>
                <w:sz w:val="20"/>
                <w:szCs w:val="20"/>
                <w:color w:val="auto"/>
              </w:rPr>
            </w:pPr>
            <w:r>
              <w:rPr>
                <w:rFonts w:ascii="Arial" w:cs="Arial" w:eastAsia="Arial" w:hAnsi="Arial"/>
                <w:sz w:val="22"/>
                <w:szCs w:val="22"/>
                <w:color w:val="auto"/>
              </w:rPr>
              <w:t>Governing Law</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43"/>
        </w:trPr>
        <w:tc>
          <w:tcPr>
            <w:tcW w:w="1920" w:type="dxa"/>
            <w:vAlign w:val="bottom"/>
          </w:tcPr>
          <w:p>
            <w:pPr>
              <w:ind w:left="500"/>
              <w:spacing w:after="0" w:line="243" w:lineRule="exact"/>
              <w:rPr>
                <w:sz w:val="20"/>
                <w:szCs w:val="20"/>
                <w:color w:val="auto"/>
              </w:rPr>
            </w:pPr>
            <w:r>
              <w:rPr>
                <w:rFonts w:ascii="Arial" w:cs="Arial" w:eastAsia="Arial" w:hAnsi="Arial"/>
                <w:sz w:val="22"/>
                <w:szCs w:val="22"/>
                <w:color w:val="auto"/>
                <w:w w:val="95"/>
              </w:rPr>
              <w:t>SECTION 112.</w:t>
            </w:r>
          </w:p>
        </w:tc>
        <w:tc>
          <w:tcPr>
            <w:tcW w:w="8040" w:type="dxa"/>
            <w:vAlign w:val="bottom"/>
          </w:tcPr>
          <w:p>
            <w:pPr>
              <w:ind w:left="80"/>
              <w:spacing w:after="0" w:line="243" w:lineRule="exact"/>
              <w:rPr>
                <w:sz w:val="20"/>
                <w:szCs w:val="20"/>
                <w:color w:val="auto"/>
              </w:rPr>
            </w:pPr>
            <w:r>
              <w:rPr>
                <w:rFonts w:ascii="Arial" w:cs="Arial" w:eastAsia="Arial" w:hAnsi="Arial"/>
                <w:sz w:val="22"/>
                <w:szCs w:val="22"/>
                <w:color w:val="auto"/>
              </w:rPr>
              <w:t>Legal Holidays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113.  Limited Liability; Immunity of Stockholders, Directors, Officers and Agents of the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8040" w:type="dxa"/>
            <w:vAlign w:val="bottom"/>
          </w:tcPr>
          <w:p>
            <w:pPr>
              <w:ind w:left="100"/>
              <w:spacing w:after="0" w:line="243" w:lineRule="exact"/>
              <w:rPr>
                <w:sz w:val="20"/>
                <w:szCs w:val="20"/>
                <w:color w:val="auto"/>
              </w:rPr>
            </w:pPr>
            <w:r>
              <w:rPr>
                <w:rFonts w:ascii="Arial" w:cs="Arial" w:eastAsia="Arial" w:hAnsi="Arial"/>
                <w:sz w:val="22"/>
                <w:szCs w:val="22"/>
                <w:color w:val="auto"/>
              </w:rPr>
              <w:t>Company</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114.  Conflict with Trust Indenture Act</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43"/>
        </w:trPr>
        <w:tc>
          <w:tcPr>
            <w:tcW w:w="9960" w:type="dxa"/>
            <w:vAlign w:val="bottom"/>
            <w:gridSpan w:val="2"/>
          </w:tcPr>
          <w:p>
            <w:pPr>
              <w:spacing w:after="0" w:line="243" w:lineRule="exact"/>
              <w:rPr>
                <w:sz w:val="20"/>
                <w:szCs w:val="20"/>
                <w:color w:val="auto"/>
              </w:rPr>
            </w:pPr>
            <w:r>
              <w:rPr>
                <w:rFonts w:ascii="Arial" w:cs="Arial" w:eastAsia="Arial" w:hAnsi="Arial"/>
                <w:sz w:val="22"/>
                <w:szCs w:val="22"/>
                <w:color w:val="auto"/>
              </w:rPr>
              <w:t>ARTICLE TWO - SECURITIES FORMS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201.  Forms of Securities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202.  Form of Trustee’s Certificate of Authentication</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203.  Securities Issuable in Global Form</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43"/>
        </w:trPr>
        <w:tc>
          <w:tcPr>
            <w:tcW w:w="9960" w:type="dxa"/>
            <w:vAlign w:val="bottom"/>
            <w:gridSpan w:val="2"/>
          </w:tcPr>
          <w:p>
            <w:pPr>
              <w:spacing w:after="0" w:line="243" w:lineRule="exact"/>
              <w:rPr>
                <w:sz w:val="20"/>
                <w:szCs w:val="20"/>
                <w:color w:val="auto"/>
              </w:rPr>
            </w:pPr>
            <w:r>
              <w:rPr>
                <w:rFonts w:ascii="Arial" w:cs="Arial" w:eastAsia="Arial" w:hAnsi="Arial"/>
                <w:sz w:val="22"/>
                <w:szCs w:val="22"/>
                <w:color w:val="auto"/>
              </w:rPr>
              <w:t>ARTICLE THREE - THE SECURITIES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301.  Amount Unlimited; Issuable in Series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43"/>
        </w:trPr>
        <w:tc>
          <w:tcPr>
            <w:tcW w:w="1920" w:type="dxa"/>
            <w:vAlign w:val="bottom"/>
          </w:tcPr>
          <w:p>
            <w:pPr>
              <w:ind w:left="500"/>
              <w:spacing w:after="0" w:line="243" w:lineRule="exact"/>
              <w:rPr>
                <w:sz w:val="20"/>
                <w:szCs w:val="20"/>
                <w:color w:val="auto"/>
              </w:rPr>
            </w:pPr>
            <w:r>
              <w:rPr>
                <w:rFonts w:ascii="Arial" w:cs="Arial" w:eastAsia="Arial" w:hAnsi="Arial"/>
                <w:sz w:val="22"/>
                <w:szCs w:val="22"/>
                <w:color w:val="auto"/>
                <w:w w:val="95"/>
              </w:rPr>
              <w:t>SECTION 302.</w:t>
            </w:r>
          </w:p>
        </w:tc>
        <w:tc>
          <w:tcPr>
            <w:tcW w:w="8040" w:type="dxa"/>
            <w:vAlign w:val="bottom"/>
          </w:tcPr>
          <w:p>
            <w:pPr>
              <w:ind w:left="100"/>
              <w:spacing w:after="0" w:line="243" w:lineRule="exact"/>
              <w:rPr>
                <w:sz w:val="20"/>
                <w:szCs w:val="20"/>
                <w:color w:val="auto"/>
              </w:rPr>
            </w:pPr>
            <w:r>
              <w:rPr>
                <w:rFonts w:ascii="Arial" w:cs="Arial" w:eastAsia="Arial" w:hAnsi="Arial"/>
                <w:sz w:val="22"/>
                <w:szCs w:val="22"/>
                <w:color w:val="auto"/>
              </w:rPr>
              <w:t>Denominations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303.  Execution, Authentication, Delivery and Dating</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43"/>
        </w:trPr>
        <w:tc>
          <w:tcPr>
            <w:tcW w:w="1920" w:type="dxa"/>
            <w:vAlign w:val="bottom"/>
          </w:tcPr>
          <w:p>
            <w:pPr>
              <w:ind w:left="500"/>
              <w:spacing w:after="0" w:line="243" w:lineRule="exact"/>
              <w:rPr>
                <w:sz w:val="20"/>
                <w:szCs w:val="20"/>
                <w:color w:val="auto"/>
              </w:rPr>
            </w:pPr>
            <w:r>
              <w:rPr>
                <w:rFonts w:ascii="Arial" w:cs="Arial" w:eastAsia="Arial" w:hAnsi="Arial"/>
                <w:sz w:val="22"/>
                <w:szCs w:val="22"/>
                <w:color w:val="auto"/>
                <w:w w:val="95"/>
              </w:rPr>
              <w:t>SECTION 304.</w:t>
            </w:r>
          </w:p>
        </w:tc>
        <w:tc>
          <w:tcPr>
            <w:tcW w:w="8040" w:type="dxa"/>
            <w:vAlign w:val="bottom"/>
          </w:tcPr>
          <w:p>
            <w:pPr>
              <w:ind w:left="100"/>
              <w:spacing w:after="0" w:line="243" w:lineRule="exact"/>
              <w:rPr>
                <w:sz w:val="20"/>
                <w:szCs w:val="20"/>
                <w:color w:val="auto"/>
              </w:rPr>
            </w:pPr>
            <w:r>
              <w:rPr>
                <w:rFonts w:ascii="Arial" w:cs="Arial" w:eastAsia="Arial" w:hAnsi="Arial"/>
                <w:sz w:val="22"/>
                <w:szCs w:val="22"/>
                <w:color w:val="auto"/>
              </w:rPr>
              <w:t>Temporary Securities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305.  Registration, Registration of Transfer, Conversion and Exchange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306.  Mutilated, Destroyed, Lost and Stolen Securities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307.  Payment of Interest; Interest Rights Preserved</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308.  Persons Deemed Owners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43"/>
        </w:trPr>
        <w:tc>
          <w:tcPr>
            <w:tcW w:w="1920" w:type="dxa"/>
            <w:vAlign w:val="bottom"/>
          </w:tcPr>
          <w:p>
            <w:pPr>
              <w:ind w:left="500"/>
              <w:spacing w:after="0" w:line="243" w:lineRule="exact"/>
              <w:rPr>
                <w:sz w:val="20"/>
                <w:szCs w:val="20"/>
                <w:color w:val="auto"/>
              </w:rPr>
            </w:pPr>
            <w:r>
              <w:rPr>
                <w:rFonts w:ascii="Arial" w:cs="Arial" w:eastAsia="Arial" w:hAnsi="Arial"/>
                <w:sz w:val="22"/>
                <w:szCs w:val="22"/>
                <w:color w:val="auto"/>
                <w:w w:val="95"/>
              </w:rPr>
              <w:t>SECTION 309.</w:t>
            </w:r>
          </w:p>
        </w:tc>
        <w:tc>
          <w:tcPr>
            <w:tcW w:w="8040" w:type="dxa"/>
            <w:vAlign w:val="bottom"/>
          </w:tcPr>
          <w:p>
            <w:pPr>
              <w:ind w:left="100"/>
              <w:spacing w:after="0" w:line="243" w:lineRule="exact"/>
              <w:rPr>
                <w:sz w:val="20"/>
                <w:szCs w:val="20"/>
                <w:color w:val="auto"/>
              </w:rPr>
            </w:pPr>
            <w:r>
              <w:rPr>
                <w:rFonts w:ascii="Arial" w:cs="Arial" w:eastAsia="Arial" w:hAnsi="Arial"/>
                <w:sz w:val="22"/>
                <w:szCs w:val="22"/>
                <w:color w:val="auto"/>
              </w:rPr>
              <w:t>Cancellation</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310.  Computation of Interest</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c>
          <w:tcPr>
            <w:tcW w:w="0" w:type="dxa"/>
            <w:vAlign w:val="bottom"/>
          </w:tcPr>
          <w:p>
            <w:pPr>
              <w:spacing w:after="0"/>
              <w:rPr>
                <w:sz w:val="1"/>
                <w:szCs w:val="1"/>
                <w:color w:val="auto"/>
              </w:rPr>
            </w:pPr>
          </w:p>
        </w:tc>
      </w:tr>
      <w:tr>
        <w:trPr>
          <w:trHeight w:val="243"/>
        </w:trPr>
        <w:tc>
          <w:tcPr>
            <w:tcW w:w="1920" w:type="dxa"/>
            <w:vAlign w:val="bottom"/>
          </w:tcPr>
          <w:p>
            <w:pPr>
              <w:ind w:left="500"/>
              <w:spacing w:after="0" w:line="243" w:lineRule="exact"/>
              <w:rPr>
                <w:sz w:val="20"/>
                <w:szCs w:val="20"/>
                <w:color w:val="auto"/>
              </w:rPr>
            </w:pPr>
            <w:r>
              <w:rPr>
                <w:rFonts w:ascii="Arial" w:cs="Arial" w:eastAsia="Arial" w:hAnsi="Arial"/>
                <w:sz w:val="22"/>
                <w:szCs w:val="22"/>
                <w:color w:val="auto"/>
                <w:w w:val="95"/>
              </w:rPr>
              <w:t>SECTION 311.</w:t>
            </w:r>
          </w:p>
        </w:tc>
        <w:tc>
          <w:tcPr>
            <w:tcW w:w="8040" w:type="dxa"/>
            <w:vAlign w:val="bottom"/>
          </w:tcPr>
          <w:p>
            <w:pPr>
              <w:ind w:left="80"/>
              <w:spacing w:after="0" w:line="243" w:lineRule="exact"/>
              <w:rPr>
                <w:sz w:val="20"/>
                <w:szCs w:val="20"/>
                <w:color w:val="auto"/>
              </w:rPr>
            </w:pPr>
            <w:r>
              <w:rPr>
                <w:rFonts w:ascii="Arial" w:cs="Arial" w:eastAsia="Arial" w:hAnsi="Arial"/>
                <w:sz w:val="22"/>
                <w:szCs w:val="22"/>
                <w:color w:val="auto"/>
              </w:rPr>
              <w:t>CUSIP Numbers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243"/>
        </w:trPr>
        <w:tc>
          <w:tcPr>
            <w:tcW w:w="9960" w:type="dxa"/>
            <w:vAlign w:val="bottom"/>
            <w:gridSpan w:val="2"/>
          </w:tcPr>
          <w:p>
            <w:pPr>
              <w:spacing w:after="0" w:line="243" w:lineRule="exact"/>
              <w:rPr>
                <w:sz w:val="20"/>
                <w:szCs w:val="20"/>
                <w:color w:val="auto"/>
              </w:rPr>
            </w:pPr>
            <w:r>
              <w:rPr>
                <w:rFonts w:ascii="Arial" w:cs="Arial" w:eastAsia="Arial" w:hAnsi="Arial"/>
                <w:sz w:val="22"/>
                <w:szCs w:val="22"/>
                <w:color w:val="auto"/>
              </w:rPr>
              <w:t>ARTICLE FOUR - SATISFACTION AND DISCHARGE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401.  Satisfaction and Discharge of Indenture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243"/>
        </w:trPr>
        <w:tc>
          <w:tcPr>
            <w:tcW w:w="996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402.  Application of Trust Funds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243"/>
        </w:trPr>
        <w:tc>
          <w:tcPr>
            <w:tcW w:w="9960" w:type="dxa"/>
            <w:vAlign w:val="bottom"/>
            <w:gridSpan w:val="2"/>
          </w:tcPr>
          <w:p>
            <w:pPr>
              <w:spacing w:after="0" w:line="243" w:lineRule="exact"/>
              <w:rPr>
                <w:sz w:val="20"/>
                <w:szCs w:val="20"/>
                <w:color w:val="auto"/>
              </w:rPr>
            </w:pPr>
            <w:r>
              <w:rPr>
                <w:rFonts w:ascii="Arial" w:cs="Arial" w:eastAsia="Arial" w:hAnsi="Arial"/>
                <w:sz w:val="22"/>
                <w:szCs w:val="22"/>
                <w:color w:val="auto"/>
              </w:rPr>
              <w:t>ARTICLE FIVE - REMEDIES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275"/>
        </w:trPr>
        <w:tc>
          <w:tcPr>
            <w:tcW w:w="1920" w:type="dxa"/>
            <w:vAlign w:val="bottom"/>
          </w:tcPr>
          <w:p>
            <w:pPr>
              <w:ind w:left="500"/>
              <w:spacing w:after="0"/>
              <w:rPr>
                <w:sz w:val="20"/>
                <w:szCs w:val="20"/>
                <w:color w:val="auto"/>
              </w:rPr>
            </w:pPr>
            <w:r>
              <w:rPr>
                <w:rFonts w:ascii="Arial" w:cs="Arial" w:eastAsia="Arial" w:hAnsi="Arial"/>
                <w:sz w:val="22"/>
                <w:szCs w:val="22"/>
                <w:color w:val="auto"/>
                <w:w w:val="95"/>
              </w:rPr>
              <w:t>SECTION 501.</w:t>
            </w:r>
          </w:p>
        </w:tc>
        <w:tc>
          <w:tcPr>
            <w:tcW w:w="8040" w:type="dxa"/>
            <w:vAlign w:val="bottom"/>
          </w:tcPr>
          <w:p>
            <w:pPr>
              <w:ind w:left="100"/>
              <w:spacing w:after="0"/>
              <w:rPr>
                <w:sz w:val="20"/>
                <w:szCs w:val="20"/>
                <w:color w:val="auto"/>
              </w:rPr>
            </w:pPr>
            <w:r>
              <w:rPr>
                <w:rFonts w:ascii="Arial" w:cs="Arial" w:eastAsia="Arial" w:hAnsi="Arial"/>
                <w:sz w:val="22"/>
                <w:szCs w:val="22"/>
                <w:color w:val="auto"/>
              </w:rPr>
              <w:t>Events of Default</w:t>
            </w:r>
          </w:p>
        </w:tc>
        <w:tc>
          <w:tcPr>
            <w:tcW w:w="420" w:type="dxa"/>
            <w:vAlign w:val="bottom"/>
          </w:tcPr>
          <w:p>
            <w:pPr>
              <w:jc w:val="right"/>
              <w:spacing w:after="0"/>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55" w:right="75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53"/>
        </w:trPr>
        <w:tc>
          <w:tcPr>
            <w:tcW w:w="9920" w:type="dxa"/>
            <w:vAlign w:val="bottom"/>
          </w:tcPr>
          <w:p>
            <w:pPr>
              <w:ind w:left="500"/>
              <w:spacing w:after="0"/>
              <w:rPr>
                <w:sz w:val="20"/>
                <w:szCs w:val="20"/>
                <w:color w:val="auto"/>
              </w:rPr>
            </w:pPr>
            <w:r>
              <w:rPr>
                <w:rFonts w:ascii="Arial" w:cs="Arial" w:eastAsia="Arial" w:hAnsi="Arial"/>
                <w:sz w:val="22"/>
                <w:szCs w:val="22"/>
                <w:color w:val="auto"/>
              </w:rPr>
              <w:t>SECTION 502.  Acceleration of Maturity; Rescission and Annulment</w:t>
            </w:r>
          </w:p>
        </w:tc>
        <w:tc>
          <w:tcPr>
            <w:tcW w:w="4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503.  Collection of Indebtedness and Suits for Enforcement by Trustee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504.  Trustee May File Proofs of Claim</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505.  Trustee May Enforce Claims Without Possession of Securities or Coupons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506.  Application of Money Collected</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507.  Limitation on Suits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w w:val="93"/>
              </w:rPr>
              <w:t>SECTION 508.  Unconditional Right of Holders to Receive Principal, Premium or Make-Whole Amount,</w:t>
            </w:r>
          </w:p>
        </w:tc>
        <w:tc>
          <w:tcPr>
            <w:tcW w:w="420" w:type="dxa"/>
            <w:vAlign w:val="bottom"/>
          </w:tcPr>
          <w:p>
            <w:pPr>
              <w:spacing w:after="0"/>
              <w:rPr>
                <w:sz w:val="21"/>
                <w:szCs w:val="21"/>
                <w:color w:val="auto"/>
              </w:rPr>
            </w:pPr>
          </w:p>
        </w:tc>
      </w:tr>
      <w:tr>
        <w:trPr>
          <w:trHeight w:val="243"/>
        </w:trPr>
        <w:tc>
          <w:tcPr>
            <w:tcW w:w="9920" w:type="dxa"/>
            <w:vAlign w:val="bottom"/>
          </w:tcPr>
          <w:p>
            <w:pPr>
              <w:ind w:left="2020"/>
              <w:spacing w:after="0" w:line="243" w:lineRule="exact"/>
              <w:rPr>
                <w:sz w:val="20"/>
                <w:szCs w:val="20"/>
                <w:color w:val="auto"/>
              </w:rPr>
            </w:pPr>
            <w:r>
              <w:rPr>
                <w:rFonts w:ascii="Arial" w:cs="Arial" w:eastAsia="Arial" w:hAnsi="Arial"/>
                <w:sz w:val="22"/>
                <w:szCs w:val="22"/>
                <w:color w:val="auto"/>
              </w:rPr>
              <w:t>if any, and Interest</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509.  Restoration of Rights and Remedies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510.  Rights and Remedies Cumulative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511.  Delay or Omission Not Waiver</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512.  Control by Holders of Securities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513.  Waiver of Past Defaults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514.  Waiver of Usury, Stay or Extension Laws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515.  Undertaking for Costs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9920" w:type="dxa"/>
            <w:vAlign w:val="bottom"/>
          </w:tcPr>
          <w:p>
            <w:pPr>
              <w:spacing w:after="0" w:line="243" w:lineRule="exact"/>
              <w:rPr>
                <w:sz w:val="20"/>
                <w:szCs w:val="20"/>
                <w:color w:val="auto"/>
              </w:rPr>
            </w:pPr>
            <w:r>
              <w:rPr>
                <w:rFonts w:ascii="Arial" w:cs="Arial" w:eastAsia="Arial" w:hAnsi="Arial"/>
                <w:sz w:val="22"/>
                <w:szCs w:val="22"/>
                <w:color w:val="auto"/>
              </w:rPr>
              <w:t>ARTICLE SIX - THE TRUSTEE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601.  Notice of Defaults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602.  Certain Rights of Trustee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603.  Not Responsible for Recitals or Issuance of Securities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604.  May Hold Securities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605.  Money Held in Trust</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606.  Compensation and Reimbursement</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607.  Corporate Trustee Required; Eligibility; Conflicting Interests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608.  Resignation and Removal; Appointment of Successor</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609.  Acceptance of Appointment by Successor</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610.  Merger, Conversion, Consolidation or Succession to Business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611.  Appointment of Authenticating Agent</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612.  Certain Duties and Responsibilities of the Trustee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43"/>
        </w:trPr>
        <w:tc>
          <w:tcPr>
            <w:tcW w:w="9920" w:type="dxa"/>
            <w:vAlign w:val="bottom"/>
          </w:tcPr>
          <w:p>
            <w:pPr>
              <w:spacing w:after="0" w:line="243" w:lineRule="exact"/>
              <w:rPr>
                <w:sz w:val="20"/>
                <w:szCs w:val="20"/>
                <w:color w:val="auto"/>
              </w:rPr>
            </w:pPr>
            <w:r>
              <w:rPr>
                <w:rFonts w:ascii="Arial" w:cs="Arial" w:eastAsia="Arial" w:hAnsi="Arial"/>
                <w:sz w:val="22"/>
                <w:szCs w:val="22"/>
                <w:color w:val="auto"/>
              </w:rPr>
              <w:t>ARTICLE SEVEN - HOLDERS’ LISTS AND REPORTS BY TRUSTEE AND COMPANY</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701.  Disclosure of Names and Addresses of Holders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702.  Reports by Trustee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703.  Reports by Company</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rPr>
              <w:t>SECTION 704.  Company to Furnish Trustee Names and Addresses of Holders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43"/>
        </w:trPr>
        <w:tc>
          <w:tcPr>
            <w:tcW w:w="9920" w:type="dxa"/>
            <w:vAlign w:val="bottom"/>
          </w:tcPr>
          <w:p>
            <w:pPr>
              <w:spacing w:after="0" w:line="243" w:lineRule="exact"/>
              <w:rPr>
                <w:sz w:val="20"/>
                <w:szCs w:val="20"/>
                <w:color w:val="auto"/>
              </w:rPr>
            </w:pPr>
            <w:r>
              <w:rPr>
                <w:rFonts w:ascii="Arial" w:cs="Arial" w:eastAsia="Arial" w:hAnsi="Arial"/>
                <w:sz w:val="22"/>
                <w:szCs w:val="22"/>
                <w:color w:val="auto"/>
              </w:rPr>
              <w:t>ARTICLE EIGHT - CONSOLIDATION, MERGER, SALE, LEASE OR CONVEYANCE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43"/>
        </w:trPr>
        <w:tc>
          <w:tcPr>
            <w:tcW w:w="9920" w:type="dxa"/>
            <w:vAlign w:val="bottom"/>
          </w:tcPr>
          <w:p>
            <w:pPr>
              <w:ind w:left="500"/>
              <w:spacing w:after="0" w:line="243" w:lineRule="exact"/>
              <w:rPr>
                <w:sz w:val="20"/>
                <w:szCs w:val="20"/>
                <w:color w:val="auto"/>
              </w:rPr>
            </w:pPr>
            <w:r>
              <w:rPr>
                <w:rFonts w:ascii="Arial" w:cs="Arial" w:eastAsia="Arial" w:hAnsi="Arial"/>
                <w:sz w:val="22"/>
                <w:szCs w:val="22"/>
                <w:color w:val="auto"/>
                <w:w w:val="91"/>
              </w:rPr>
              <w:t>SECTION 801.  Consolidations and Mergers of Company and Sales, Leases and Conveyances Permitted</w:t>
            </w:r>
          </w:p>
        </w:tc>
        <w:tc>
          <w:tcPr>
            <w:tcW w:w="420" w:type="dxa"/>
            <w:vAlign w:val="bottom"/>
          </w:tcPr>
          <w:p>
            <w:pPr>
              <w:spacing w:after="0"/>
              <w:rPr>
                <w:sz w:val="21"/>
                <w:szCs w:val="21"/>
                <w:color w:val="auto"/>
              </w:rPr>
            </w:pPr>
          </w:p>
        </w:tc>
      </w:tr>
      <w:tr>
        <w:trPr>
          <w:trHeight w:val="275"/>
        </w:trPr>
        <w:tc>
          <w:tcPr>
            <w:tcW w:w="9920" w:type="dxa"/>
            <w:vAlign w:val="bottom"/>
          </w:tcPr>
          <w:p>
            <w:pPr>
              <w:ind w:left="2020"/>
              <w:spacing w:after="0"/>
              <w:rPr>
                <w:sz w:val="20"/>
                <w:szCs w:val="20"/>
                <w:color w:val="auto"/>
              </w:rPr>
            </w:pPr>
            <w:r>
              <w:rPr>
                <w:rFonts w:ascii="Arial" w:cs="Arial" w:eastAsia="Arial" w:hAnsi="Arial"/>
                <w:sz w:val="22"/>
                <w:szCs w:val="22"/>
                <w:color w:val="auto"/>
              </w:rPr>
              <w:t>Subject to Certain Conditions</w:t>
            </w:r>
          </w:p>
        </w:tc>
        <w:tc>
          <w:tcPr>
            <w:tcW w:w="420" w:type="dxa"/>
            <w:vAlign w:val="bottom"/>
          </w:tcPr>
          <w:p>
            <w:pPr>
              <w:jc w:val="right"/>
              <w:spacing w:after="0"/>
              <w:rPr>
                <w:sz w:val="20"/>
                <w:szCs w:val="20"/>
                <w:color w:val="auto"/>
              </w:rPr>
            </w:pPr>
            <w:r>
              <w:rPr>
                <w:rFonts w:ascii="Arial" w:cs="Arial" w:eastAsia="Arial" w:hAnsi="Arial"/>
                <w:sz w:val="22"/>
                <w:szCs w:val="22"/>
                <w:color w:val="auto"/>
              </w:rPr>
              <w:t>53</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365" w:right="79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53"/>
        </w:trPr>
        <w:tc>
          <w:tcPr>
            <w:tcW w:w="1980" w:type="dxa"/>
            <w:vAlign w:val="bottom"/>
          </w:tcPr>
          <w:p>
            <w:pPr>
              <w:ind w:left="500"/>
              <w:spacing w:after="0"/>
              <w:rPr>
                <w:sz w:val="20"/>
                <w:szCs w:val="20"/>
                <w:color w:val="auto"/>
              </w:rPr>
            </w:pPr>
            <w:r>
              <w:rPr>
                <w:rFonts w:ascii="Arial" w:cs="Arial" w:eastAsia="Arial" w:hAnsi="Arial"/>
                <w:sz w:val="22"/>
                <w:szCs w:val="22"/>
                <w:color w:val="auto"/>
                <w:w w:val="99"/>
              </w:rPr>
              <w:t>SECTION 802.</w:t>
            </w:r>
          </w:p>
        </w:tc>
        <w:tc>
          <w:tcPr>
            <w:tcW w:w="7420" w:type="dxa"/>
            <w:vAlign w:val="bottom"/>
          </w:tcPr>
          <w:p>
            <w:pPr>
              <w:ind w:left="40"/>
              <w:spacing w:after="0"/>
              <w:rPr>
                <w:sz w:val="20"/>
                <w:szCs w:val="20"/>
                <w:color w:val="auto"/>
              </w:rPr>
            </w:pPr>
            <w:r>
              <w:rPr>
                <w:rFonts w:ascii="Arial" w:cs="Arial" w:eastAsia="Arial" w:hAnsi="Arial"/>
                <w:sz w:val="22"/>
                <w:szCs w:val="22"/>
                <w:color w:val="auto"/>
              </w:rPr>
              <w:t>Rights and Duties of Successor Corporation</w:t>
            </w:r>
          </w:p>
        </w:tc>
        <w:tc>
          <w:tcPr>
            <w:tcW w:w="94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9"/>
              </w:rPr>
              <w:t>SECTION 803.</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Officers’ Certificate and Opinion of Counsel</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43"/>
        </w:trPr>
        <w:tc>
          <w:tcPr>
            <w:tcW w:w="9400" w:type="dxa"/>
            <w:vAlign w:val="bottom"/>
            <w:gridSpan w:val="2"/>
          </w:tcPr>
          <w:p>
            <w:pPr>
              <w:spacing w:after="0" w:line="243" w:lineRule="exact"/>
              <w:rPr>
                <w:sz w:val="20"/>
                <w:szCs w:val="20"/>
                <w:color w:val="auto"/>
              </w:rPr>
            </w:pPr>
            <w:r>
              <w:rPr>
                <w:rFonts w:ascii="Arial" w:cs="Arial" w:eastAsia="Arial" w:hAnsi="Arial"/>
                <w:sz w:val="22"/>
                <w:szCs w:val="22"/>
                <w:color w:val="auto"/>
              </w:rPr>
              <w:t>ARTICLE NINE - SUPPLEMENTAL INDENTURES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9"/>
              </w:rPr>
              <w:t>SECTION 901.</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Supplemental Indentures Without Consent of Holders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9"/>
              </w:rPr>
              <w:t>SECTION 902.</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Supplemental Indentures with Consent of Holders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56</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9"/>
              </w:rPr>
              <w:t>SECTION 903.</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Execution of Supplemental Indentures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9"/>
              </w:rPr>
              <w:t>SECTION 904.</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Effect of Supplemental Indentures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9"/>
              </w:rPr>
              <w:t>SECTION 905.</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Conformity with Trust Indenture Act</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9"/>
              </w:rPr>
              <w:t>SECTION 906.</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Reference in Securities to Supplemental Indentures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9400" w:type="dxa"/>
            <w:vAlign w:val="bottom"/>
            <w:gridSpan w:val="2"/>
          </w:tcPr>
          <w:p>
            <w:pPr>
              <w:spacing w:after="0" w:line="243" w:lineRule="exact"/>
              <w:rPr>
                <w:sz w:val="20"/>
                <w:szCs w:val="20"/>
                <w:color w:val="auto"/>
              </w:rPr>
            </w:pPr>
            <w:r>
              <w:rPr>
                <w:rFonts w:ascii="Arial" w:cs="Arial" w:eastAsia="Arial" w:hAnsi="Arial"/>
                <w:sz w:val="22"/>
                <w:szCs w:val="22"/>
                <w:color w:val="auto"/>
              </w:rPr>
              <w:t>ARTICLE TEN - COVENANTS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1"/>
              </w:rPr>
              <w:t>SECTION 1001.</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Payment of Principal, Premium or Make-Whole Amount, if any; and Interest</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1"/>
              </w:rPr>
              <w:t>SECTION 1002.</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Maintenance of Office or Agency</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1"/>
              </w:rPr>
              <w:t>SECTION 1003.</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Money for Securities Payments to Be Held in Trust</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59</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1"/>
              </w:rPr>
              <w:t>SECTION 1004.</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Existence</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1"/>
              </w:rPr>
              <w:t>SECTION 1005.</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Maintenance of Properties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1"/>
              </w:rPr>
              <w:t>SECTION 1006.</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Insurance</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1"/>
              </w:rPr>
              <w:t>SECTION 1007.</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Payment of Taxes and Other Claims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1"/>
              </w:rPr>
              <w:t>SECTION 1008.</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Statement as to Compliance</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940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1009. Waiver of Certain Covenants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9400" w:type="dxa"/>
            <w:vAlign w:val="bottom"/>
            <w:gridSpan w:val="2"/>
          </w:tcPr>
          <w:p>
            <w:pPr>
              <w:spacing w:after="0" w:line="243" w:lineRule="exact"/>
              <w:rPr>
                <w:sz w:val="20"/>
                <w:szCs w:val="20"/>
                <w:color w:val="auto"/>
              </w:rPr>
            </w:pPr>
            <w:r>
              <w:rPr>
                <w:rFonts w:ascii="Arial" w:cs="Arial" w:eastAsia="Arial" w:hAnsi="Arial"/>
                <w:sz w:val="22"/>
                <w:szCs w:val="22"/>
                <w:color w:val="auto"/>
              </w:rPr>
              <w:t>ARTICLE ELEVEN - REDEMPTION OF SECURITIES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940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1101. Applicability of Article</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940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1102. Election to Redeem; Notice to Trustee</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940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1103. Selection by Trustee of Securities to Be Redeemed</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940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1104. Notice of Redemption</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43"/>
        </w:trPr>
        <w:tc>
          <w:tcPr>
            <w:tcW w:w="940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1105. Deposit of Redemption Price</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940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1106. Securities Payable on Redemption Date</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940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1107. Securities Redeemed in Part</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43"/>
        </w:trPr>
        <w:tc>
          <w:tcPr>
            <w:tcW w:w="9400" w:type="dxa"/>
            <w:vAlign w:val="bottom"/>
            <w:gridSpan w:val="2"/>
          </w:tcPr>
          <w:p>
            <w:pPr>
              <w:spacing w:after="0" w:line="243" w:lineRule="exact"/>
              <w:rPr>
                <w:sz w:val="20"/>
                <w:szCs w:val="20"/>
                <w:color w:val="auto"/>
              </w:rPr>
            </w:pPr>
            <w:r>
              <w:rPr>
                <w:rFonts w:ascii="Arial" w:cs="Arial" w:eastAsia="Arial" w:hAnsi="Arial"/>
                <w:sz w:val="22"/>
                <w:szCs w:val="22"/>
                <w:color w:val="auto"/>
              </w:rPr>
              <w:t>ARTICLE TWELVE - SINKING FUNDS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43"/>
        </w:trPr>
        <w:tc>
          <w:tcPr>
            <w:tcW w:w="940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1201. Applicability of Article</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1"/>
              </w:rPr>
              <w:t>SECTION 1202.</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Satisfaction of Sinking Fund Payments with Securities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1"/>
              </w:rPr>
              <w:t>SECTION 1203.</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Redemption of Securities for Sinking Fund</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9400" w:type="dxa"/>
            <w:vAlign w:val="bottom"/>
            <w:gridSpan w:val="2"/>
          </w:tcPr>
          <w:p>
            <w:pPr>
              <w:spacing w:after="0" w:line="243" w:lineRule="exact"/>
              <w:rPr>
                <w:sz w:val="20"/>
                <w:szCs w:val="20"/>
                <w:color w:val="auto"/>
              </w:rPr>
            </w:pPr>
            <w:r>
              <w:rPr>
                <w:rFonts w:ascii="Arial" w:cs="Arial" w:eastAsia="Arial" w:hAnsi="Arial"/>
                <w:sz w:val="22"/>
                <w:szCs w:val="22"/>
                <w:color w:val="auto"/>
              </w:rPr>
              <w:t>ARTICLE THIRTEEN - REPAYMENT AT THE OPTION OF HOLDERS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940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1301. Applicability of Article</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1"/>
              </w:rPr>
              <w:t>SECTION 1302.</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Repayment of Securities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r>
      <w:tr>
        <w:trPr>
          <w:trHeight w:val="243"/>
        </w:trPr>
        <w:tc>
          <w:tcPr>
            <w:tcW w:w="1980" w:type="dxa"/>
            <w:vAlign w:val="bottom"/>
          </w:tcPr>
          <w:p>
            <w:pPr>
              <w:ind w:left="500"/>
              <w:spacing w:after="0" w:line="243" w:lineRule="exact"/>
              <w:rPr>
                <w:sz w:val="20"/>
                <w:szCs w:val="20"/>
                <w:color w:val="auto"/>
              </w:rPr>
            </w:pPr>
            <w:r>
              <w:rPr>
                <w:rFonts w:ascii="Arial" w:cs="Arial" w:eastAsia="Arial" w:hAnsi="Arial"/>
                <w:sz w:val="22"/>
                <w:szCs w:val="22"/>
                <w:color w:val="auto"/>
                <w:w w:val="91"/>
              </w:rPr>
              <w:t>SECTION 1303.</w:t>
            </w:r>
          </w:p>
        </w:tc>
        <w:tc>
          <w:tcPr>
            <w:tcW w:w="7420" w:type="dxa"/>
            <w:vAlign w:val="bottom"/>
          </w:tcPr>
          <w:p>
            <w:pPr>
              <w:ind w:left="40"/>
              <w:spacing w:after="0" w:line="243" w:lineRule="exact"/>
              <w:rPr>
                <w:sz w:val="20"/>
                <w:szCs w:val="20"/>
                <w:color w:val="auto"/>
              </w:rPr>
            </w:pPr>
            <w:r>
              <w:rPr>
                <w:rFonts w:ascii="Arial" w:cs="Arial" w:eastAsia="Arial" w:hAnsi="Arial"/>
                <w:sz w:val="22"/>
                <w:szCs w:val="22"/>
                <w:color w:val="auto"/>
              </w:rPr>
              <w:t>Exercise of Option</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r>
      <w:tr>
        <w:trPr>
          <w:trHeight w:val="243"/>
        </w:trPr>
        <w:tc>
          <w:tcPr>
            <w:tcW w:w="940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SECTION 1304. When Securities Presented for Repayment Become Due and Payable</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r>
      <w:tr>
        <w:trPr>
          <w:trHeight w:val="275"/>
        </w:trPr>
        <w:tc>
          <w:tcPr>
            <w:tcW w:w="1980" w:type="dxa"/>
            <w:vAlign w:val="bottom"/>
          </w:tcPr>
          <w:p>
            <w:pPr>
              <w:ind w:left="500"/>
              <w:spacing w:after="0"/>
              <w:rPr>
                <w:sz w:val="20"/>
                <w:szCs w:val="20"/>
                <w:color w:val="auto"/>
              </w:rPr>
            </w:pPr>
            <w:r>
              <w:rPr>
                <w:rFonts w:ascii="Arial" w:cs="Arial" w:eastAsia="Arial" w:hAnsi="Arial"/>
                <w:sz w:val="22"/>
                <w:szCs w:val="22"/>
                <w:color w:val="auto"/>
                <w:w w:val="91"/>
              </w:rPr>
              <w:t>SECTION 1305.</w:t>
            </w:r>
          </w:p>
        </w:tc>
        <w:tc>
          <w:tcPr>
            <w:tcW w:w="7420" w:type="dxa"/>
            <w:vAlign w:val="bottom"/>
          </w:tcPr>
          <w:p>
            <w:pPr>
              <w:ind w:left="40"/>
              <w:spacing w:after="0"/>
              <w:rPr>
                <w:sz w:val="20"/>
                <w:szCs w:val="20"/>
                <w:color w:val="auto"/>
              </w:rPr>
            </w:pPr>
            <w:r>
              <w:rPr>
                <w:rFonts w:ascii="Arial" w:cs="Arial" w:eastAsia="Arial" w:hAnsi="Arial"/>
                <w:sz w:val="22"/>
                <w:szCs w:val="22"/>
                <w:color w:val="auto"/>
              </w:rPr>
              <w:t>Securities Repaid in Part</w:t>
            </w:r>
          </w:p>
        </w:tc>
        <w:tc>
          <w:tcPr>
            <w:tcW w:w="940" w:type="dxa"/>
            <w:vAlign w:val="bottom"/>
          </w:tcPr>
          <w:p>
            <w:pPr>
              <w:jc w:val="right"/>
              <w:spacing w:after="0"/>
              <w:rPr>
                <w:sz w:val="20"/>
                <w:szCs w:val="20"/>
                <w:color w:val="auto"/>
              </w:rPr>
            </w:pPr>
            <w:r>
              <w:rPr>
                <w:rFonts w:ascii="Arial" w:cs="Arial" w:eastAsia="Arial" w:hAnsi="Arial"/>
                <w:sz w:val="22"/>
                <w:szCs w:val="22"/>
                <w:color w:val="auto"/>
              </w:rPr>
              <w:t>68</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365" w:right="79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53"/>
        </w:trPr>
        <w:tc>
          <w:tcPr>
            <w:tcW w:w="9720" w:type="dxa"/>
            <w:vAlign w:val="bottom"/>
          </w:tcPr>
          <w:p>
            <w:pPr>
              <w:spacing w:after="0"/>
              <w:rPr>
                <w:sz w:val="20"/>
                <w:szCs w:val="20"/>
                <w:color w:val="auto"/>
              </w:rPr>
            </w:pPr>
            <w:r>
              <w:rPr>
                <w:rFonts w:ascii="Arial" w:cs="Arial" w:eastAsia="Arial" w:hAnsi="Arial"/>
                <w:sz w:val="22"/>
                <w:szCs w:val="22"/>
                <w:color w:val="auto"/>
              </w:rPr>
              <w:t>ARTICLE FOURTEEN - DEFEASANCE AND COVENANT DEFEASANCE</w:t>
            </w:r>
          </w:p>
        </w:tc>
        <w:tc>
          <w:tcPr>
            <w:tcW w:w="62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1401. Applicability of Article; Company’s Option to Effect Defeasance or Covenant</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9720" w:type="dxa"/>
            <w:vAlign w:val="bottom"/>
          </w:tcPr>
          <w:p>
            <w:pPr>
              <w:ind w:left="2020"/>
              <w:spacing w:after="0" w:line="243" w:lineRule="exact"/>
              <w:rPr>
                <w:sz w:val="20"/>
                <w:szCs w:val="20"/>
                <w:color w:val="auto"/>
              </w:rPr>
            </w:pPr>
            <w:r>
              <w:rPr>
                <w:rFonts w:ascii="Arial" w:cs="Arial" w:eastAsia="Arial" w:hAnsi="Arial"/>
                <w:sz w:val="22"/>
                <w:szCs w:val="22"/>
                <w:color w:val="auto"/>
              </w:rPr>
              <w:t>Defeasance</w:t>
            </w:r>
          </w:p>
        </w:tc>
        <w:tc>
          <w:tcPr>
            <w:tcW w:w="620" w:type="dxa"/>
            <w:vAlign w:val="bottom"/>
          </w:tcPr>
          <w:p>
            <w:pPr>
              <w:spacing w:after="0"/>
              <w:rPr>
                <w:sz w:val="21"/>
                <w:szCs w:val="21"/>
                <w:color w:val="auto"/>
              </w:rPr>
            </w:pP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1402. Defeasance and Discharge</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1403. Covenant Defeasance</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1404. Conditions to Defeasance or Covenant Defeasance</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1405. Deposited Money and Government Obligations to Be Held in Trust; Other</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9720" w:type="dxa"/>
            <w:vAlign w:val="bottom"/>
          </w:tcPr>
          <w:p>
            <w:pPr>
              <w:ind w:left="2020"/>
              <w:spacing w:after="0" w:line="243" w:lineRule="exact"/>
              <w:rPr>
                <w:sz w:val="20"/>
                <w:szCs w:val="20"/>
                <w:color w:val="auto"/>
              </w:rPr>
            </w:pPr>
            <w:r>
              <w:rPr>
                <w:rFonts w:ascii="Arial" w:cs="Arial" w:eastAsia="Arial" w:hAnsi="Arial"/>
                <w:sz w:val="22"/>
                <w:szCs w:val="22"/>
                <w:color w:val="auto"/>
              </w:rPr>
              <w:t>Miscellaneous Provisions</w:t>
            </w:r>
          </w:p>
        </w:tc>
        <w:tc>
          <w:tcPr>
            <w:tcW w:w="620" w:type="dxa"/>
            <w:vAlign w:val="bottom"/>
          </w:tcPr>
          <w:p>
            <w:pPr>
              <w:spacing w:after="0"/>
              <w:rPr>
                <w:sz w:val="21"/>
                <w:szCs w:val="21"/>
                <w:color w:val="auto"/>
              </w:rPr>
            </w:pPr>
          </w:p>
        </w:tc>
      </w:tr>
      <w:tr>
        <w:trPr>
          <w:trHeight w:val="243"/>
        </w:trPr>
        <w:tc>
          <w:tcPr>
            <w:tcW w:w="9720" w:type="dxa"/>
            <w:vAlign w:val="bottom"/>
          </w:tcPr>
          <w:p>
            <w:pPr>
              <w:spacing w:after="0" w:line="243" w:lineRule="exact"/>
              <w:rPr>
                <w:sz w:val="20"/>
                <w:szCs w:val="20"/>
                <w:color w:val="auto"/>
              </w:rPr>
            </w:pPr>
            <w:r>
              <w:rPr>
                <w:rFonts w:ascii="Arial" w:cs="Arial" w:eastAsia="Arial" w:hAnsi="Arial"/>
                <w:sz w:val="22"/>
                <w:szCs w:val="22"/>
                <w:color w:val="auto"/>
              </w:rPr>
              <w:t>ARTICLE FIFTEEN - MEETINGS OF HOLDERS OF SECURITIES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72</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1501. Purposes for Which Meetings May Be Called</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72</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1502. Call, Notice and Place of Meetings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72</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1503. Persons Entitled to Vote at Meetings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73</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1504. Quorum; Action</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73</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1505. Determination of Voting Rights; Conduct and Adjournment of Meetings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1506. Counting Votes and Recording Action of Meetings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9720" w:type="dxa"/>
            <w:vAlign w:val="bottom"/>
          </w:tcPr>
          <w:p>
            <w:pPr>
              <w:spacing w:after="0" w:line="243" w:lineRule="exact"/>
              <w:rPr>
                <w:sz w:val="20"/>
                <w:szCs w:val="20"/>
                <w:color w:val="auto"/>
              </w:rPr>
            </w:pPr>
            <w:r>
              <w:rPr>
                <w:rFonts w:ascii="Arial" w:cs="Arial" w:eastAsia="Arial" w:hAnsi="Arial"/>
                <w:sz w:val="22"/>
                <w:szCs w:val="22"/>
                <w:color w:val="auto"/>
              </w:rPr>
              <w:t>ARTICLE SIXTEEN - CONVERSION OF SECURITIES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1601. Applicability of Article; Conversion Privilege and Conversion Price</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1602. Exercise of Conversion Privilege</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1603. Fractions of Shares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77</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1604. Adjustment of Conversion Price</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77</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1605. Notice of Adjustments of Conversion Price</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1606. Notice of Certain Corporate Action</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1607. Company to Reserve Common Stock</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82</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1608. Taxes on Conversion</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82</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1609. Covenants as to Common Stock</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82</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1610. Cancellation of Converted Securities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82</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w w:val="94"/>
              </w:rPr>
              <w:t>SECTION 1611. Provisions in Case of Consolidation, Merger or Sale of Assets; Special Distributions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1612. Trustee Adjustment Disclaimer; Company Determination Final</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84</w:t>
            </w:r>
          </w:p>
        </w:tc>
      </w:tr>
      <w:tr>
        <w:trPr>
          <w:trHeight w:val="243"/>
        </w:trPr>
        <w:tc>
          <w:tcPr>
            <w:tcW w:w="9720" w:type="dxa"/>
            <w:vAlign w:val="bottom"/>
          </w:tcPr>
          <w:p>
            <w:pPr>
              <w:ind w:left="500"/>
              <w:spacing w:after="0" w:line="243" w:lineRule="exact"/>
              <w:rPr>
                <w:sz w:val="20"/>
                <w:szCs w:val="20"/>
                <w:color w:val="auto"/>
              </w:rPr>
            </w:pPr>
            <w:r>
              <w:rPr>
                <w:rFonts w:ascii="Arial" w:cs="Arial" w:eastAsia="Arial" w:hAnsi="Arial"/>
                <w:sz w:val="22"/>
                <w:szCs w:val="22"/>
                <w:color w:val="auto"/>
              </w:rPr>
              <w:t>SECTION 1613. When No Adjustment Required</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84</w:t>
            </w:r>
          </w:p>
        </w:tc>
      </w:tr>
      <w:tr>
        <w:trPr>
          <w:trHeight w:val="275"/>
        </w:trPr>
        <w:tc>
          <w:tcPr>
            <w:tcW w:w="9720" w:type="dxa"/>
            <w:vAlign w:val="bottom"/>
          </w:tcPr>
          <w:p>
            <w:pPr>
              <w:ind w:left="500"/>
              <w:spacing w:after="0"/>
              <w:rPr>
                <w:sz w:val="20"/>
                <w:szCs w:val="20"/>
                <w:color w:val="auto"/>
              </w:rPr>
            </w:pPr>
            <w:r>
              <w:rPr>
                <w:rFonts w:ascii="Arial" w:cs="Arial" w:eastAsia="Arial" w:hAnsi="Arial"/>
                <w:sz w:val="22"/>
                <w:szCs w:val="22"/>
                <w:color w:val="auto"/>
              </w:rPr>
              <w:t>SECTION 1614. Equivalent Adjustments</w:t>
            </w:r>
          </w:p>
        </w:tc>
        <w:tc>
          <w:tcPr>
            <w:tcW w:w="620" w:type="dxa"/>
            <w:vAlign w:val="bottom"/>
          </w:tcPr>
          <w:p>
            <w:pPr>
              <w:jc w:val="right"/>
              <w:spacing w:after="0"/>
              <w:rPr>
                <w:sz w:val="20"/>
                <w:szCs w:val="20"/>
                <w:color w:val="auto"/>
              </w:rPr>
            </w:pPr>
            <w:r>
              <w:rPr>
                <w:rFonts w:ascii="Arial" w:cs="Arial" w:eastAsia="Arial" w:hAnsi="Arial"/>
                <w:sz w:val="22"/>
                <w:szCs w:val="22"/>
                <w:color w:val="auto"/>
              </w:rPr>
              <w:t>84</w:t>
            </w:r>
          </w:p>
        </w:tc>
      </w:tr>
    </w:tbl>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365" w:right="79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22"/>
          <w:szCs w:val="22"/>
          <w:color w:val="auto"/>
        </w:rPr>
        <w:t>BLUEPRINT MEDICINES CORPORATION</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Reconciliation and tie between the Trust Indenture Act of 1939, as amended (the “Trust Indenture Act” or</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060" w:type="dxa"/>
            <w:vAlign w:val="bottom"/>
            <w:gridSpan w:val="3"/>
          </w:tcPr>
          <w:p>
            <w:pPr>
              <w:ind w:left="20"/>
              <w:spacing w:after="0"/>
              <w:rPr>
                <w:sz w:val="20"/>
                <w:szCs w:val="20"/>
                <w:color w:val="auto"/>
              </w:rPr>
            </w:pPr>
            <w:r>
              <w:rPr>
                <w:rFonts w:ascii="Arial" w:cs="Arial" w:eastAsia="Arial" w:hAnsi="Arial"/>
                <w:sz w:val="22"/>
                <w:szCs w:val="22"/>
                <w:color w:val="auto"/>
              </w:rPr>
              <w:t>“TIA”) and the Indenture, dated as of __________, 20__.</w:t>
            </w:r>
          </w:p>
        </w:tc>
        <w:tc>
          <w:tcPr>
            <w:tcW w:w="428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404"/>
        </w:trPr>
        <w:tc>
          <w:tcPr>
            <w:tcW w:w="6060" w:type="dxa"/>
            <w:vAlign w:val="bottom"/>
            <w:gridSpan w:val="3"/>
          </w:tcPr>
          <w:p>
            <w:pPr>
              <w:ind w:left="20"/>
              <w:spacing w:after="0"/>
              <w:rPr>
                <w:sz w:val="20"/>
                <w:szCs w:val="20"/>
                <w:color w:val="auto"/>
              </w:rPr>
            </w:pPr>
            <w:r>
              <w:rPr>
                <w:rFonts w:ascii="Arial" w:cs="Arial" w:eastAsia="Arial" w:hAnsi="Arial"/>
                <w:sz w:val="22"/>
                <w:szCs w:val="22"/>
                <w:b w:val="1"/>
                <w:bCs w:val="1"/>
                <w:color w:val="auto"/>
              </w:rPr>
              <w:t>Trust Indenture</w:t>
            </w:r>
          </w:p>
        </w:tc>
        <w:tc>
          <w:tcPr>
            <w:tcW w:w="4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1"/>
        </w:trPr>
        <w:tc>
          <w:tcPr>
            <w:tcW w:w="6060" w:type="dxa"/>
            <w:vAlign w:val="bottom"/>
            <w:gridSpan w:val="3"/>
          </w:tcPr>
          <w:p>
            <w:pPr>
              <w:ind w:left="20"/>
              <w:spacing w:after="0"/>
              <w:rPr>
                <w:sz w:val="20"/>
                <w:szCs w:val="20"/>
                <w:color w:val="auto"/>
              </w:rPr>
            </w:pPr>
            <w:r>
              <w:rPr>
                <w:rFonts w:ascii="Arial" w:cs="Arial" w:eastAsia="Arial" w:hAnsi="Arial"/>
                <w:sz w:val="22"/>
                <w:szCs w:val="22"/>
                <w:b w:val="1"/>
                <w:bCs w:val="1"/>
                <w:color w:val="auto"/>
              </w:rPr>
              <w:t>Act Section</w:t>
            </w:r>
          </w:p>
        </w:tc>
        <w:tc>
          <w:tcPr>
            <w:tcW w:w="4340" w:type="dxa"/>
            <w:vAlign w:val="bottom"/>
            <w:gridSpan w:val="2"/>
          </w:tcPr>
          <w:p>
            <w:pPr>
              <w:ind w:left="1320"/>
              <w:spacing w:after="0"/>
              <w:rPr>
                <w:sz w:val="20"/>
                <w:szCs w:val="20"/>
                <w:color w:val="auto"/>
              </w:rPr>
            </w:pPr>
            <w:r>
              <w:rPr>
                <w:rFonts w:ascii="Arial" w:cs="Arial" w:eastAsia="Arial" w:hAnsi="Arial"/>
                <w:sz w:val="22"/>
                <w:szCs w:val="22"/>
                <w:b w:val="1"/>
                <w:bCs w:val="1"/>
                <w:color w:val="auto"/>
              </w:rPr>
              <w:t>Indenture Section</w:t>
            </w:r>
          </w:p>
        </w:tc>
      </w:tr>
      <w:tr>
        <w:trPr>
          <w:trHeight w:val="237"/>
        </w:trPr>
        <w:tc>
          <w:tcPr>
            <w:tcW w:w="5720" w:type="dxa"/>
            <w:vAlign w:val="bottom"/>
            <w:tcBorders>
              <w:top w:val="single" w:sz="8" w:color="auto"/>
            </w:tcBorders>
            <w:gridSpan w:val="2"/>
            <w:shd w:val="clear" w:color="auto" w:fill="CCEEFF"/>
          </w:tcPr>
          <w:p>
            <w:pPr>
              <w:ind w:left="20"/>
              <w:spacing w:after="0" w:line="237" w:lineRule="exact"/>
              <w:rPr>
                <w:sz w:val="20"/>
                <w:szCs w:val="20"/>
                <w:color w:val="auto"/>
              </w:rPr>
            </w:pPr>
            <w:r>
              <w:rPr>
                <w:rFonts w:ascii="Arial" w:cs="Arial" w:eastAsia="Arial" w:hAnsi="Arial"/>
                <w:sz w:val="22"/>
                <w:szCs w:val="22"/>
                <w:color w:val="auto"/>
              </w:rPr>
              <w:t>§ 310(a)(1)</w:t>
            </w:r>
          </w:p>
        </w:tc>
        <w:tc>
          <w:tcPr>
            <w:tcW w:w="340" w:type="dxa"/>
            <w:vAlign w:val="bottom"/>
            <w:tcBorders>
              <w:top w:val="single" w:sz="8" w:color="CCEEFF"/>
            </w:tcBorders>
            <w:shd w:val="clear" w:color="auto" w:fill="CCEEFF"/>
          </w:tcPr>
          <w:p>
            <w:pPr>
              <w:spacing w:after="0"/>
              <w:rPr>
                <w:sz w:val="20"/>
                <w:szCs w:val="20"/>
                <w:color w:val="auto"/>
              </w:rPr>
            </w:pPr>
          </w:p>
        </w:tc>
        <w:tc>
          <w:tcPr>
            <w:tcW w:w="4280" w:type="dxa"/>
            <w:vAlign w:val="bottom"/>
            <w:tcBorders>
              <w:top w:val="single" w:sz="8" w:color="auto"/>
            </w:tcBorders>
            <w:shd w:val="clear" w:color="auto" w:fill="CCEEFF"/>
          </w:tcPr>
          <w:p>
            <w:pPr>
              <w:jc w:val="center"/>
              <w:spacing w:after="0" w:line="237" w:lineRule="exact"/>
              <w:rPr>
                <w:sz w:val="20"/>
                <w:szCs w:val="20"/>
                <w:color w:val="auto"/>
              </w:rPr>
            </w:pPr>
            <w:r>
              <w:rPr>
                <w:rFonts w:ascii="Arial" w:cs="Arial" w:eastAsia="Arial" w:hAnsi="Arial"/>
                <w:sz w:val="22"/>
                <w:szCs w:val="22"/>
                <w:color w:val="auto"/>
                <w:w w:val="87"/>
              </w:rPr>
              <w:t>607</w:t>
            </w:r>
          </w:p>
        </w:tc>
        <w:tc>
          <w:tcPr>
            <w:tcW w:w="60" w:type="dxa"/>
            <w:vAlign w:val="bottom"/>
            <w:tcBorders>
              <w:top w:val="single" w:sz="8" w:color="CCEEFF"/>
            </w:tcBorders>
            <w:shd w:val="clear" w:color="auto" w:fill="CCEEFF"/>
          </w:tcPr>
          <w:p>
            <w:pPr>
              <w:spacing w:after="0"/>
              <w:rPr>
                <w:sz w:val="20"/>
                <w:szCs w:val="20"/>
                <w:color w:val="auto"/>
              </w:rPr>
            </w:pPr>
          </w:p>
        </w:tc>
      </w:tr>
      <w:tr>
        <w:trPr>
          <w:trHeight w:val="243"/>
        </w:trPr>
        <w:tc>
          <w:tcPr>
            <w:tcW w:w="606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(a)(2)</w:t>
            </w:r>
          </w:p>
        </w:tc>
        <w:tc>
          <w:tcPr>
            <w:tcW w:w="4280" w:type="dxa"/>
            <w:vAlign w:val="bottom"/>
          </w:tcPr>
          <w:p>
            <w:pPr>
              <w:jc w:val="center"/>
              <w:spacing w:after="0" w:line="243" w:lineRule="exact"/>
              <w:rPr>
                <w:sz w:val="20"/>
                <w:szCs w:val="20"/>
                <w:color w:val="auto"/>
              </w:rPr>
            </w:pPr>
            <w:r>
              <w:rPr>
                <w:rFonts w:ascii="Arial" w:cs="Arial" w:eastAsia="Arial" w:hAnsi="Arial"/>
                <w:sz w:val="22"/>
                <w:szCs w:val="22"/>
                <w:color w:val="auto"/>
                <w:w w:val="87"/>
              </w:rPr>
              <w:t>607</w:t>
            </w:r>
          </w:p>
        </w:tc>
        <w:tc>
          <w:tcPr>
            <w:tcW w:w="60" w:type="dxa"/>
            <w:vAlign w:val="bottom"/>
          </w:tcPr>
          <w:p>
            <w:pPr>
              <w:spacing w:after="0"/>
              <w:rPr>
                <w:sz w:val="21"/>
                <w:szCs w:val="21"/>
                <w:color w:val="auto"/>
              </w:rPr>
            </w:pPr>
          </w:p>
        </w:tc>
      </w:tr>
      <w:tr>
        <w:trPr>
          <w:trHeight w:val="243"/>
        </w:trPr>
        <w:tc>
          <w:tcPr>
            <w:tcW w:w="6060" w:type="dxa"/>
            <w:vAlign w:val="bottom"/>
            <w:gridSpan w:val="3"/>
            <w:shd w:val="clear" w:color="auto" w:fill="CCEEFF"/>
          </w:tcPr>
          <w:p>
            <w:pPr>
              <w:ind w:left="20"/>
              <w:spacing w:after="0" w:line="243" w:lineRule="exact"/>
              <w:rPr>
                <w:sz w:val="20"/>
                <w:szCs w:val="20"/>
                <w:color w:val="auto"/>
              </w:rPr>
            </w:pPr>
            <w:r>
              <w:rPr>
                <w:rFonts w:ascii="Arial" w:cs="Arial" w:eastAsia="Arial" w:hAnsi="Arial"/>
                <w:sz w:val="22"/>
                <w:szCs w:val="22"/>
                <w:color w:val="auto"/>
              </w:rPr>
              <w:t>(b)</w:t>
            </w:r>
          </w:p>
        </w:tc>
        <w:tc>
          <w:tcPr>
            <w:tcW w:w="428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8"/>
              </w:rPr>
              <w:t>607, 608</w:t>
            </w:r>
          </w:p>
        </w:tc>
        <w:tc>
          <w:tcPr>
            <w:tcW w:w="60" w:type="dxa"/>
            <w:vAlign w:val="bottom"/>
            <w:shd w:val="clear" w:color="auto" w:fill="CCEEFF"/>
          </w:tcPr>
          <w:p>
            <w:pPr>
              <w:spacing w:after="0"/>
              <w:rPr>
                <w:sz w:val="21"/>
                <w:szCs w:val="21"/>
                <w:color w:val="auto"/>
              </w:rPr>
            </w:pPr>
          </w:p>
        </w:tc>
      </w:tr>
      <w:tr>
        <w:trPr>
          <w:trHeight w:val="243"/>
        </w:trPr>
        <w:tc>
          <w:tcPr>
            <w:tcW w:w="606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 312(c)</w:t>
            </w:r>
          </w:p>
        </w:tc>
        <w:tc>
          <w:tcPr>
            <w:tcW w:w="4280" w:type="dxa"/>
            <w:vAlign w:val="bottom"/>
          </w:tcPr>
          <w:p>
            <w:pPr>
              <w:jc w:val="center"/>
              <w:spacing w:after="0" w:line="243" w:lineRule="exact"/>
              <w:rPr>
                <w:sz w:val="20"/>
                <w:szCs w:val="20"/>
                <w:color w:val="auto"/>
              </w:rPr>
            </w:pPr>
            <w:r>
              <w:rPr>
                <w:rFonts w:ascii="Arial" w:cs="Arial" w:eastAsia="Arial" w:hAnsi="Arial"/>
                <w:sz w:val="22"/>
                <w:szCs w:val="22"/>
                <w:color w:val="auto"/>
                <w:w w:val="87"/>
              </w:rPr>
              <w:t>701</w:t>
            </w:r>
          </w:p>
        </w:tc>
        <w:tc>
          <w:tcPr>
            <w:tcW w:w="60" w:type="dxa"/>
            <w:vAlign w:val="bottom"/>
          </w:tcPr>
          <w:p>
            <w:pPr>
              <w:spacing w:after="0"/>
              <w:rPr>
                <w:sz w:val="21"/>
                <w:szCs w:val="21"/>
                <w:color w:val="auto"/>
              </w:rPr>
            </w:pPr>
          </w:p>
        </w:tc>
      </w:tr>
      <w:tr>
        <w:trPr>
          <w:trHeight w:val="243"/>
        </w:trPr>
        <w:tc>
          <w:tcPr>
            <w:tcW w:w="6060" w:type="dxa"/>
            <w:vAlign w:val="bottom"/>
            <w:gridSpan w:val="3"/>
            <w:shd w:val="clear" w:color="auto" w:fill="CCEEFF"/>
          </w:tcPr>
          <w:p>
            <w:pPr>
              <w:ind w:left="20"/>
              <w:spacing w:after="0" w:line="243" w:lineRule="exact"/>
              <w:rPr>
                <w:sz w:val="20"/>
                <w:szCs w:val="20"/>
                <w:color w:val="auto"/>
              </w:rPr>
            </w:pPr>
            <w:r>
              <w:rPr>
                <w:rFonts w:ascii="Arial" w:cs="Arial" w:eastAsia="Arial" w:hAnsi="Arial"/>
                <w:sz w:val="22"/>
                <w:szCs w:val="22"/>
                <w:color w:val="auto"/>
              </w:rPr>
              <w:t>§ 313(a)</w:t>
            </w:r>
          </w:p>
        </w:tc>
        <w:tc>
          <w:tcPr>
            <w:tcW w:w="428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7"/>
              </w:rPr>
              <w:t>702</w:t>
            </w:r>
          </w:p>
        </w:tc>
        <w:tc>
          <w:tcPr>
            <w:tcW w:w="60" w:type="dxa"/>
            <w:vAlign w:val="bottom"/>
            <w:shd w:val="clear" w:color="auto" w:fill="CCEEFF"/>
          </w:tcPr>
          <w:p>
            <w:pPr>
              <w:spacing w:after="0"/>
              <w:rPr>
                <w:sz w:val="21"/>
                <w:szCs w:val="21"/>
                <w:color w:val="auto"/>
              </w:rPr>
            </w:pPr>
          </w:p>
        </w:tc>
      </w:tr>
      <w:tr>
        <w:trPr>
          <w:trHeight w:val="243"/>
        </w:trPr>
        <w:tc>
          <w:tcPr>
            <w:tcW w:w="606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(c)</w:t>
            </w:r>
          </w:p>
        </w:tc>
        <w:tc>
          <w:tcPr>
            <w:tcW w:w="4280" w:type="dxa"/>
            <w:vAlign w:val="bottom"/>
          </w:tcPr>
          <w:p>
            <w:pPr>
              <w:jc w:val="center"/>
              <w:spacing w:after="0" w:line="243" w:lineRule="exact"/>
              <w:rPr>
                <w:sz w:val="20"/>
                <w:szCs w:val="20"/>
                <w:color w:val="auto"/>
              </w:rPr>
            </w:pPr>
            <w:r>
              <w:rPr>
                <w:rFonts w:ascii="Arial" w:cs="Arial" w:eastAsia="Arial" w:hAnsi="Arial"/>
                <w:sz w:val="22"/>
                <w:szCs w:val="22"/>
                <w:color w:val="auto"/>
                <w:w w:val="87"/>
              </w:rPr>
              <w:t>702</w:t>
            </w:r>
          </w:p>
        </w:tc>
        <w:tc>
          <w:tcPr>
            <w:tcW w:w="60" w:type="dxa"/>
            <w:vAlign w:val="bottom"/>
          </w:tcPr>
          <w:p>
            <w:pPr>
              <w:spacing w:after="0"/>
              <w:rPr>
                <w:sz w:val="21"/>
                <w:szCs w:val="21"/>
                <w:color w:val="auto"/>
              </w:rPr>
            </w:pPr>
          </w:p>
        </w:tc>
      </w:tr>
      <w:tr>
        <w:trPr>
          <w:trHeight w:val="243"/>
        </w:trPr>
        <w:tc>
          <w:tcPr>
            <w:tcW w:w="6060" w:type="dxa"/>
            <w:vAlign w:val="bottom"/>
            <w:gridSpan w:val="3"/>
            <w:shd w:val="clear" w:color="auto" w:fill="CCEEFF"/>
          </w:tcPr>
          <w:p>
            <w:pPr>
              <w:ind w:left="20"/>
              <w:spacing w:after="0" w:line="243" w:lineRule="exact"/>
              <w:rPr>
                <w:sz w:val="20"/>
                <w:szCs w:val="20"/>
                <w:color w:val="auto"/>
              </w:rPr>
            </w:pPr>
            <w:r>
              <w:rPr>
                <w:rFonts w:ascii="Arial" w:cs="Arial" w:eastAsia="Arial" w:hAnsi="Arial"/>
                <w:sz w:val="22"/>
                <w:szCs w:val="22"/>
                <w:color w:val="auto"/>
              </w:rPr>
              <w:t>§ 314(a)</w:t>
            </w:r>
          </w:p>
        </w:tc>
        <w:tc>
          <w:tcPr>
            <w:tcW w:w="428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7"/>
              </w:rPr>
              <w:t>703</w:t>
            </w:r>
          </w:p>
        </w:tc>
        <w:tc>
          <w:tcPr>
            <w:tcW w:w="60" w:type="dxa"/>
            <w:vAlign w:val="bottom"/>
            <w:shd w:val="clear" w:color="auto" w:fill="CCEEFF"/>
          </w:tcPr>
          <w:p>
            <w:pPr>
              <w:spacing w:after="0"/>
              <w:rPr>
                <w:sz w:val="21"/>
                <w:szCs w:val="21"/>
                <w:color w:val="auto"/>
              </w:rPr>
            </w:pPr>
          </w:p>
        </w:tc>
      </w:tr>
      <w:tr>
        <w:trPr>
          <w:trHeight w:val="243"/>
        </w:trPr>
        <w:tc>
          <w:tcPr>
            <w:tcW w:w="606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(a)(4)</w:t>
            </w:r>
          </w:p>
        </w:tc>
        <w:tc>
          <w:tcPr>
            <w:tcW w:w="4280" w:type="dxa"/>
            <w:vAlign w:val="bottom"/>
          </w:tcPr>
          <w:p>
            <w:pPr>
              <w:jc w:val="center"/>
              <w:spacing w:after="0" w:line="243" w:lineRule="exact"/>
              <w:rPr>
                <w:sz w:val="20"/>
                <w:szCs w:val="20"/>
                <w:color w:val="auto"/>
              </w:rPr>
            </w:pPr>
            <w:r>
              <w:rPr>
                <w:rFonts w:ascii="Arial" w:cs="Arial" w:eastAsia="Arial" w:hAnsi="Arial"/>
                <w:sz w:val="22"/>
                <w:szCs w:val="22"/>
                <w:color w:val="auto"/>
                <w:w w:val="89"/>
              </w:rPr>
              <w:t>1008</w:t>
            </w:r>
          </w:p>
        </w:tc>
        <w:tc>
          <w:tcPr>
            <w:tcW w:w="60" w:type="dxa"/>
            <w:vAlign w:val="bottom"/>
          </w:tcPr>
          <w:p>
            <w:pPr>
              <w:spacing w:after="0"/>
              <w:rPr>
                <w:sz w:val="21"/>
                <w:szCs w:val="21"/>
                <w:color w:val="auto"/>
              </w:rPr>
            </w:pPr>
          </w:p>
        </w:tc>
      </w:tr>
      <w:tr>
        <w:trPr>
          <w:trHeight w:val="243"/>
        </w:trPr>
        <w:tc>
          <w:tcPr>
            <w:tcW w:w="6060" w:type="dxa"/>
            <w:vAlign w:val="bottom"/>
            <w:gridSpan w:val="3"/>
            <w:shd w:val="clear" w:color="auto" w:fill="CCEEFF"/>
          </w:tcPr>
          <w:p>
            <w:pPr>
              <w:ind w:left="20"/>
              <w:spacing w:after="0" w:line="243" w:lineRule="exact"/>
              <w:rPr>
                <w:sz w:val="20"/>
                <w:szCs w:val="20"/>
                <w:color w:val="auto"/>
              </w:rPr>
            </w:pPr>
            <w:r>
              <w:rPr>
                <w:rFonts w:ascii="Arial" w:cs="Arial" w:eastAsia="Arial" w:hAnsi="Arial"/>
                <w:sz w:val="22"/>
                <w:szCs w:val="22"/>
                <w:color w:val="auto"/>
              </w:rPr>
              <w:t>(c)(1)</w:t>
            </w:r>
          </w:p>
        </w:tc>
        <w:tc>
          <w:tcPr>
            <w:tcW w:w="428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7"/>
              </w:rPr>
              <w:t>102</w:t>
            </w:r>
          </w:p>
        </w:tc>
        <w:tc>
          <w:tcPr>
            <w:tcW w:w="60" w:type="dxa"/>
            <w:vAlign w:val="bottom"/>
            <w:shd w:val="clear" w:color="auto" w:fill="CCEEFF"/>
          </w:tcPr>
          <w:p>
            <w:pPr>
              <w:spacing w:after="0"/>
              <w:rPr>
                <w:sz w:val="21"/>
                <w:szCs w:val="21"/>
                <w:color w:val="auto"/>
              </w:rPr>
            </w:pPr>
          </w:p>
        </w:tc>
      </w:tr>
      <w:tr>
        <w:trPr>
          <w:trHeight w:val="243"/>
        </w:trPr>
        <w:tc>
          <w:tcPr>
            <w:tcW w:w="606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(c)(2)</w:t>
            </w:r>
          </w:p>
        </w:tc>
        <w:tc>
          <w:tcPr>
            <w:tcW w:w="4280" w:type="dxa"/>
            <w:vAlign w:val="bottom"/>
          </w:tcPr>
          <w:p>
            <w:pPr>
              <w:jc w:val="center"/>
              <w:spacing w:after="0" w:line="243" w:lineRule="exact"/>
              <w:rPr>
                <w:sz w:val="20"/>
                <w:szCs w:val="20"/>
                <w:color w:val="auto"/>
              </w:rPr>
            </w:pPr>
            <w:r>
              <w:rPr>
                <w:rFonts w:ascii="Arial" w:cs="Arial" w:eastAsia="Arial" w:hAnsi="Arial"/>
                <w:sz w:val="22"/>
                <w:szCs w:val="22"/>
                <w:color w:val="auto"/>
                <w:w w:val="87"/>
              </w:rPr>
              <w:t>102</w:t>
            </w:r>
          </w:p>
        </w:tc>
        <w:tc>
          <w:tcPr>
            <w:tcW w:w="60" w:type="dxa"/>
            <w:vAlign w:val="bottom"/>
          </w:tcPr>
          <w:p>
            <w:pPr>
              <w:spacing w:after="0"/>
              <w:rPr>
                <w:sz w:val="21"/>
                <w:szCs w:val="21"/>
                <w:color w:val="auto"/>
              </w:rPr>
            </w:pPr>
          </w:p>
        </w:tc>
      </w:tr>
      <w:tr>
        <w:trPr>
          <w:trHeight w:val="243"/>
        </w:trPr>
        <w:tc>
          <w:tcPr>
            <w:tcW w:w="6060" w:type="dxa"/>
            <w:vAlign w:val="bottom"/>
            <w:gridSpan w:val="3"/>
            <w:shd w:val="clear" w:color="auto" w:fill="CCEEFF"/>
          </w:tcPr>
          <w:p>
            <w:pPr>
              <w:ind w:left="20"/>
              <w:spacing w:after="0" w:line="243" w:lineRule="exact"/>
              <w:rPr>
                <w:sz w:val="20"/>
                <w:szCs w:val="20"/>
                <w:color w:val="auto"/>
              </w:rPr>
            </w:pPr>
            <w:r>
              <w:rPr>
                <w:rFonts w:ascii="Arial" w:cs="Arial" w:eastAsia="Arial" w:hAnsi="Arial"/>
                <w:sz w:val="22"/>
                <w:szCs w:val="22"/>
                <w:color w:val="auto"/>
              </w:rPr>
              <w:t>(e)</w:t>
            </w:r>
          </w:p>
        </w:tc>
        <w:tc>
          <w:tcPr>
            <w:tcW w:w="428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7"/>
              </w:rPr>
              <w:t>102</w:t>
            </w:r>
          </w:p>
        </w:tc>
        <w:tc>
          <w:tcPr>
            <w:tcW w:w="60" w:type="dxa"/>
            <w:vAlign w:val="bottom"/>
            <w:shd w:val="clear" w:color="auto" w:fill="CCEEFF"/>
          </w:tcPr>
          <w:p>
            <w:pPr>
              <w:spacing w:after="0"/>
              <w:rPr>
                <w:sz w:val="21"/>
                <w:szCs w:val="21"/>
                <w:color w:val="auto"/>
              </w:rPr>
            </w:pPr>
          </w:p>
        </w:tc>
      </w:tr>
      <w:tr>
        <w:trPr>
          <w:trHeight w:val="243"/>
        </w:trPr>
        <w:tc>
          <w:tcPr>
            <w:tcW w:w="606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 315(b)</w:t>
            </w:r>
          </w:p>
        </w:tc>
        <w:tc>
          <w:tcPr>
            <w:tcW w:w="4280" w:type="dxa"/>
            <w:vAlign w:val="bottom"/>
          </w:tcPr>
          <w:p>
            <w:pPr>
              <w:jc w:val="center"/>
              <w:spacing w:after="0" w:line="243" w:lineRule="exact"/>
              <w:rPr>
                <w:sz w:val="20"/>
                <w:szCs w:val="20"/>
                <w:color w:val="auto"/>
              </w:rPr>
            </w:pPr>
            <w:r>
              <w:rPr>
                <w:rFonts w:ascii="Arial" w:cs="Arial" w:eastAsia="Arial" w:hAnsi="Arial"/>
                <w:sz w:val="22"/>
                <w:szCs w:val="22"/>
                <w:color w:val="auto"/>
                <w:w w:val="87"/>
              </w:rPr>
              <w:t>601</w:t>
            </w:r>
          </w:p>
        </w:tc>
        <w:tc>
          <w:tcPr>
            <w:tcW w:w="60" w:type="dxa"/>
            <w:vAlign w:val="bottom"/>
          </w:tcPr>
          <w:p>
            <w:pPr>
              <w:spacing w:after="0"/>
              <w:rPr>
                <w:sz w:val="21"/>
                <w:szCs w:val="21"/>
                <w:color w:val="auto"/>
              </w:rPr>
            </w:pPr>
          </w:p>
        </w:tc>
      </w:tr>
      <w:tr>
        <w:trPr>
          <w:trHeight w:val="243"/>
        </w:trPr>
        <w:tc>
          <w:tcPr>
            <w:tcW w:w="6060" w:type="dxa"/>
            <w:vAlign w:val="bottom"/>
            <w:gridSpan w:val="3"/>
            <w:shd w:val="clear" w:color="auto" w:fill="CCEEFF"/>
          </w:tcPr>
          <w:p>
            <w:pPr>
              <w:ind w:left="20"/>
              <w:spacing w:after="0" w:line="243" w:lineRule="exact"/>
              <w:rPr>
                <w:sz w:val="20"/>
                <w:szCs w:val="20"/>
                <w:color w:val="auto"/>
              </w:rPr>
            </w:pPr>
            <w:r>
              <w:rPr>
                <w:rFonts w:ascii="Arial" w:cs="Arial" w:eastAsia="Arial" w:hAnsi="Arial"/>
                <w:sz w:val="22"/>
                <w:szCs w:val="22"/>
                <w:color w:val="auto"/>
              </w:rPr>
              <w:t>§ 316(a) (last sentence)</w:t>
            </w:r>
          </w:p>
        </w:tc>
        <w:tc>
          <w:tcPr>
            <w:tcW w:w="4340" w:type="dxa"/>
            <w:vAlign w:val="bottom"/>
            <w:gridSpan w:val="2"/>
            <w:shd w:val="clear" w:color="auto" w:fill="CCEEFF"/>
          </w:tcPr>
          <w:p>
            <w:pPr>
              <w:jc w:val="center"/>
              <w:ind w:right="60"/>
              <w:spacing w:after="0" w:line="243" w:lineRule="exact"/>
              <w:rPr>
                <w:sz w:val="20"/>
                <w:szCs w:val="20"/>
                <w:color w:val="auto"/>
              </w:rPr>
            </w:pPr>
            <w:r>
              <w:rPr>
                <w:rFonts w:ascii="Arial" w:cs="Arial" w:eastAsia="Arial" w:hAnsi="Arial"/>
                <w:sz w:val="22"/>
                <w:szCs w:val="22"/>
                <w:color w:val="auto"/>
                <w:w w:val="93"/>
              </w:rPr>
              <w:t>101(“Outstanding”)</w:t>
            </w:r>
          </w:p>
        </w:tc>
      </w:tr>
      <w:tr>
        <w:trPr>
          <w:trHeight w:val="243"/>
        </w:trPr>
        <w:tc>
          <w:tcPr>
            <w:tcW w:w="606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(a)(1)(A)</w:t>
            </w:r>
          </w:p>
        </w:tc>
        <w:tc>
          <w:tcPr>
            <w:tcW w:w="4280" w:type="dxa"/>
            <w:vAlign w:val="bottom"/>
          </w:tcPr>
          <w:p>
            <w:pPr>
              <w:jc w:val="center"/>
              <w:spacing w:after="0" w:line="243" w:lineRule="exact"/>
              <w:rPr>
                <w:sz w:val="20"/>
                <w:szCs w:val="20"/>
                <w:color w:val="auto"/>
              </w:rPr>
            </w:pPr>
            <w:r>
              <w:rPr>
                <w:rFonts w:ascii="Arial" w:cs="Arial" w:eastAsia="Arial" w:hAnsi="Arial"/>
                <w:sz w:val="22"/>
                <w:szCs w:val="22"/>
                <w:color w:val="auto"/>
                <w:w w:val="88"/>
              </w:rPr>
              <w:t>502, 512</w:t>
            </w:r>
          </w:p>
        </w:tc>
        <w:tc>
          <w:tcPr>
            <w:tcW w:w="60" w:type="dxa"/>
            <w:vAlign w:val="bottom"/>
          </w:tcPr>
          <w:p>
            <w:pPr>
              <w:spacing w:after="0"/>
              <w:rPr>
                <w:sz w:val="21"/>
                <w:szCs w:val="21"/>
                <w:color w:val="auto"/>
              </w:rPr>
            </w:pPr>
          </w:p>
        </w:tc>
      </w:tr>
      <w:tr>
        <w:trPr>
          <w:trHeight w:val="243"/>
        </w:trPr>
        <w:tc>
          <w:tcPr>
            <w:tcW w:w="6060" w:type="dxa"/>
            <w:vAlign w:val="bottom"/>
            <w:gridSpan w:val="3"/>
            <w:shd w:val="clear" w:color="auto" w:fill="CCEEFF"/>
          </w:tcPr>
          <w:p>
            <w:pPr>
              <w:ind w:left="20"/>
              <w:spacing w:after="0" w:line="243" w:lineRule="exact"/>
              <w:rPr>
                <w:sz w:val="20"/>
                <w:szCs w:val="20"/>
                <w:color w:val="auto"/>
              </w:rPr>
            </w:pPr>
            <w:r>
              <w:rPr>
                <w:rFonts w:ascii="Arial" w:cs="Arial" w:eastAsia="Arial" w:hAnsi="Arial"/>
                <w:sz w:val="22"/>
                <w:szCs w:val="22"/>
                <w:color w:val="auto"/>
              </w:rPr>
              <w:t>(a)(1)(B)</w:t>
            </w:r>
          </w:p>
        </w:tc>
        <w:tc>
          <w:tcPr>
            <w:tcW w:w="428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7"/>
              </w:rPr>
              <w:t>513</w:t>
            </w:r>
          </w:p>
        </w:tc>
        <w:tc>
          <w:tcPr>
            <w:tcW w:w="60" w:type="dxa"/>
            <w:vAlign w:val="bottom"/>
            <w:shd w:val="clear" w:color="auto" w:fill="CCEEFF"/>
          </w:tcPr>
          <w:p>
            <w:pPr>
              <w:spacing w:after="0"/>
              <w:rPr>
                <w:sz w:val="21"/>
                <w:szCs w:val="21"/>
                <w:color w:val="auto"/>
              </w:rPr>
            </w:pPr>
          </w:p>
        </w:tc>
      </w:tr>
      <w:tr>
        <w:trPr>
          <w:trHeight w:val="243"/>
        </w:trPr>
        <w:tc>
          <w:tcPr>
            <w:tcW w:w="606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(b)</w:t>
            </w:r>
          </w:p>
        </w:tc>
        <w:tc>
          <w:tcPr>
            <w:tcW w:w="4280" w:type="dxa"/>
            <w:vAlign w:val="bottom"/>
          </w:tcPr>
          <w:p>
            <w:pPr>
              <w:jc w:val="center"/>
              <w:spacing w:after="0" w:line="243" w:lineRule="exact"/>
              <w:rPr>
                <w:sz w:val="20"/>
                <w:szCs w:val="20"/>
                <w:color w:val="auto"/>
              </w:rPr>
            </w:pPr>
            <w:r>
              <w:rPr>
                <w:rFonts w:ascii="Arial" w:cs="Arial" w:eastAsia="Arial" w:hAnsi="Arial"/>
                <w:sz w:val="22"/>
                <w:szCs w:val="22"/>
                <w:color w:val="auto"/>
                <w:w w:val="87"/>
              </w:rPr>
              <w:t>508</w:t>
            </w:r>
          </w:p>
        </w:tc>
        <w:tc>
          <w:tcPr>
            <w:tcW w:w="60" w:type="dxa"/>
            <w:vAlign w:val="bottom"/>
          </w:tcPr>
          <w:p>
            <w:pPr>
              <w:spacing w:after="0"/>
              <w:rPr>
                <w:sz w:val="21"/>
                <w:szCs w:val="21"/>
                <w:color w:val="auto"/>
              </w:rPr>
            </w:pPr>
          </w:p>
        </w:tc>
      </w:tr>
      <w:tr>
        <w:trPr>
          <w:trHeight w:val="243"/>
        </w:trPr>
        <w:tc>
          <w:tcPr>
            <w:tcW w:w="6060" w:type="dxa"/>
            <w:vAlign w:val="bottom"/>
            <w:gridSpan w:val="3"/>
            <w:shd w:val="clear" w:color="auto" w:fill="CCEEFF"/>
          </w:tcPr>
          <w:p>
            <w:pPr>
              <w:ind w:left="20"/>
              <w:spacing w:after="0" w:line="243" w:lineRule="exact"/>
              <w:rPr>
                <w:sz w:val="20"/>
                <w:szCs w:val="20"/>
                <w:color w:val="auto"/>
              </w:rPr>
            </w:pPr>
            <w:r>
              <w:rPr>
                <w:rFonts w:ascii="Arial" w:cs="Arial" w:eastAsia="Arial" w:hAnsi="Arial"/>
                <w:sz w:val="22"/>
                <w:szCs w:val="22"/>
                <w:color w:val="auto"/>
              </w:rPr>
              <w:t>§ 317(a)(1)</w:t>
            </w:r>
          </w:p>
        </w:tc>
        <w:tc>
          <w:tcPr>
            <w:tcW w:w="428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7"/>
              </w:rPr>
              <w:t>503</w:t>
            </w:r>
          </w:p>
        </w:tc>
        <w:tc>
          <w:tcPr>
            <w:tcW w:w="60" w:type="dxa"/>
            <w:vAlign w:val="bottom"/>
            <w:shd w:val="clear" w:color="auto" w:fill="CCEEFF"/>
          </w:tcPr>
          <w:p>
            <w:pPr>
              <w:spacing w:after="0"/>
              <w:rPr>
                <w:sz w:val="21"/>
                <w:szCs w:val="21"/>
                <w:color w:val="auto"/>
              </w:rPr>
            </w:pPr>
          </w:p>
        </w:tc>
      </w:tr>
      <w:tr>
        <w:trPr>
          <w:trHeight w:val="243"/>
        </w:trPr>
        <w:tc>
          <w:tcPr>
            <w:tcW w:w="606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(a)(2)</w:t>
            </w:r>
          </w:p>
        </w:tc>
        <w:tc>
          <w:tcPr>
            <w:tcW w:w="4280" w:type="dxa"/>
            <w:vAlign w:val="bottom"/>
          </w:tcPr>
          <w:p>
            <w:pPr>
              <w:jc w:val="center"/>
              <w:spacing w:after="0" w:line="243" w:lineRule="exact"/>
              <w:rPr>
                <w:sz w:val="20"/>
                <w:szCs w:val="20"/>
                <w:color w:val="auto"/>
              </w:rPr>
            </w:pPr>
            <w:r>
              <w:rPr>
                <w:rFonts w:ascii="Arial" w:cs="Arial" w:eastAsia="Arial" w:hAnsi="Arial"/>
                <w:sz w:val="22"/>
                <w:szCs w:val="22"/>
                <w:color w:val="auto"/>
                <w:w w:val="87"/>
              </w:rPr>
              <w:t>504</w:t>
            </w:r>
          </w:p>
        </w:tc>
        <w:tc>
          <w:tcPr>
            <w:tcW w:w="60" w:type="dxa"/>
            <w:vAlign w:val="bottom"/>
          </w:tcPr>
          <w:p>
            <w:pPr>
              <w:spacing w:after="0"/>
              <w:rPr>
                <w:sz w:val="21"/>
                <w:szCs w:val="21"/>
                <w:color w:val="auto"/>
              </w:rPr>
            </w:pPr>
          </w:p>
        </w:tc>
      </w:tr>
      <w:tr>
        <w:trPr>
          <w:trHeight w:val="243"/>
        </w:trPr>
        <w:tc>
          <w:tcPr>
            <w:tcW w:w="6060" w:type="dxa"/>
            <w:vAlign w:val="bottom"/>
            <w:gridSpan w:val="3"/>
            <w:shd w:val="clear" w:color="auto" w:fill="CCEEFF"/>
          </w:tcPr>
          <w:p>
            <w:pPr>
              <w:ind w:left="20"/>
              <w:spacing w:after="0" w:line="243" w:lineRule="exact"/>
              <w:rPr>
                <w:sz w:val="20"/>
                <w:szCs w:val="20"/>
                <w:color w:val="auto"/>
              </w:rPr>
            </w:pPr>
            <w:r>
              <w:rPr>
                <w:rFonts w:ascii="Arial" w:cs="Arial" w:eastAsia="Arial" w:hAnsi="Arial"/>
                <w:sz w:val="22"/>
                <w:szCs w:val="22"/>
                <w:color w:val="auto"/>
              </w:rPr>
              <w:t>§ 318(a)</w:t>
            </w:r>
          </w:p>
        </w:tc>
        <w:tc>
          <w:tcPr>
            <w:tcW w:w="428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7"/>
              </w:rPr>
              <w:t>111</w:t>
            </w:r>
          </w:p>
        </w:tc>
        <w:tc>
          <w:tcPr>
            <w:tcW w:w="60" w:type="dxa"/>
            <w:vAlign w:val="bottom"/>
            <w:shd w:val="clear" w:color="auto" w:fill="CCEEFF"/>
          </w:tcPr>
          <w:p>
            <w:pPr>
              <w:spacing w:after="0"/>
              <w:rPr>
                <w:sz w:val="21"/>
                <w:szCs w:val="21"/>
                <w:color w:val="auto"/>
              </w:rPr>
            </w:pPr>
          </w:p>
        </w:tc>
      </w:tr>
      <w:tr>
        <w:trPr>
          <w:trHeight w:val="275"/>
        </w:trPr>
        <w:tc>
          <w:tcPr>
            <w:tcW w:w="6060" w:type="dxa"/>
            <w:vAlign w:val="bottom"/>
            <w:gridSpan w:val="3"/>
          </w:tcPr>
          <w:p>
            <w:pPr>
              <w:ind w:left="20"/>
              <w:spacing w:after="0"/>
              <w:rPr>
                <w:sz w:val="20"/>
                <w:szCs w:val="20"/>
                <w:color w:val="auto"/>
              </w:rPr>
            </w:pPr>
            <w:r>
              <w:rPr>
                <w:rFonts w:ascii="Arial" w:cs="Arial" w:eastAsia="Arial" w:hAnsi="Arial"/>
                <w:sz w:val="22"/>
                <w:szCs w:val="22"/>
                <w:color w:val="auto"/>
              </w:rPr>
              <w:t>(c)</w:t>
            </w:r>
          </w:p>
        </w:tc>
        <w:tc>
          <w:tcPr>
            <w:tcW w:w="4280" w:type="dxa"/>
            <w:vAlign w:val="bottom"/>
          </w:tcPr>
          <w:p>
            <w:pPr>
              <w:jc w:val="center"/>
              <w:spacing w:after="0"/>
              <w:rPr>
                <w:sz w:val="20"/>
                <w:szCs w:val="20"/>
                <w:color w:val="auto"/>
              </w:rPr>
            </w:pPr>
            <w:r>
              <w:rPr>
                <w:rFonts w:ascii="Arial" w:cs="Arial" w:eastAsia="Arial" w:hAnsi="Arial"/>
                <w:sz w:val="22"/>
                <w:szCs w:val="22"/>
                <w:color w:val="auto"/>
                <w:w w:val="87"/>
              </w:rPr>
              <w:t>111</w:t>
            </w:r>
          </w:p>
        </w:tc>
        <w:tc>
          <w:tcPr>
            <w:tcW w:w="60" w:type="dxa"/>
            <w:vAlign w:val="bottom"/>
          </w:tcPr>
          <w:p>
            <w:pPr>
              <w:spacing w:after="0"/>
              <w:rPr>
                <w:sz w:val="23"/>
                <w:szCs w:val="23"/>
                <w:color w:val="auto"/>
              </w:rPr>
            </w:pPr>
          </w:p>
        </w:tc>
      </w:tr>
      <w:tr>
        <w:trPr>
          <w:trHeight w:val="77"/>
        </w:trPr>
        <w:tc>
          <w:tcPr>
            <w:tcW w:w="2620" w:type="dxa"/>
            <w:vAlign w:val="bottom"/>
            <w:tcBorders>
              <w:bottom w:val="single" w:sz="8" w:color="auto"/>
            </w:tcBorders>
          </w:tcPr>
          <w:p>
            <w:pPr>
              <w:spacing w:after="0"/>
              <w:rPr>
                <w:sz w:val="6"/>
                <w:szCs w:val="6"/>
                <w:color w:val="auto"/>
              </w:rPr>
            </w:pPr>
          </w:p>
        </w:tc>
        <w:tc>
          <w:tcPr>
            <w:tcW w:w="3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80" w:type="dxa"/>
            <w:vAlign w:val="bottom"/>
          </w:tcPr>
          <w:p>
            <w:pPr>
              <w:spacing w:after="0"/>
              <w:rPr>
                <w:sz w:val="6"/>
                <w:szCs w:val="6"/>
                <w:color w:val="auto"/>
              </w:rPr>
            </w:pPr>
          </w:p>
        </w:tc>
        <w:tc>
          <w:tcPr>
            <w:tcW w:w="60" w:type="dxa"/>
            <w:vAlign w:val="bottom"/>
          </w:tcPr>
          <w:p>
            <w:pPr>
              <w:spacing w:after="0"/>
              <w:rPr>
                <w:sz w:val="6"/>
                <w:szCs w:val="6"/>
                <w:color w:val="auto"/>
              </w:rPr>
            </w:pPr>
          </w:p>
        </w:tc>
      </w:tr>
    </w:tbl>
    <w:p>
      <w:pPr>
        <w:spacing w:after="0" w:line="195"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NOTE: This reconciliation and tie shall not, for any purpose, be deemed to be a part of the Indenture.</w:t>
      </w:r>
    </w:p>
    <w:p>
      <w:pPr>
        <w:spacing w:after="0" w:line="206" w:lineRule="exact"/>
        <w:rPr>
          <w:sz w:val="20"/>
          <w:szCs w:val="20"/>
          <w:color w:val="auto"/>
        </w:rPr>
      </w:pPr>
    </w:p>
    <w:p>
      <w:pPr>
        <w:ind w:left="20" w:right="480" w:firstLine="648"/>
        <w:spacing w:after="0"/>
        <w:rPr>
          <w:sz w:val="20"/>
          <w:szCs w:val="20"/>
          <w:color w:val="auto"/>
        </w:rPr>
      </w:pPr>
      <w:r>
        <w:rPr>
          <w:rFonts w:ascii="Arial" w:cs="Arial" w:eastAsia="Arial" w:hAnsi="Arial"/>
          <w:sz w:val="22"/>
          <w:szCs w:val="22"/>
          <w:color w:val="auto"/>
        </w:rPr>
        <w:t>Attention should also be directed to Section 318(c) of the Trust Indenture Act, which provides that the provisions of Sections 310 to and including 317 of the Trust Indenture Act are a part of and govern every qualified indenture, whether or not physically contained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61225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40" w:top="361" w:right="759" w:bottom="1440" w:gutter="0" w:footer="0" w:header="0"/>
        </w:sectPr>
      </w:pPr>
    </w:p>
    <w:bookmarkStart w:id="56" w:name="page57"/>
    <w:bookmarkEnd w:id="56"/>
    <w:p>
      <w:pPr>
        <w:ind w:left="640"/>
        <w:spacing w:after="0"/>
        <w:rPr>
          <w:sz w:val="20"/>
          <w:szCs w:val="20"/>
          <w:color w:val="auto"/>
        </w:rPr>
      </w:pPr>
      <w:r>
        <w:rPr>
          <w:rFonts w:ascii="Arial" w:cs="Arial" w:eastAsia="Arial" w:hAnsi="Arial"/>
          <w:sz w:val="21"/>
          <w:szCs w:val="21"/>
          <w:color w:val="auto"/>
        </w:rPr>
        <w:t>INDENTURE, dated as of __________, 20___, between BLUEPRINT MEDICINES CORPORATION, a</w:t>
      </w:r>
    </w:p>
    <w:p>
      <w:pPr>
        <w:spacing w:after="0" w:line="20" w:lineRule="exact"/>
        <w:rPr>
          <w:sz w:val="20"/>
          <w:szCs w:val="20"/>
          <w:color w:val="auto"/>
        </w:rPr>
      </w:pPr>
    </w:p>
    <w:p>
      <w:pPr>
        <w:ind w:right="100"/>
        <w:spacing w:after="0" w:line="267" w:lineRule="auto"/>
        <w:rPr>
          <w:sz w:val="20"/>
          <w:szCs w:val="20"/>
          <w:color w:val="auto"/>
        </w:rPr>
      </w:pPr>
      <w:r>
        <w:rPr>
          <w:rFonts w:ascii="Arial" w:cs="Arial" w:eastAsia="Arial" w:hAnsi="Arial"/>
          <w:sz w:val="19"/>
          <w:szCs w:val="19"/>
          <w:color w:val="auto"/>
        </w:rPr>
        <w:t>corporation organized under the laws of the State of Delaware (hereinafter called the “Company”), having its principal office at [_________], and [___________], as Trustee hereunder (hereinafter called the “Trustee”), having a Corporate</w:t>
      </w:r>
    </w:p>
    <w:p>
      <w:pPr>
        <w:spacing w:after="0"/>
        <w:rPr>
          <w:sz w:val="20"/>
          <w:szCs w:val="20"/>
          <w:color w:val="auto"/>
        </w:rPr>
      </w:pPr>
      <w:r>
        <w:rPr>
          <w:rFonts w:ascii="Arial" w:cs="Arial" w:eastAsia="Arial" w:hAnsi="Arial"/>
          <w:sz w:val="22"/>
          <w:szCs w:val="22"/>
          <w:color w:val="auto"/>
        </w:rPr>
        <w:t>Trust Office at [____________________].</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RECITALS OF THE COMPANY</w:t>
      </w:r>
    </w:p>
    <w:p>
      <w:pPr>
        <w:spacing w:after="0" w:line="206" w:lineRule="exact"/>
        <w:rPr>
          <w:sz w:val="20"/>
          <w:szCs w:val="20"/>
          <w:color w:val="auto"/>
        </w:rPr>
      </w:pPr>
    </w:p>
    <w:p>
      <w:pPr>
        <w:ind w:right="180" w:firstLine="648"/>
        <w:spacing w:after="0" w:line="238" w:lineRule="auto"/>
        <w:rPr>
          <w:sz w:val="20"/>
          <w:szCs w:val="20"/>
          <w:color w:val="auto"/>
        </w:rPr>
      </w:pPr>
      <w:r>
        <w:rPr>
          <w:rFonts w:ascii="Arial" w:cs="Arial" w:eastAsia="Arial" w:hAnsi="Arial"/>
          <w:sz w:val="22"/>
          <w:szCs w:val="22"/>
          <w:color w:val="auto"/>
        </w:rPr>
        <w:t>The Company deems it necessary to issue from time to time for its lawful purposes senior debt securities (hereinafter called the “Securities”) evidencing its unsecured and senior indebtedness, and has duly authorized the execution and delivery of this Indenture to provide for the issuance from time to time of the Securities, to be issued in one or more Series as provided in this Indenture.</w:t>
      </w:r>
    </w:p>
    <w:p>
      <w:pPr>
        <w:spacing w:after="0" w:line="185" w:lineRule="exact"/>
        <w:rPr>
          <w:sz w:val="20"/>
          <w:szCs w:val="20"/>
          <w:color w:val="auto"/>
        </w:rPr>
      </w:pPr>
    </w:p>
    <w:p>
      <w:pPr>
        <w:jc w:val="both"/>
        <w:ind w:right="80" w:firstLine="648"/>
        <w:spacing w:after="0"/>
        <w:rPr>
          <w:sz w:val="20"/>
          <w:szCs w:val="20"/>
          <w:color w:val="auto"/>
        </w:rPr>
      </w:pPr>
      <w:r>
        <w:rPr>
          <w:rFonts w:ascii="Arial" w:cs="Arial" w:eastAsia="Arial" w:hAnsi="Arial"/>
          <w:sz w:val="22"/>
          <w:szCs w:val="22"/>
          <w:color w:val="auto"/>
        </w:rPr>
        <w:t>This Indenture is subject to the provisions of the Trust Indenture Act of 1939, as amended (the “Trust Indenture Act” or “TIA”), that are deemed to be incorporated into this Indenture and shall, to the extent applicable, be governed by such provisions.</w:t>
      </w:r>
    </w:p>
    <w:p>
      <w:pPr>
        <w:spacing w:after="0" w:line="186" w:lineRule="exact"/>
        <w:rPr>
          <w:sz w:val="20"/>
          <w:szCs w:val="20"/>
          <w:color w:val="auto"/>
        </w:rPr>
      </w:pPr>
    </w:p>
    <w:p>
      <w:pPr>
        <w:ind w:right="960" w:firstLine="648"/>
        <w:spacing w:after="0" w:line="251" w:lineRule="auto"/>
        <w:rPr>
          <w:sz w:val="20"/>
          <w:szCs w:val="20"/>
          <w:color w:val="auto"/>
        </w:rPr>
      </w:pPr>
      <w:r>
        <w:rPr>
          <w:rFonts w:ascii="Arial" w:cs="Arial" w:eastAsia="Arial" w:hAnsi="Arial"/>
          <w:sz w:val="22"/>
          <w:szCs w:val="22"/>
          <w:color w:val="auto"/>
        </w:rPr>
        <w:t>All things necessary to make this Indenture a valid and legally binding agreement of the Company, in accordance with its terms, have been done.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NOW, THEREFORE, THIS INDENTURE WITNESSETH:</w:t>
      </w:r>
    </w:p>
    <w:p>
      <w:pPr>
        <w:spacing w:after="0" w:line="206" w:lineRule="exact"/>
        <w:rPr>
          <w:sz w:val="20"/>
          <w:szCs w:val="20"/>
          <w:color w:val="auto"/>
        </w:rPr>
      </w:pPr>
    </w:p>
    <w:p>
      <w:pPr>
        <w:jc w:val="both"/>
        <w:ind w:right="40" w:firstLine="648"/>
        <w:spacing w:after="0"/>
        <w:rPr>
          <w:sz w:val="20"/>
          <w:szCs w:val="20"/>
          <w:color w:val="auto"/>
        </w:rPr>
      </w:pPr>
      <w:r>
        <w:rPr>
          <w:rFonts w:ascii="Arial" w:cs="Arial" w:eastAsia="Arial" w:hAnsi="Arial"/>
          <w:sz w:val="22"/>
          <w:szCs w:val="22"/>
          <w:color w:val="auto"/>
        </w:rPr>
        <w:t>For and in consideration of the premises and the purchase of the Securities by the Holders thereof, it is mutually covenanted and agreed, for the equal and proportionate benefit of all Holders of the Securities or of a Series thereof, as follows: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ARTICLE ONE - DEFINITIONS AND OTHER PROVISIONS OF GENERAL APPLICATION</w:t>
      </w:r>
    </w:p>
    <w:p>
      <w:pPr>
        <w:spacing w:after="0" w:line="206" w:lineRule="exact"/>
        <w:rPr>
          <w:sz w:val="20"/>
          <w:szCs w:val="20"/>
          <w:color w:val="auto"/>
        </w:rPr>
      </w:pPr>
    </w:p>
    <w:p>
      <w:pPr>
        <w:ind w:right="320" w:firstLine="648"/>
        <w:spacing w:after="0" w:line="251"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Definitions</w:t>
      </w:r>
      <w:r>
        <w:rPr>
          <w:rFonts w:ascii="Arial" w:cs="Arial" w:eastAsia="Arial" w:hAnsi="Arial"/>
          <w:sz w:val="22"/>
          <w:szCs w:val="22"/>
          <w:color w:val="auto"/>
        </w:rPr>
        <w:t>. For all purposes of this Indenture, except as otherwise expressly provided or unless the context otherwise requires:</w:t>
      </w:r>
    </w:p>
    <w:p>
      <w:pPr>
        <w:spacing w:after="0" w:line="173" w:lineRule="exact"/>
        <w:rPr>
          <w:sz w:val="20"/>
          <w:szCs w:val="20"/>
          <w:color w:val="auto"/>
        </w:rPr>
      </w:pPr>
    </w:p>
    <w:p>
      <w:pPr>
        <w:ind w:left="640" w:right="120" w:firstLine="648"/>
        <w:spacing w:after="0" w:line="251" w:lineRule="auto"/>
        <w:tabs>
          <w:tab w:leader="none" w:pos="1972"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terms defined in this Article have the meanings assigned to them in this Article, and include the plural as well as the singular;</w:t>
      </w:r>
    </w:p>
    <w:p>
      <w:pPr>
        <w:spacing w:after="0" w:line="173" w:lineRule="exact"/>
        <w:rPr>
          <w:rFonts w:ascii="Arial" w:cs="Arial" w:eastAsia="Arial" w:hAnsi="Arial"/>
          <w:sz w:val="22"/>
          <w:szCs w:val="22"/>
          <w:color w:val="auto"/>
        </w:rPr>
      </w:pPr>
    </w:p>
    <w:p>
      <w:pPr>
        <w:jc w:val="both"/>
        <w:ind w:left="640" w:right="160" w:firstLine="648"/>
        <w:spacing w:after="0" w:line="251" w:lineRule="exact"/>
        <w:tabs>
          <w:tab w:leader="none" w:pos="1972" w:val="left"/>
        </w:tabs>
        <w:numPr>
          <w:ilvl w:val="0"/>
          <w:numId w:val="47"/>
        </w:numPr>
        <w:rPr>
          <w:rFonts w:ascii="Arial" w:cs="Arial" w:eastAsia="Arial" w:hAnsi="Arial"/>
          <w:sz w:val="22"/>
          <w:szCs w:val="22"/>
          <w:color w:val="auto"/>
        </w:rPr>
      </w:pPr>
      <w:r>
        <w:rPr>
          <w:rFonts w:ascii="Arial" w:cs="Arial" w:eastAsia="Arial" w:hAnsi="Arial"/>
          <w:sz w:val="22"/>
          <w:szCs w:val="22"/>
          <w:color w:val="auto"/>
        </w:rPr>
        <w:t>all other terms used herein which are defined in the TIA, either directly or by reference therein, have the meanings assigned to them therein, and the terms “cash transactions” and “self</w:t>
      </w:r>
      <w:r>
        <w:rPr>
          <w:rFonts w:ascii="MS PGothic" w:cs="MS PGothic" w:eastAsia="MS PGothic" w:hAnsi="MS PGothic"/>
          <w:sz w:val="22"/>
          <w:szCs w:val="22"/>
          <w:color w:val="auto"/>
        </w:rPr>
        <w:t>‑</w:t>
      </w:r>
      <w:r>
        <w:rPr>
          <w:rFonts w:ascii="Arial" w:cs="Arial" w:eastAsia="Arial" w:hAnsi="Arial"/>
          <w:sz w:val="22"/>
          <w:szCs w:val="22"/>
          <w:color w:val="auto"/>
        </w:rPr>
        <w:t>liquidating paper,” as used in TIA Section 311, shall have the meanings assigned to them in the rules of the Commission adopted under the TIA;</w:t>
      </w:r>
    </w:p>
    <w:p>
      <w:pPr>
        <w:spacing w:after="0" w:line="185" w:lineRule="exact"/>
        <w:rPr>
          <w:rFonts w:ascii="Arial" w:cs="Arial" w:eastAsia="Arial" w:hAnsi="Arial"/>
          <w:sz w:val="22"/>
          <w:szCs w:val="22"/>
          <w:color w:val="auto"/>
        </w:rPr>
      </w:pPr>
    </w:p>
    <w:p>
      <w:pPr>
        <w:ind w:left="640" w:right="720" w:firstLine="648"/>
        <w:spacing w:after="0" w:line="251" w:lineRule="auto"/>
        <w:tabs>
          <w:tab w:leader="none" w:pos="1972" w:val="left"/>
        </w:tabs>
        <w:numPr>
          <w:ilvl w:val="0"/>
          <w:numId w:val="47"/>
        </w:numPr>
        <w:rPr>
          <w:rFonts w:ascii="Arial" w:cs="Arial" w:eastAsia="Arial" w:hAnsi="Arial"/>
          <w:sz w:val="22"/>
          <w:szCs w:val="22"/>
          <w:color w:val="auto"/>
        </w:rPr>
      </w:pPr>
      <w:r>
        <w:rPr>
          <w:rFonts w:ascii="Arial" w:cs="Arial" w:eastAsia="Arial" w:hAnsi="Arial"/>
          <w:sz w:val="22"/>
          <w:szCs w:val="22"/>
          <w:color w:val="auto"/>
        </w:rPr>
        <w:t>all accounting terms not otherwise defined herein have the meanings assigned to them in accordance with GAAP;</w:t>
      </w:r>
    </w:p>
    <w:p>
      <w:pPr>
        <w:spacing w:after="0" w:line="173" w:lineRule="exact"/>
        <w:rPr>
          <w:rFonts w:ascii="Arial" w:cs="Arial" w:eastAsia="Arial" w:hAnsi="Arial"/>
          <w:sz w:val="22"/>
          <w:szCs w:val="22"/>
          <w:color w:val="auto"/>
        </w:rPr>
      </w:pPr>
    </w:p>
    <w:p>
      <w:pPr>
        <w:ind w:left="640" w:firstLine="648"/>
        <w:spacing w:after="0" w:line="251" w:lineRule="auto"/>
        <w:tabs>
          <w:tab w:leader="none" w:pos="1972"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reference to an “Article” or a “Section” refers to an Article or Section, as the case may be, of this Indenture; and</w:t>
      </w:r>
    </w:p>
    <w:p>
      <w:pPr>
        <w:spacing w:after="0" w:line="173" w:lineRule="exact"/>
        <w:rPr>
          <w:rFonts w:ascii="Arial" w:cs="Arial" w:eastAsia="Arial" w:hAnsi="Arial"/>
          <w:sz w:val="22"/>
          <w:szCs w:val="22"/>
          <w:color w:val="auto"/>
        </w:rPr>
      </w:pPr>
    </w:p>
    <w:p>
      <w:pPr>
        <w:ind w:left="640" w:right="420" w:firstLine="648"/>
        <w:spacing w:after="0" w:line="251" w:lineRule="auto"/>
        <w:tabs>
          <w:tab w:leader="none" w:pos="1972"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words “herein,” “hereof “and “hereunder” and other words of similar import refer to this Indenture as a whole and not to any particular Article, Section or other subdivision.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661225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57" w:name="page58"/>
    <w:bookmarkEnd w:id="57"/>
    <w:p>
      <w:pPr>
        <w:ind w:left="7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when used with respect to any Holder, has the meaning specified in Section 104.</w:t>
      </w:r>
    </w:p>
    <w:p>
      <w:pPr>
        <w:spacing w:after="0" w:line="206" w:lineRule="exact"/>
        <w:rPr>
          <w:sz w:val="20"/>
          <w:szCs w:val="20"/>
          <w:color w:val="auto"/>
        </w:rPr>
      </w:pPr>
    </w:p>
    <w:p>
      <w:pPr>
        <w:ind w:right="40"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9" w:lineRule="exact"/>
        <w:rPr>
          <w:sz w:val="20"/>
          <w:szCs w:val="20"/>
          <w:color w:val="auto"/>
        </w:rPr>
      </w:pPr>
    </w:p>
    <w:p>
      <w:pPr>
        <w:ind w:right="34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Authenticating Agent</w:t>
      </w:r>
      <w:r>
        <w:rPr>
          <w:rFonts w:ascii="Arial" w:cs="Arial" w:eastAsia="Arial" w:hAnsi="Arial"/>
          <w:sz w:val="22"/>
          <w:szCs w:val="22"/>
          <w:color w:val="auto"/>
        </w:rPr>
        <w:t>” means any Person authorized by the Trustee pursuant to Section 611 hereof to act on behalf of the Trustee to authenticate Securities of one or more Series.</w:t>
      </w:r>
    </w:p>
    <w:p>
      <w:pPr>
        <w:spacing w:after="0" w:line="173"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Authorized Newspaper</w:t>
      </w:r>
      <w:r>
        <w:rPr>
          <w:rFonts w:ascii="Arial" w:cs="Arial" w:eastAsia="Arial" w:hAnsi="Arial"/>
          <w:sz w:val="19"/>
          <w:szCs w:val="19"/>
          <w:color w:val="auto"/>
        </w:rPr>
        <w:t>” means a newspaper, printed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Whenever successive publications are required to be made in Authorized Newspapers, the successive publications may be made in the same or in different Authorized Newspapers in the same city meeting the foregoing requirements and in each case on any Business Day.</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Law</w:t>
      </w:r>
      <w:r>
        <w:rPr>
          <w:rFonts w:ascii="Arial" w:cs="Arial" w:eastAsia="Arial" w:hAnsi="Arial"/>
          <w:sz w:val="22"/>
          <w:szCs w:val="22"/>
          <w:color w:val="auto"/>
        </w:rPr>
        <w:t>” has the meaning specified in Section 501.</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Bearer Security</w:t>
      </w:r>
      <w:r>
        <w:rPr>
          <w:rFonts w:ascii="Arial" w:cs="Arial" w:eastAsia="Arial" w:hAnsi="Arial"/>
          <w:sz w:val="19"/>
          <w:szCs w:val="19"/>
          <w:color w:val="auto"/>
        </w:rPr>
        <w:t>” means any Security established pursuant to Section 201 which is payable to the bearer.</w:t>
      </w:r>
    </w:p>
    <w:p>
      <w:pPr>
        <w:spacing w:after="0" w:line="241" w:lineRule="exact"/>
        <w:rPr>
          <w:sz w:val="20"/>
          <w:szCs w:val="20"/>
          <w:color w:val="auto"/>
        </w:rPr>
      </w:pPr>
    </w:p>
    <w:p>
      <w:pPr>
        <w:ind w:right="6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 of Directors</w:t>
      </w:r>
      <w:r>
        <w:rPr>
          <w:rFonts w:ascii="Arial" w:cs="Arial" w:eastAsia="Arial" w:hAnsi="Arial"/>
          <w:sz w:val="21"/>
          <w:szCs w:val="21"/>
          <w:color w:val="auto"/>
        </w:rPr>
        <w:t>” when used with reference to the Company, means the board of directors of the Company, or any committee of that board duly authorized to act hereunder, or any director or directors and/or officer or officers of the Company, to whom the board or committee shall have duly delegated its authority.</w:t>
      </w:r>
    </w:p>
    <w:p>
      <w:pPr>
        <w:spacing w:after="0" w:line="167" w:lineRule="exact"/>
        <w:rPr>
          <w:sz w:val="20"/>
          <w:szCs w:val="20"/>
          <w:color w:val="auto"/>
        </w:rPr>
      </w:pPr>
    </w:p>
    <w:p>
      <w:pPr>
        <w:ind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 Resolution</w:t>
      </w:r>
      <w:r>
        <w:rPr>
          <w:rFonts w:ascii="Arial" w:cs="Arial" w:eastAsia="Arial" w:hAnsi="Arial"/>
          <w:sz w:val="21"/>
          <w:szCs w:val="21"/>
          <w:color w:val="auto"/>
        </w:rPr>
        <w:t>” means a copy of (1) a resolution certified by the Secretary or an Assistant Secretary of the Company to have been duly adopted by the Board of Directors or a duly authorized committee of the Board of Directors and to be in full force and effect on the date of such certification, or (2) a certificate signed by the director or directors and/or officer or officers to whom the Board of Directors shall have duly delegated its authority, together with a resolution certified by the Secretary or an Assistant Secretary of the Company to have been duly adopted by the Board of Directors and to be in full force and effect on the date of such certification authorizing such delegation, and, in each case, delivered to the Trustee.</w:t>
      </w:r>
    </w:p>
    <w:p>
      <w:pPr>
        <w:spacing w:after="0" w:line="178" w:lineRule="exact"/>
        <w:rPr>
          <w:sz w:val="20"/>
          <w:szCs w:val="20"/>
          <w:color w:val="auto"/>
        </w:rPr>
      </w:pPr>
    </w:p>
    <w:p>
      <w:pPr>
        <w:ind w:right="18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when used with respect to any Place of Payment or any other particular location referred to in this Indenture or in the Securities, means, unless otherwise specified with respect to any Securities issued pursuant to Section 301, any day, other than a Saturday or Sunday, that is neither a legal holiday nor a day on which banking institutions in that Place of Payment or particular location are authorized or required by law, regulation or executive order to close.</w:t>
      </w:r>
    </w:p>
    <w:p>
      <w:pPr>
        <w:spacing w:after="0" w:line="188" w:lineRule="exact"/>
        <w:rPr>
          <w:sz w:val="20"/>
          <w:szCs w:val="20"/>
          <w:color w:val="auto"/>
        </w:rPr>
      </w:pPr>
    </w:p>
    <w:p>
      <w:pPr>
        <w:ind w:right="78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means, with respect to any Person, any capital stock (including preferred stock), shares, interests, participations or other ownership interests (however designated) of such</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58" w:name="page59"/>
    <w:bookmarkEnd w:id="58"/>
    <w:p>
      <w:pPr>
        <w:ind w:right="460"/>
        <w:spacing w:after="0" w:line="251" w:lineRule="auto"/>
        <w:rPr>
          <w:sz w:val="20"/>
          <w:szCs w:val="20"/>
          <w:color w:val="auto"/>
        </w:rPr>
      </w:pPr>
      <w:r>
        <w:rPr>
          <w:rFonts w:ascii="Arial" w:cs="Arial" w:eastAsia="Arial" w:hAnsi="Arial"/>
          <w:sz w:val="22"/>
          <w:szCs w:val="22"/>
          <w:color w:val="auto"/>
        </w:rPr>
        <w:t>Person and any rights (other than debt securities convertible into or exchangeable for corporate stock), warrants or options to purchase any thereof.</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Clearstream</w:t>
      </w:r>
      <w:r>
        <w:rPr>
          <w:rFonts w:ascii="Arial" w:cs="Arial" w:eastAsia="Arial" w:hAnsi="Arial"/>
          <w:sz w:val="22"/>
          <w:szCs w:val="22"/>
          <w:color w:val="auto"/>
        </w:rPr>
        <w:t>” means Clearstream Banking Luxembourg, société anonyme, or its successor.</w:t>
      </w:r>
    </w:p>
    <w:p>
      <w:pPr>
        <w:spacing w:after="0" w:line="206" w:lineRule="exact"/>
        <w:rPr>
          <w:sz w:val="20"/>
          <w:szCs w:val="20"/>
          <w:color w:val="auto"/>
        </w:rPr>
      </w:pPr>
    </w:p>
    <w:p>
      <w:pPr>
        <w:ind w:right="68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Price</w:t>
      </w:r>
      <w:r>
        <w:rPr>
          <w:rFonts w:ascii="Arial" w:cs="Arial" w:eastAsia="Arial" w:hAnsi="Arial"/>
          <w:sz w:val="22"/>
          <w:szCs w:val="22"/>
          <w:color w:val="auto"/>
        </w:rPr>
        <w:t>” means the closing price of a share of Common Stock of the Company as reported on the NASDAQ Global Select Market.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and the regulations thereunder.</w:t>
      </w:r>
    </w:p>
    <w:p>
      <w:pPr>
        <w:spacing w:after="0" w:line="206"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Commission</w:t>
      </w:r>
      <w:r>
        <w:rPr>
          <w:rFonts w:ascii="Arial" w:cs="Arial" w:eastAsia="Arial" w:hAnsi="Arial"/>
          <w:sz w:val="19"/>
          <w:szCs w:val="19"/>
          <w:color w:val="auto"/>
        </w:rPr>
        <w:t>” means the Securities and Exchange Commission, as from time to time constituted, created under the Exchange Act, or, if at any time after execution of this instrument such Commission is not existing and performing the duties now assigned to it under the Trust Indenture Act, then the body performing such duties on such date.</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Depository</w:t>
      </w:r>
      <w:r>
        <w:rPr>
          <w:rFonts w:ascii="Arial" w:cs="Arial" w:eastAsia="Arial" w:hAnsi="Arial"/>
          <w:sz w:val="22"/>
          <w:szCs w:val="22"/>
          <w:color w:val="auto"/>
        </w:rPr>
        <w:t>” has the meaning specified in Section 304.</w:t>
      </w:r>
    </w:p>
    <w:p>
      <w:pPr>
        <w:spacing w:after="0" w:line="206"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with respect to any Person, all shares of capital stock issued by such Person other than Preferred Stock.</w:t>
      </w:r>
    </w:p>
    <w:p>
      <w:pPr>
        <w:spacing w:after="0" w:line="173"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the Person named as the “Company” in the first paragraph of this Indenture until a successor corporation shall have become such pursuant to the applicable provisions of this Indenture, and thereafter “Company” shall mean such successor corporation.</w:t>
      </w:r>
    </w:p>
    <w:p>
      <w:pPr>
        <w:spacing w:after="0" w:line="186"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Request</w:t>
      </w:r>
      <w:r>
        <w:rPr>
          <w:rFonts w:ascii="Arial" w:cs="Arial" w:eastAsia="Arial" w:hAnsi="Arial"/>
          <w:sz w:val="19"/>
          <w:szCs w:val="19"/>
          <w:color w:val="auto"/>
        </w:rPr>
        <w:t>” and “</w:t>
      </w:r>
      <w:r>
        <w:rPr>
          <w:rFonts w:ascii="Arial" w:cs="Arial" w:eastAsia="Arial" w:hAnsi="Arial"/>
          <w:sz w:val="19"/>
          <w:szCs w:val="19"/>
          <w:u w:val="single" w:color="auto"/>
          <w:color w:val="auto"/>
        </w:rPr>
        <w:t>Company Order</w:t>
      </w:r>
      <w:r>
        <w:rPr>
          <w:rFonts w:ascii="Arial" w:cs="Arial" w:eastAsia="Arial" w:hAnsi="Arial"/>
          <w:sz w:val="19"/>
          <w:szCs w:val="19"/>
          <w:color w:val="auto"/>
        </w:rPr>
        <w:t>” mean, respectively, a written request or order signed in the name of the Company by its Chairman of the Board, the Chief Executive Officer, the President, or a Vice President, and by its Treasurer, an Assistant Treasurer, the Secretary or an Assistant Secretary, of the Company, and delivered to the Trustee.</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Constituent Person</w:t>
      </w:r>
      <w:r>
        <w:rPr>
          <w:rFonts w:ascii="Arial" w:cs="Arial" w:eastAsia="Arial" w:hAnsi="Arial"/>
          <w:sz w:val="22"/>
          <w:szCs w:val="22"/>
          <w:color w:val="auto"/>
        </w:rPr>
        <w:t>” has the meaning specified in Section 1611.</w:t>
      </w:r>
    </w:p>
    <w:p>
      <w:pPr>
        <w:spacing w:after="0" w:line="206"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Conversion Event</w:t>
      </w:r>
      <w:r>
        <w:rPr>
          <w:rFonts w:ascii="Arial" w:cs="Arial" w:eastAsia="Arial" w:hAnsi="Arial"/>
          <w:sz w:val="21"/>
          <w:szCs w:val="21"/>
          <w:color w:val="auto"/>
        </w:rPr>
        <w:t>” means the cessation of use of (i) a Foreign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Conversion Price</w:t>
      </w:r>
      <w:r>
        <w:rPr>
          <w:rFonts w:ascii="Arial" w:cs="Arial" w:eastAsia="Arial" w:hAnsi="Arial"/>
          <w:sz w:val="22"/>
          <w:szCs w:val="22"/>
          <w:color w:val="auto"/>
        </w:rPr>
        <w:t>” has the meaning specified in Section 1601.</w:t>
      </w:r>
    </w:p>
    <w:p>
      <w:pPr>
        <w:spacing w:after="0" w:line="206" w:lineRule="exact"/>
        <w:rPr>
          <w:sz w:val="20"/>
          <w:szCs w:val="20"/>
          <w:color w:val="auto"/>
        </w:rPr>
      </w:pPr>
    </w:p>
    <w:p>
      <w:pPr>
        <w:jc w:val="both"/>
        <w:ind w:right="46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Corporate Trust Office</w:t>
      </w:r>
      <w:r>
        <w:rPr>
          <w:rFonts w:ascii="Arial" w:cs="Arial" w:eastAsia="Arial" w:hAnsi="Arial"/>
          <w:sz w:val="19"/>
          <w:szCs w:val="19"/>
          <w:color w:val="auto"/>
        </w:rPr>
        <w:t>” means the office of the Trustee at which, at any particular time, its corporate trust business shall be principally administered, which office at the date hereof is located at [____________________].</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corporation</w:t>
      </w:r>
      <w:r>
        <w:rPr>
          <w:rFonts w:ascii="Arial" w:cs="Arial" w:eastAsia="Arial" w:hAnsi="Arial"/>
          <w:sz w:val="22"/>
          <w:szCs w:val="22"/>
          <w:color w:val="auto"/>
        </w:rPr>
        <w:t>” includes corporations, associations, companies and business trusts.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361" w:right="799" w:bottom="1440" w:gutter="0" w:footer="0" w:header="0"/>
        </w:sectPr>
      </w:pPr>
    </w:p>
    <w:bookmarkStart w:id="59" w:name="page60"/>
    <w:bookmarkEnd w:id="59"/>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coupon</w:t>
      </w:r>
      <w:r>
        <w:rPr>
          <w:rFonts w:ascii="Arial" w:cs="Arial" w:eastAsia="Arial" w:hAnsi="Arial"/>
          <w:sz w:val="22"/>
          <w:szCs w:val="22"/>
          <w:color w:val="auto"/>
        </w:rPr>
        <w:t>” means any interest coupon appertaining to a Bearer Security.</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Covenant Defeasance</w:t>
      </w:r>
      <w:r>
        <w:rPr>
          <w:rFonts w:ascii="Arial" w:cs="Arial" w:eastAsia="Arial" w:hAnsi="Arial"/>
          <w:sz w:val="22"/>
          <w:szCs w:val="22"/>
          <w:color w:val="auto"/>
        </w:rPr>
        <w:t>” has the meaning specified in Section 1403.</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Custodian</w:t>
      </w:r>
      <w:r>
        <w:rPr>
          <w:rFonts w:ascii="Arial" w:cs="Arial" w:eastAsia="Arial" w:hAnsi="Arial"/>
          <w:sz w:val="22"/>
          <w:szCs w:val="22"/>
          <w:color w:val="auto"/>
        </w:rPr>
        <w:t>” has the meaning specified in Section 501.</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Defaulted Interest</w:t>
      </w:r>
      <w:r>
        <w:rPr>
          <w:rFonts w:ascii="Arial" w:cs="Arial" w:eastAsia="Arial" w:hAnsi="Arial"/>
          <w:sz w:val="22"/>
          <w:szCs w:val="22"/>
          <w:color w:val="auto"/>
        </w:rPr>
        <w:t>” has the meaning specified in Section 307.</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Defeasance</w:t>
      </w:r>
      <w:r>
        <w:rPr>
          <w:rFonts w:ascii="Arial" w:cs="Arial" w:eastAsia="Arial" w:hAnsi="Arial"/>
          <w:sz w:val="22"/>
          <w:szCs w:val="22"/>
          <w:color w:val="auto"/>
        </w:rPr>
        <w:t>” has the meaning specified in Section 1402.</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 Record Date</w:t>
      </w:r>
      <w:r>
        <w:rPr>
          <w:rFonts w:ascii="Arial" w:cs="Arial" w:eastAsia="Arial" w:hAnsi="Arial"/>
          <w:sz w:val="22"/>
          <w:szCs w:val="22"/>
          <w:color w:val="auto"/>
        </w:rPr>
        <w:t>” has the meaning specified in Section 1611.</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Dividend Record Date</w:t>
      </w:r>
      <w:r>
        <w:rPr>
          <w:rFonts w:ascii="Arial" w:cs="Arial" w:eastAsia="Arial" w:hAnsi="Arial"/>
          <w:sz w:val="22"/>
          <w:szCs w:val="22"/>
          <w:color w:val="auto"/>
        </w:rPr>
        <w:t>” has the meaning specified in Section 1604.</w:t>
      </w:r>
    </w:p>
    <w:p>
      <w:pPr>
        <w:spacing w:after="0" w:line="206" w:lineRule="exact"/>
        <w:rPr>
          <w:sz w:val="20"/>
          <w:szCs w:val="20"/>
          <w:color w:val="auto"/>
        </w:rPr>
      </w:pPr>
    </w:p>
    <w:p>
      <w:pPr>
        <w:ind w:right="1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Dollar</w:t>
      </w:r>
      <w:r>
        <w:rPr>
          <w:rFonts w:ascii="Arial" w:cs="Arial" w:eastAsia="Arial" w:hAnsi="Arial"/>
          <w:sz w:val="21"/>
          <w:szCs w:val="21"/>
          <w:color w:val="auto"/>
        </w:rPr>
        <w:t>” or the sign “</w:t>
      </w:r>
      <w:r>
        <w:rPr>
          <w:rFonts w:ascii="Arial" w:cs="Arial" w:eastAsia="Arial" w:hAnsi="Arial"/>
          <w:sz w:val="21"/>
          <w:szCs w:val="21"/>
          <w:u w:val="single" w:color="auto"/>
          <w:color w:val="auto"/>
        </w:rPr>
        <w:t>$</w:t>
      </w:r>
      <w:r>
        <w:rPr>
          <w:rFonts w:ascii="Arial" w:cs="Arial" w:eastAsia="Arial" w:hAnsi="Arial"/>
          <w:sz w:val="21"/>
          <w:szCs w:val="21"/>
          <w:color w:val="auto"/>
        </w:rPr>
        <w:t>” means a dollar or other equivalent unit in such coin or currency of the United States of America as at the time of payment is legal tender for the payment of public and private debts.</w:t>
      </w:r>
    </w:p>
    <w:p>
      <w:pPr>
        <w:spacing w:after="0" w:line="151" w:lineRule="exact"/>
        <w:rPr>
          <w:sz w:val="20"/>
          <w:szCs w:val="20"/>
          <w:color w:val="auto"/>
        </w:rPr>
      </w:pPr>
    </w:p>
    <w:p>
      <w:pPr>
        <w:ind w:right="24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DTC</w:t>
      </w:r>
      <w:r>
        <w:rPr>
          <w:rFonts w:ascii="Arial" w:cs="Arial" w:eastAsia="Arial" w:hAnsi="Arial"/>
          <w:sz w:val="22"/>
          <w:szCs w:val="22"/>
          <w:color w:val="auto"/>
        </w:rPr>
        <w:t>” means The Depository Trust Company and any successor to DTC in its capacity as depository for any Securities.</w:t>
      </w:r>
    </w:p>
    <w:p>
      <w:pPr>
        <w:spacing w:after="0" w:line="173" w:lineRule="exact"/>
        <w:rPr>
          <w:sz w:val="20"/>
          <w:szCs w:val="20"/>
          <w:color w:val="auto"/>
        </w:rPr>
      </w:pPr>
    </w:p>
    <w:p>
      <w:pPr>
        <w:ind w:right="56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ECU</w:t>
      </w:r>
      <w:r>
        <w:rPr>
          <w:rFonts w:ascii="Arial" w:cs="Arial" w:eastAsia="Arial" w:hAnsi="Arial"/>
          <w:sz w:val="22"/>
          <w:szCs w:val="22"/>
          <w:color w:val="auto"/>
        </w:rPr>
        <w:t>” means the European Currency Unit as defined and revised from time to time by the Council of the European Communities.</w:t>
      </w:r>
    </w:p>
    <w:p>
      <w:pPr>
        <w:spacing w:after="0" w:line="173" w:lineRule="exact"/>
        <w:rPr>
          <w:sz w:val="20"/>
          <w:szCs w:val="20"/>
          <w:color w:val="auto"/>
        </w:rPr>
      </w:pPr>
    </w:p>
    <w:p>
      <w:pPr>
        <w:ind w:right="4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Euroclear</w:t>
      </w:r>
      <w:r>
        <w:rPr>
          <w:rFonts w:ascii="Arial" w:cs="Arial" w:eastAsia="Arial" w:hAnsi="Arial"/>
          <w:sz w:val="22"/>
          <w:szCs w:val="22"/>
          <w:color w:val="auto"/>
        </w:rPr>
        <w:t>” means Morgan Guaranty Trust Company of New York, Brussels office, or its successor, as operator of the Euroclear System.</w:t>
      </w:r>
    </w:p>
    <w:p>
      <w:pPr>
        <w:spacing w:after="0" w:line="17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European Communities</w:t>
      </w:r>
      <w:r>
        <w:rPr>
          <w:rFonts w:ascii="Arial" w:cs="Arial" w:eastAsia="Arial" w:hAnsi="Arial"/>
          <w:sz w:val="22"/>
          <w:szCs w:val="22"/>
          <w:color w:val="auto"/>
        </w:rPr>
        <w:t>” means the European Economic Community, the European Coal and Steel Community and the European Atomic Energy Community.</w:t>
      </w:r>
    </w:p>
    <w:p>
      <w:pPr>
        <w:spacing w:after="0" w:line="173" w:lineRule="exact"/>
        <w:rPr>
          <w:sz w:val="20"/>
          <w:szCs w:val="20"/>
          <w:color w:val="auto"/>
        </w:rPr>
      </w:pPr>
    </w:p>
    <w:p>
      <w:pPr>
        <w:ind w:right="9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European Monetary System</w:t>
      </w:r>
      <w:r>
        <w:rPr>
          <w:rFonts w:ascii="Arial" w:cs="Arial" w:eastAsia="Arial" w:hAnsi="Arial"/>
          <w:sz w:val="22"/>
          <w:szCs w:val="22"/>
          <w:color w:val="auto"/>
        </w:rPr>
        <w:t>” means the European Monetary System established by the Resolution of December 5, 1978 of the Council of the European Communities.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has the meaning specified in Article Five.</w:t>
      </w:r>
    </w:p>
    <w:p>
      <w:pPr>
        <w:spacing w:after="0" w:line="20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xml:space="preserve">” means the Securities Exchange Act of 1934, as amended, as in force at the date as of which this Indenture was executed;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the Exchange Act is amended after such date, “Exchange Act” means to the extent required by any such amendment, the Exchange Act as so amended.</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Date</w:t>
      </w:r>
      <w:r>
        <w:rPr>
          <w:rFonts w:ascii="Arial" w:cs="Arial" w:eastAsia="Arial" w:hAnsi="Arial"/>
          <w:sz w:val="22"/>
          <w:szCs w:val="22"/>
          <w:color w:val="auto"/>
        </w:rPr>
        <w:t>” has the meaning specified in Section 304.</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FINRA</w:t>
      </w:r>
      <w:r>
        <w:rPr>
          <w:rFonts w:ascii="Arial" w:cs="Arial" w:eastAsia="Arial" w:hAnsi="Arial"/>
          <w:sz w:val="22"/>
          <w:szCs w:val="22"/>
          <w:color w:val="auto"/>
        </w:rPr>
        <w:t>” means the Financial Industry Regulatory Authority, Inc.</w:t>
      </w:r>
    </w:p>
    <w:p>
      <w:pPr>
        <w:spacing w:after="0" w:line="206" w:lineRule="exact"/>
        <w:rPr>
          <w:sz w:val="20"/>
          <w:szCs w:val="20"/>
          <w:color w:val="auto"/>
        </w:rPr>
      </w:pPr>
    </w:p>
    <w:p>
      <w:pPr>
        <w:ind w:firstLine="7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Currency</w:t>
      </w:r>
      <w:r>
        <w:rPr>
          <w:rFonts w:ascii="Arial" w:cs="Arial" w:eastAsia="Arial" w:hAnsi="Arial"/>
          <w:sz w:val="22"/>
          <w:szCs w:val="22"/>
          <w:color w:val="auto"/>
        </w:rPr>
        <w:t>” means any currency, currency unit or composite currency, including, without limitation, the ECU issued by the government of one or more countries other than the United States of America or by any recognized confederation or association of such governments.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60" w:name="page61"/>
    <w:bookmarkEnd w:id="60"/>
    <w:p>
      <w:pPr>
        <w:ind w:right="46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except as otherwise provided herein, generally accepted accounting principles, as in effect from time to time, as used in the United States applied on a consistent basis.</w:t>
      </w:r>
    </w:p>
    <w:p>
      <w:pPr>
        <w:spacing w:after="0" w:line="173" w:lineRule="exact"/>
        <w:rPr>
          <w:sz w:val="20"/>
          <w:szCs w:val="20"/>
          <w:color w:val="auto"/>
        </w:rPr>
      </w:pPr>
    </w:p>
    <w:p>
      <w:pPr>
        <w:ind w:right="2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Global Security</w:t>
      </w:r>
      <w:r>
        <w:rPr>
          <w:rFonts w:ascii="Arial" w:cs="Arial" w:eastAsia="Arial" w:hAnsi="Arial"/>
          <w:sz w:val="22"/>
          <w:szCs w:val="22"/>
          <w:color w:val="auto"/>
        </w:rPr>
        <w:t>” means a Security evidencing all or a part of a series of Securities issued to and registered in the name of the depository for such series, or its nominee, in accordance with Section 305, and bearing the legend prescribed in Section 203.</w:t>
      </w:r>
    </w:p>
    <w:p>
      <w:pPr>
        <w:spacing w:after="0" w:line="186" w:lineRule="exact"/>
        <w:rPr>
          <w:sz w:val="20"/>
          <w:szCs w:val="20"/>
          <w:color w:val="auto"/>
        </w:rPr>
      </w:pPr>
    </w:p>
    <w:p>
      <w:pPr>
        <w:ind w:right="60"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 Obligations</w:t>
      </w:r>
      <w:r>
        <w:rPr>
          <w:rFonts w:ascii="Arial" w:cs="Arial" w:eastAsia="Arial" w:hAnsi="Arial"/>
          <w:sz w:val="21"/>
          <w:szCs w:val="21"/>
          <w:color w:val="auto"/>
        </w:rPr>
        <w:t xml:space="preserve">” means (i) securities which are (A) direct obligations of the United States of America or the government which issued the Foreign Currency in which the Securities of a particular series are payable, for the payment of which its full faith and credit is pledged or (B) obligations of a Person controlled or supervised by and acting as an agency or instrumentality of the United States of America or such government which issued the Foreign Currency in which the Securities of such series are payable, the payment of which is unconditionally guaranteed as a full faith and credit obligation by the United States of America or such other government, which, in either case, are not callable or redeemable at the option of the issuer thereof, and (iii)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85" w:lineRule="exact"/>
        <w:rPr>
          <w:sz w:val="20"/>
          <w:szCs w:val="20"/>
          <w:color w:val="auto"/>
        </w:rPr>
      </w:pPr>
    </w:p>
    <w:p>
      <w:pPr>
        <w:jc w:val="both"/>
        <w:ind w:right="26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Holder</w:t>
      </w:r>
      <w:r>
        <w:rPr>
          <w:rFonts w:ascii="Arial" w:cs="Arial" w:eastAsia="Arial" w:hAnsi="Arial"/>
          <w:sz w:val="22"/>
          <w:szCs w:val="22"/>
          <w:color w:val="auto"/>
        </w:rPr>
        <w:t>”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86"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Indenture</w:t>
      </w:r>
      <w:r>
        <w:rPr>
          <w:rFonts w:ascii="Arial" w:cs="Arial" w:eastAsia="Arial" w:hAnsi="Arial"/>
          <w:sz w:val="19"/>
          <w:szCs w:val="19"/>
          <w:color w:val="auto"/>
        </w:rPr>
        <w:t xml:space="preserve">” means this instrument as originally executed or as it may be supplemented or amended from time to time by one or more indentures supplemental hereto entered into pursuant to the applicable provisions hereof, and shall include the terms of particular series of Securities established as contemplated by Section 301;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at any time more than one Person is acting as Trustee under this instrument, “Indenture” shall mean, with respect to any one or more series of Securities for which such Person is Trustee, this instrument as originally executed or as it may be supplemented or amended from time to time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which relate solely to other series of Securities for which such Person is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200" w:lineRule="exact"/>
        <w:rPr>
          <w:sz w:val="20"/>
          <w:szCs w:val="20"/>
          <w:color w:val="auto"/>
        </w:rPr>
      </w:pPr>
    </w:p>
    <w:p>
      <w:pPr>
        <w:spacing w:after="0" w:line="209" w:lineRule="exact"/>
        <w:rPr>
          <w:sz w:val="20"/>
          <w:szCs w:val="20"/>
          <w:color w:val="auto"/>
        </w:rPr>
      </w:pPr>
    </w:p>
    <w:p>
      <w:pPr>
        <w:ind w:right="34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Indexed Security</w:t>
      </w:r>
      <w:r>
        <w:rPr>
          <w:rFonts w:ascii="Arial" w:cs="Arial" w:eastAsia="Arial" w:hAnsi="Arial"/>
          <w:sz w:val="21"/>
          <w:szCs w:val="21"/>
          <w:color w:val="auto"/>
        </w:rPr>
        <w:t>” means a Security the terms of which provide that the principal amount thereof payable at Stated Maturity may be more or less than the principal face amount thereof at original issuance.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61" w:name="page62"/>
    <w:bookmarkEnd w:id="61"/>
    <w:p>
      <w:pPr>
        <w:ind w:right="1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w:t>
      </w:r>
      <w:r>
        <w:rPr>
          <w:rFonts w:ascii="Arial" w:cs="Arial" w:eastAsia="Arial" w:hAnsi="Arial"/>
          <w:sz w:val="22"/>
          <w:szCs w:val="22"/>
          <w:color w:val="auto"/>
        </w:rPr>
        <w:t>,” when used with respect to an Original Issue Discount Security which by its terms bears interest only after Maturity, shall mean interest payable after Maturity.</w:t>
      </w:r>
    </w:p>
    <w:p>
      <w:pPr>
        <w:spacing w:after="0" w:line="17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when used with respect to any Security, means the Stated Maturity of an installment of interest on such Security.</w:t>
      </w:r>
    </w:p>
    <w:p>
      <w:pPr>
        <w:spacing w:after="0" w:line="173" w:lineRule="exact"/>
        <w:rPr>
          <w:sz w:val="20"/>
          <w:szCs w:val="20"/>
          <w:color w:val="auto"/>
        </w:rPr>
      </w:pPr>
    </w:p>
    <w:p>
      <w:pPr>
        <w:ind w:right="20"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Make-Whole Amount</w:t>
      </w:r>
      <w:r>
        <w:rPr>
          <w:rFonts w:ascii="Arial" w:cs="Arial" w:eastAsia="Arial" w:hAnsi="Arial"/>
          <w:sz w:val="21"/>
          <w:szCs w:val="21"/>
          <w:color w:val="auto"/>
        </w:rPr>
        <w:t>,” when used with respect to any Security, means the amount, if any, in addition to principal (and accrued interest thereon, if any) which is required by a Security, under the terms and conditions specified therein or as otherwise specified as contemplated by Section 301, to be paid by the Company to the Holder thereof in connection with any optional redemption or accelerated payment of such Security.</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mandatory sinking fund payment</w:t>
      </w:r>
      <w:r>
        <w:rPr>
          <w:rFonts w:ascii="Arial" w:cs="Arial" w:eastAsia="Arial" w:hAnsi="Arial"/>
          <w:sz w:val="22"/>
          <w:szCs w:val="22"/>
          <w:color w:val="auto"/>
        </w:rPr>
        <w:t>” has the meaning specified in Section 1201.</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Market Value of the Distribution</w:t>
      </w:r>
      <w:r>
        <w:rPr>
          <w:rFonts w:ascii="Arial" w:cs="Arial" w:eastAsia="Arial" w:hAnsi="Arial"/>
          <w:sz w:val="22"/>
          <w:szCs w:val="22"/>
          <w:color w:val="auto"/>
        </w:rPr>
        <w:t>” has the meaning specified in Section 1604.</w:t>
      </w:r>
    </w:p>
    <w:p>
      <w:pPr>
        <w:spacing w:after="0" w:line="206" w:lineRule="exact"/>
        <w:rPr>
          <w:sz w:val="20"/>
          <w:szCs w:val="20"/>
          <w:color w:val="auto"/>
        </w:rPr>
      </w:pPr>
    </w:p>
    <w:p>
      <w:pPr>
        <w:ind w:right="120"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Maturity</w:t>
      </w:r>
      <w:r>
        <w:rPr>
          <w:rFonts w:ascii="Arial" w:cs="Arial" w:eastAsia="Arial" w:hAnsi="Arial"/>
          <w:sz w:val="19"/>
          <w:szCs w:val="19"/>
          <w:color w:val="auto"/>
        </w:rPr>
        <w:t>,” when used with respect to any Security, means the date on which the principal (or, if the context so requires, in the case of an Original Issue Discount Security, or lesser amount or, in the case of an Indexed Security, an amount determined in accordance with the specified terms of that Security) of such Security or an installment of principal becomes due and payable as therein or herein provided, whether at the Stated Maturity or by declaration of acceleration, notice of redemption, notice of option to elect repayment or otherwise.</w:t>
      </w:r>
    </w:p>
    <w:p>
      <w:pPr>
        <w:spacing w:after="0" w:line="148" w:lineRule="exact"/>
        <w:rPr>
          <w:sz w:val="20"/>
          <w:szCs w:val="20"/>
          <w:color w:val="auto"/>
        </w:rPr>
      </w:pPr>
    </w:p>
    <w:p>
      <w:pPr>
        <w:ind w:right="24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Officers’ Certificate</w:t>
      </w:r>
      <w:r>
        <w:rPr>
          <w:rFonts w:ascii="Arial" w:cs="Arial" w:eastAsia="Arial" w:hAnsi="Arial"/>
          <w:sz w:val="22"/>
          <w:szCs w:val="22"/>
          <w:color w:val="auto"/>
        </w:rPr>
        <w:t>” means a certificate signed by the Chairman of the Board of Directors, the Chief Executive Officer, the President, or a Vice President (whether or not designated by a number or word or words added before or after the title “Vice President”), and by the Treasurer, an Assistant Treasurer, the Secretary or an Assistant Secretary of the Company, and delivered to the Trustee.</w:t>
      </w:r>
    </w:p>
    <w:p>
      <w:pPr>
        <w:spacing w:after="0" w:line="185"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Opinion of Counsel</w:t>
      </w:r>
      <w:r>
        <w:rPr>
          <w:rFonts w:ascii="Arial" w:cs="Arial" w:eastAsia="Arial" w:hAnsi="Arial"/>
          <w:sz w:val="22"/>
          <w:szCs w:val="22"/>
          <w:color w:val="auto"/>
        </w:rPr>
        <w:t>” means a written opinion of counsel, who may be counsel for the Company or who may be an employee of or other counsel for the Company.</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optional sinking fund payment</w:t>
      </w:r>
      <w:r>
        <w:rPr>
          <w:rFonts w:ascii="Arial" w:cs="Arial" w:eastAsia="Arial" w:hAnsi="Arial"/>
          <w:sz w:val="22"/>
          <w:szCs w:val="22"/>
          <w:color w:val="auto"/>
        </w:rPr>
        <w:t>” has the meaning specified in Section 1201.</w:t>
      </w:r>
    </w:p>
    <w:p>
      <w:pPr>
        <w:spacing w:after="0" w:line="206" w:lineRule="exact"/>
        <w:rPr>
          <w:sz w:val="20"/>
          <w:szCs w:val="20"/>
          <w:color w:val="auto"/>
        </w:rPr>
      </w:pPr>
    </w:p>
    <w:p>
      <w:pPr>
        <w:jc w:val="both"/>
        <w:ind w:right="1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Issue Discount Security</w:t>
      </w:r>
      <w:r>
        <w:rPr>
          <w:rFonts w:ascii="Arial" w:cs="Arial" w:eastAsia="Arial" w:hAnsi="Arial"/>
          <w:sz w:val="22"/>
          <w:szCs w:val="22"/>
          <w:color w:val="auto"/>
        </w:rPr>
        <w:t>” means any Security which provides for an amount (excluding any amounts attributable to accrued but unpaid interest thereon) less than the principal amount thereof to be due and payable upon a declaration of acceleration of the Maturity thereof pursuant to Section 502.</w:t>
      </w:r>
    </w:p>
    <w:p>
      <w:pPr>
        <w:spacing w:after="0" w:line="186" w:lineRule="exact"/>
        <w:rPr>
          <w:sz w:val="20"/>
          <w:szCs w:val="20"/>
          <w:color w:val="auto"/>
        </w:rPr>
      </w:pPr>
    </w:p>
    <w:p>
      <w:pPr>
        <w:ind w:right="58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Outstanding</w:t>
      </w:r>
      <w:r>
        <w:rPr>
          <w:rFonts w:ascii="Arial" w:cs="Arial" w:eastAsia="Arial" w:hAnsi="Arial"/>
          <w:sz w:val="22"/>
          <w:szCs w:val="22"/>
          <w:color w:val="auto"/>
        </w:rPr>
        <w:t xml:space="preserve">,” when used with respect to Securities, means, as of the date of determination, all Securities theretofore authenticated and delivered under this Indenture, </w:t>
      </w:r>
      <w:r>
        <w:rPr>
          <w:rFonts w:ascii="Arial" w:cs="Arial" w:eastAsia="Arial" w:hAnsi="Arial"/>
          <w:sz w:val="22"/>
          <w:szCs w:val="22"/>
          <w:u w:val="single" w:color="auto"/>
          <w:color w:val="auto"/>
        </w:rPr>
        <w:t>except</w:t>
      </w:r>
      <w:r>
        <w:rPr>
          <w:rFonts w:ascii="Arial" w:cs="Arial" w:eastAsia="Arial" w:hAnsi="Arial"/>
          <w:sz w:val="22"/>
          <w:szCs w:val="22"/>
          <w:color w:val="auto"/>
        </w:rPr>
        <w:t>:</w:t>
      </w:r>
    </w:p>
    <w:p>
      <w:pPr>
        <w:spacing w:after="0" w:line="173" w:lineRule="exact"/>
        <w:rPr>
          <w:sz w:val="20"/>
          <w:szCs w:val="20"/>
          <w:color w:val="auto"/>
        </w:rPr>
      </w:pPr>
    </w:p>
    <w:p>
      <w:pPr>
        <w:ind w:left="2580" w:hanging="644"/>
        <w:spacing w:after="0"/>
        <w:tabs>
          <w:tab w:leader="none" w:pos="2580" w:val="left"/>
        </w:tabs>
        <w:numPr>
          <w:ilvl w:val="0"/>
          <w:numId w:val="48"/>
        </w:numPr>
        <w:rPr>
          <w:rFonts w:ascii="Arial" w:cs="Arial" w:eastAsia="Arial" w:hAnsi="Arial"/>
          <w:sz w:val="19"/>
          <w:szCs w:val="19"/>
          <w:color w:val="auto"/>
        </w:rPr>
      </w:pPr>
      <w:r>
        <w:rPr>
          <w:rFonts w:ascii="Arial" w:cs="Arial" w:eastAsia="Arial" w:hAnsi="Arial"/>
          <w:sz w:val="19"/>
          <w:szCs w:val="19"/>
          <w:color w:val="auto"/>
        </w:rPr>
        <w:t>Securities theretofore canceled by the Trustee or delivered to the Trustee for cancellation;</w:t>
      </w:r>
    </w:p>
    <w:p>
      <w:pPr>
        <w:spacing w:after="0" w:line="240" w:lineRule="exact"/>
        <w:rPr>
          <w:rFonts w:ascii="Arial" w:cs="Arial" w:eastAsia="Arial" w:hAnsi="Arial"/>
          <w:sz w:val="19"/>
          <w:szCs w:val="19"/>
          <w:color w:val="auto"/>
        </w:rPr>
      </w:pPr>
    </w:p>
    <w:p>
      <w:pPr>
        <w:jc w:val="both"/>
        <w:ind w:left="1280" w:firstLine="656"/>
        <w:spacing w:after="0"/>
        <w:tabs>
          <w:tab w:leader="none" w:pos="2570" w:val="left"/>
        </w:tabs>
        <w:numPr>
          <w:ilvl w:val="0"/>
          <w:numId w:val="48"/>
        </w:numPr>
        <w:rPr>
          <w:rFonts w:ascii="Arial" w:cs="Arial" w:eastAsia="Arial" w:hAnsi="Arial"/>
          <w:sz w:val="22"/>
          <w:szCs w:val="22"/>
          <w:color w:val="auto"/>
        </w:rPr>
      </w:pPr>
      <w:r>
        <w:rPr>
          <w:rFonts w:ascii="Arial" w:cs="Arial" w:eastAsia="Arial" w:hAnsi="Arial"/>
          <w:sz w:val="22"/>
          <w:szCs w:val="22"/>
          <w:color w:val="auto"/>
        </w:rPr>
        <w:t>Securities, or portions thereof, for whose payment or redemption (including repayment at the option of the Holder) money in the necessary amount has been theretofore deposited with the Trustee or any Paying Agent (other than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62" w:name="page63"/>
    <w:bookmarkEnd w:id="62"/>
    <w:p>
      <w:pPr>
        <w:ind w:left="1280" w:right="100"/>
        <w:spacing w:after="0" w:line="287" w:lineRule="auto"/>
        <w:rPr>
          <w:sz w:val="20"/>
          <w:szCs w:val="20"/>
          <w:color w:val="auto"/>
        </w:rPr>
      </w:pPr>
      <w:r>
        <w:rPr>
          <w:rFonts w:ascii="Arial" w:cs="Arial" w:eastAsia="Arial" w:hAnsi="Arial"/>
          <w:sz w:val="19"/>
          <w:szCs w:val="19"/>
          <w:color w:val="auto"/>
        </w:rPr>
        <w:t xml:space="preserve">the Company) in trust or set aside and segregated in trust by the Company (if the Company shall act as its own Paying Agent) for the Holders of such Securities and any coupons appertaining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Securities are to be redeemed, notice of such redemption has been duly given pursuant to this Indenture or provision therefor satisfactory to the Trustee has been made;</w:t>
      </w:r>
    </w:p>
    <w:p>
      <w:pPr>
        <w:spacing w:after="0" w:line="143" w:lineRule="exact"/>
        <w:rPr>
          <w:sz w:val="20"/>
          <w:szCs w:val="20"/>
          <w:color w:val="auto"/>
        </w:rPr>
      </w:pPr>
    </w:p>
    <w:p>
      <w:pPr>
        <w:ind w:left="1280" w:right="540" w:firstLine="656"/>
        <w:spacing w:after="0"/>
        <w:tabs>
          <w:tab w:leader="none" w:pos="2631" w:val="left"/>
        </w:tabs>
        <w:numPr>
          <w:ilvl w:val="0"/>
          <w:numId w:val="49"/>
        </w:numPr>
        <w:rPr>
          <w:rFonts w:ascii="Arial" w:cs="Arial" w:eastAsia="Arial" w:hAnsi="Arial"/>
          <w:sz w:val="22"/>
          <w:szCs w:val="22"/>
          <w:color w:val="auto"/>
        </w:rPr>
      </w:pPr>
      <w:r>
        <w:rPr>
          <w:rFonts w:ascii="Arial" w:cs="Arial" w:eastAsia="Arial" w:hAnsi="Arial"/>
          <w:sz w:val="22"/>
          <w:szCs w:val="22"/>
          <w:color w:val="auto"/>
        </w:rPr>
        <w:t>Securities, except to the extent provided in Sections 1402 and 1403, with respect to which the Company has effected Defeasance and/or Covenant Defeasance as provided in Article Fourteen; and</w:t>
      </w:r>
    </w:p>
    <w:p>
      <w:pPr>
        <w:spacing w:after="0" w:line="186" w:lineRule="exact"/>
        <w:rPr>
          <w:rFonts w:ascii="Arial" w:cs="Arial" w:eastAsia="Arial" w:hAnsi="Arial"/>
          <w:sz w:val="22"/>
          <w:szCs w:val="22"/>
          <w:color w:val="auto"/>
        </w:rPr>
      </w:pPr>
    </w:p>
    <w:p>
      <w:pPr>
        <w:ind w:left="1280" w:right="120" w:firstLine="656"/>
        <w:spacing w:after="0" w:line="236" w:lineRule="auto"/>
        <w:tabs>
          <w:tab w:leader="none" w:pos="2618" w:val="left"/>
        </w:tabs>
        <w:numPr>
          <w:ilvl w:val="0"/>
          <w:numId w:val="49"/>
        </w:numPr>
        <w:rPr>
          <w:rFonts w:ascii="Arial" w:cs="Arial" w:eastAsia="Arial" w:hAnsi="Arial"/>
          <w:sz w:val="22"/>
          <w:szCs w:val="22"/>
          <w:color w:val="auto"/>
        </w:rPr>
      </w:pPr>
      <w:r>
        <w:rPr>
          <w:rFonts w:ascii="Arial" w:cs="Arial" w:eastAsia="Arial" w:hAnsi="Arial"/>
          <w:sz w:val="22"/>
          <w:szCs w:val="22"/>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pursuant to Section 301 as of the date such Security is originally issued by the Company, of the principal amount (or, in the case of an Original Issue Discount Security, the Dollar equivalent as of such date of original issuance of the amount determined as provided in clause (i) 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 which a Responsible Officer of the Trustee actually knows to be so owned shall be so disregarded. Securities owned as provided in clause (iv) above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In case of a dispute as to such right, the advice of counsel shall be full protection in respect of any decision made by the Trustee in accordance with such advice.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63" w:name="page64"/>
    <w:bookmarkEnd w:id="63"/>
    <w:p>
      <w:pPr>
        <w:ind w:right="2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Paying Agent</w:t>
      </w:r>
      <w:r>
        <w:rPr>
          <w:rFonts w:ascii="Arial" w:cs="Arial" w:eastAsia="Arial" w:hAnsi="Arial"/>
          <w:sz w:val="21"/>
          <w:szCs w:val="21"/>
          <w:color w:val="auto"/>
        </w:rPr>
        <w:t>” means any Person authorized by the Company to pay the principal of (and premium or Make-Whole Amount, if any) or interest on any Securities or coupons on behalf of the Company.</w:t>
      </w:r>
    </w:p>
    <w:p>
      <w:pPr>
        <w:spacing w:after="0" w:line="151" w:lineRule="exact"/>
        <w:rPr>
          <w:sz w:val="20"/>
          <w:szCs w:val="20"/>
          <w:color w:val="auto"/>
        </w:rPr>
      </w:pPr>
    </w:p>
    <w:p>
      <w:pPr>
        <w:ind w:firstLine="648"/>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limited liability company, partnership, joint venture, association, joint</w:t>
      </w:r>
      <w:r>
        <w:rPr>
          <w:rFonts w:ascii="MS PGothic" w:cs="MS PGothic" w:eastAsia="MS PGothic" w:hAnsi="MS PGothic"/>
          <w:sz w:val="22"/>
          <w:szCs w:val="22"/>
          <w:color w:val="auto"/>
        </w:rPr>
        <w:t>‑</w:t>
      </w:r>
      <w:r>
        <w:rPr>
          <w:rFonts w:ascii="Arial" w:cs="Arial" w:eastAsia="Arial" w:hAnsi="Arial"/>
          <w:sz w:val="22"/>
          <w:szCs w:val="22"/>
          <w:color w:val="auto"/>
        </w:rPr>
        <w:t>stock company, trust, unincorporated organization or government or any agency or political subdivision thereof, or any other entity or organization.</w:t>
      </w:r>
    </w:p>
    <w:p>
      <w:pPr>
        <w:spacing w:after="0" w:line="186"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Place of Payment</w:t>
      </w:r>
      <w:r>
        <w:rPr>
          <w:rFonts w:ascii="Arial" w:cs="Arial" w:eastAsia="Arial" w:hAnsi="Arial"/>
          <w:sz w:val="22"/>
          <w:szCs w:val="22"/>
          <w:color w:val="auto"/>
        </w:rPr>
        <w:t>,” when used with respect to the Securities of or within any series, means the place or places where the principal of (and premium or Make-Whole Amount, if any) and interest on such Securities are payable as specified as contemplated by Sections 301 and 1002.</w:t>
      </w:r>
    </w:p>
    <w:p>
      <w:pPr>
        <w:spacing w:after="0" w:line="186" w:lineRule="exact"/>
        <w:rPr>
          <w:sz w:val="20"/>
          <w:szCs w:val="20"/>
          <w:color w:val="auto"/>
        </w:rPr>
      </w:pPr>
    </w:p>
    <w:p>
      <w:pPr>
        <w:ind w:right="8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Predecessor Security</w:t>
      </w:r>
      <w:r>
        <w:rPr>
          <w:rFonts w:ascii="Arial" w:cs="Arial" w:eastAsia="Arial" w:hAnsi="Arial"/>
          <w:sz w:val="22"/>
          <w:szCs w:val="22"/>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w:t>
      </w:r>
    </w:p>
    <w:p>
      <w:pPr>
        <w:spacing w:after="0" w:line="188" w:lineRule="exact"/>
        <w:rPr>
          <w:sz w:val="20"/>
          <w:szCs w:val="20"/>
          <w:color w:val="auto"/>
        </w:rPr>
      </w:pPr>
    </w:p>
    <w:p>
      <w:pPr>
        <w:ind w:right="14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Preferred Stock</w:t>
      </w:r>
      <w:r>
        <w:rPr>
          <w:rFonts w:ascii="Arial" w:cs="Arial" w:eastAsia="Arial" w:hAnsi="Arial"/>
          <w:sz w:val="19"/>
          <w:szCs w:val="19"/>
          <w:color w:val="auto"/>
        </w:rPr>
        <w:t>” means, with respect to any Person, all capital stock issued by such Person that is entitled to a preference or priority over any other capital stock issued by such Person with respect to any distribution of such Person’s assets, whether by dividend or upon any voluntary or involuntary liquidation, dissolution or winding up.</w:t>
      </w:r>
    </w:p>
    <w:p>
      <w:pPr>
        <w:spacing w:after="0" w:line="134" w:lineRule="exact"/>
        <w:rPr>
          <w:sz w:val="20"/>
          <w:szCs w:val="20"/>
          <w:color w:val="auto"/>
        </w:rPr>
      </w:pPr>
    </w:p>
    <w:p>
      <w:pPr>
        <w:ind w:right="6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Redemption Date</w:t>
      </w:r>
      <w:r>
        <w:rPr>
          <w:rFonts w:ascii="Arial" w:cs="Arial" w:eastAsia="Arial" w:hAnsi="Arial"/>
          <w:sz w:val="22"/>
          <w:szCs w:val="22"/>
          <w:color w:val="auto"/>
        </w:rPr>
        <w:t>,” when used with respect to any Security to be redeemed, in whole or in part, means the date fixed for such redemption by or pursuant to this Indenture.</w:t>
      </w:r>
    </w:p>
    <w:p>
      <w:pPr>
        <w:spacing w:after="0" w:line="173"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Redemption Price</w:t>
      </w:r>
      <w:r>
        <w:rPr>
          <w:rFonts w:ascii="Arial" w:cs="Arial" w:eastAsia="Arial" w:hAnsi="Arial"/>
          <w:sz w:val="22"/>
          <w:szCs w:val="22"/>
          <w:color w:val="auto"/>
        </w:rPr>
        <w:t>,” when used with respect to any Security to be redeemed, means the price specified in the related Officers’ Certificate or supplemental indenture contemplated by and pursuant to Section 301, at which it is to be redeemed pursuant to this Indenture.</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Date</w:t>
      </w:r>
      <w:r>
        <w:rPr>
          <w:rFonts w:ascii="Arial" w:cs="Arial" w:eastAsia="Arial" w:hAnsi="Arial"/>
          <w:sz w:val="22"/>
          <w:szCs w:val="22"/>
          <w:color w:val="auto"/>
        </w:rPr>
        <w:t>” has the meaning specified in Section 1604.</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Registered Security</w:t>
      </w:r>
      <w:r>
        <w:rPr>
          <w:rFonts w:ascii="Arial" w:cs="Arial" w:eastAsia="Arial" w:hAnsi="Arial"/>
          <w:sz w:val="22"/>
          <w:szCs w:val="22"/>
          <w:color w:val="auto"/>
        </w:rPr>
        <w:t>” shall mean any Security which is registered in the Security Register.</w:t>
      </w:r>
    </w:p>
    <w:p>
      <w:pPr>
        <w:spacing w:after="0" w:line="206" w:lineRule="exact"/>
        <w:rPr>
          <w:sz w:val="20"/>
          <w:szCs w:val="20"/>
          <w:color w:val="auto"/>
        </w:rPr>
      </w:pPr>
    </w:p>
    <w:p>
      <w:pPr>
        <w:jc w:val="both"/>
        <w:ind w:right="14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Regular Record Date</w:t>
      </w:r>
      <w:r>
        <w:rPr>
          <w:rFonts w:ascii="Arial" w:cs="Arial" w:eastAsia="Arial" w:hAnsi="Arial"/>
          <w:sz w:val="22"/>
          <w:szCs w:val="22"/>
          <w:color w:val="auto"/>
        </w:rPr>
        <w:t>” for the interest payable on any Interest Payment Date on the Registered Securities of or within any series means the date specified for that purpose as contemplated by Section 301, whether or not a Business Day.</w:t>
      </w:r>
    </w:p>
    <w:p>
      <w:pPr>
        <w:spacing w:after="0" w:line="186" w:lineRule="exact"/>
        <w:rPr>
          <w:sz w:val="20"/>
          <w:szCs w:val="20"/>
          <w:color w:val="auto"/>
        </w:rPr>
      </w:pPr>
    </w:p>
    <w:p>
      <w:pPr>
        <w:ind w:right="2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Repayment Date</w:t>
      </w:r>
      <w:r>
        <w:rPr>
          <w:rFonts w:ascii="Arial" w:cs="Arial" w:eastAsia="Arial" w:hAnsi="Arial"/>
          <w:sz w:val="22"/>
          <w:szCs w:val="22"/>
          <w:color w:val="auto"/>
        </w:rPr>
        <w:t>” means, when used with respect to any Security to be repaid at the option of the Holder, the date fixed for such repayment by or pursuant to this Indenture.</w:t>
      </w:r>
    </w:p>
    <w:p>
      <w:pPr>
        <w:spacing w:after="0" w:line="173" w:lineRule="exact"/>
        <w:rPr>
          <w:sz w:val="20"/>
          <w:szCs w:val="20"/>
          <w:color w:val="auto"/>
        </w:rPr>
      </w:pPr>
    </w:p>
    <w:p>
      <w:pPr>
        <w:ind w:right="2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Repayment Price</w:t>
      </w:r>
      <w:r>
        <w:rPr>
          <w:rFonts w:ascii="Arial" w:cs="Arial" w:eastAsia="Arial" w:hAnsi="Arial"/>
          <w:sz w:val="22"/>
          <w:szCs w:val="22"/>
          <w:color w:val="auto"/>
        </w:rPr>
        <w:t>” means, when used with respect to any Security to be repaid at the option of the Holder, the price at which it is to be repaid by or pursuant to this Indenture.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64" w:name="page65"/>
    <w:bookmarkEnd w:id="64"/>
    <w:p>
      <w:pPr>
        <w:ind w:right="80"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when used with respect to the Trustee, means any Vice President (whether or not designated by a number or a word or words added before or after the title “Vice President”), Assistant Vice President, Trust Officer or Assistant Trust Officer working in its Corporate Trust Department, or any other officer of the Trustee customarily performing functions similar to those performed by any of the above designated officers and working in its Corporate Trust Department, and also means, with respect to a particular corporate trust matter, any other officer to whom such matter is referred because of such officer’s knowledge and familiarity with the particular subject and who shall have direct responsibility for the administration of this Indenture.</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Rights</w:t>
      </w:r>
      <w:r>
        <w:rPr>
          <w:rFonts w:ascii="Arial" w:cs="Arial" w:eastAsia="Arial" w:hAnsi="Arial"/>
          <w:sz w:val="22"/>
          <w:szCs w:val="22"/>
          <w:color w:val="auto"/>
        </w:rPr>
        <w:t>” has the meaning specified in Section 1604.</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Rights Record Date</w:t>
      </w:r>
      <w:r>
        <w:rPr>
          <w:rFonts w:ascii="Arial" w:cs="Arial" w:eastAsia="Arial" w:hAnsi="Arial"/>
          <w:sz w:val="22"/>
          <w:szCs w:val="22"/>
          <w:color w:val="auto"/>
        </w:rPr>
        <w:t>” has the meaning specified in Section 1604.</w:t>
      </w:r>
    </w:p>
    <w:p>
      <w:pPr>
        <w:spacing w:after="0" w:line="206" w:lineRule="exact"/>
        <w:rPr>
          <w:sz w:val="20"/>
          <w:szCs w:val="20"/>
          <w:color w:val="auto"/>
        </w:rPr>
      </w:pPr>
    </w:p>
    <w:p>
      <w:pPr>
        <w:ind w:right="180"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Security</w:t>
      </w:r>
      <w:r>
        <w:rPr>
          <w:rFonts w:ascii="Arial" w:cs="Arial" w:eastAsia="Arial" w:hAnsi="Arial"/>
          <w:sz w:val="21"/>
          <w:szCs w:val="21"/>
          <w:color w:val="auto"/>
        </w:rPr>
        <w:t>” and “</w:t>
      </w:r>
      <w:r>
        <w:rPr>
          <w:rFonts w:ascii="Arial" w:cs="Arial" w:eastAsia="Arial" w:hAnsi="Arial"/>
          <w:sz w:val="21"/>
          <w:szCs w:val="21"/>
          <w:u w:val="single" w:color="auto"/>
          <w:color w:val="auto"/>
        </w:rPr>
        <w:t>Securities</w:t>
      </w:r>
      <w:r>
        <w:rPr>
          <w:rFonts w:ascii="Arial" w:cs="Arial" w:eastAsia="Arial" w:hAnsi="Arial"/>
          <w:sz w:val="21"/>
          <w:szCs w:val="21"/>
          <w:color w:val="auto"/>
        </w:rPr>
        <w:t xml:space="preserve">” has the meaning stated in the first recital of this Indenture and, more particularly, means any Security or Securities authenticated and delivered under this Indenture;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Register</w:t>
      </w:r>
      <w:r>
        <w:rPr>
          <w:rFonts w:ascii="Arial" w:cs="Arial" w:eastAsia="Arial" w:hAnsi="Arial"/>
          <w:sz w:val="22"/>
          <w:szCs w:val="22"/>
          <w:color w:val="auto"/>
        </w:rPr>
        <w:t>” and “</w:t>
      </w:r>
      <w:r>
        <w:rPr>
          <w:rFonts w:ascii="Arial" w:cs="Arial" w:eastAsia="Arial" w:hAnsi="Arial"/>
          <w:sz w:val="22"/>
          <w:szCs w:val="22"/>
          <w:u w:val="single" w:color="auto"/>
          <w:color w:val="auto"/>
        </w:rPr>
        <w:t>Security Registrar</w:t>
      </w:r>
      <w:r>
        <w:rPr>
          <w:rFonts w:ascii="Arial" w:cs="Arial" w:eastAsia="Arial" w:hAnsi="Arial"/>
          <w:sz w:val="22"/>
          <w:szCs w:val="22"/>
          <w:color w:val="auto"/>
        </w:rPr>
        <w:t>” have the respective meanings specified in Section 305.</w:t>
      </w:r>
    </w:p>
    <w:p>
      <w:pPr>
        <w:spacing w:after="0" w:line="206" w:lineRule="exact"/>
        <w:rPr>
          <w:sz w:val="20"/>
          <w:szCs w:val="20"/>
          <w:color w:val="auto"/>
        </w:rPr>
      </w:pPr>
    </w:p>
    <w:p>
      <w:pPr>
        <w:ind w:right="320" w:firstLine="648"/>
        <w:spacing w:after="0" w:line="251" w:lineRule="auto"/>
        <w:rPr>
          <w:sz w:val="20"/>
          <w:szCs w:val="20"/>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Series</w:t>
      </w:r>
      <w:r>
        <w:rPr>
          <w:rFonts w:ascii="Arial" w:cs="Arial" w:eastAsia="Arial" w:hAnsi="Arial"/>
          <w:sz w:val="22"/>
          <w:szCs w:val="22"/>
          <w:color w:val="auto"/>
        </w:rPr>
        <w:t>” of Securities means all securities denoted as part of the same series authorized by or pursuant to a particular Board Resolution.</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Short Term Rights</w:t>
      </w:r>
      <w:r>
        <w:rPr>
          <w:rFonts w:ascii="Arial" w:cs="Arial" w:eastAsia="Arial" w:hAnsi="Arial"/>
          <w:sz w:val="22"/>
          <w:szCs w:val="22"/>
          <w:color w:val="auto"/>
        </w:rPr>
        <w:t>” has the meaning specified in Section 1604.</w:t>
      </w:r>
    </w:p>
    <w:p>
      <w:pPr>
        <w:spacing w:after="0" w:line="206" w:lineRule="exact"/>
        <w:rPr>
          <w:sz w:val="20"/>
          <w:szCs w:val="20"/>
          <w:color w:val="auto"/>
        </w:rPr>
      </w:pPr>
    </w:p>
    <w:p>
      <w:pPr>
        <w:ind w:right="120" w:firstLine="648"/>
        <w:spacing w:after="0" w:line="259"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Significant Subsidiary</w:t>
      </w:r>
      <w:r>
        <w:rPr>
          <w:rFonts w:ascii="Arial" w:cs="Arial" w:eastAsia="Arial" w:hAnsi="Arial"/>
          <w:sz w:val="21"/>
          <w:szCs w:val="21"/>
          <w:color w:val="auto"/>
        </w:rPr>
        <w:t>” means any Subsidiary which is a “significant subsidiary” (as defined in Article I, Rule 1</w:t>
      </w:r>
      <w:r>
        <w:rPr>
          <w:rFonts w:ascii="MS PGothic" w:cs="MS PGothic" w:eastAsia="MS PGothic" w:hAnsi="MS PGothic"/>
          <w:sz w:val="21"/>
          <w:szCs w:val="21"/>
          <w:color w:val="auto"/>
        </w:rPr>
        <w:t>‑</w:t>
      </w:r>
      <w:r>
        <w:rPr>
          <w:rFonts w:ascii="Arial" w:cs="Arial" w:eastAsia="Arial" w:hAnsi="Arial"/>
          <w:sz w:val="21"/>
          <w:szCs w:val="21"/>
          <w:color w:val="auto"/>
        </w:rPr>
        <w:t>02 of Regulation S</w:t>
      </w:r>
      <w:r>
        <w:rPr>
          <w:rFonts w:ascii="MS PGothic" w:cs="MS PGothic" w:eastAsia="MS PGothic" w:hAnsi="MS PGothic"/>
          <w:sz w:val="21"/>
          <w:szCs w:val="21"/>
          <w:color w:val="auto"/>
        </w:rPr>
        <w:t>‑</w:t>
      </w:r>
      <w:r>
        <w:rPr>
          <w:rFonts w:ascii="Arial" w:cs="Arial" w:eastAsia="Arial" w:hAnsi="Arial"/>
          <w:sz w:val="21"/>
          <w:szCs w:val="21"/>
          <w:color w:val="auto"/>
        </w:rPr>
        <w:t>X, promulgated under the Securities Act of 1933, as amended) of the Company.</w:t>
      </w:r>
    </w:p>
    <w:p>
      <w:pPr>
        <w:spacing w:after="0" w:line="185" w:lineRule="exact"/>
        <w:rPr>
          <w:sz w:val="20"/>
          <w:szCs w:val="20"/>
          <w:color w:val="auto"/>
        </w:rPr>
      </w:pPr>
    </w:p>
    <w:p>
      <w:pPr>
        <w:ind w:right="2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Record Date</w:t>
      </w:r>
      <w:r>
        <w:rPr>
          <w:rFonts w:ascii="Arial" w:cs="Arial" w:eastAsia="Arial" w:hAnsi="Arial"/>
          <w:sz w:val="22"/>
          <w:szCs w:val="22"/>
          <w:color w:val="auto"/>
        </w:rPr>
        <w:t>” for the payment of any Defaulted Interest on the Registered Securities of or within any series means a date fixed by the Company pursuant to Section 307.</w:t>
      </w:r>
    </w:p>
    <w:p>
      <w:pPr>
        <w:spacing w:after="0" w:line="173"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Stated Maturity</w:t>
      </w:r>
      <w:r>
        <w:rPr>
          <w:rFonts w:ascii="Arial" w:cs="Arial" w:eastAsia="Arial" w:hAnsi="Arial"/>
          <w:sz w:val="19"/>
          <w:szCs w:val="19"/>
          <w:color w:val="auto"/>
        </w:rPr>
        <w:t>,”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34"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Person, any corporation, limited liability company, partnership or other entity of which a majority of (i) the voting power of the voting equity securities or (ii) the outstanding equity interests are owned, directly or indirectly, by such Person. For the purposes of this definition, “voting equity securities” means equity securities having voting power for the election of directors, whether at all times or only so long as no senior class of security has such voting power by reason of any contingency.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65" w:name="page66"/>
    <w:bookmarkEnd w:id="65"/>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Day</w:t>
      </w:r>
      <w:r>
        <w:rPr>
          <w:rFonts w:ascii="Arial" w:cs="Arial" w:eastAsia="Arial" w:hAnsi="Arial"/>
          <w:sz w:val="22"/>
          <w:szCs w:val="22"/>
          <w:color w:val="auto"/>
        </w:rPr>
        <w:t>” means any day on which the NASDAQ Global Select Market is open for business.</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Trigger Events</w:t>
      </w:r>
      <w:r>
        <w:rPr>
          <w:rFonts w:ascii="Arial" w:cs="Arial" w:eastAsia="Arial" w:hAnsi="Arial"/>
          <w:sz w:val="22"/>
          <w:szCs w:val="22"/>
          <w:color w:val="auto"/>
        </w:rPr>
        <w:t>” has the meaning specified in Section 1604.</w:t>
      </w:r>
    </w:p>
    <w:p>
      <w:pPr>
        <w:spacing w:after="0" w:line="206"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Trust Indenture Act</w:t>
      </w:r>
      <w:r>
        <w:rPr>
          <w:rFonts w:ascii="Arial" w:cs="Arial" w:eastAsia="Arial" w:hAnsi="Arial"/>
          <w:sz w:val="22"/>
          <w:szCs w:val="22"/>
          <w:color w:val="auto"/>
        </w:rPr>
        <w:t>” or “</w:t>
      </w:r>
      <w:r>
        <w:rPr>
          <w:rFonts w:ascii="Arial" w:cs="Arial" w:eastAsia="Arial" w:hAnsi="Arial"/>
          <w:sz w:val="22"/>
          <w:szCs w:val="22"/>
          <w:u w:val="single" w:color="auto"/>
          <w:color w:val="auto"/>
        </w:rPr>
        <w:t>TIA</w:t>
      </w:r>
      <w:r>
        <w:rPr>
          <w:rFonts w:ascii="Arial" w:cs="Arial" w:eastAsia="Arial" w:hAnsi="Arial"/>
          <w:sz w:val="22"/>
          <w:szCs w:val="22"/>
          <w:color w:val="auto"/>
        </w:rPr>
        <w:t xml:space="preserve"> ” means the Trust Indenture Act of 1939, as amended and as in force at the date as of which this Indenture was executed, except as provided in Section 905.</w:t>
      </w:r>
    </w:p>
    <w:p>
      <w:pPr>
        <w:spacing w:after="0" w:line="173"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Trustee</w:t>
      </w:r>
      <w:r>
        <w:rPr>
          <w:rFonts w:ascii="Arial" w:cs="Arial" w:eastAsia="Arial" w:hAnsi="Arial"/>
          <w:sz w:val="22"/>
          <w:szCs w:val="22"/>
          <w:color w:val="auto"/>
        </w:rPr>
        <w:t xml:space="preserv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at any time there is more than one such Person, “Trustee” as used with respect to the Securities of any series shall mean only the Trustee with respect to Securities of that series.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Unadjusted Distribution</w:t>
      </w:r>
      <w:r>
        <w:rPr>
          <w:rFonts w:ascii="Arial" w:cs="Arial" w:eastAsia="Arial" w:hAnsi="Arial"/>
          <w:sz w:val="22"/>
          <w:szCs w:val="22"/>
          <w:color w:val="auto"/>
        </w:rPr>
        <w:t>” has the meaning specified in Section 1604.</w:t>
      </w:r>
    </w:p>
    <w:p>
      <w:pPr>
        <w:spacing w:after="0" w:line="206" w:lineRule="exact"/>
        <w:rPr>
          <w:sz w:val="20"/>
          <w:szCs w:val="20"/>
          <w:color w:val="auto"/>
        </w:rPr>
      </w:pPr>
    </w:p>
    <w:p>
      <w:pPr>
        <w:jc w:val="both"/>
        <w:ind w:right="34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86"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 Person</w:t>
      </w:r>
      <w:r>
        <w:rPr>
          <w:rFonts w:ascii="Arial" w:cs="Arial" w:eastAsia="Arial" w:hAnsi="Arial"/>
          <w:sz w:val="22"/>
          <w:szCs w:val="22"/>
          <w:color w:val="auto"/>
        </w:rPr>
        <w:t>” means, unless otherwise specified with respect to any Securities pursuant to Section 301, an individual who is a citizen or resident of the United States, a corporation, partnership or other entity created or organized in or under the laws of the United States or an estate or trust the income of which is subject to United States Federal income taxation regardless of its source.</w:t>
      </w:r>
    </w:p>
    <w:p>
      <w:pPr>
        <w:spacing w:after="0" w:line="185"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Yield to Maturity</w:t>
      </w:r>
      <w:r>
        <w:rPr>
          <w:rFonts w:ascii="Arial" w:cs="Arial" w:eastAsia="Arial" w:hAnsi="Arial"/>
          <w:sz w:val="22"/>
          <w:szCs w:val="22"/>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86"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Compliance Certificates and Opinions</w:t>
      </w:r>
      <w:r>
        <w:rPr>
          <w:rFonts w:ascii="Arial" w:cs="Arial" w:eastAsia="Arial" w:hAnsi="Arial"/>
          <w:sz w:val="19"/>
          <w:szCs w:val="19"/>
          <w:color w:val="auto"/>
        </w:rPr>
        <w:t>. 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Every certificate or opinion with respect to compliance with a condition or covenant provided for in this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Indenture (including certificates delivered pursuant to Section 1008) shall include: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66" w:name="page67"/>
    <w:bookmarkEnd w:id="66"/>
    <w:p>
      <w:pPr>
        <w:ind w:left="640" w:right="400" w:firstLine="648"/>
        <w:spacing w:after="0" w:line="251" w:lineRule="auto"/>
        <w:tabs>
          <w:tab w:leader="none" w:pos="1918" w:val="left"/>
        </w:tabs>
        <w:numPr>
          <w:ilvl w:val="0"/>
          <w:numId w:val="50"/>
        </w:numPr>
        <w:rPr>
          <w:rFonts w:ascii="Arial" w:cs="Arial" w:eastAsia="Arial" w:hAnsi="Arial"/>
          <w:sz w:val="22"/>
          <w:szCs w:val="22"/>
          <w:color w:val="auto"/>
        </w:rPr>
      </w:pPr>
      <w:r>
        <w:rPr>
          <w:rFonts w:ascii="Arial" w:cs="Arial" w:eastAsia="Arial" w:hAnsi="Arial"/>
          <w:sz w:val="22"/>
          <w:szCs w:val="22"/>
          <w:color w:val="auto"/>
        </w:rPr>
        <w:t>a statement that each individual signing such certificate or opinion has read such condition or covenant and the definitions herein relating thereto;</w:t>
      </w:r>
    </w:p>
    <w:p>
      <w:pPr>
        <w:spacing w:after="0" w:line="173" w:lineRule="exact"/>
        <w:rPr>
          <w:rFonts w:ascii="Arial" w:cs="Arial" w:eastAsia="Arial" w:hAnsi="Arial"/>
          <w:sz w:val="22"/>
          <w:szCs w:val="22"/>
          <w:color w:val="auto"/>
        </w:rPr>
      </w:pPr>
    </w:p>
    <w:p>
      <w:pPr>
        <w:ind w:left="640" w:right="280" w:firstLine="648"/>
        <w:spacing w:after="0" w:line="251" w:lineRule="auto"/>
        <w:tabs>
          <w:tab w:leader="none" w:pos="1918" w:val="left"/>
        </w:tabs>
        <w:numPr>
          <w:ilvl w:val="0"/>
          <w:numId w:val="50"/>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173" w:lineRule="exact"/>
        <w:rPr>
          <w:rFonts w:ascii="Arial" w:cs="Arial" w:eastAsia="Arial" w:hAnsi="Arial"/>
          <w:sz w:val="22"/>
          <w:szCs w:val="22"/>
          <w:color w:val="auto"/>
        </w:rPr>
      </w:pPr>
    </w:p>
    <w:p>
      <w:pPr>
        <w:ind w:left="640" w:firstLine="648"/>
        <w:spacing w:after="0"/>
        <w:tabs>
          <w:tab w:leader="none" w:pos="1918" w:val="left"/>
        </w:tabs>
        <w:numPr>
          <w:ilvl w:val="0"/>
          <w:numId w:val="50"/>
        </w:numPr>
        <w:rPr>
          <w:rFonts w:ascii="Arial" w:cs="Arial" w:eastAsia="Arial" w:hAnsi="Arial"/>
          <w:sz w:val="22"/>
          <w:szCs w:val="22"/>
          <w:color w:val="auto"/>
        </w:rPr>
      </w:pPr>
      <w:r>
        <w:rPr>
          <w:rFonts w:ascii="Arial" w:cs="Arial" w:eastAsia="Arial" w:hAnsi="Arial"/>
          <w:sz w:val="22"/>
          <w:szCs w:val="22"/>
          <w:color w:val="auto"/>
        </w:rPr>
        <w:t>a statement that, in the opinion of each such individual, he has made such examination or investigation as is necessary to enable him to express an informed opinion as to whether or not such condition or covenant has been complied with; and</w:t>
      </w:r>
    </w:p>
    <w:p>
      <w:pPr>
        <w:spacing w:after="0" w:line="186" w:lineRule="exact"/>
        <w:rPr>
          <w:rFonts w:ascii="Arial" w:cs="Arial" w:eastAsia="Arial" w:hAnsi="Arial"/>
          <w:sz w:val="22"/>
          <w:szCs w:val="22"/>
          <w:color w:val="auto"/>
        </w:rPr>
      </w:pPr>
    </w:p>
    <w:p>
      <w:pPr>
        <w:ind w:left="640" w:right="120" w:firstLine="648"/>
        <w:spacing w:after="0" w:line="251" w:lineRule="auto"/>
        <w:tabs>
          <w:tab w:leader="none" w:pos="1918" w:val="left"/>
        </w:tabs>
        <w:numPr>
          <w:ilvl w:val="0"/>
          <w:numId w:val="50"/>
        </w:numPr>
        <w:rPr>
          <w:rFonts w:ascii="Arial" w:cs="Arial" w:eastAsia="Arial" w:hAnsi="Arial"/>
          <w:sz w:val="22"/>
          <w:szCs w:val="22"/>
          <w:color w:val="auto"/>
        </w:rPr>
      </w:pPr>
      <w:r>
        <w:rPr>
          <w:rFonts w:ascii="Arial" w:cs="Arial" w:eastAsia="Arial" w:hAnsi="Arial"/>
          <w:sz w:val="22"/>
          <w:szCs w:val="22"/>
          <w:color w:val="auto"/>
        </w:rPr>
        <w:t>a statement as to whether, in the opinion of each such individual, such condition or covenant has been complied with.</w:t>
      </w:r>
    </w:p>
    <w:p>
      <w:pPr>
        <w:spacing w:after="0" w:line="173" w:lineRule="exact"/>
        <w:rPr>
          <w:sz w:val="20"/>
          <w:szCs w:val="20"/>
          <w:color w:val="auto"/>
        </w:rPr>
      </w:pPr>
    </w:p>
    <w:p>
      <w:pPr>
        <w:ind w:right="60" w:firstLine="648"/>
        <w:spacing w:after="0" w:line="282"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Form of Documents Delivered to Trustee</w:t>
      </w:r>
      <w:r>
        <w:rPr>
          <w:rFonts w:ascii="Arial" w:cs="Arial" w:eastAsia="Arial" w:hAnsi="Arial"/>
          <w:sz w:val="19"/>
          <w:szCs w:val="19"/>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48" w:lineRule="exact"/>
        <w:rPr>
          <w:sz w:val="20"/>
          <w:szCs w:val="20"/>
          <w:color w:val="auto"/>
        </w:rPr>
      </w:pPr>
    </w:p>
    <w:p>
      <w:pPr>
        <w:ind w:right="40" w:firstLine="648"/>
        <w:spacing w:after="0" w:line="246" w:lineRule="auto"/>
        <w:rPr>
          <w:sz w:val="20"/>
          <w:szCs w:val="20"/>
          <w:color w:val="auto"/>
        </w:rPr>
      </w:pPr>
      <w:r>
        <w:rPr>
          <w:rFonts w:ascii="Arial" w:cs="Arial" w:eastAsia="Arial" w:hAnsi="Arial"/>
          <w:sz w:val="21"/>
          <w:szCs w:val="21"/>
          <w:color w:val="auto"/>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with respect to such matters are erroneous.</w:t>
      </w:r>
    </w:p>
    <w:p>
      <w:pPr>
        <w:spacing w:after="0" w:line="181"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86" w:lineRule="exact"/>
        <w:rPr>
          <w:sz w:val="20"/>
          <w:szCs w:val="20"/>
          <w:color w:val="auto"/>
        </w:rPr>
      </w:pPr>
    </w:p>
    <w:p>
      <w:pPr>
        <w:ind w:left="640"/>
        <w:spacing w:after="0"/>
        <w:tabs>
          <w:tab w:leader="none" w:pos="2340"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u w:val="single" w:color="auto"/>
          <w:color w:val="auto"/>
        </w:rPr>
        <w:t>Acts of Holders</w:t>
      </w:r>
      <w:r>
        <w:rPr>
          <w:rFonts w:ascii="Arial" w:cs="Arial" w:eastAsia="Arial" w:hAnsi="Arial"/>
          <w:sz w:val="19"/>
          <w:szCs w:val="19"/>
          <w:color w:val="auto"/>
        </w:rPr>
        <w:t>.</w:t>
      </w:r>
    </w:p>
    <w:p>
      <w:pPr>
        <w:spacing w:after="0" w:line="206" w:lineRule="exact"/>
        <w:rPr>
          <w:sz w:val="20"/>
          <w:szCs w:val="20"/>
          <w:color w:val="auto"/>
        </w:rPr>
      </w:pPr>
    </w:p>
    <w:p>
      <w:pPr>
        <w:ind w:right="20" w:firstLine="1288"/>
        <w:spacing w:after="0" w:line="275" w:lineRule="auto"/>
        <w:tabs>
          <w:tab w:leader="none" w:pos="1902" w:val="left"/>
        </w:tabs>
        <w:numPr>
          <w:ilvl w:val="0"/>
          <w:numId w:val="51"/>
        </w:numPr>
        <w:rPr>
          <w:rFonts w:ascii="Arial" w:cs="Arial" w:eastAsia="Arial" w:hAnsi="Arial"/>
          <w:sz w:val="19"/>
          <w:szCs w:val="19"/>
          <w:color w:val="auto"/>
        </w:rPr>
      </w:pPr>
      <w:r>
        <w:rPr>
          <w:rFonts w:ascii="Arial" w:cs="Arial" w:eastAsia="Arial" w:hAnsi="Arial"/>
          <w:sz w:val="19"/>
          <w:szCs w:val="19"/>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If Securities of a series are issuable as Bearer Securities,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67" w:name="page68"/>
    <w:bookmarkEnd w:id="67"/>
    <w:p>
      <w:pPr>
        <w:ind w:right="80"/>
        <w:spacing w:after="0" w:line="274" w:lineRule="auto"/>
        <w:rPr>
          <w:sz w:val="20"/>
          <w:szCs w:val="20"/>
          <w:color w:val="auto"/>
        </w:rPr>
      </w:pPr>
      <w:r>
        <w:rPr>
          <w:rFonts w:ascii="Arial" w:cs="Arial" w:eastAsia="Arial" w:hAnsi="Arial"/>
          <w:sz w:val="19"/>
          <w:szCs w:val="19"/>
          <w:color w:val="auto"/>
        </w:rPr>
        <w:t>Article Fifteen,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159" w:lineRule="exact"/>
        <w:rPr>
          <w:sz w:val="20"/>
          <w:szCs w:val="20"/>
          <w:color w:val="auto"/>
        </w:rPr>
      </w:pPr>
    </w:p>
    <w:p>
      <w:pPr>
        <w:ind w:right="20" w:firstLine="1288"/>
        <w:spacing w:after="0" w:line="247" w:lineRule="auto"/>
        <w:tabs>
          <w:tab w:leader="none" w:pos="1923"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reasonable manner which the Trustee deems sufficient.</w:t>
      </w:r>
    </w:p>
    <w:p>
      <w:pPr>
        <w:spacing w:after="0" w:line="178" w:lineRule="exact"/>
        <w:rPr>
          <w:rFonts w:ascii="Arial" w:cs="Arial" w:eastAsia="Arial" w:hAnsi="Arial"/>
          <w:sz w:val="21"/>
          <w:szCs w:val="21"/>
          <w:color w:val="auto"/>
        </w:rPr>
      </w:pPr>
    </w:p>
    <w:p>
      <w:pPr>
        <w:ind w:firstLine="1288"/>
        <w:spacing w:after="0"/>
        <w:tabs>
          <w:tab w:leader="none" w:pos="191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ownership of Registered Securities shall be proved by the Security Register. As to any matter relating to beneficial ownership interests in any Global Security, the appropriate depository’s records shall be dispositive for purposes of this Indenture.</w:t>
      </w:r>
    </w:p>
    <w:p>
      <w:pPr>
        <w:spacing w:after="0" w:line="186" w:lineRule="exact"/>
        <w:rPr>
          <w:rFonts w:ascii="Arial" w:cs="Arial" w:eastAsia="Arial" w:hAnsi="Arial"/>
          <w:sz w:val="22"/>
          <w:szCs w:val="22"/>
          <w:color w:val="auto"/>
        </w:rPr>
      </w:pPr>
    </w:p>
    <w:p>
      <w:pPr>
        <w:ind w:firstLine="1288"/>
        <w:spacing w:after="0" w:line="273" w:lineRule="auto"/>
        <w:tabs>
          <w:tab w:leader="none" w:pos="1923"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ownership of Bearer Securities may be proved by the production of such Bearer Securities or by a certificate executed, as depository, by any trust company, bank, banker or other depository, wherever situated, if such certificate shall be deemed by the Trustee to be satisfactory, showing that at the date therein mentioned such Person had on deposit with such depository,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ownership of Bearer Securities may also be proved in any other manner which the Trustee deems sufficient.</w:t>
      </w:r>
    </w:p>
    <w:p>
      <w:pPr>
        <w:spacing w:after="0" w:line="161" w:lineRule="exact"/>
        <w:rPr>
          <w:rFonts w:ascii="Arial" w:cs="Arial" w:eastAsia="Arial" w:hAnsi="Arial"/>
          <w:sz w:val="19"/>
          <w:szCs w:val="19"/>
          <w:color w:val="auto"/>
        </w:rPr>
      </w:pPr>
    </w:p>
    <w:p>
      <w:pPr>
        <w:ind w:right="120" w:firstLine="1288"/>
        <w:spacing w:after="0" w:line="271" w:lineRule="auto"/>
        <w:tabs>
          <w:tab w:leader="none" w:pos="1914" w:val="left"/>
        </w:tabs>
        <w:numPr>
          <w:ilvl w:val="0"/>
          <w:numId w:val="52"/>
        </w:numPr>
        <w:rPr>
          <w:rFonts w:ascii="Arial" w:cs="Arial" w:eastAsia="Arial" w:hAnsi="Arial"/>
          <w:sz w:val="19"/>
          <w:szCs w:val="19"/>
          <w:color w:val="auto"/>
        </w:rPr>
      </w:pPr>
      <w:r>
        <w:rPr>
          <w:rFonts w:ascii="Arial" w:cs="Arial" w:eastAsia="Arial" w:hAnsi="Arial"/>
          <w:sz w:val="19"/>
          <w:szCs w:val="19"/>
          <w:color w:val="auto"/>
        </w:rPr>
        <w:t>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w:t>
      </w:r>
    </w:p>
    <w:p>
      <w:pPr>
        <w:spacing w:after="0" w:line="3" w:lineRule="exact"/>
        <w:rPr>
          <w:rFonts w:ascii="Arial" w:cs="Arial" w:eastAsia="Arial" w:hAnsi="Arial"/>
          <w:sz w:val="19"/>
          <w:szCs w:val="19"/>
          <w:color w:val="auto"/>
        </w:rPr>
      </w:pPr>
    </w:p>
    <w:p>
      <w:pPr>
        <w:ind w:right="540"/>
        <w:spacing w:after="0" w:line="237" w:lineRule="auto"/>
        <w:rPr>
          <w:rFonts w:ascii="Arial" w:cs="Arial" w:eastAsia="Arial" w:hAnsi="Arial"/>
          <w:sz w:val="19"/>
          <w:szCs w:val="19"/>
          <w:color w:val="auto"/>
        </w:rPr>
      </w:pPr>
      <w:r>
        <w:rPr>
          <w:rFonts w:ascii="Arial" w:cs="Arial" w:eastAsia="Arial" w:hAnsi="Arial"/>
          <w:sz w:val="22"/>
          <w:szCs w:val="22"/>
          <w:color w:val="auto"/>
        </w:rPr>
        <w:t>so. Notwithstanding TIA Section 316(c), such record date shall be the record date specified in or pursuant to such Board Resolution, which shall be a date not earlier than the date 30 days prior to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68" w:name="page69"/>
    <w:bookmarkEnd w:id="68"/>
    <w:p>
      <w:pPr>
        <w:ind w:right="120"/>
        <w:spacing w:after="0" w:line="245" w:lineRule="auto"/>
        <w:rPr>
          <w:sz w:val="20"/>
          <w:szCs w:val="20"/>
          <w:color w:val="auto"/>
        </w:rPr>
      </w:pPr>
      <w:r>
        <w:rPr>
          <w:rFonts w:ascii="Arial" w:cs="Arial" w:eastAsia="Arial" w:hAnsi="Arial"/>
          <w:sz w:val="21"/>
          <w:szCs w:val="21"/>
          <w:color w:val="auto"/>
        </w:rPr>
        <w:t xml:space="preserve">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85" w:lineRule="exact"/>
        <w:rPr>
          <w:sz w:val="20"/>
          <w:szCs w:val="20"/>
          <w:color w:val="auto"/>
        </w:rPr>
      </w:pPr>
    </w:p>
    <w:p>
      <w:pPr>
        <w:ind w:right="140" w:firstLine="1288"/>
        <w:spacing w:after="0" w:line="235" w:lineRule="auto"/>
        <w:tabs>
          <w:tab w:leader="none" w:pos="1879" w:val="left"/>
        </w:tabs>
        <w:numPr>
          <w:ilvl w:val="0"/>
          <w:numId w:val="53"/>
        </w:numPr>
        <w:rPr>
          <w:rFonts w:ascii="Arial" w:cs="Arial" w:eastAsia="Arial" w:hAnsi="Arial"/>
          <w:sz w:val="22"/>
          <w:szCs w:val="22"/>
          <w:color w:val="auto"/>
        </w:rPr>
      </w:pPr>
      <w:r>
        <w:rPr>
          <w:rFonts w:ascii="Arial" w:cs="Arial" w:eastAsia="Arial" w:hAnsi="Arial"/>
          <w:sz w:val="22"/>
          <w:szCs w:val="22"/>
          <w:color w:val="auto"/>
        </w:rPr>
        <w:t>Any request, demand, authorization, direction, notice, consent, waiver or other Act of the Holder of any Security shall bind every future Holder of the same Security and the Holder of every Security issued upon the registration of transfer thereof or upon the conversion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188" w:lineRule="exact"/>
        <w:rPr>
          <w:sz w:val="20"/>
          <w:szCs w:val="20"/>
          <w:color w:val="auto"/>
        </w:rPr>
      </w:pPr>
    </w:p>
    <w:p>
      <w:pPr>
        <w:ind w:right="180" w:firstLine="648"/>
        <w:spacing w:after="0"/>
        <w:rPr>
          <w:sz w:val="20"/>
          <w:szCs w:val="20"/>
          <w:color w:val="auto"/>
        </w:rPr>
      </w:pPr>
      <w:r>
        <w:rPr>
          <w:rFonts w:ascii="Arial" w:cs="Arial" w:eastAsia="Arial" w:hAnsi="Arial"/>
          <w:sz w:val="22"/>
          <w:szCs w:val="22"/>
          <w:color w:val="auto"/>
        </w:rPr>
        <w:t xml:space="preserve">SECTION 105. </w:t>
      </w:r>
      <w:r>
        <w:rPr>
          <w:rFonts w:ascii="Arial" w:cs="Arial" w:eastAsia="Arial" w:hAnsi="Arial"/>
          <w:sz w:val="22"/>
          <w:szCs w:val="22"/>
          <w:u w:val="single" w:color="auto"/>
          <w:color w:val="auto"/>
        </w:rPr>
        <w:t>Notices, etc., to Trustee and Company</w:t>
      </w:r>
      <w:r>
        <w:rPr>
          <w:rFonts w:ascii="Arial" w:cs="Arial" w:eastAsia="Arial" w:hAnsi="Arial"/>
          <w:sz w:val="22"/>
          <w:szCs w:val="22"/>
          <w:color w:val="auto"/>
        </w:rPr>
        <w:t>. Any request, demand, authorization, direction, notice, consent, waiver or Act of Holders or other document provided or permitted by this Indenture to be made upon, given or furnished to, or filed with,</w:t>
      </w:r>
    </w:p>
    <w:p>
      <w:pPr>
        <w:spacing w:after="0" w:line="186" w:lineRule="exact"/>
        <w:rPr>
          <w:sz w:val="20"/>
          <w:szCs w:val="20"/>
          <w:color w:val="auto"/>
        </w:rPr>
      </w:pPr>
    </w:p>
    <w:p>
      <w:pPr>
        <w:ind w:left="640" w:right="220" w:firstLine="648"/>
        <w:spacing w:after="0" w:line="297" w:lineRule="auto"/>
        <w:tabs>
          <w:tab w:leader="none" w:pos="1918"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Trustee by any Holder or by the Company shall be sufficient for every purpose hereunder if made, given, furnished or filed in writing to or with the Trustee at [_________________________] or at any other address previously furnished in writing to the Company by the Trustee, Attention: [__________]; or</w:t>
      </w:r>
    </w:p>
    <w:p>
      <w:pPr>
        <w:spacing w:after="0" w:line="134" w:lineRule="exact"/>
        <w:rPr>
          <w:rFonts w:ascii="Arial" w:cs="Arial" w:eastAsia="Arial" w:hAnsi="Arial"/>
          <w:sz w:val="19"/>
          <w:szCs w:val="19"/>
          <w:color w:val="auto"/>
        </w:rPr>
      </w:pPr>
    </w:p>
    <w:p>
      <w:pPr>
        <w:ind w:left="640" w:right="20" w:firstLine="648"/>
        <w:spacing w:after="0" w:line="287" w:lineRule="auto"/>
        <w:tabs>
          <w:tab w:leader="none" w:pos="1918"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Indenture or at any other address previously furnished in writing to the Trustee by the Company, Attention: [__________]; or</w:t>
      </w:r>
    </w:p>
    <w:p>
      <w:pPr>
        <w:spacing w:after="0" w:line="143" w:lineRule="exact"/>
        <w:rPr>
          <w:rFonts w:ascii="Arial" w:cs="Arial" w:eastAsia="Arial" w:hAnsi="Arial"/>
          <w:sz w:val="19"/>
          <w:szCs w:val="19"/>
          <w:color w:val="auto"/>
        </w:rPr>
      </w:pPr>
    </w:p>
    <w:p>
      <w:pPr>
        <w:jc w:val="both"/>
        <w:ind w:left="640" w:right="320" w:firstLine="648"/>
        <w:spacing w:after="0" w:line="252" w:lineRule="auto"/>
        <w:tabs>
          <w:tab w:leader="none" w:pos="1918" w:val="left"/>
        </w:tabs>
        <w:numPr>
          <w:ilvl w:val="0"/>
          <w:numId w:val="54"/>
        </w:numPr>
        <w:rPr>
          <w:rFonts w:ascii="Arial" w:cs="Arial" w:eastAsia="Arial" w:hAnsi="Arial"/>
          <w:sz w:val="21"/>
          <w:szCs w:val="21"/>
          <w:color w:val="auto"/>
        </w:rPr>
      </w:pPr>
      <w:r>
        <w:rPr>
          <w:rFonts w:ascii="Arial" w:cs="Arial" w:eastAsia="Arial" w:hAnsi="Arial"/>
          <w:sz w:val="21"/>
          <w:szCs w:val="21"/>
          <w:color w:val="auto"/>
        </w:rPr>
        <w:t>either the Trustee or the Company, by the other party or by any Holder, shall be sufficient for every purpose hereunder if given by facsimile transmission, receipt confirmed by telephone followed by an original copy delivered by guaranteed overnight courier; if to the Trustee at facsimile number [__________]; and if to the Company at facsimile number [__________].</w:t>
      </w:r>
    </w:p>
    <w:p>
      <w:pPr>
        <w:spacing w:after="0" w:line="174" w:lineRule="exact"/>
        <w:rPr>
          <w:sz w:val="20"/>
          <w:szCs w:val="20"/>
          <w:color w:val="auto"/>
        </w:rPr>
      </w:pPr>
    </w:p>
    <w:p>
      <w:pPr>
        <w:ind w:firstLine="648"/>
        <w:spacing w:after="0" w:line="248" w:lineRule="exact"/>
        <w:rPr>
          <w:sz w:val="20"/>
          <w:szCs w:val="20"/>
          <w:color w:val="auto"/>
        </w:rPr>
      </w:pPr>
      <w:r>
        <w:rPr>
          <w:rFonts w:ascii="Arial" w:cs="Arial" w:eastAsia="Arial" w:hAnsi="Arial"/>
          <w:sz w:val="21"/>
          <w:szCs w:val="21"/>
          <w:color w:val="auto"/>
        </w:rPr>
        <w:t xml:space="preserve">SECTION 106. </w:t>
      </w:r>
      <w:r>
        <w:rPr>
          <w:rFonts w:ascii="Arial" w:cs="Arial" w:eastAsia="Arial" w:hAnsi="Arial"/>
          <w:sz w:val="21"/>
          <w:szCs w:val="21"/>
          <w:u w:val="single" w:color="auto"/>
          <w:color w:val="auto"/>
        </w:rPr>
        <w:t>Notice to Holders; Waiver</w:t>
      </w:r>
      <w:r>
        <w:rPr>
          <w:rFonts w:ascii="Arial" w:cs="Arial" w:eastAsia="Arial" w:hAnsi="Arial"/>
          <w:sz w:val="21"/>
          <w:szCs w:val="21"/>
          <w:color w:val="auto"/>
        </w:rPr>
        <w:t>. Where this Indenture provides for notice of any event to Holders of Registered Securities by the Company or the Trustee, such notice shall be sufficiently given (unless otherwise herein expressly provided) if in writing and mailed, first</w:t>
      </w:r>
      <w:r>
        <w:rPr>
          <w:rFonts w:ascii="MS PGothic" w:cs="MS PGothic" w:eastAsia="MS PGothic" w:hAnsi="MS PGothic"/>
          <w:sz w:val="21"/>
          <w:szCs w:val="21"/>
          <w:color w:val="auto"/>
        </w:rPr>
        <w:t>‑</w:t>
      </w:r>
      <w:r>
        <w:rPr>
          <w:rFonts w:ascii="Arial" w:cs="Arial" w:eastAsia="Arial" w:hAnsi="Arial"/>
          <w:sz w:val="21"/>
          <w:szCs w:val="21"/>
          <w:color w:val="auto"/>
        </w:rPr>
        <w:t>class postage prepaid, to each such Holder affected by such event, at his address as it appears in the Security Register, not later than the latest date, if any, and not earlier than the earliest date, if any, prescribed for the giving of such notice. In any case where notice to Holders of Registered Securities is given by mail, neither the failure to mail such notice, nor any defect in any notice so mailed, to any particular Holder shall affect the sufficiency of such notice with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69" w:name="page70"/>
    <w:bookmarkEnd w:id="69"/>
    <w:p>
      <w:pPr>
        <w:ind w:right="220"/>
        <w:spacing w:after="0" w:line="297" w:lineRule="auto"/>
        <w:rPr>
          <w:sz w:val="20"/>
          <w:szCs w:val="20"/>
          <w:color w:val="auto"/>
        </w:rPr>
      </w:pPr>
      <w:r>
        <w:rPr>
          <w:rFonts w:ascii="Arial" w:cs="Arial" w:eastAsia="Arial" w:hAnsi="Arial"/>
          <w:sz w:val="19"/>
          <w:szCs w:val="19"/>
          <w:color w:val="auto"/>
        </w:rPr>
        <w:t>respect to other Holders of Registered Securities or the sufficiency of any notice to Holders of Bearer Securities given as provided herein. Any notice mailed to a Holder in the manner herein prescribed shall be conclusively deemed to have been received by such Holder, whether or not such Holder actually receives such notice.</w:t>
      </w:r>
    </w:p>
    <w:p>
      <w:pPr>
        <w:spacing w:after="0" w:line="134"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134"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Except as otherwise expressly provided herein or otherwise specified with respect to any Securities pursuant to Section 301, where this Indenture provides for notice to Holders of Bearer Securities of any event, such notice shall be sufficiently given if published in an Authorized Newspaper in The City of New York and in such other city or cities as may be specified in such Securities on a Business Day, such publication to be not later than the latest date, if any, and not earlier than the earliest date, if any, prescribed for the giving of such notice. Any such notice shall be deemed to have been given on the date of such publication or, if published more than once, on the date of the first such publication.</w:t>
      </w:r>
    </w:p>
    <w:p>
      <w:pPr>
        <w:spacing w:after="0" w:line="15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9"/>
          <w:szCs w:val="19"/>
          <w:color w:val="auto"/>
        </w:rPr>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any particular Holder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153" w:lineRule="exact"/>
        <w:rPr>
          <w:sz w:val="20"/>
          <w:szCs w:val="20"/>
          <w:color w:val="auto"/>
        </w:rPr>
      </w:pPr>
    </w:p>
    <w:p>
      <w:pPr>
        <w:jc w:val="both"/>
        <w:ind w:right="660" w:firstLine="648"/>
        <w:spacing w:after="0"/>
        <w:rPr>
          <w:sz w:val="20"/>
          <w:szCs w:val="20"/>
          <w:color w:val="auto"/>
        </w:rPr>
      </w:pPr>
      <w:r>
        <w:rPr>
          <w:rFonts w:ascii="Arial" w:cs="Arial" w:eastAsia="Arial" w:hAnsi="Arial"/>
          <w:sz w:val="22"/>
          <w:szCs w:val="22"/>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86" w:lineRule="exact"/>
        <w:rPr>
          <w:sz w:val="20"/>
          <w:szCs w:val="20"/>
          <w:color w:val="auto"/>
        </w:rPr>
      </w:pPr>
    </w:p>
    <w:p>
      <w:pPr>
        <w:ind w:right="380" w:firstLine="648"/>
        <w:spacing w:after="0" w:line="276" w:lineRule="auto"/>
        <w:rPr>
          <w:sz w:val="20"/>
          <w:szCs w:val="20"/>
          <w:color w:val="auto"/>
        </w:rPr>
      </w:pPr>
      <w:r>
        <w:rPr>
          <w:rFonts w:ascii="Arial" w:cs="Arial" w:eastAsia="Arial" w:hAnsi="Arial"/>
          <w:sz w:val="19"/>
          <w:szCs w:val="19"/>
          <w:color w:val="auto"/>
        </w:rPr>
        <w:t>Where this Indenture provides for notice in any manner, such notice may be waived in writing by the Person entitled to receive such notice, either before or after the event, and such waiver shall be the equivalent of such</w:t>
      </w:r>
    </w:p>
    <w:p>
      <w:pPr>
        <w:spacing w:after="0" w:line="2" w:lineRule="exact"/>
        <w:rPr>
          <w:sz w:val="20"/>
          <w:szCs w:val="20"/>
          <w:color w:val="auto"/>
        </w:rPr>
      </w:pPr>
    </w:p>
    <w:p>
      <w:pPr>
        <w:jc w:val="both"/>
        <w:ind w:right="40"/>
        <w:spacing w:after="0" w:line="237" w:lineRule="auto"/>
        <w:rPr>
          <w:sz w:val="20"/>
          <w:szCs w:val="20"/>
          <w:color w:val="auto"/>
        </w:rPr>
      </w:pPr>
      <w:r>
        <w:rPr>
          <w:rFonts w:ascii="Arial" w:cs="Arial" w:eastAsia="Arial" w:hAnsi="Arial"/>
          <w:sz w:val="22"/>
          <w:szCs w:val="22"/>
          <w:color w:val="auto"/>
        </w:rPr>
        <w:t>notice. Waivers of notice by Holders shall be filed with the Trustee, but such filing shall not be a condition precedent to the validity of any action taken in reliance upon such waiver.</w:t>
      </w:r>
    </w:p>
    <w:p>
      <w:pPr>
        <w:spacing w:after="0" w:line="185" w:lineRule="exact"/>
        <w:rPr>
          <w:sz w:val="20"/>
          <w:szCs w:val="20"/>
          <w:color w:val="auto"/>
        </w:rPr>
      </w:pPr>
    </w:p>
    <w:p>
      <w:pPr>
        <w:jc w:val="both"/>
        <w:ind w:right="40" w:firstLine="648"/>
        <w:spacing w:after="0" w:line="252" w:lineRule="auto"/>
        <w:rPr>
          <w:sz w:val="20"/>
          <w:szCs w:val="20"/>
          <w:color w:val="auto"/>
        </w:rPr>
      </w:pPr>
      <w:r>
        <w:rPr>
          <w:rFonts w:ascii="Arial" w:cs="Arial" w:eastAsia="Arial" w:hAnsi="Arial"/>
          <w:sz w:val="21"/>
          <w:szCs w:val="21"/>
          <w:color w:val="auto"/>
        </w:rPr>
        <w:t xml:space="preserve">SECTION 107. </w:t>
      </w:r>
      <w:r>
        <w:rPr>
          <w:rFonts w:ascii="Arial" w:cs="Arial" w:eastAsia="Arial" w:hAnsi="Arial"/>
          <w:sz w:val="21"/>
          <w:szCs w:val="21"/>
          <w:u w:val="single" w:color="auto"/>
          <w:color w:val="auto"/>
        </w:rPr>
        <w:t>Counterparts; Effect of Headings and Table of Contents</w:t>
      </w:r>
      <w:r>
        <w:rPr>
          <w:rFonts w:ascii="Arial" w:cs="Arial" w:eastAsia="Arial" w:hAnsi="Arial"/>
          <w:sz w:val="21"/>
          <w:szCs w:val="21"/>
          <w:color w:val="auto"/>
        </w:rPr>
        <w:t>. This Indenture may be executed in any number of counterparts, each of which so executed shall be deemed to be an original, but all such counterparts shall together constitute but one and the same Indenture. The Article and Section headings herein and the Table of Contents are for convenience only and shall not affect the construction hereof.</w:t>
      </w:r>
    </w:p>
    <w:p>
      <w:pPr>
        <w:spacing w:after="0" w:line="174" w:lineRule="exact"/>
        <w:rPr>
          <w:sz w:val="20"/>
          <w:szCs w:val="20"/>
          <w:color w:val="auto"/>
        </w:rPr>
      </w:pPr>
    </w:p>
    <w:p>
      <w:pPr>
        <w:ind w:right="280" w:firstLine="648"/>
        <w:spacing w:after="0" w:line="251" w:lineRule="auto"/>
        <w:rPr>
          <w:sz w:val="20"/>
          <w:szCs w:val="20"/>
          <w:color w:val="auto"/>
        </w:rPr>
      </w:pPr>
      <w:r>
        <w:rPr>
          <w:rFonts w:ascii="Arial" w:cs="Arial" w:eastAsia="Arial" w:hAnsi="Arial"/>
          <w:sz w:val="22"/>
          <w:szCs w:val="22"/>
          <w:color w:val="auto"/>
        </w:rPr>
        <w:t xml:space="preserve">SECTION 108.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All covenants and agreements in this Indenture by the Company shall bind its successors and assigns, whether so expressed or not.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70" w:name="page71"/>
    <w:bookmarkEnd w:id="70"/>
    <w:p>
      <w:pPr>
        <w:ind w:right="140" w:firstLine="648"/>
        <w:spacing w:after="0"/>
        <w:rPr>
          <w:sz w:val="20"/>
          <w:szCs w:val="20"/>
          <w:color w:val="auto"/>
        </w:rPr>
      </w:pPr>
      <w:r>
        <w:rPr>
          <w:rFonts w:ascii="Arial" w:cs="Arial" w:eastAsia="Arial" w:hAnsi="Arial"/>
          <w:sz w:val="22"/>
          <w:szCs w:val="22"/>
          <w:color w:val="auto"/>
        </w:rPr>
        <w:t xml:space="preserve">SECTION 109. </w:t>
      </w:r>
      <w:r>
        <w:rPr>
          <w:rFonts w:ascii="Arial" w:cs="Arial" w:eastAsia="Arial" w:hAnsi="Arial"/>
          <w:sz w:val="22"/>
          <w:szCs w:val="22"/>
          <w:u w:val="single" w:color="auto"/>
          <w:color w:val="auto"/>
        </w:rPr>
        <w:t>Severability Clause</w:t>
      </w:r>
      <w:r>
        <w:rPr>
          <w:rFonts w:ascii="Arial" w:cs="Arial" w:eastAsia="Arial" w:hAnsi="Arial"/>
          <w:sz w:val="22"/>
          <w:szCs w:val="22"/>
          <w:color w:val="auto"/>
        </w:rPr>
        <w:t>. In case any provision in this Indenture or in any Security or coupon shall be held invalid, illegal or unenforceable, the validity, legality and enforceability of the remaining provisions shall not in any way be affected or impaired thereby.</w:t>
      </w:r>
    </w:p>
    <w:p>
      <w:pPr>
        <w:spacing w:after="0" w:line="186"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 xml:space="preserve">SECTION 110. </w:t>
      </w:r>
      <w:r>
        <w:rPr>
          <w:rFonts w:ascii="Arial" w:cs="Arial" w:eastAsia="Arial" w:hAnsi="Arial"/>
          <w:sz w:val="22"/>
          <w:szCs w:val="22"/>
          <w:u w:val="single" w:color="auto"/>
          <w:color w:val="auto"/>
        </w:rPr>
        <w:t>Benefits of Indenture</w:t>
      </w:r>
      <w:r>
        <w:rPr>
          <w:rFonts w:ascii="Arial" w:cs="Arial" w:eastAsia="Arial" w:hAnsi="Arial"/>
          <w:sz w:val="22"/>
          <w:szCs w:val="22"/>
          <w:color w:val="auto"/>
        </w:rPr>
        <w:t>. Nothing in this Indenture or in the Securities or coupons, if any,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spacing w:after="0" w:line="18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9"/>
          <w:szCs w:val="19"/>
          <w:color w:val="auto"/>
        </w:rPr>
        <w:t xml:space="preserve">SECTION 111. </w:t>
      </w:r>
      <w:r>
        <w:rPr>
          <w:rFonts w:ascii="Arial" w:cs="Arial" w:eastAsia="Arial" w:hAnsi="Arial"/>
          <w:sz w:val="19"/>
          <w:szCs w:val="19"/>
          <w:u w:val="single" w:color="auto"/>
          <w:color w:val="auto"/>
        </w:rPr>
        <w:t>Governing Law</w:t>
      </w:r>
      <w:r>
        <w:rPr>
          <w:rFonts w:ascii="Arial" w:cs="Arial" w:eastAsia="Arial" w:hAnsi="Arial"/>
          <w:sz w:val="19"/>
          <w:szCs w:val="19"/>
          <w:color w:val="auto"/>
        </w:rPr>
        <w:t>. This Indenture and the Securities and coupons shall be governed by and construed in accordance with the laws of the State of New York. This Indenture is subject to the provisions of the TIA that are required to be part of this Indenture and shall, to the extent applicable, be governed by such provisions.</w:t>
      </w:r>
    </w:p>
    <w:p>
      <w:pPr>
        <w:spacing w:after="0" w:line="134"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SECTION 112. </w:t>
      </w:r>
      <w:r>
        <w:rPr>
          <w:rFonts w:ascii="Arial" w:cs="Arial" w:eastAsia="Arial" w:hAnsi="Arial"/>
          <w:sz w:val="19"/>
          <w:szCs w:val="19"/>
          <w:u w:val="single" w:color="auto"/>
          <w:color w:val="auto"/>
        </w:rPr>
        <w:t>Legal Holidays</w:t>
      </w:r>
      <w:r>
        <w:rPr>
          <w:rFonts w:ascii="Arial" w:cs="Arial" w:eastAsia="Arial" w:hAnsi="Arial"/>
          <w:sz w:val="19"/>
          <w:szCs w:val="19"/>
          <w:color w:val="auto"/>
        </w:rPr>
        <w:t>. In any case where any Interest Payment Date, Redemption Date, Repayment Date, sinking fund payment date, Stated Maturity or Maturity of any Security or the last date on which a Holder has the right to convert or exchange a Security shall not be a Business Day at any Place of Payment, then (notwithstanding any other provision of this Indenture or any Security or coupon other than a provision in the Securities of any series which specifically states that such provision shall apply in lieu hereof), payment of interest or principal (and premium or Make-Whole Amount, if any) or conversion or exchange of such Security need not be made at such Place of Payment on such date, but (except as otherwise provided in the supplemental indenture with respect to such Security) may be made on the next succeeding Business Day at such Place of Payment with the same force and effect as if made on the Interest Payment Date, Redemption Date, Repayment Date or sinking fund payment date, or at the Stated Maturity or Maturity, or on such last day for conversion or exchange, provided that no interest shall accrue on the amount so payable for the period from and after such Interest Payment Date, Redemption Date, Repayment Date, sinking fund payment date, Stated Maturity or Maturity, as the case may be.</w:t>
      </w:r>
    </w:p>
    <w:p>
      <w:pPr>
        <w:spacing w:after="0" w:line="162" w:lineRule="exact"/>
        <w:rPr>
          <w:sz w:val="20"/>
          <w:szCs w:val="20"/>
          <w:color w:val="auto"/>
        </w:rPr>
      </w:pPr>
    </w:p>
    <w:p>
      <w:pPr>
        <w:ind w:right="60" w:firstLine="648"/>
        <w:spacing w:after="0" w:line="244" w:lineRule="auto"/>
        <w:rPr>
          <w:sz w:val="20"/>
          <w:szCs w:val="20"/>
          <w:color w:val="auto"/>
        </w:rPr>
      </w:pPr>
      <w:r>
        <w:rPr>
          <w:rFonts w:ascii="Arial" w:cs="Arial" w:eastAsia="Arial" w:hAnsi="Arial"/>
          <w:sz w:val="21"/>
          <w:szCs w:val="21"/>
          <w:color w:val="auto"/>
        </w:rPr>
        <w:t xml:space="preserve">SECTION 113. </w:t>
      </w:r>
      <w:r>
        <w:rPr>
          <w:rFonts w:ascii="Arial" w:cs="Arial" w:eastAsia="Arial" w:hAnsi="Arial"/>
          <w:sz w:val="21"/>
          <w:szCs w:val="21"/>
          <w:u w:val="single" w:color="auto"/>
          <w:color w:val="auto"/>
        </w:rPr>
        <w:t>Limited Liability; Immunity of Stockholders, Directors, Officers and Agents of the</w:t>
      </w:r>
      <w:r>
        <w:rPr>
          <w:rFonts w:ascii="Arial" w:cs="Arial" w:eastAsia="Arial" w:hAnsi="Arial"/>
          <w:sz w:val="21"/>
          <w:szCs w:val="21"/>
          <w:color w:val="auto"/>
        </w:rPr>
        <w:t xml:space="preserve"> </w:t>
      </w:r>
      <w:r>
        <w:rPr>
          <w:rFonts w:ascii="Arial" w:cs="Arial" w:eastAsia="Arial" w:hAnsi="Arial"/>
          <w:sz w:val="21"/>
          <w:szCs w:val="21"/>
          <w:u w:val="single" w:color="auto"/>
          <w:color w:val="auto"/>
        </w:rPr>
        <w:t>Company</w:t>
      </w:r>
      <w:r>
        <w:rPr>
          <w:rFonts w:ascii="Arial" w:cs="Arial" w:eastAsia="Arial" w:hAnsi="Arial"/>
          <w:sz w:val="21"/>
          <w:szCs w:val="21"/>
          <w:color w:val="auto"/>
        </w:rPr>
        <w:t>. Notwithstanding any other provision of this Indenture or of the Securities of any series to the contrary, no recourse under or upon any obligation, covenant or agreement contained in this Indenture or in any Security, or for the payment of any sums due on account of any indebtedness evidenced thereby, including without limitation principal, premium or interest, if any, or for any claim based on this Indenture or any Security or otherwise in respect of this Indenture or any Security, shall be had, whether by levy or execution or otherwise, against (i) the Company, the Company’s assets or against any past, present or future stockholder, employee, officer, director or agent, as such, of the Company or any successor, either directly or through the Company or any successor, under any rule of law, statute, constitutional provision or by the enforcement of any assessment or penalty, or by any legal or equitable proceeding or otherwise, nor shall any such parties be personally liable for any such amounts, obligations or claims, or liable for any deficiency judgment based thereon or with respect thereto, it being expressly understood that the sole remedies hereunder or under any other document with respect to the Securities against such parties with respect to such amounts, obligations or claims shall be against the Company and that all such liability of and recourse against such parties is expressly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71" w:name="page72"/>
    <w:bookmarkEnd w:id="71"/>
    <w:p>
      <w:pPr>
        <w:ind w:right="160"/>
        <w:spacing w:after="0" w:line="251" w:lineRule="auto"/>
        <w:rPr>
          <w:sz w:val="20"/>
          <w:szCs w:val="20"/>
          <w:color w:val="auto"/>
        </w:rPr>
      </w:pPr>
      <w:r>
        <w:rPr>
          <w:rFonts w:ascii="Arial" w:cs="Arial" w:eastAsia="Arial" w:hAnsi="Arial"/>
          <w:sz w:val="22"/>
          <w:szCs w:val="22"/>
          <w:color w:val="auto"/>
        </w:rPr>
        <w:t>waived and released by the acceptance of the Securities by the Holders and as part of the consideration for the issue of the Securities.</w:t>
      </w:r>
    </w:p>
    <w:p>
      <w:pPr>
        <w:spacing w:after="0" w:line="173" w:lineRule="exact"/>
        <w:rPr>
          <w:sz w:val="20"/>
          <w:szCs w:val="20"/>
          <w:color w:val="auto"/>
        </w:rPr>
      </w:pPr>
    </w:p>
    <w:p>
      <w:pPr>
        <w:ind w:right="120" w:firstLine="648"/>
        <w:spacing w:after="0" w:line="249" w:lineRule="auto"/>
        <w:rPr>
          <w:sz w:val="20"/>
          <w:szCs w:val="20"/>
          <w:color w:val="auto"/>
        </w:rPr>
      </w:pPr>
      <w:r>
        <w:rPr>
          <w:rFonts w:ascii="Arial" w:cs="Arial" w:eastAsia="Arial" w:hAnsi="Arial"/>
          <w:sz w:val="21"/>
          <w:szCs w:val="21"/>
          <w:color w:val="auto"/>
        </w:rPr>
        <w:t xml:space="preserve">SECTION 114. </w:t>
      </w:r>
      <w:r>
        <w:rPr>
          <w:rFonts w:ascii="Arial" w:cs="Arial" w:eastAsia="Arial" w:hAnsi="Arial"/>
          <w:sz w:val="21"/>
          <w:szCs w:val="21"/>
          <w:u w:val="single" w:color="auto"/>
          <w:color w:val="auto"/>
        </w:rPr>
        <w:t>Conflict with Trust Indenture Act</w:t>
      </w:r>
      <w:r>
        <w:rPr>
          <w:rFonts w:ascii="Arial" w:cs="Arial" w:eastAsia="Arial" w:hAnsi="Arial"/>
          <w:sz w:val="21"/>
          <w:szCs w:val="21"/>
          <w:color w:val="auto"/>
        </w:rPr>
        <w:t>. If any provision hereof limits, qualifies or conflicts with another provision hereof which is required or deemed to be included in this Indenture by any of the provisions of the Trust Indenture Act, such required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TWO - SECURITIES FORMS</w:t>
      </w:r>
    </w:p>
    <w:p>
      <w:pPr>
        <w:spacing w:after="0" w:line="206" w:lineRule="exact"/>
        <w:rPr>
          <w:sz w:val="20"/>
          <w:szCs w:val="20"/>
          <w:color w:val="auto"/>
        </w:rPr>
      </w:pPr>
    </w:p>
    <w:p>
      <w:pPr>
        <w:ind w:right="80" w:firstLine="648"/>
        <w:spacing w:after="0" w:line="245" w:lineRule="auto"/>
        <w:rPr>
          <w:sz w:val="20"/>
          <w:szCs w:val="20"/>
          <w:color w:val="auto"/>
        </w:rPr>
      </w:pPr>
      <w:r>
        <w:rPr>
          <w:rFonts w:ascii="Arial" w:cs="Arial" w:eastAsia="Arial" w:hAnsi="Arial"/>
          <w:sz w:val="21"/>
          <w:szCs w:val="21"/>
          <w:color w:val="auto"/>
        </w:rPr>
        <w:t xml:space="preserve">SECTION 201. </w:t>
      </w:r>
      <w:r>
        <w:rPr>
          <w:rFonts w:ascii="Arial" w:cs="Arial" w:eastAsia="Arial" w:hAnsi="Arial"/>
          <w:sz w:val="21"/>
          <w:szCs w:val="21"/>
          <w:u w:val="single" w:color="auto"/>
          <w:color w:val="auto"/>
        </w:rPr>
        <w:t>Forms of Securities</w:t>
      </w:r>
      <w:r>
        <w:rPr>
          <w:rFonts w:ascii="Arial" w:cs="Arial" w:eastAsia="Arial" w:hAnsi="Arial"/>
          <w:sz w:val="21"/>
          <w:szCs w:val="21"/>
          <w:color w:val="auto"/>
        </w:rPr>
        <w:t xml:space="preserve">. The Registered Securities, if any, of each series and the Bearer Securities, if any, of each series and related coupons shall be substantially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or in such other form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over-the-counter market or securities exchange, on which the Securities may be quoted or listed, or to conform to usage.</w:t>
      </w:r>
    </w:p>
    <w:p>
      <w:pPr>
        <w:spacing w:after="0" w:line="182" w:lineRule="exact"/>
        <w:rPr>
          <w:sz w:val="20"/>
          <w:szCs w:val="20"/>
          <w:color w:val="auto"/>
        </w:rPr>
      </w:pPr>
    </w:p>
    <w:p>
      <w:pPr>
        <w:ind w:right="640" w:firstLine="648"/>
        <w:spacing w:after="0" w:line="251" w:lineRule="auto"/>
        <w:rPr>
          <w:sz w:val="20"/>
          <w:szCs w:val="20"/>
          <w:color w:val="auto"/>
        </w:rPr>
      </w:pPr>
      <w:r>
        <w:rPr>
          <w:rFonts w:ascii="Arial" w:cs="Arial" w:eastAsia="Arial" w:hAnsi="Arial"/>
          <w:sz w:val="22"/>
          <w:szCs w:val="22"/>
          <w:color w:val="auto"/>
        </w:rPr>
        <w:t>Unless otherwise specified as contemplated by Section 301, Bearer Securities shall have interest coupons attached.</w:t>
      </w:r>
    </w:p>
    <w:p>
      <w:pPr>
        <w:spacing w:after="0" w:line="173" w:lineRule="exact"/>
        <w:rPr>
          <w:sz w:val="20"/>
          <w:szCs w:val="20"/>
          <w:color w:val="auto"/>
        </w:rPr>
      </w:pPr>
    </w:p>
    <w:p>
      <w:pPr>
        <w:ind w:right="420" w:firstLine="648"/>
        <w:spacing w:after="0" w:line="252" w:lineRule="auto"/>
        <w:rPr>
          <w:sz w:val="20"/>
          <w:szCs w:val="20"/>
          <w:color w:val="auto"/>
        </w:rPr>
      </w:pPr>
      <w:r>
        <w:rPr>
          <w:rFonts w:ascii="Arial" w:cs="Arial" w:eastAsia="Arial" w:hAnsi="Arial"/>
          <w:sz w:val="21"/>
          <w:szCs w:val="21"/>
          <w:color w:val="auto"/>
        </w:rPr>
        <w:t>The definitive Securities and coupons shall be printed, lithographed or engraved or produced by any combination of these methods on a steel engraved border or steel engraved borders or mechanically reproduced on safety paper or may be produced in any other manner, all as determined by the officers executing such Securities or coupons, as evidenced by their execution of such Securities or coupons.</w:t>
      </w:r>
    </w:p>
    <w:p>
      <w:pPr>
        <w:spacing w:after="0" w:line="174" w:lineRule="exact"/>
        <w:rPr>
          <w:sz w:val="20"/>
          <w:szCs w:val="20"/>
          <w:color w:val="auto"/>
        </w:rPr>
      </w:pPr>
    </w:p>
    <w:p>
      <w:pPr>
        <w:ind w:right="620" w:firstLine="648"/>
        <w:spacing w:after="0" w:line="251" w:lineRule="auto"/>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u w:val="single" w:color="auto"/>
          <w:color w:val="auto"/>
        </w:rPr>
        <w:t>Form of Trustee’s Certificate of Authentication</w:t>
      </w:r>
      <w:r>
        <w:rPr>
          <w:rFonts w:ascii="Arial" w:cs="Arial" w:eastAsia="Arial" w:hAnsi="Arial"/>
          <w:sz w:val="22"/>
          <w:szCs w:val="22"/>
          <w:color w:val="auto"/>
        </w:rPr>
        <w:t>. Subject to Section 611, the Trustee’s certificate of authentication shall be in substantially the following form:</w:t>
      </w:r>
    </w:p>
    <w:p>
      <w:pPr>
        <w:spacing w:after="0" w:line="173" w:lineRule="exact"/>
        <w:rPr>
          <w:sz w:val="20"/>
          <w:szCs w:val="20"/>
          <w:color w:val="auto"/>
        </w:rPr>
      </w:pPr>
    </w:p>
    <w:p>
      <w:pPr>
        <w:ind w:left="640"/>
        <w:spacing w:after="0" w:line="219" w:lineRule="exact"/>
        <w:rPr>
          <w:sz w:val="20"/>
          <w:szCs w:val="20"/>
          <w:color w:val="auto"/>
        </w:rPr>
      </w:pPr>
      <w:r>
        <w:rPr>
          <w:rFonts w:ascii="Arial" w:cs="Arial" w:eastAsia="Arial" w:hAnsi="Arial"/>
          <w:sz w:val="19"/>
          <w:szCs w:val="19"/>
          <w:color w:val="auto"/>
        </w:rPr>
        <w:t>This is one of the Securities of the series designated therein referred to in the within</w:t>
      </w:r>
      <w:r>
        <w:rPr>
          <w:rFonts w:ascii="MS PGothic" w:cs="MS PGothic" w:eastAsia="MS PGothic" w:hAnsi="MS PGothic"/>
          <w:sz w:val="19"/>
          <w:szCs w:val="19"/>
          <w:color w:val="auto"/>
        </w:rPr>
        <w:t>‑</w:t>
      </w:r>
      <w:r>
        <w:rPr>
          <w:rFonts w:ascii="Arial" w:cs="Arial" w:eastAsia="Arial" w:hAnsi="Arial"/>
          <w:sz w:val="19"/>
          <w:szCs w:val="19"/>
          <w:color w:val="auto"/>
        </w:rPr>
        <w:t xml:space="preserve"> mentioned Indenture.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20" w:type="dxa"/>
            <w:vAlign w:val="bottom"/>
            <w:gridSpan w:val="4"/>
          </w:tcPr>
          <w:p>
            <w:pPr>
              <w:ind w:left="3120"/>
              <w:spacing w:after="0"/>
              <w:rPr>
                <w:sz w:val="20"/>
                <w:szCs w:val="20"/>
                <w:color w:val="auto"/>
              </w:rPr>
            </w:pPr>
            <w:r>
              <w:rPr>
                <w:rFonts w:ascii="Arial" w:cs="Arial" w:eastAsia="Arial" w:hAnsi="Arial"/>
                <w:sz w:val="22"/>
                <w:szCs w:val="22"/>
                <w:color w:val="auto"/>
              </w:rPr>
              <w:t>[__________],</w:t>
            </w:r>
          </w:p>
        </w:tc>
      </w:tr>
      <w:tr>
        <w:trPr>
          <w:trHeight w:val="275"/>
        </w:trPr>
        <w:tc>
          <w:tcPr>
            <w:tcW w:w="7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20" w:type="dxa"/>
            <w:vAlign w:val="bottom"/>
            <w:gridSpan w:val="2"/>
          </w:tcPr>
          <w:p>
            <w:pPr>
              <w:ind w:left="220"/>
              <w:spacing w:after="0"/>
              <w:rPr>
                <w:sz w:val="20"/>
                <w:szCs w:val="20"/>
                <w:color w:val="auto"/>
              </w:rPr>
            </w:pPr>
            <w:r>
              <w:rPr>
                <w:rFonts w:ascii="Arial" w:cs="Arial" w:eastAsia="Arial" w:hAnsi="Arial"/>
                <w:sz w:val="22"/>
                <w:szCs w:val="22"/>
                <w:color w:val="auto"/>
              </w:rPr>
              <w:t>as Trustee</w:t>
            </w:r>
          </w:p>
        </w:tc>
      </w:tr>
      <w:tr>
        <w:trPr>
          <w:trHeight w:val="476"/>
        </w:trPr>
        <w:tc>
          <w:tcPr>
            <w:tcW w:w="760" w:type="dxa"/>
            <w:vAlign w:val="bottom"/>
          </w:tcPr>
          <w:p>
            <w:pPr>
              <w:spacing w:after="0"/>
              <w:rPr>
                <w:sz w:val="20"/>
                <w:szCs w:val="20"/>
                <w:color w:val="auto"/>
              </w:rPr>
            </w:pPr>
            <w:r>
              <w:rPr>
                <w:rFonts w:ascii="Arial" w:cs="Arial" w:eastAsia="Arial" w:hAnsi="Arial"/>
                <w:sz w:val="22"/>
                <w:szCs w:val="22"/>
                <w:color w:val="auto"/>
              </w:rPr>
              <w:t>Dated:</w:t>
            </w:r>
          </w:p>
        </w:tc>
        <w:tc>
          <w:tcPr>
            <w:tcW w:w="16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Arial" w:cs="Arial" w:eastAsia="Arial" w:hAnsi="Arial"/>
                <w:sz w:val="22"/>
                <w:szCs w:val="22"/>
                <w:color w:val="auto"/>
              </w:rPr>
              <w:t>By:</w:t>
            </w:r>
          </w:p>
        </w:tc>
        <w:tc>
          <w:tcPr>
            <w:tcW w:w="4440" w:type="dxa"/>
            <w:vAlign w:val="bottom"/>
            <w:tcBorders>
              <w:bottom w:val="single" w:sz="8" w:color="auto"/>
            </w:tcBorders>
          </w:tcPr>
          <w:p>
            <w:pPr>
              <w:spacing w:after="0"/>
              <w:rPr>
                <w:sz w:val="24"/>
                <w:szCs w:val="24"/>
                <w:color w:val="auto"/>
              </w:rPr>
            </w:pPr>
          </w:p>
        </w:tc>
      </w:tr>
      <w:tr>
        <w:trPr>
          <w:trHeight w:val="202"/>
        </w:trPr>
        <w:tc>
          <w:tcPr>
            <w:tcW w:w="7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20" w:type="dxa"/>
            <w:vAlign w:val="bottom"/>
            <w:gridSpan w:val="2"/>
          </w:tcPr>
          <w:p>
            <w:pPr>
              <w:ind w:left="120"/>
              <w:spacing w:after="0" w:line="202" w:lineRule="exact"/>
              <w:rPr>
                <w:sz w:val="20"/>
                <w:szCs w:val="20"/>
                <w:color w:val="auto"/>
              </w:rPr>
            </w:pPr>
            <w:r>
              <w:rPr>
                <w:rFonts w:ascii="Arial" w:cs="Arial" w:eastAsia="Arial" w:hAnsi="Arial"/>
                <w:sz w:val="22"/>
                <w:szCs w:val="22"/>
                <w:color w:val="auto"/>
              </w:rPr>
              <w:t>Authorized Signatory</w:t>
            </w:r>
          </w:p>
        </w:tc>
      </w:tr>
      <w:tr>
        <w:trPr>
          <w:trHeight w:val="224"/>
        </w:trPr>
        <w:tc>
          <w:tcPr>
            <w:tcW w:w="2360" w:type="dxa"/>
            <w:vAlign w:val="bottom"/>
            <w:gridSpan w:val="2"/>
          </w:tcPr>
          <w:p>
            <w:pPr>
              <w:ind w:left="640"/>
              <w:spacing w:after="0" w:line="224" w:lineRule="exact"/>
              <w:rPr>
                <w:sz w:val="20"/>
                <w:szCs w:val="20"/>
                <w:color w:val="auto"/>
              </w:rPr>
            </w:pPr>
            <w:r>
              <w:rPr>
                <w:rFonts w:ascii="Arial" w:cs="Arial" w:eastAsia="Arial" w:hAnsi="Arial"/>
                <w:sz w:val="22"/>
                <w:szCs w:val="22"/>
                <w:color w:val="auto"/>
              </w:rPr>
              <w:t>SECTION 203.</w:t>
            </w:r>
          </w:p>
        </w:tc>
        <w:tc>
          <w:tcPr>
            <w:tcW w:w="8020" w:type="dxa"/>
            <w:vAlign w:val="bottom"/>
            <w:gridSpan w:val="4"/>
          </w:tcPr>
          <w:p>
            <w:pPr>
              <w:spacing w:after="0" w:line="224" w:lineRule="exact"/>
              <w:rPr>
                <w:sz w:val="20"/>
                <w:szCs w:val="20"/>
                <w:color w:val="auto"/>
              </w:rPr>
            </w:pPr>
            <w:r>
              <w:rPr>
                <w:rFonts w:ascii="Arial" w:cs="Arial" w:eastAsia="Arial" w:hAnsi="Arial"/>
                <w:sz w:val="22"/>
                <w:szCs w:val="22"/>
                <w:color w:val="auto"/>
                <w:w w:val="94"/>
              </w:rPr>
              <w:t>Securities Issuable in Global Form. If Securities of or within a series are issuable in the</w:t>
            </w:r>
          </w:p>
        </w:tc>
      </w:tr>
      <w:tr>
        <w:trPr>
          <w:trHeight w:val="20"/>
        </w:trPr>
        <w:tc>
          <w:tcPr>
            <w:tcW w:w="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form of one or more Global Securities, then, notwithstanding clause (8)</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72" w:name="page73"/>
    <w:bookmarkEnd w:id="72"/>
    <w:p>
      <w:pPr>
        <w:spacing w:after="0" w:line="272" w:lineRule="auto"/>
        <w:rPr>
          <w:sz w:val="20"/>
          <w:szCs w:val="20"/>
          <w:color w:val="auto"/>
        </w:rPr>
      </w:pPr>
      <w:r>
        <w:rPr>
          <w:rFonts w:ascii="Arial" w:cs="Arial" w:eastAsia="Arial" w:hAnsi="Arial"/>
          <w:sz w:val="19"/>
          <w:szCs w:val="19"/>
          <w:color w:val="auto"/>
        </w:rPr>
        <w:t>of Section 301 and the provisions of Section 302, any such Global Security or Securities may provide that it or they shall represent the aggregate amount of all Outstanding Securities of such series (or such lesser amount as is permitted by the terms thereof) from time to time endorsed thereon and may also provide that the aggregate amount of Outstanding Securities of such series represented thereby may from time to time be increased or decreased to reflect exchanges. Any endorsement of any Global Security to reflect the amount, or any increase or decrease in the amount, or changes in the rights of Holders thereof, of Outstanding Securities represented thereby shall be made (or caused to be made) by the Trustee in such manner or by such Person or Persons as shall be specified therein or in the Company Order to be delivered to the Trustee pursuant to Section 303 or 304. Subject to the provisions of Section 303 and, if applicable, Section 304, the Trustee shall deliver and redeliver any Global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endorsement or delivery or redelivery of a Global Security shall be in writing but need not comply with Section 102 and need not be accompanied by an Opinion of Counsel.</w:t>
      </w:r>
    </w:p>
    <w:p>
      <w:pPr>
        <w:spacing w:after="0" w:line="157"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The provisions of the last sentence of Section 303 shall apply to any Security represented by a Global Security if such Security was never issued and sold by the Company and the Company delivers to the Trustee the Global Security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79" w:lineRule="exact"/>
        <w:rPr>
          <w:sz w:val="20"/>
          <w:szCs w:val="20"/>
          <w:color w:val="auto"/>
        </w:rPr>
      </w:pPr>
    </w:p>
    <w:p>
      <w:pPr>
        <w:ind w:right="480" w:firstLine="648"/>
        <w:spacing w:after="0"/>
        <w:rPr>
          <w:sz w:val="20"/>
          <w:szCs w:val="20"/>
          <w:color w:val="auto"/>
        </w:rPr>
      </w:pPr>
      <w:r>
        <w:rPr>
          <w:rFonts w:ascii="Arial" w:cs="Arial" w:eastAsia="Arial" w:hAnsi="Arial"/>
          <w:sz w:val="22"/>
          <w:szCs w:val="22"/>
          <w:color w:val="auto"/>
        </w:rPr>
        <w:t>Notwithstanding the provisions of Section 307, unless otherwise specified as contemplated by Section 301, payment of principal of and any premium or Make-Whole Amount, if any, and interest on any Global Security in permanent global form shall be made to the registered Holder thereof.</w:t>
      </w:r>
    </w:p>
    <w:p>
      <w:pPr>
        <w:spacing w:after="0" w:line="186"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Notwithstanding the provisions of Section 308 and except as provided in the preceding paragraph, the Company, the Trustee and any agent of the Company and the Trustee shall treat as the Holder of such principal amount of Outstanding Securities represented by a permanent Global Security (i) in the case of a permanent Global Security in registered form, the Holder of such permanent Global Security in registered form, or (ii) in the case of a permanent Global Security in bearer form, Euroclear or Clearstream.</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Any Global Security authenticated and delivered hereunder shall bear a legend in substantially the following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form:</w:t>
      </w:r>
    </w:p>
    <w:p>
      <w:pPr>
        <w:spacing w:after="0" w:line="188" w:lineRule="exact"/>
        <w:rPr>
          <w:sz w:val="20"/>
          <w:szCs w:val="20"/>
          <w:color w:val="auto"/>
        </w:rPr>
      </w:pPr>
    </w:p>
    <w:p>
      <w:pPr>
        <w:ind w:right="20" w:firstLine="648"/>
        <w:spacing w:after="0" w:line="248" w:lineRule="auto"/>
        <w:rPr>
          <w:sz w:val="20"/>
          <w:szCs w:val="20"/>
          <w:color w:val="auto"/>
        </w:rPr>
      </w:pPr>
      <w:r>
        <w:rPr>
          <w:rFonts w:ascii="Arial" w:cs="Arial" w:eastAsia="Arial" w:hAnsi="Arial"/>
          <w:sz w:val="21"/>
          <w:szCs w:val="21"/>
          <w:color w:val="auto"/>
        </w:rPr>
        <w:t>“This Security is a Global Security within the meaning set forth in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 or by the Depository or its nominee to a successor Depository or its nominee.”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73" w:name="page74"/>
    <w:bookmarkEnd w:id="73"/>
    <w:p>
      <w:pPr>
        <w:jc w:val="center"/>
        <w:spacing w:after="0"/>
        <w:rPr>
          <w:sz w:val="20"/>
          <w:szCs w:val="20"/>
          <w:color w:val="auto"/>
        </w:rPr>
      </w:pPr>
      <w:r>
        <w:rPr>
          <w:rFonts w:ascii="Arial" w:cs="Arial" w:eastAsia="Arial" w:hAnsi="Arial"/>
          <w:sz w:val="22"/>
          <w:szCs w:val="22"/>
          <w:color w:val="auto"/>
        </w:rPr>
        <w:t>ARTICLE THREE - THE SECURITIES</w:t>
      </w:r>
    </w:p>
    <w:p>
      <w:pPr>
        <w:spacing w:after="0" w:line="206" w:lineRule="exact"/>
        <w:rPr>
          <w:sz w:val="20"/>
          <w:szCs w:val="20"/>
          <w:color w:val="auto"/>
        </w:rPr>
      </w:pPr>
    </w:p>
    <w:p>
      <w:pPr>
        <w:ind w:right="140" w:firstLine="648"/>
        <w:spacing w:after="0" w:line="251" w:lineRule="auto"/>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u w:val="single" w:color="auto"/>
          <w:color w:val="auto"/>
        </w:rPr>
        <w:t>Amount Unlimited; Issuable in Series</w:t>
      </w:r>
      <w:r>
        <w:rPr>
          <w:rFonts w:ascii="Arial" w:cs="Arial" w:eastAsia="Arial" w:hAnsi="Arial"/>
          <w:sz w:val="22"/>
          <w:szCs w:val="22"/>
          <w:color w:val="auto"/>
        </w:rPr>
        <w:t>. The aggregate principal amount of Securities which may be authenticated and delivered under this Indenture is unlimited.</w:t>
      </w:r>
    </w:p>
    <w:p>
      <w:pPr>
        <w:spacing w:after="0" w:line="173" w:lineRule="exact"/>
        <w:rPr>
          <w:sz w:val="20"/>
          <w:szCs w:val="20"/>
          <w:color w:val="auto"/>
        </w:rPr>
      </w:pPr>
    </w:p>
    <w:p>
      <w:pPr>
        <w:ind w:right="500" w:firstLine="648"/>
        <w:spacing w:after="0" w:line="287" w:lineRule="auto"/>
        <w:rPr>
          <w:sz w:val="20"/>
          <w:szCs w:val="20"/>
          <w:color w:val="auto"/>
        </w:rPr>
      </w:pPr>
      <w:r>
        <w:rPr>
          <w:rFonts w:ascii="Arial" w:cs="Arial" w:eastAsia="Arial" w:hAnsi="Arial"/>
          <w:sz w:val="19"/>
          <w:szCs w:val="19"/>
          <w:color w:val="auto"/>
        </w:rPr>
        <w:t>The Securities may be issued in one or more series, each of which shall be authorized pursuant to Board Resolutions of the Company. There shall be established in one or more Board Resolutions or pursuant to authority granted by one or more Board Resolutions and, subject to Section 303, set forth in an Officers’ Certificate, or established in one or more indentures supplemental hereto, prior to the issuance of Securities of any series:</w:t>
      </w:r>
    </w:p>
    <w:p>
      <w:pPr>
        <w:spacing w:after="0" w:line="143" w:lineRule="exact"/>
        <w:rPr>
          <w:sz w:val="20"/>
          <w:szCs w:val="20"/>
          <w:color w:val="auto"/>
        </w:rPr>
      </w:pPr>
    </w:p>
    <w:p>
      <w:pPr>
        <w:ind w:left="640" w:right="180" w:firstLine="648"/>
        <w:spacing w:after="0" w:line="251" w:lineRule="auto"/>
        <w:tabs>
          <w:tab w:leader="none" w:pos="1914"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title of the Securities of the series, including “CUSIP” numbers (which shall distinguish the Securities of such series from all other series of Securities);</w:t>
      </w:r>
    </w:p>
    <w:p>
      <w:pPr>
        <w:spacing w:after="0" w:line="173" w:lineRule="exact"/>
        <w:rPr>
          <w:rFonts w:ascii="Arial" w:cs="Arial" w:eastAsia="Arial" w:hAnsi="Arial"/>
          <w:sz w:val="22"/>
          <w:szCs w:val="22"/>
          <w:color w:val="auto"/>
        </w:rPr>
      </w:pPr>
    </w:p>
    <w:p>
      <w:pPr>
        <w:ind w:left="640" w:right="120" w:firstLine="648"/>
        <w:spacing w:after="0" w:line="236" w:lineRule="auto"/>
        <w:tabs>
          <w:tab w:leader="none" w:pos="1906" w:val="left"/>
        </w:tabs>
        <w:numPr>
          <w:ilvl w:val="0"/>
          <w:numId w:val="55"/>
        </w:numPr>
        <w:rPr>
          <w:rFonts w:ascii="Arial" w:cs="Arial" w:eastAsia="Arial" w:hAnsi="Arial"/>
          <w:sz w:val="22"/>
          <w:szCs w:val="22"/>
          <w:color w:val="auto"/>
        </w:rPr>
      </w:pPr>
      <w:r>
        <w:rPr>
          <w:rFonts w:ascii="Arial" w:cs="Arial" w:eastAsia="Arial" w:hAnsi="Arial"/>
          <w:sz w:val="22"/>
          <w:szCs w:val="22"/>
          <w:color w:val="auto"/>
        </w:rPr>
        <w:t>Any limit upon the aggregate principal amount of the Securities of the series that may be authenticated and delivered under this Indenture (except for Securities authenticated and delivered upon registration of transfer of, or upon conversion of, or in exchange for, or in lieu of, other Securities of the series pursuant to Section 304, 305, 306, 906, 1107 or 1305) and the minimum authorized denominations with respect to the Securities of such series;</w:t>
      </w:r>
    </w:p>
    <w:p>
      <w:pPr>
        <w:spacing w:after="0" w:line="187" w:lineRule="exact"/>
        <w:rPr>
          <w:rFonts w:ascii="Arial" w:cs="Arial" w:eastAsia="Arial" w:hAnsi="Arial"/>
          <w:sz w:val="22"/>
          <w:szCs w:val="22"/>
          <w:color w:val="auto"/>
        </w:rPr>
      </w:pPr>
    </w:p>
    <w:p>
      <w:pPr>
        <w:ind w:left="640" w:right="20" w:firstLine="648"/>
        <w:spacing w:after="0" w:line="236" w:lineRule="auto"/>
        <w:tabs>
          <w:tab w:leader="none" w:pos="1914"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price (expressed as a percentage of the principal amount thereof) at which such Securities will be issued and, if other than the principal amount thereof, the portion of the principal amount thereof payable upon declaration of acceleration of the maturity thereof or (if applicable) the portion of the principal amount of such Securities that is convertible into Common Stock or the method by which any such portion shall be determined.</w:t>
      </w:r>
    </w:p>
    <w:p>
      <w:pPr>
        <w:spacing w:after="0" w:line="187" w:lineRule="exact"/>
        <w:rPr>
          <w:rFonts w:ascii="Arial" w:cs="Arial" w:eastAsia="Arial" w:hAnsi="Arial"/>
          <w:sz w:val="22"/>
          <w:szCs w:val="22"/>
          <w:color w:val="auto"/>
        </w:rPr>
      </w:pPr>
    </w:p>
    <w:p>
      <w:pPr>
        <w:ind w:left="640" w:right="40" w:firstLine="648"/>
        <w:spacing w:after="0"/>
        <w:tabs>
          <w:tab w:leader="none" w:pos="1918" w:val="left"/>
        </w:tabs>
        <w:numPr>
          <w:ilvl w:val="0"/>
          <w:numId w:val="55"/>
        </w:numPr>
        <w:rPr>
          <w:rFonts w:ascii="Arial" w:cs="Arial" w:eastAsia="Arial" w:hAnsi="Arial"/>
          <w:sz w:val="22"/>
          <w:szCs w:val="22"/>
          <w:color w:val="auto"/>
        </w:rPr>
      </w:pPr>
      <w:r>
        <w:rPr>
          <w:rFonts w:ascii="Arial" w:cs="Arial" w:eastAsia="Arial" w:hAnsi="Arial"/>
          <w:sz w:val="22"/>
          <w:szCs w:val="22"/>
          <w:color w:val="auto"/>
        </w:rPr>
        <w:t>If convertible, the terms on which such Securities are convertible, including the initial conversion price or rate and the conversion period and any applicable limitations on the ownership or transferability of Common Stock or Preferred Stock receivable on conversion;</w:t>
      </w:r>
    </w:p>
    <w:p>
      <w:pPr>
        <w:spacing w:after="0" w:line="186" w:lineRule="exact"/>
        <w:rPr>
          <w:rFonts w:ascii="Arial" w:cs="Arial" w:eastAsia="Arial" w:hAnsi="Arial"/>
          <w:sz w:val="22"/>
          <w:szCs w:val="22"/>
          <w:color w:val="auto"/>
        </w:rPr>
      </w:pPr>
    </w:p>
    <w:p>
      <w:pPr>
        <w:ind w:left="640" w:right="420" w:firstLine="648"/>
        <w:spacing w:after="0" w:line="251" w:lineRule="auto"/>
        <w:tabs>
          <w:tab w:leader="none" w:pos="1914"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date or dates, or the method for determining such date or dates, on which the principal of such Securities will be payable;</w:t>
      </w:r>
    </w:p>
    <w:p>
      <w:pPr>
        <w:spacing w:after="0" w:line="173" w:lineRule="exact"/>
        <w:rPr>
          <w:rFonts w:ascii="Arial" w:cs="Arial" w:eastAsia="Arial" w:hAnsi="Arial"/>
          <w:sz w:val="22"/>
          <w:szCs w:val="22"/>
          <w:color w:val="auto"/>
        </w:rPr>
      </w:pPr>
    </w:p>
    <w:p>
      <w:pPr>
        <w:ind w:left="640" w:right="40" w:firstLine="648"/>
        <w:spacing w:after="0" w:line="251" w:lineRule="auto"/>
        <w:tabs>
          <w:tab w:leader="none" w:pos="1914"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rate or rates (which may be fixed or variable), or the method by which such rate or rates shall be determined, at which such Securities will bear interest, if any;</w:t>
      </w:r>
    </w:p>
    <w:p>
      <w:pPr>
        <w:spacing w:after="0" w:line="173" w:lineRule="exact"/>
        <w:rPr>
          <w:rFonts w:ascii="Arial" w:cs="Arial" w:eastAsia="Arial" w:hAnsi="Arial"/>
          <w:sz w:val="22"/>
          <w:szCs w:val="22"/>
          <w:color w:val="auto"/>
        </w:rPr>
      </w:pPr>
    </w:p>
    <w:p>
      <w:pPr>
        <w:ind w:left="640" w:firstLine="648"/>
        <w:spacing w:after="0" w:line="236" w:lineRule="auto"/>
        <w:tabs>
          <w:tab w:leader="none" w:pos="1914"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187" w:lineRule="exact"/>
        <w:rPr>
          <w:rFonts w:ascii="Arial" w:cs="Arial" w:eastAsia="Arial" w:hAnsi="Arial"/>
          <w:sz w:val="22"/>
          <w:szCs w:val="22"/>
          <w:color w:val="auto"/>
        </w:rPr>
      </w:pPr>
    </w:p>
    <w:p>
      <w:pPr>
        <w:ind w:left="640" w:right="340" w:firstLine="648"/>
        <w:spacing w:after="0" w:line="328" w:lineRule="auto"/>
        <w:tabs>
          <w:tab w:leader="none" w:pos="18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Make-Whole Amount, if any, or method for determining the Make-Whole Amount, if any, payable with respect to such Securities, and the terms upon which such amount, if any, will be payable;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74" w:name="page75"/>
    <w:bookmarkEnd w:id="74"/>
    <w:p>
      <w:pPr>
        <w:ind w:left="-40" w:right="140" w:firstLine="648"/>
        <w:spacing w:after="0" w:line="251" w:lineRule="exact"/>
        <w:tabs>
          <w:tab w:leader="none" w:pos="1234"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place or places where the principal of (and premium or Make</w:t>
      </w:r>
      <w:r>
        <w:rPr>
          <w:rFonts w:ascii="MS PGothic" w:cs="MS PGothic" w:eastAsia="MS PGothic" w:hAnsi="MS PGothic"/>
          <w:sz w:val="22"/>
          <w:szCs w:val="22"/>
          <w:color w:val="auto"/>
        </w:rPr>
        <w:t>‑</w:t>
      </w:r>
      <w:r>
        <w:rPr>
          <w:rFonts w:ascii="Arial" w:cs="Arial" w:eastAsia="Arial" w:hAnsi="Arial"/>
          <w:sz w:val="22"/>
          <w:szCs w:val="22"/>
          <w:color w:val="auto"/>
        </w:rPr>
        <w:t>Whole Amount, if any) and interest, if any, on such Securities will be payable, where such Securities may be surrendered for registration of transfer or conversion or exchange and where notices or demands to or upon the Company in respect of such Securities and this Indenture may be served;</w:t>
      </w:r>
    </w:p>
    <w:p>
      <w:pPr>
        <w:spacing w:after="0" w:line="185" w:lineRule="exact"/>
        <w:rPr>
          <w:rFonts w:ascii="Arial" w:cs="Arial" w:eastAsia="Arial" w:hAnsi="Arial"/>
          <w:sz w:val="22"/>
          <w:szCs w:val="22"/>
          <w:color w:val="auto"/>
        </w:rPr>
      </w:pPr>
    </w:p>
    <w:p>
      <w:pPr>
        <w:jc w:val="both"/>
        <w:ind w:left="-40" w:right="240" w:firstLine="648"/>
        <w:spacing w:after="0"/>
        <w:tabs>
          <w:tab w:leader="none" w:pos="1234"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period or periods, if any, within which, the price or prices at which and the other terms and conditions upon which such Securities may, pursuant to any optional or mandatory redemption provisions, be redeemed, as a whole or in part, at the option of the Company;</w:t>
      </w:r>
    </w:p>
    <w:p>
      <w:pPr>
        <w:spacing w:after="0" w:line="186" w:lineRule="exact"/>
        <w:rPr>
          <w:rFonts w:ascii="Arial" w:cs="Arial" w:eastAsia="Arial" w:hAnsi="Arial"/>
          <w:sz w:val="22"/>
          <w:szCs w:val="22"/>
          <w:color w:val="auto"/>
        </w:rPr>
      </w:pPr>
    </w:p>
    <w:p>
      <w:pPr>
        <w:ind w:left="-40" w:right="200" w:firstLine="648"/>
        <w:spacing w:after="0" w:line="287" w:lineRule="auto"/>
        <w:tabs>
          <w:tab w:leader="none" w:pos="1226"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obligation, if any, of the Company to redeem, repay or purchase such Securities pursuant to any sinking fund or analogous provision or at the option of a Holder thereof, and the period or periods within which, the price or prices at which and the other terms and conditions upon which such Securities will be redeemed, repaid or purchased, as a whole or in part, pursuant to such obligation;</w:t>
      </w:r>
    </w:p>
    <w:p>
      <w:pPr>
        <w:spacing w:after="0" w:line="143" w:lineRule="exact"/>
        <w:rPr>
          <w:rFonts w:ascii="Arial" w:cs="Arial" w:eastAsia="Arial" w:hAnsi="Arial"/>
          <w:sz w:val="19"/>
          <w:szCs w:val="19"/>
          <w:color w:val="auto"/>
        </w:rPr>
      </w:pPr>
    </w:p>
    <w:p>
      <w:pPr>
        <w:ind w:left="-40" w:right="80" w:firstLine="648"/>
        <w:spacing w:after="0" w:line="252" w:lineRule="auto"/>
        <w:tabs>
          <w:tab w:leader="none" w:pos="1238" w:val="left"/>
        </w:tabs>
        <w:numPr>
          <w:ilvl w:val="0"/>
          <w:numId w:val="56"/>
        </w:numPr>
        <w:rPr>
          <w:rFonts w:ascii="Arial" w:cs="Arial" w:eastAsia="Arial" w:hAnsi="Arial"/>
          <w:sz w:val="21"/>
          <w:szCs w:val="21"/>
          <w:color w:val="auto"/>
        </w:rPr>
      </w:pPr>
      <w:r>
        <w:rPr>
          <w:rFonts w:ascii="Arial" w:cs="Arial" w:eastAsia="Arial" w:hAnsi="Arial"/>
          <w:sz w:val="21"/>
          <w:szCs w:val="21"/>
          <w:color w:val="auto"/>
        </w:rPr>
        <w:t>If other than Dollars, the currency or currencies in which such Securities are denominated and payable, which may be a foreign currency or units of two or more foreign currencies or a composite currency or currencies, the manner of determining the equivalent thereof in Dollars for purposes of the definition of “Outstanding” in Section 101, and the terms and conditions relating thereto;</w:t>
      </w:r>
    </w:p>
    <w:p>
      <w:pPr>
        <w:spacing w:after="0" w:line="174" w:lineRule="exact"/>
        <w:rPr>
          <w:rFonts w:ascii="Arial" w:cs="Arial" w:eastAsia="Arial" w:hAnsi="Arial"/>
          <w:sz w:val="21"/>
          <w:szCs w:val="21"/>
          <w:color w:val="auto"/>
        </w:rPr>
      </w:pPr>
    </w:p>
    <w:p>
      <w:pPr>
        <w:ind w:left="-40" w:right="80" w:firstLine="648"/>
        <w:spacing w:after="0" w:line="235" w:lineRule="auto"/>
        <w:tabs>
          <w:tab w:leader="none" w:pos="1234" w:val="left"/>
        </w:tabs>
        <w:numPr>
          <w:ilvl w:val="0"/>
          <w:numId w:val="56"/>
        </w:numPr>
        <w:rPr>
          <w:rFonts w:ascii="Arial" w:cs="Arial" w:eastAsia="Arial" w:hAnsi="Arial"/>
          <w:sz w:val="22"/>
          <w:szCs w:val="22"/>
          <w:color w:val="auto"/>
        </w:rPr>
      </w:pPr>
      <w:r>
        <w:rPr>
          <w:rFonts w:ascii="Arial" w:cs="Arial" w:eastAsia="Arial" w:hAnsi="Arial"/>
          <w:sz w:val="22"/>
          <w:szCs w:val="22"/>
          <w:color w:val="auto"/>
        </w:rPr>
        <w:t>Whether the amount of payments of principal of (and premium or Make-Whole Amount, if any, including any amount due upon redemption, if any) or interest on such Securities may be determined with reference to an index, formula or other method (which index, formula or method may, but need not be, based on the yield on or trading price of other securities, including United States Treasury securities or on a currency, currencies, currency unit or units, or composite currency or currencies) and the manner in which such amounts shall be determined;</w:t>
      </w:r>
    </w:p>
    <w:p>
      <w:pPr>
        <w:spacing w:after="0" w:line="188" w:lineRule="exact"/>
        <w:rPr>
          <w:rFonts w:ascii="Arial" w:cs="Arial" w:eastAsia="Arial" w:hAnsi="Arial"/>
          <w:sz w:val="22"/>
          <w:szCs w:val="22"/>
          <w:color w:val="auto"/>
        </w:rPr>
      </w:pPr>
    </w:p>
    <w:p>
      <w:pPr>
        <w:ind w:left="-40" w:firstLine="648"/>
        <w:spacing w:after="0" w:line="247" w:lineRule="exact"/>
        <w:tabs>
          <w:tab w:leader="none" w:pos="1234" w:val="left"/>
        </w:tabs>
        <w:numPr>
          <w:ilvl w:val="0"/>
          <w:numId w:val="56"/>
        </w:numPr>
        <w:rPr>
          <w:rFonts w:ascii="Arial" w:cs="Arial" w:eastAsia="Arial" w:hAnsi="Arial"/>
          <w:sz w:val="21"/>
          <w:szCs w:val="21"/>
          <w:color w:val="auto"/>
        </w:rPr>
      </w:pPr>
      <w:r>
        <w:rPr>
          <w:rFonts w:ascii="Arial" w:cs="Arial" w:eastAsia="Arial" w:hAnsi="Arial"/>
          <w:sz w:val="21"/>
          <w:szCs w:val="21"/>
          <w:color w:val="auto"/>
        </w:rPr>
        <w:t>Whether the principal of (and premium or Make</w:t>
      </w:r>
      <w:r>
        <w:rPr>
          <w:rFonts w:ascii="MS PGothic" w:cs="MS PGothic" w:eastAsia="MS PGothic" w:hAnsi="MS PGothic"/>
          <w:sz w:val="21"/>
          <w:szCs w:val="21"/>
          <w:color w:val="auto"/>
        </w:rPr>
        <w:t>‑</w:t>
      </w:r>
      <w:r>
        <w:rPr>
          <w:rFonts w:ascii="Arial" w:cs="Arial" w:eastAsia="Arial" w:hAnsi="Arial"/>
          <w:sz w:val="21"/>
          <w:szCs w:val="21"/>
          <w:color w:val="auto"/>
        </w:rPr>
        <w:t>Whole Amount, if any) or interest on the Securities of the series are to be payable, at the election of the Company or a Holder thereof, in a currency or currencies, currency unit or units or composite currency or currencies other than that in which such Securities are denominated or stated to be payable, the period or periods within which, and the terms and conditions upon which, such election may be made, and the time and manner of, and identity of the exchange rate agent with responsibility for, determining the exchange rate between the currency or currencies, currency unit or units or composite currency or currencies in which such Securities are denominated or stated to be payable and the currency or currencies, currency unit or units or composite currency or currencies in which such Securities are to be so payable;</w:t>
      </w:r>
    </w:p>
    <w:p>
      <w:pPr>
        <w:spacing w:after="0" w:line="185" w:lineRule="exact"/>
        <w:rPr>
          <w:rFonts w:ascii="Arial" w:cs="Arial" w:eastAsia="Arial" w:hAnsi="Arial"/>
          <w:sz w:val="21"/>
          <w:szCs w:val="21"/>
          <w:color w:val="auto"/>
        </w:rPr>
      </w:pPr>
    </w:p>
    <w:p>
      <w:pPr>
        <w:ind w:left="-40" w:right="620" w:firstLine="648"/>
        <w:spacing w:after="0" w:line="251" w:lineRule="auto"/>
        <w:tabs>
          <w:tab w:leader="none" w:pos="1238" w:val="left"/>
        </w:tabs>
        <w:numPr>
          <w:ilvl w:val="0"/>
          <w:numId w:val="56"/>
        </w:numPr>
        <w:rPr>
          <w:rFonts w:ascii="Arial" w:cs="Arial" w:eastAsia="Arial" w:hAnsi="Arial"/>
          <w:sz w:val="22"/>
          <w:szCs w:val="22"/>
          <w:color w:val="auto"/>
        </w:rPr>
      </w:pPr>
      <w:r>
        <w:rPr>
          <w:rFonts w:ascii="Arial" w:cs="Arial" w:eastAsia="Arial" w:hAnsi="Arial"/>
          <w:sz w:val="22"/>
          <w:szCs w:val="22"/>
          <w:color w:val="auto"/>
        </w:rPr>
        <w:t>Provisions, if any, granting special rights to the Holders of Securities of the series upon the occurrence of such events as may be specified;</w:t>
      </w:r>
    </w:p>
    <w:p>
      <w:pPr>
        <w:spacing w:after="0" w:line="173" w:lineRule="exact"/>
        <w:rPr>
          <w:rFonts w:ascii="Arial" w:cs="Arial" w:eastAsia="Arial" w:hAnsi="Arial"/>
          <w:sz w:val="22"/>
          <w:szCs w:val="22"/>
          <w:color w:val="auto"/>
        </w:rPr>
      </w:pPr>
    </w:p>
    <w:p>
      <w:pPr>
        <w:ind w:left="-40" w:right="380" w:firstLine="648"/>
        <w:spacing w:after="0"/>
        <w:tabs>
          <w:tab w:leader="none" w:pos="1226"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deletions from, modifications of or additions to the Events of Default or covenants of the Company with respect to Securities of the series, whether or not such Events of Default or covenants are consistent with the Events of Default or covenants set forth herein;</w:t>
      </w:r>
    </w:p>
    <w:p>
      <w:pPr>
        <w:spacing w:after="0" w:line="200" w:lineRule="exact"/>
        <w:rPr>
          <w:sz w:val="20"/>
          <w:szCs w:val="20"/>
          <w:color w:val="auto"/>
        </w:rPr>
      </w:pPr>
    </w:p>
    <w:p>
      <w:pPr>
        <w:spacing w:after="0" w:line="203"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76200</wp:posOffset>
            </wp:positionV>
            <wp:extent cx="661225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61" w:right="739" w:bottom="1440" w:gutter="0" w:footer="0" w:header="0"/>
        </w:sectPr>
      </w:pPr>
    </w:p>
    <w:bookmarkStart w:id="75" w:name="page76"/>
    <w:bookmarkEnd w:id="75"/>
    <w:p>
      <w:pPr>
        <w:ind w:left="-40" w:right="220" w:firstLine="648"/>
        <w:spacing w:after="0" w:line="258" w:lineRule="auto"/>
        <w:tabs>
          <w:tab w:leader="none" w:pos="1234" w:val="left"/>
        </w:tabs>
        <w:numPr>
          <w:ilvl w:val="0"/>
          <w:numId w:val="57"/>
        </w:numPr>
        <w:rPr>
          <w:rFonts w:ascii="Arial" w:cs="Arial" w:eastAsia="Arial" w:hAnsi="Arial"/>
          <w:sz w:val="21"/>
          <w:szCs w:val="21"/>
          <w:color w:val="auto"/>
        </w:rPr>
      </w:pPr>
      <w:r>
        <w:rPr>
          <w:rFonts w:ascii="Arial" w:cs="Arial" w:eastAsia="Arial" w:hAnsi="Arial"/>
          <w:sz w:val="21"/>
          <w:szCs w:val="21"/>
          <w:color w:val="auto"/>
        </w:rPr>
        <w:t>Whether and under what circumstances the Company will pay any additional amounts on such Securities in respect of any tax, assessment or governmental charge and, if so, whether the Company will have the option to redeem such Securities in lieu of making such payment;</w:t>
      </w:r>
    </w:p>
    <w:p>
      <w:pPr>
        <w:spacing w:after="0" w:line="166" w:lineRule="exact"/>
        <w:rPr>
          <w:rFonts w:ascii="Arial" w:cs="Arial" w:eastAsia="Arial" w:hAnsi="Arial"/>
          <w:sz w:val="21"/>
          <w:szCs w:val="21"/>
          <w:color w:val="auto"/>
        </w:rPr>
      </w:pPr>
    </w:p>
    <w:p>
      <w:pPr>
        <w:ind w:left="-40" w:firstLine="648"/>
        <w:spacing w:after="0" w:line="273" w:lineRule="auto"/>
        <w:tabs>
          <w:tab w:leader="none" w:pos="1234" w:val="left"/>
        </w:tabs>
        <w:numPr>
          <w:ilvl w:val="0"/>
          <w:numId w:val="57"/>
        </w:numPr>
        <w:rPr>
          <w:rFonts w:ascii="Arial" w:cs="Arial" w:eastAsia="Arial" w:hAnsi="Arial"/>
          <w:sz w:val="19"/>
          <w:szCs w:val="19"/>
          <w:color w:val="auto"/>
        </w:rPr>
      </w:pPr>
      <w:r>
        <w:rPr>
          <w:rFonts w:ascii="Arial" w:cs="Arial" w:eastAsia="Arial" w:hAnsi="Arial"/>
          <w:sz w:val="19"/>
          <w:szCs w:val="19"/>
          <w:color w:val="auto"/>
        </w:rPr>
        <w:t>Whether Securities of the series are to be issuable as Registered Securities, Bearer Securities (with or without coupons) or both, any restrictions applicable to the offer, sale or delivery of Bearer Securities and the terms upon which Bearer Securities of the series may be exchanged for Registered Securities of the series and vice versa (if permitted by applicable laws and regulations), whether any Securities of the series are to be issuable initially in temporary global form and whether any Securities of the series are to be issuable in permanent global form with or without coupons and, if so, whether beneficial owners of interests in any such permanent global Security may, or shall be required to, exchange such interests for Securities of such series and of like tenor of any authorized form and denomination and the circumstances under which any such exchanges may, or shall be required to, occur, if other than in the manner provided in the Indenture, and, if Registered Securities of the series are to be issuable as a Global Security, the identity of the depository for such series;</w:t>
      </w:r>
    </w:p>
    <w:p>
      <w:pPr>
        <w:spacing w:after="0" w:line="161" w:lineRule="exact"/>
        <w:rPr>
          <w:rFonts w:ascii="Arial" w:cs="Arial" w:eastAsia="Arial" w:hAnsi="Arial"/>
          <w:sz w:val="19"/>
          <w:szCs w:val="19"/>
          <w:color w:val="auto"/>
        </w:rPr>
      </w:pPr>
    </w:p>
    <w:p>
      <w:pPr>
        <w:ind w:left="-40" w:right="240" w:firstLine="648"/>
        <w:spacing w:after="0"/>
        <w:tabs>
          <w:tab w:leader="none" w:pos="1234"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186" w:lineRule="exact"/>
        <w:rPr>
          <w:rFonts w:ascii="Arial" w:cs="Arial" w:eastAsia="Arial" w:hAnsi="Arial"/>
          <w:sz w:val="22"/>
          <w:szCs w:val="22"/>
          <w:color w:val="auto"/>
        </w:rPr>
      </w:pPr>
    </w:p>
    <w:p>
      <w:pPr>
        <w:ind w:left="-40" w:right="20" w:firstLine="648"/>
        <w:spacing w:after="0" w:line="245" w:lineRule="auto"/>
        <w:tabs>
          <w:tab w:leader="none" w:pos="1234" w:val="left"/>
        </w:tabs>
        <w:numPr>
          <w:ilvl w:val="0"/>
          <w:numId w:val="57"/>
        </w:numPr>
        <w:rPr>
          <w:rFonts w:ascii="Arial" w:cs="Arial" w:eastAsia="Arial" w:hAnsi="Arial"/>
          <w:sz w:val="21"/>
          <w:szCs w:val="21"/>
          <w:color w:val="auto"/>
        </w:rPr>
      </w:pPr>
      <w:r>
        <w:rPr>
          <w:rFonts w:ascii="Arial" w:cs="Arial" w:eastAsia="Arial" w:hAnsi="Arial"/>
          <w:sz w:val="21"/>
          <w:szCs w:val="21"/>
          <w:color w:val="auto"/>
        </w:rPr>
        <w:t xml:space="preserve">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herein;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in each case, that the manner of determining such Person or making such payment shall be acceptable to the Trustee (as not imposing on it any undue administrative burden or risk of liability);</w:t>
      </w:r>
    </w:p>
    <w:p>
      <w:pPr>
        <w:spacing w:after="0" w:line="185" w:lineRule="exact"/>
        <w:rPr>
          <w:rFonts w:ascii="Arial" w:cs="Arial" w:eastAsia="Arial" w:hAnsi="Arial"/>
          <w:sz w:val="21"/>
          <w:szCs w:val="21"/>
          <w:color w:val="auto"/>
        </w:rPr>
      </w:pPr>
    </w:p>
    <w:p>
      <w:pPr>
        <w:ind w:left="-40" w:right="640" w:firstLine="648"/>
        <w:spacing w:after="0" w:line="251" w:lineRule="auto"/>
        <w:tabs>
          <w:tab w:leader="none" w:pos="1234"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applicability, if any, of the Defeasance and Covenant Defeasance provisions of Article Fourteen hereof to the Securities of the series;</w:t>
      </w:r>
    </w:p>
    <w:p>
      <w:pPr>
        <w:spacing w:after="0" w:line="173" w:lineRule="exact"/>
        <w:rPr>
          <w:rFonts w:ascii="Arial" w:cs="Arial" w:eastAsia="Arial" w:hAnsi="Arial"/>
          <w:sz w:val="22"/>
          <w:szCs w:val="22"/>
          <w:color w:val="auto"/>
        </w:rPr>
      </w:pPr>
    </w:p>
    <w:p>
      <w:pPr>
        <w:ind w:left="-40" w:right="280" w:firstLine="648"/>
        <w:spacing w:after="0" w:line="236" w:lineRule="auto"/>
        <w:tabs>
          <w:tab w:leader="none" w:pos="1234"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obligation, if any, of the Company to permit the conversion of the Securities of such series into Common Stock or Preferred Stock, as the case may be, and the terms and conditions upon which such conversion shall be effected (including, without limitation, the initial conversion price or rate, the conversion period, any adjustment of the applicable conversion price and any requirements relative to the reservation of such shares for purposes of conversion);</w:t>
      </w:r>
    </w:p>
    <w:p>
      <w:pPr>
        <w:spacing w:after="0" w:line="187" w:lineRule="exact"/>
        <w:rPr>
          <w:rFonts w:ascii="Arial" w:cs="Arial" w:eastAsia="Arial" w:hAnsi="Arial"/>
          <w:sz w:val="22"/>
          <w:szCs w:val="22"/>
          <w:color w:val="auto"/>
        </w:rPr>
      </w:pPr>
    </w:p>
    <w:p>
      <w:pPr>
        <w:ind w:left="-40" w:firstLine="648"/>
        <w:spacing w:after="0" w:line="238" w:lineRule="auto"/>
        <w:tabs>
          <w:tab w:leader="none" w:pos="1238" w:val="left"/>
        </w:tabs>
        <w:numPr>
          <w:ilvl w:val="0"/>
          <w:numId w:val="57"/>
        </w:numPr>
        <w:rPr>
          <w:rFonts w:ascii="Arial" w:cs="Arial" w:eastAsia="Arial" w:hAnsi="Arial"/>
          <w:sz w:val="22"/>
          <w:szCs w:val="22"/>
          <w:color w:val="auto"/>
        </w:rPr>
      </w:pPr>
      <w:r>
        <w:rPr>
          <w:rFonts w:ascii="Arial" w:cs="Arial" w:eastAsia="Arial" w:hAnsi="Arial"/>
          <w:sz w:val="22"/>
          <w:szCs w:val="22"/>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200" w:lineRule="exact"/>
        <w:rPr>
          <w:sz w:val="20"/>
          <w:szCs w:val="20"/>
          <w:color w:val="auto"/>
        </w:rPr>
      </w:pPr>
    </w:p>
    <w:p>
      <w:pPr>
        <w:spacing w:after="0" w:line="201"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76200</wp:posOffset>
            </wp:positionV>
            <wp:extent cx="661225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61" w:right="739" w:bottom="1440" w:gutter="0" w:footer="0" w:header="0"/>
        </w:sectPr>
      </w:pPr>
    </w:p>
    <w:bookmarkStart w:id="76" w:name="page77"/>
    <w:bookmarkEnd w:id="76"/>
    <w:p>
      <w:pPr>
        <w:ind w:left="640" w:right="80" w:firstLine="648"/>
        <w:spacing w:after="0"/>
        <w:tabs>
          <w:tab w:leader="none" w:pos="1918" w:val="left"/>
        </w:tabs>
        <w:numPr>
          <w:ilvl w:val="0"/>
          <w:numId w:val="58"/>
        </w:numPr>
        <w:rPr>
          <w:rFonts w:ascii="Arial" w:cs="Arial" w:eastAsia="Arial" w:hAnsi="Arial"/>
          <w:sz w:val="22"/>
          <w:szCs w:val="22"/>
          <w:color w:val="auto"/>
        </w:rPr>
      </w:pPr>
      <w:r>
        <w:rPr>
          <w:rFonts w:ascii="Arial" w:cs="Arial" w:eastAsia="Arial" w:hAnsi="Arial"/>
          <w:sz w:val="22"/>
          <w:szCs w:val="22"/>
          <w:color w:val="auto"/>
        </w:rPr>
        <w:t>Designation of the Trustee, if different from the Trustee under the Indenture, with respect to such series and the terms applicable to such Trustee (which shall be accepted by such Trustee by its execution and delivery of a supplemental indenture as provided therein); and</w:t>
      </w:r>
    </w:p>
    <w:p>
      <w:pPr>
        <w:spacing w:after="0" w:line="186" w:lineRule="exact"/>
        <w:rPr>
          <w:rFonts w:ascii="Arial" w:cs="Arial" w:eastAsia="Arial" w:hAnsi="Arial"/>
          <w:sz w:val="22"/>
          <w:szCs w:val="22"/>
          <w:color w:val="auto"/>
        </w:rPr>
      </w:pPr>
    </w:p>
    <w:p>
      <w:pPr>
        <w:ind w:left="1900" w:hanging="612"/>
        <w:spacing w:after="0"/>
        <w:tabs>
          <w:tab w:leader="none" w:pos="19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Any other terms of the series (which terms shall not be inconsistent with the provisions of this</w:t>
      </w:r>
    </w:p>
    <w:p>
      <w:pPr>
        <w:spacing w:after="0" w:line="42"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Indenture).</w:t>
      </w:r>
    </w:p>
    <w:p>
      <w:pPr>
        <w:spacing w:after="0" w:line="188" w:lineRule="exact"/>
        <w:rPr>
          <w:sz w:val="20"/>
          <w:szCs w:val="20"/>
          <w:color w:val="auto"/>
        </w:rPr>
      </w:pPr>
    </w:p>
    <w:p>
      <w:pPr>
        <w:ind w:right="180" w:firstLine="648"/>
        <w:spacing w:after="0" w:line="248" w:lineRule="auto"/>
        <w:rPr>
          <w:sz w:val="20"/>
          <w:szCs w:val="20"/>
          <w:color w:val="auto"/>
        </w:rPr>
      </w:pPr>
      <w:r>
        <w:rPr>
          <w:rFonts w:ascii="Arial" w:cs="Arial" w:eastAsia="Arial" w:hAnsi="Arial"/>
          <w:sz w:val="21"/>
          <w:szCs w:val="21"/>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such Board Resolution (subject to Section 303) and set forth in such Officers’ Certificate or in any such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177"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185" w:lineRule="exact"/>
        <w:rPr>
          <w:sz w:val="20"/>
          <w:szCs w:val="20"/>
          <w:color w:val="auto"/>
        </w:rPr>
      </w:pPr>
    </w:p>
    <w:p>
      <w:pPr>
        <w:ind w:right="200" w:firstLine="648"/>
        <w:spacing w:after="0" w:line="248" w:lineRule="auto"/>
        <w:rPr>
          <w:sz w:val="20"/>
          <w:szCs w:val="20"/>
          <w:color w:val="auto"/>
        </w:rPr>
      </w:pPr>
      <w:r>
        <w:rPr>
          <w:rFonts w:ascii="Arial" w:cs="Arial" w:eastAsia="Arial" w:hAnsi="Arial"/>
          <w:sz w:val="21"/>
          <w:szCs w:val="21"/>
          <w:color w:val="auto"/>
        </w:rPr>
        <w:t xml:space="preserve">SECTION 302. </w:t>
      </w:r>
      <w:r>
        <w:rPr>
          <w:rFonts w:ascii="Arial" w:cs="Arial" w:eastAsia="Arial" w:hAnsi="Arial"/>
          <w:sz w:val="21"/>
          <w:szCs w:val="21"/>
          <w:u w:val="single" w:color="auto"/>
          <w:color w:val="auto"/>
        </w:rPr>
        <w:t>Denominations</w:t>
      </w:r>
      <w:r>
        <w:rPr>
          <w:rFonts w:ascii="Arial" w:cs="Arial" w:eastAsia="Arial" w:hAnsi="Arial"/>
          <w:sz w:val="21"/>
          <w:szCs w:val="21"/>
          <w:color w:val="auto"/>
        </w:rPr>
        <w:t>. The Securities of each series shall be issuable in such denominations as shall be specified as contemplated by Section 301. With respect to Securities of any series denominated in Dollars, in the absence of any such provisions with respect to the Securities of any series, the Securities of such series, other than Global Securities (which may be of any denomination), shall be issuable in denominations of $1,000 and any integral multiple thereof or the equivalent amounts thereof in the case of Securities denominated in the Foreign Currency or currency unit.</w:t>
      </w:r>
    </w:p>
    <w:p>
      <w:pPr>
        <w:spacing w:after="0" w:line="177" w:lineRule="exact"/>
        <w:rPr>
          <w:sz w:val="20"/>
          <w:szCs w:val="20"/>
          <w:color w:val="auto"/>
        </w:rPr>
      </w:pPr>
    </w:p>
    <w:p>
      <w:pPr>
        <w:ind w:right="180" w:firstLine="648"/>
        <w:spacing w:after="0" w:line="235" w:lineRule="auto"/>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u w:val="single" w:color="auto"/>
          <w:color w:val="auto"/>
        </w:rPr>
        <w:t>Execution, Authentication, Delivery and Dating</w:t>
      </w:r>
      <w:r>
        <w:rPr>
          <w:rFonts w:ascii="Arial" w:cs="Arial" w:eastAsia="Arial" w:hAnsi="Arial"/>
          <w:sz w:val="22"/>
          <w:szCs w:val="22"/>
          <w:color w:val="auto"/>
        </w:rPr>
        <w:t>. The Securities and any coupons appertaining thereto shall be executed on behalf of the Company by its Chairman of the Board, its Chief Executive Officer, its President, or one of its Vice Presidents, under its corporate seal reproduced thereon, and attested by its Secretary or one of its Assistant Secretaries. The signature of any of these officers on the Securities and coupons may be manual or facsimile signatures of the present or any future such authorized officer and may be imprinted or otherwise reproduced on the Securities.</w:t>
      </w:r>
    </w:p>
    <w:p>
      <w:pPr>
        <w:spacing w:after="0" w:line="188"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w:t>
      </w:r>
    </w:p>
    <w:p>
      <w:pPr>
        <w:spacing w:after="0" w:line="185"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At any time and from time to time after the execution and delivery of this Indenture, the Company may deliver Securities of any series, together with any coupon appertaining thereto, executed by the Company to the Trustee for authentication, together with a Company Order for the authentication and delivery of such Securities (accompanied by a copy of the Board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77" w:name="page78"/>
    <w:bookmarkEnd w:id="77"/>
    <w:p>
      <w:pPr>
        <w:ind w:right="20"/>
        <w:spacing w:after="0" w:line="245" w:lineRule="exact"/>
        <w:rPr>
          <w:sz w:val="20"/>
          <w:szCs w:val="20"/>
          <w:color w:val="auto"/>
        </w:rPr>
      </w:pPr>
      <w:r>
        <w:rPr>
          <w:rFonts w:ascii="Arial" w:cs="Arial" w:eastAsia="Arial" w:hAnsi="Arial"/>
          <w:sz w:val="19"/>
          <w:szCs w:val="19"/>
          <w:color w:val="auto"/>
        </w:rPr>
        <w:t xml:space="preserve">Resolution and the Officers’ Certificate or supplemental indenture contemplated by Section 301), and the Trustee in accordance with the Company Order shall authenticate and deliver such Securities;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connection with its original issuance, no Bearer Security shall be mailed or otherwise delivered to any location in the United States;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unless otherwise specified with respect to any series of Securities pursuant to Section 301, a Bearer Security may be delivered in connection with its original issuance only if the Person entitled to receive such Bearer Security shall have furnished a certificate to Euroclear or Clearstream, as the case may be, in the form set forth in </w:t>
      </w:r>
      <w:r>
        <w:rPr>
          <w:rFonts w:ascii="Arial" w:cs="Arial" w:eastAsia="Arial" w:hAnsi="Arial"/>
          <w:sz w:val="19"/>
          <w:szCs w:val="19"/>
          <w:u w:val="single" w:color="auto"/>
          <w:color w:val="auto"/>
        </w:rPr>
        <w:t>Exhibit B</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1</w:t>
      </w:r>
      <w:r>
        <w:rPr>
          <w:rFonts w:ascii="Arial" w:cs="Arial" w:eastAsia="Arial" w:hAnsi="Arial"/>
          <w:sz w:val="19"/>
          <w:szCs w:val="19"/>
          <w:color w:val="auto"/>
        </w:rPr>
        <w:t xml:space="preserve"> to this Indenture or such other certificate as may be specified by the Company with respect to any series of Securities pursuant to Section 301,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canceled.</w:t>
      </w:r>
    </w:p>
    <w:p>
      <w:pPr>
        <w:spacing w:after="0" w:line="189"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or formula,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in relying upon,</w:t>
      </w:r>
    </w:p>
    <w:p>
      <w:pPr>
        <w:spacing w:after="0" w:line="151" w:lineRule="exact"/>
        <w:rPr>
          <w:sz w:val="20"/>
          <w:szCs w:val="20"/>
          <w:color w:val="auto"/>
        </w:rPr>
      </w:pPr>
    </w:p>
    <w:p>
      <w:pPr>
        <w:ind w:left="2580" w:hanging="644"/>
        <w:spacing w:after="0"/>
        <w:tabs>
          <w:tab w:leader="none" w:pos="2580" w:val="left"/>
        </w:tabs>
        <w:numPr>
          <w:ilvl w:val="0"/>
          <w:numId w:val="59"/>
        </w:numPr>
        <w:rPr>
          <w:rFonts w:ascii="Arial" w:cs="Arial" w:eastAsia="Arial" w:hAnsi="Arial"/>
          <w:sz w:val="22"/>
          <w:szCs w:val="22"/>
          <w:color w:val="auto"/>
        </w:rPr>
      </w:pPr>
      <w:r>
        <w:rPr>
          <w:rFonts w:ascii="Arial" w:cs="Arial" w:eastAsia="Arial" w:hAnsi="Arial"/>
          <w:sz w:val="22"/>
          <w:szCs w:val="22"/>
          <w:color w:val="auto"/>
        </w:rPr>
        <w:t>an Opinion of Counsel stating that</w:t>
      </w:r>
    </w:p>
    <w:p>
      <w:pPr>
        <w:spacing w:after="0" w:line="206" w:lineRule="exact"/>
        <w:rPr>
          <w:rFonts w:ascii="Arial" w:cs="Arial" w:eastAsia="Arial" w:hAnsi="Arial"/>
          <w:sz w:val="22"/>
          <w:szCs w:val="22"/>
          <w:color w:val="auto"/>
        </w:rPr>
      </w:pPr>
    </w:p>
    <w:p>
      <w:pPr>
        <w:ind w:left="1940" w:right="420" w:firstLine="644"/>
        <w:spacing w:after="0" w:line="251" w:lineRule="auto"/>
        <w:tabs>
          <w:tab w:leader="none" w:pos="3206"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form or forms of such Securities and any coupons have been established in conformity with the provisions of this Indenture;</w:t>
      </w:r>
    </w:p>
    <w:p>
      <w:pPr>
        <w:spacing w:after="0" w:line="173" w:lineRule="exact"/>
        <w:rPr>
          <w:rFonts w:ascii="Arial" w:cs="Arial" w:eastAsia="Arial" w:hAnsi="Arial"/>
          <w:sz w:val="22"/>
          <w:szCs w:val="22"/>
          <w:color w:val="auto"/>
        </w:rPr>
      </w:pPr>
    </w:p>
    <w:p>
      <w:pPr>
        <w:ind w:left="1940" w:right="120" w:firstLine="644"/>
        <w:spacing w:after="0" w:line="251" w:lineRule="auto"/>
        <w:tabs>
          <w:tab w:leader="none" w:pos="3218"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terms of such Securities and any coupons have been established in conformity with the provisions of this Indenture; and</w:t>
      </w:r>
    </w:p>
    <w:p>
      <w:pPr>
        <w:spacing w:after="0" w:line="173" w:lineRule="exact"/>
        <w:rPr>
          <w:rFonts w:ascii="Arial" w:cs="Arial" w:eastAsia="Arial" w:hAnsi="Arial"/>
          <w:sz w:val="22"/>
          <w:szCs w:val="22"/>
          <w:color w:val="auto"/>
        </w:rPr>
      </w:pPr>
    </w:p>
    <w:p>
      <w:pPr>
        <w:ind w:left="1940" w:right="180" w:firstLine="644"/>
        <w:spacing w:after="0" w:line="275" w:lineRule="auto"/>
        <w:tabs>
          <w:tab w:leader="none" w:pos="3206" w:val="left"/>
        </w:tabs>
        <w:numPr>
          <w:ilvl w:val="1"/>
          <w:numId w:val="59"/>
        </w:numPr>
        <w:rPr>
          <w:rFonts w:ascii="Arial" w:cs="Arial" w:eastAsia="Arial" w:hAnsi="Arial"/>
          <w:sz w:val="19"/>
          <w:szCs w:val="19"/>
          <w:color w:val="auto"/>
        </w:rPr>
      </w:pPr>
      <w:r>
        <w:rPr>
          <w:rFonts w:ascii="Arial" w:cs="Arial" w:eastAsia="Arial" w:hAnsi="Arial"/>
          <w:sz w:val="19"/>
          <w:szCs w:val="19"/>
          <w:color w:val="auto"/>
        </w:rPr>
        <w:t>such Securities, together with any coupons appertaining thereto,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legally binding obligations of the Company, enforceable in accordance with their terms, subject to applicable bankruptcy, insolvency, fraudulent transfer, reorganization and other similar laws of general applicability relating to or affecting the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78" w:name="page79"/>
    <w:bookmarkEnd w:id="78"/>
    <w:p>
      <w:pPr>
        <w:ind w:left="1940"/>
        <w:spacing w:after="0"/>
        <w:rPr>
          <w:sz w:val="20"/>
          <w:szCs w:val="20"/>
          <w:color w:val="auto"/>
        </w:rPr>
      </w:pPr>
      <w:r>
        <w:rPr>
          <w:rFonts w:ascii="Arial" w:cs="Arial" w:eastAsia="Arial" w:hAnsi="Arial"/>
          <w:sz w:val="22"/>
          <w:szCs w:val="22"/>
          <w:color w:val="auto"/>
        </w:rPr>
        <w:t>enforcement of creditors’ rights generally and to general equitable principles; and</w:t>
      </w:r>
    </w:p>
    <w:p>
      <w:pPr>
        <w:spacing w:after="0" w:line="206" w:lineRule="exact"/>
        <w:rPr>
          <w:sz w:val="20"/>
          <w:szCs w:val="20"/>
          <w:color w:val="auto"/>
        </w:rPr>
      </w:pPr>
    </w:p>
    <w:p>
      <w:pPr>
        <w:jc w:val="both"/>
        <w:ind w:left="1280" w:right="20" w:firstLine="656"/>
        <w:spacing w:after="0" w:line="238" w:lineRule="auto"/>
        <w:tabs>
          <w:tab w:leader="none" w:pos="257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an Officers’ Certificate stating that all conditions precedent provided for in this Indenture relating to the issuance of the Securities have been complied with and that, to the best of the knowledge of the signers of such certificate, that no Event of Default with respect to any of the Securities shall have occurred and be continuing.</w:t>
      </w:r>
    </w:p>
    <w:p>
      <w:pPr>
        <w:spacing w:after="0" w:line="185" w:lineRule="exact"/>
        <w:rPr>
          <w:sz w:val="20"/>
          <w:szCs w:val="20"/>
          <w:color w:val="auto"/>
        </w:rPr>
      </w:pPr>
    </w:p>
    <w:p>
      <w:pPr>
        <w:ind w:right="120" w:firstLine="648"/>
        <w:spacing w:after="0" w:line="252" w:lineRule="auto"/>
        <w:rPr>
          <w:sz w:val="20"/>
          <w:szCs w:val="20"/>
          <w:color w:val="auto"/>
        </w:rPr>
      </w:pPr>
      <w:r>
        <w:rPr>
          <w:rFonts w:ascii="Arial" w:cs="Arial" w:eastAsia="Arial" w:hAnsi="Arial"/>
          <w:sz w:val="21"/>
          <w:szCs w:val="21"/>
          <w:color w:val="auto"/>
        </w:rPr>
        <w:t>If such form or terms have been so established, the Trustee shall not be required to authenticate such Securities (or to enter into the related supplemental indenture, if applicable) if the issue of such Securities pursuant to this Indenture will affect the Trustee’s own rights, duties, obligations or immunities under the Securities and this Indenture or otherwise in a manner which is not reasonably acceptable to the Trustee.</w:t>
      </w:r>
    </w:p>
    <w:p>
      <w:pPr>
        <w:spacing w:after="0" w:line="17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Notwithstanding the provisions of Section 301 and of the preceding paragraph, if all the Securities of any series are not to be issued at one time, it shall not be necessary to deliver an Officers’ Certificate otherwise required pursuant to Section 301 or a Company Order, or an Opinion of Counsel or an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w:t>
      </w:r>
    </w:p>
    <w:p>
      <w:pPr>
        <w:spacing w:after="0" w:line="177" w:lineRule="exact"/>
        <w:rPr>
          <w:sz w:val="20"/>
          <w:szCs w:val="20"/>
          <w:color w:val="auto"/>
        </w:rPr>
      </w:pPr>
    </w:p>
    <w:p>
      <w:pPr>
        <w:ind w:right="80" w:firstLine="648"/>
        <w:spacing w:after="0" w:line="251" w:lineRule="auto"/>
        <w:rPr>
          <w:sz w:val="20"/>
          <w:szCs w:val="20"/>
          <w:color w:val="auto"/>
        </w:rPr>
      </w:pPr>
      <w:r>
        <w:rPr>
          <w:rFonts w:ascii="Arial" w:cs="Arial" w:eastAsia="Arial" w:hAnsi="Arial"/>
          <w:sz w:val="22"/>
          <w:szCs w:val="22"/>
          <w:color w:val="auto"/>
        </w:rPr>
        <w:t>Each Registered Security shall be dated the date of its authentication and each Bearer Security shall be dated as of the date specified as contemplated by Section 301.</w:t>
      </w:r>
    </w:p>
    <w:p>
      <w:pPr>
        <w:spacing w:after="0" w:line="173"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No Security or coupon shall be entitled to any benefit under this Indenture or be valid or obligatory for any purpose unless there appears on such Security or Security to which such coupon appertains a certificate of authentication substantially in the form provided for herein duly executed by the Trustee (subject to Section 611)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(including a Global Security) shall have been 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56" w:lineRule="exact"/>
        <w:rPr>
          <w:sz w:val="20"/>
          <w:szCs w:val="20"/>
          <w:color w:val="auto"/>
        </w:rPr>
      </w:pPr>
    </w:p>
    <w:p>
      <w:pPr>
        <w:ind w:left="640"/>
        <w:spacing w:after="0"/>
        <w:tabs>
          <w:tab w:leader="none" w:pos="234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u w:val="single" w:color="auto"/>
          <w:color w:val="auto"/>
        </w:rPr>
        <w:t>Temporary Securities</w:t>
      </w:r>
      <w:r>
        <w:rPr>
          <w:rFonts w:ascii="Arial" w:cs="Arial" w:eastAsia="Arial" w:hAnsi="Arial"/>
          <w:sz w:val="19"/>
          <w:szCs w:val="19"/>
          <w:color w:val="auto"/>
        </w:rPr>
        <w:t>.</w:t>
      </w:r>
    </w:p>
    <w:p>
      <w:pPr>
        <w:spacing w:after="0" w:line="206" w:lineRule="exact"/>
        <w:rPr>
          <w:sz w:val="20"/>
          <w:szCs w:val="20"/>
          <w:color w:val="auto"/>
        </w:rPr>
      </w:pPr>
    </w:p>
    <w:p>
      <w:pPr>
        <w:ind w:right="160" w:firstLine="1288"/>
        <w:spacing w:after="0" w:line="287" w:lineRule="auto"/>
        <w:tabs>
          <w:tab w:leader="none" w:pos="1914" w:val="left"/>
        </w:tabs>
        <w:numPr>
          <w:ilvl w:val="0"/>
          <w:numId w:val="61"/>
        </w:numPr>
        <w:rPr>
          <w:rFonts w:ascii="Arial" w:cs="Arial" w:eastAsia="Arial" w:hAnsi="Arial"/>
          <w:sz w:val="19"/>
          <w:szCs w:val="19"/>
          <w:color w:val="auto"/>
        </w:rPr>
      </w:pPr>
      <w:r>
        <w:rPr>
          <w:rFonts w:ascii="Arial" w:cs="Arial" w:eastAsia="Arial" w:hAnsi="Arial"/>
          <w:sz w:val="19"/>
          <w:szCs w:val="19"/>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361" w:right="799" w:bottom="1440" w:gutter="0" w:footer="0" w:header="0"/>
        </w:sectPr>
      </w:pPr>
    </w:p>
    <w:bookmarkStart w:id="79" w:name="page80"/>
    <w:bookmarkEnd w:id="79"/>
    <w:p>
      <w:pPr>
        <w:ind w:right="40"/>
        <w:spacing w:after="0" w:line="297" w:lineRule="auto"/>
        <w:rPr>
          <w:sz w:val="20"/>
          <w:szCs w:val="20"/>
          <w:color w:val="auto"/>
        </w:rPr>
      </w:pPr>
      <w:r>
        <w:rPr>
          <w:rFonts w:ascii="Arial" w:cs="Arial" w:eastAsia="Arial" w:hAnsi="Arial"/>
          <w:sz w:val="19"/>
          <w:szCs w:val="19"/>
          <w:color w:val="auto"/>
        </w:rPr>
        <w:t>more coupons or without coupons,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34" w:lineRule="exact"/>
        <w:rPr>
          <w:sz w:val="20"/>
          <w:szCs w:val="20"/>
          <w:color w:val="auto"/>
        </w:rPr>
      </w:pPr>
    </w:p>
    <w:p>
      <w:pPr>
        <w:ind w:firstLine="648"/>
        <w:spacing w:after="0" w:line="247" w:lineRule="exact"/>
        <w:rPr>
          <w:sz w:val="20"/>
          <w:szCs w:val="20"/>
          <w:color w:val="auto"/>
        </w:rPr>
      </w:pPr>
      <w:r>
        <w:rPr>
          <w:rFonts w:ascii="Arial" w:cs="Arial" w:eastAsia="Arial" w:hAnsi="Arial"/>
          <w:sz w:val="19"/>
          <w:szCs w:val="19"/>
          <w:color w:val="auto"/>
        </w:rPr>
        <w:t>Except in the case of temporary Global Securities (which shall be exchanged as otherwise provided herein or as otherwise provided in or pursuant to a Board Resolution or supplemental indenture pursuant to Section 301),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non</w:t>
      </w:r>
      <w:r>
        <w:rPr>
          <w:rFonts w:ascii="MS PGothic" w:cs="MS PGothic" w:eastAsia="MS PGothic" w:hAnsi="MS PGothic"/>
          <w:sz w:val="19"/>
          <w:szCs w:val="19"/>
          <w:color w:val="auto"/>
        </w:rPr>
        <w:t>‑</w:t>
      </w:r>
      <w:r>
        <w:rPr>
          <w:rFonts w:ascii="Arial" w:cs="Arial" w:eastAsia="Arial" w:hAnsi="Arial"/>
          <w:sz w:val="19"/>
          <w:szCs w:val="19"/>
          <w:color w:val="auto"/>
        </w:rPr>
        <w:t xml:space="preserve">matured coupons appertaining thereto), the Company shall execute (in accordance with a Company Order delivered at or prior to the authentication of the first definitive security to such series) and the Trustee shall authenticate and deliver in exchange therefor a like principal amount of definitive Securities of the same series of authorized denominations;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definitive Bearer Security shall be delivered in exchange for a temporary Registered Security;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 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w:t>
      </w:r>
    </w:p>
    <w:p>
      <w:pPr>
        <w:spacing w:after="0" w:line="200" w:lineRule="exact"/>
        <w:rPr>
          <w:sz w:val="20"/>
          <w:szCs w:val="20"/>
          <w:color w:val="auto"/>
        </w:rPr>
      </w:pPr>
    </w:p>
    <w:p>
      <w:pPr>
        <w:spacing w:after="0" w:line="209" w:lineRule="exact"/>
        <w:rPr>
          <w:sz w:val="20"/>
          <w:szCs w:val="20"/>
          <w:color w:val="auto"/>
        </w:rPr>
      </w:pPr>
    </w:p>
    <w:p>
      <w:pPr>
        <w:ind w:right="100" w:firstLine="1288"/>
        <w:spacing w:after="0" w:line="247" w:lineRule="auto"/>
        <w:tabs>
          <w:tab w:leader="none" w:pos="1927" w:val="left"/>
        </w:tabs>
        <w:numPr>
          <w:ilvl w:val="0"/>
          <w:numId w:val="62"/>
        </w:numPr>
        <w:rPr>
          <w:rFonts w:ascii="Arial" w:cs="Arial" w:eastAsia="Arial" w:hAnsi="Arial"/>
          <w:sz w:val="21"/>
          <w:szCs w:val="21"/>
          <w:color w:val="auto"/>
        </w:rPr>
      </w:pPr>
      <w:r>
        <w:rPr>
          <w:rFonts w:ascii="Arial" w:cs="Arial" w:eastAsia="Arial" w:hAnsi="Arial"/>
          <w:sz w:val="21"/>
          <w:szCs w:val="21"/>
          <w:color w:val="auto"/>
        </w:rPr>
        <w:t>Unless otherwise provided in or pursuant to a Board Resolution or supplemental indenture pursuant to Section 301, the following provisions of this Section 304(b) shall govern the exchange of temporary Securities other than through the facilities of the DTC. If any such temporary Security is issued in global form, then such temporary Global Security shall, unless otherwise provided therein, be delivered to the London office of a depository or common depository upon and pursuant to written direction of the Company (the “Common Depository”), for the benefit of Euroclear and Clearstream, for credit to the respective accounts of the beneficial owners of such Securities (or to such other accounts as they may direct).</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Without unnecessary delay but in any event not later than the date specified in, or determined pursuant to the terms of, any such temporary Global Security (the “Exchange Date”), the Company shall deliver to the Trustee definitive Securities, in aggregate principal amount equal to the principal amount of such temporary Global Security, executed by the Company. On or after the Exchange Date, such temporary Global Security shall be surrendered by the Common Depository to the Trustee, as the Company’s agent for such purpose, to be exchanged, in whole or from time to time in part, for definitive Securities without charge, and the Trustee shall authenticate and deliver,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(as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80" w:name="page81"/>
    <w:bookmarkEnd w:id="80"/>
    <w:p>
      <w:pPr>
        <w:ind w:right="20"/>
        <w:spacing w:after="0" w:line="247" w:lineRule="exact"/>
        <w:rPr>
          <w:sz w:val="20"/>
          <w:szCs w:val="20"/>
          <w:color w:val="auto"/>
        </w:rPr>
      </w:pPr>
      <w:r>
        <w:rPr>
          <w:rFonts w:ascii="Arial" w:cs="Arial" w:eastAsia="Arial" w:hAnsi="Arial"/>
          <w:sz w:val="21"/>
          <w:szCs w:val="21"/>
          <w:color w:val="auto"/>
        </w:rPr>
        <w:t xml:space="preserve">directed by or pursuant to information provided by the Common Depository);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unless otherwise specified in such temporary Global Security, upon such presentation by the Common Depository, such temporary Global Security shall be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exchanged, each in the form set forth in </w:t>
      </w:r>
      <w:r>
        <w:rPr>
          <w:rFonts w:ascii="Arial" w:cs="Arial" w:eastAsia="Arial" w:hAnsi="Arial"/>
          <w:sz w:val="21"/>
          <w:szCs w:val="21"/>
          <w:u w:val="single" w:color="auto"/>
          <w:color w:val="auto"/>
        </w:rPr>
        <w:t>Exhibit B</w:t>
      </w:r>
      <w:r>
        <w:rPr>
          <w:rFonts w:ascii="MS PGothic" w:cs="MS PGothic" w:eastAsia="MS PGothic" w:hAnsi="MS PGothic"/>
          <w:sz w:val="21"/>
          <w:szCs w:val="21"/>
          <w:u w:val="single" w:color="auto"/>
          <w:color w:val="auto"/>
        </w:rPr>
        <w:t>‑</w:t>
      </w:r>
      <w:r>
        <w:rPr>
          <w:rFonts w:ascii="Arial" w:cs="Arial" w:eastAsia="Arial" w:hAnsi="Arial"/>
          <w:sz w:val="21"/>
          <w:szCs w:val="21"/>
          <w:u w:val="single" w:color="auto"/>
          <w:color w:val="auto"/>
        </w:rPr>
        <w:t>2</w:t>
      </w:r>
      <w:r>
        <w:rPr>
          <w:rFonts w:ascii="Arial" w:cs="Arial" w:eastAsia="Arial" w:hAnsi="Arial"/>
          <w:sz w:val="21"/>
          <w:szCs w:val="21"/>
          <w:color w:val="auto"/>
        </w:rPr>
        <w:t xml:space="preserve"> to this Indenture or in such other form as may be established pursuant to Section 301;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definitive Bearer Securities shall be delivered in exchange for a portion of a temporary Global Security only in compliance with the requirements of Section 303.</w:t>
      </w:r>
    </w:p>
    <w:p>
      <w:pPr>
        <w:spacing w:after="0" w:line="185" w:lineRule="exact"/>
        <w:rPr>
          <w:sz w:val="20"/>
          <w:szCs w:val="20"/>
          <w:color w:val="auto"/>
        </w:rPr>
      </w:pPr>
    </w:p>
    <w:p>
      <w:pPr>
        <w:ind w:firstLine="648"/>
        <w:spacing w:after="0" w:line="248" w:lineRule="exact"/>
        <w:rPr>
          <w:sz w:val="20"/>
          <w:szCs w:val="20"/>
          <w:color w:val="auto"/>
        </w:rPr>
      </w:pPr>
      <w:r>
        <w:rPr>
          <w:rFonts w:ascii="Arial" w:cs="Arial" w:eastAsia="Arial" w:hAnsi="Arial"/>
          <w:sz w:val="19"/>
          <w:szCs w:val="19"/>
          <w:color w:val="auto"/>
        </w:rPr>
        <w:t xml:space="preserve">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w:t>
      </w:r>
      <w:r>
        <w:rPr>
          <w:rFonts w:ascii="Arial" w:cs="Arial" w:eastAsia="Arial" w:hAnsi="Arial"/>
          <w:sz w:val="19"/>
          <w:szCs w:val="19"/>
          <w:u w:val="single" w:color="auto"/>
          <w:color w:val="auto"/>
        </w:rPr>
        <w:t>Exhibit B</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1</w:t>
      </w:r>
      <w:r>
        <w:rPr>
          <w:rFonts w:ascii="Arial" w:cs="Arial" w:eastAsia="Arial" w:hAnsi="Arial"/>
          <w:sz w:val="19"/>
          <w:szCs w:val="19"/>
          <w:color w:val="auto"/>
        </w:rPr>
        <w:t xml:space="preserve"> to this Indenture (or in such other form as may be established pursuant to Section 301), dated no earlier than 15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unless such Person takes delivery of such definitive Securities in person at the offices of Euroclear or Clearstream. Definitive Securities in bearer form to be delivered in exchange for any portion of a temporary Global Security shall be delivered only to an address located outside the United States.</w:t>
      </w:r>
    </w:p>
    <w:p>
      <w:pPr>
        <w:spacing w:after="0" w:line="200" w:lineRule="exact"/>
        <w:rPr>
          <w:sz w:val="20"/>
          <w:szCs w:val="20"/>
          <w:color w:val="auto"/>
        </w:rPr>
      </w:pPr>
    </w:p>
    <w:p>
      <w:pPr>
        <w:spacing w:after="0" w:line="205" w:lineRule="exact"/>
        <w:rPr>
          <w:sz w:val="20"/>
          <w:szCs w:val="20"/>
          <w:color w:val="auto"/>
        </w:rPr>
      </w:pPr>
    </w:p>
    <w:p>
      <w:pPr>
        <w:ind w:right="100" w:firstLine="648"/>
        <w:spacing w:after="0" w:line="245" w:lineRule="exact"/>
        <w:rPr>
          <w:sz w:val="20"/>
          <w:szCs w:val="20"/>
          <w:color w:val="auto"/>
        </w:rPr>
      </w:pPr>
      <w:r>
        <w:rPr>
          <w:rFonts w:ascii="Arial" w:cs="Arial" w:eastAsia="Arial" w:hAnsi="Arial"/>
          <w:sz w:val="19"/>
          <w:szCs w:val="19"/>
          <w:color w:val="auto"/>
        </w:rPr>
        <w:t xml:space="preserve">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Security on an Interest Payment Date for Securities of such series occurring prior to the applicable Exchange Date shall be payable to Euroclear and Clearstream on such Interest Payment Date upon delivery by Euroclear and Clearstream to the Trustee of a certificate or certificates in the form set forth in </w:t>
      </w:r>
      <w:r>
        <w:rPr>
          <w:rFonts w:ascii="Arial" w:cs="Arial" w:eastAsia="Arial" w:hAnsi="Arial"/>
          <w:sz w:val="19"/>
          <w:szCs w:val="19"/>
          <w:u w:val="single" w:color="auto"/>
          <w:color w:val="auto"/>
        </w:rPr>
        <w:t>Exhibit B</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2</w:t>
      </w:r>
      <w:r>
        <w:rPr>
          <w:rFonts w:ascii="Arial" w:cs="Arial" w:eastAsia="Arial" w:hAnsi="Arial"/>
          <w:sz w:val="19"/>
          <w:szCs w:val="19"/>
          <w:color w:val="auto"/>
        </w:rPr>
        <w:t xml:space="preserve"> to this Indenture (or in such other forms as may be established pursuant to Section 301), for credit without further interest on or after such Interest Payment Date to the respective accounts of Persons who are the beneficial owners of such temporary Global Security on such Interest Payment Date and who have each delivered to Euroclear or Clearstream, as the case may be, a certificate dated no earlier than 15 days prior to the Interest Payment Date occurring prior to such Exchange Date in the form set forth as </w:t>
      </w:r>
      <w:r>
        <w:rPr>
          <w:rFonts w:ascii="Arial" w:cs="Arial" w:eastAsia="Arial" w:hAnsi="Arial"/>
          <w:sz w:val="19"/>
          <w:szCs w:val="19"/>
          <w:u w:val="single" w:color="auto"/>
          <w:color w:val="auto"/>
        </w:rPr>
        <w:t>Exhibit B</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1</w:t>
      </w:r>
      <w:r>
        <w:rPr>
          <w:rFonts w:ascii="Arial" w:cs="Arial" w:eastAsia="Arial" w:hAnsi="Arial"/>
          <w:sz w:val="19"/>
          <w:szCs w:val="19"/>
          <w:color w:val="auto"/>
        </w:rPr>
        <w:t xml:space="preserve"> to this Indenture (or in such other forms as may be established pursuant to Section 301). Notwithstanding anything to the contrary herein contained, the certifications made pursuant to this paragraph shall satisfy the certification requirements of the preceding two paragraphs of this Section 304(b) and of the third paragraph of Section 303 of this Indenture and the interests of the Persons who are the beneficial owners of the temporary Global Security with respect to which</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81" w:name="page82"/>
    <w:bookmarkEnd w:id="81"/>
    <w:p>
      <w:pPr>
        <w:ind w:right="120"/>
        <w:spacing w:after="0" w:line="277" w:lineRule="auto"/>
        <w:rPr>
          <w:sz w:val="20"/>
          <w:szCs w:val="20"/>
          <w:color w:val="auto"/>
        </w:rPr>
      </w:pPr>
      <w:r>
        <w:rPr>
          <w:rFonts w:ascii="Arial" w:cs="Arial" w:eastAsia="Arial" w:hAnsi="Arial"/>
          <w:sz w:val="19"/>
          <w:szCs w:val="19"/>
          <w:color w:val="auto"/>
        </w:rPr>
        <w:t>such certification was made will be exchanged for definitive Securities of the same series and of like tenor on the Exchange Date or the date of certification if such date occurs after the Exchange Date, without further act or deed by such beneficial owners. Except as otherwise provided in this paragraph, no payments of principal or interest owing with respect to a beneficial interest in a temporary Global Security will be made unless and until such interest in such temporary Global Security shall have been exchanged for an interest in a definitive Security. Any interest so received by Euroclear and Clearstream and not paid as herein provided shall be returned to the Trustee prior to the expiration of two years after such Interest Payment Date in order to be repaid to the Company.</w:t>
      </w:r>
    </w:p>
    <w:p>
      <w:pPr>
        <w:spacing w:after="0" w:line="153"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 xml:space="preserve">With respect to Exhibit B-1 or B-2 to this Indenture, the Company may, in its discretion and if required or desirable under applicable law, substitute one or more other forms of such exhibits for such exhibits, eliminate the requirement that any or all certificate be provided, or change the time that any certificate may be required,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such substitute form or forms or notice of elimination or change of such certification requirement have theretofore been delivered to the Trustee with a Company Request and such form or forms, elimination or change is reasonably acceptable to the Trustee.</w:t>
      </w:r>
    </w:p>
    <w:p>
      <w:pPr>
        <w:spacing w:after="0" w:line="188" w:lineRule="exact"/>
        <w:rPr>
          <w:sz w:val="20"/>
          <w:szCs w:val="20"/>
          <w:color w:val="auto"/>
        </w:rPr>
      </w:pPr>
    </w:p>
    <w:p>
      <w:pPr>
        <w:ind w:right="20" w:firstLine="648"/>
        <w:spacing w:after="0" w:line="244" w:lineRule="auto"/>
        <w:rPr>
          <w:sz w:val="20"/>
          <w:szCs w:val="20"/>
          <w:color w:val="auto"/>
        </w:rPr>
      </w:pPr>
      <w:r>
        <w:rPr>
          <w:rFonts w:ascii="Arial" w:cs="Arial" w:eastAsia="Arial" w:hAnsi="Arial"/>
          <w:sz w:val="21"/>
          <w:szCs w:val="21"/>
          <w:color w:val="auto"/>
        </w:rPr>
        <w:t xml:space="preserve">SECTION 305. </w:t>
      </w:r>
      <w:r>
        <w:rPr>
          <w:rFonts w:ascii="Arial" w:cs="Arial" w:eastAsia="Arial" w:hAnsi="Arial"/>
          <w:sz w:val="21"/>
          <w:szCs w:val="21"/>
          <w:u w:val="single" w:color="auto"/>
          <w:color w:val="auto"/>
        </w:rPr>
        <w:t>Registration, Registration of Transfer, Conversion and Exchange</w:t>
      </w:r>
      <w:r>
        <w:rPr>
          <w:rFonts w:ascii="Arial" w:cs="Arial" w:eastAsia="Arial" w:hAnsi="Arial"/>
          <w:sz w:val="21"/>
          <w:szCs w:val="21"/>
          <w:color w:val="auto"/>
        </w:rPr>
        <w:t>. 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“Security Register”)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In the event that the Trustee shall cease to be Security Registrar, it shall have the right to examine, and be provided a copy of, the Security Register at all reasonable times.</w:t>
      </w:r>
    </w:p>
    <w:p>
      <w:pPr>
        <w:spacing w:after="0" w:line="190" w:lineRule="exact"/>
        <w:rPr>
          <w:sz w:val="20"/>
          <w:szCs w:val="20"/>
          <w:color w:val="auto"/>
        </w:rPr>
      </w:pPr>
    </w:p>
    <w:p>
      <w:pPr>
        <w:ind w:right="120" w:firstLine="648"/>
        <w:spacing w:after="0" w:line="282" w:lineRule="auto"/>
        <w:rPr>
          <w:sz w:val="20"/>
          <w:szCs w:val="20"/>
          <w:color w:val="auto"/>
        </w:rPr>
      </w:pPr>
      <w:r>
        <w:rPr>
          <w:rFonts w:ascii="Arial" w:cs="Arial" w:eastAsia="Arial" w:hAnsi="Arial"/>
          <w:sz w:val="19"/>
          <w:szCs w:val="19"/>
          <w:color w:val="auto"/>
        </w:rPr>
        <w:t>Subject to the provisions of this Section 305, upon surrender for registration of transfer of any Registered Security of any series at any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48" w:lineRule="exact"/>
        <w:rPr>
          <w:sz w:val="20"/>
          <w:szCs w:val="20"/>
          <w:color w:val="auto"/>
        </w:rPr>
      </w:pPr>
    </w:p>
    <w:p>
      <w:pPr>
        <w:ind w:firstLine="648"/>
        <w:spacing w:after="0" w:line="248" w:lineRule="auto"/>
        <w:rPr>
          <w:sz w:val="20"/>
          <w:szCs w:val="20"/>
          <w:color w:val="auto"/>
        </w:rPr>
      </w:pPr>
      <w:r>
        <w:rPr>
          <w:rFonts w:ascii="Arial" w:cs="Arial" w:eastAsia="Arial" w:hAnsi="Arial"/>
          <w:sz w:val="21"/>
          <w:szCs w:val="21"/>
          <w:color w:val="auto"/>
        </w:rPr>
        <w:t>Subject to the provisions of this Section 305, 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such Registered Securities are so surrendered for exchange, the Company shall execute, and the Trustee shall authenticate and deliver, the Registered Securities which the Holder making the exchange is entitled to receive.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82" w:name="page83"/>
    <w:bookmarkEnd w:id="82"/>
    <w:p>
      <w:pPr>
        <w:ind w:right="300"/>
        <w:spacing w:after="0" w:line="251" w:lineRule="auto"/>
        <w:rPr>
          <w:sz w:val="20"/>
          <w:szCs w:val="20"/>
          <w:color w:val="auto"/>
        </w:rPr>
      </w:pPr>
      <w:r>
        <w:rPr>
          <w:rFonts w:ascii="Arial" w:cs="Arial" w:eastAsia="Arial" w:hAnsi="Arial"/>
          <w:sz w:val="22"/>
          <w:szCs w:val="22"/>
          <w:color w:val="auto"/>
        </w:rPr>
        <w:t>Unless otherwise specified with respect to any series of Securities as contemplated by Section 301, Bearer Securities may not be issued in exchange for Registered Securities.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 xml:space="preserve">If (but only if) permitted by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(or to the Trustee for the Security in case of matured coupons in default)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 Whenever any Securities are so surrendered for exchange, the Company shall execute, and the Trustee shall authenticate and deliver, the Securities which the Holder making the exchange is entitled to receive.</w:t>
      </w:r>
    </w:p>
    <w:p>
      <w:pPr>
        <w:spacing w:after="0" w:line="200" w:lineRule="exact"/>
        <w:rPr>
          <w:sz w:val="20"/>
          <w:szCs w:val="20"/>
          <w:color w:val="auto"/>
        </w:rPr>
      </w:pPr>
    </w:p>
    <w:p>
      <w:pPr>
        <w:spacing w:after="0" w:line="214" w:lineRule="exact"/>
        <w:rPr>
          <w:sz w:val="20"/>
          <w:szCs w:val="20"/>
          <w:color w:val="auto"/>
        </w:rPr>
      </w:pPr>
    </w:p>
    <w:p>
      <w:pPr>
        <w:ind w:right="80" w:firstLine="648"/>
        <w:spacing w:after="0" w:line="274" w:lineRule="auto"/>
        <w:rPr>
          <w:sz w:val="20"/>
          <w:szCs w:val="20"/>
          <w:color w:val="auto"/>
        </w:rPr>
      </w:pPr>
      <w:r>
        <w:rPr>
          <w:rFonts w:ascii="Arial" w:cs="Arial" w:eastAsia="Arial" w:hAnsi="Arial"/>
          <w:sz w:val="19"/>
          <w:szCs w:val="19"/>
          <w:color w:val="auto"/>
        </w:rPr>
        <w:t>Notwithstanding the foregoing, except as otherwise specified as contemplated by Section 301, any permanent Global Security shall be exchangeable only as provided in this paragraph. If the depository for any permanent Global Security is DTC, then, unless the terms of such Global Security expressly permit such Global Security to be exchanged in whole or in part for definitive Securities, a Global Security may be transferred, in whole but not in part, only to a nominee of DTC, or by a nominee of DTC to DTC, or to a successor to DTC for such Global Security selected or approved by the Company or to a nominee of such successor to DTC. If at any time DTC notifies the Company that it is unwilling or unable to continue as depository for the applicable Global Security or Securities or if at any time DTC ceases to be a clearing agency registered under the Exchange Act if so required by applicable law or regulation, the Company shall appoint a successor depository with respect to such Global Security or Securities. If (w) a</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83" w:name="page84"/>
    <w:bookmarkEnd w:id="83"/>
    <w:p>
      <w:pPr>
        <w:spacing w:after="0" w:line="269" w:lineRule="auto"/>
        <w:rPr>
          <w:sz w:val="20"/>
          <w:szCs w:val="20"/>
          <w:color w:val="auto"/>
        </w:rPr>
      </w:pPr>
      <w:r>
        <w:rPr>
          <w:rFonts w:ascii="Arial" w:cs="Arial" w:eastAsia="Arial" w:hAnsi="Arial"/>
          <w:sz w:val="19"/>
          <w:szCs w:val="19"/>
          <w:color w:val="auto"/>
        </w:rPr>
        <w:t xml:space="preserve">successor depository for such Global Security or Securities is not appointed by the Company within 90 days after the Company receives such notice or becomes aware of such unwillingness, inability or ineligibility, (x) the Company delivers to the Trustee for Securities of such series in registered form a Company Order stating that the Securities of such series shall be exchangeable, (y) an Event of Default has occurred and is continuing and the beneficial owners representing a majority in principal amount of the applicable series of Securities represented by such Global Security or Securities advise DTC to cease acting as depository for such Global Security or Securities or (z) the Company, in its sole discretion, determines at any time that all Outstanding Securities (but not less than all) of any series issued or issuable in the form of one or more Global Securities shall no longer be represented by such Global Security or Securities, then the Company shall execute, and the Trustee shall authenticate and deliver definitive Securities of like series, rank, tenor and terms in definitive form in an aggregate principal amount equal to the principal amount of such Global Security or Securities. If any beneficial owner of an interest in a permanent global Security is otherwise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execute, and the Trustee shall authenticate and deliver definitive Securities in aggregate principal amount equal to the principal amount of such beneficial owner’s interest in such permanent Global Security. On or after the earliest date on which such interests may be so exchanged, such permanent Global Security shall be surrendered for exchange by DTC or such other depository as shall be specified in the Company Order with respect thereto to the Trustee, as the Company’s agent for such purpose;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such exchanges may occur during a period beginning at the opening of business 15 days before any selection of Securities to be redeemed and ending on the relevant Redemption Date if the Security for which exchange is requested may be among those selected for redemption;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Bearer Security delivered in exchange for a portion of a permanent Global Security shall be mailed or otherwise delivered to any location in the United States.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60" w:lineRule="exact"/>
        <w:rPr>
          <w:sz w:val="20"/>
          <w:szCs w:val="20"/>
          <w:color w:val="auto"/>
        </w:rPr>
      </w:pPr>
    </w:p>
    <w:p>
      <w:pPr>
        <w:ind w:right="100" w:firstLine="648"/>
        <w:spacing w:after="0" w:line="258" w:lineRule="auto"/>
        <w:rPr>
          <w:sz w:val="20"/>
          <w:szCs w:val="20"/>
          <w:color w:val="auto"/>
        </w:rPr>
      </w:pPr>
      <w:r>
        <w:rPr>
          <w:rFonts w:ascii="Arial" w:cs="Arial" w:eastAsia="Arial" w:hAnsi="Arial"/>
          <w:sz w:val="21"/>
          <w:szCs w:val="21"/>
          <w:color w:val="auto"/>
        </w:rPr>
        <w:t>All Securities issued upon any registration of transfer or conversion or exchange of Securities shall be the valid obligations of the Company, evidencing the same debt, and entitled to the same benefits under this Indenture, as the Securities surrendered upon such registration of transfer or conversion or exchange.</w:t>
      </w:r>
    </w:p>
    <w:p>
      <w:pPr>
        <w:spacing w:after="0" w:line="167" w:lineRule="exact"/>
        <w:rPr>
          <w:sz w:val="20"/>
          <w:szCs w:val="20"/>
          <w:color w:val="auto"/>
        </w:rPr>
      </w:pPr>
    </w:p>
    <w:p>
      <w:pPr>
        <w:ind w:right="260" w:firstLine="648"/>
        <w:spacing w:after="0" w:line="251" w:lineRule="auto"/>
        <w:rPr>
          <w:sz w:val="20"/>
          <w:szCs w:val="20"/>
          <w:color w:val="auto"/>
        </w:rPr>
      </w:pPr>
      <w:r>
        <w:rPr>
          <w:rFonts w:ascii="Arial" w:cs="Arial" w:eastAsia="Arial" w:hAnsi="Arial"/>
          <w:sz w:val="22"/>
          <w:szCs w:val="22"/>
          <w:color w:val="auto"/>
        </w:rPr>
        <w:t>Every Registered Security presented or surrendered for registration of transfer or for conversion, exchange or redemption shall (if so required by the Company or the Security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84" w:name="page85"/>
    <w:bookmarkEnd w:id="84"/>
    <w:p>
      <w:pPr>
        <w:ind w:right="80"/>
        <w:spacing w:after="0" w:line="328" w:lineRule="auto"/>
        <w:rPr>
          <w:sz w:val="20"/>
          <w:szCs w:val="20"/>
          <w:color w:val="auto"/>
        </w:rPr>
      </w:pPr>
      <w:r>
        <w:rPr>
          <w:rFonts w:ascii="Arial" w:cs="Arial" w:eastAsia="Arial" w:hAnsi="Arial"/>
          <w:sz w:val="19"/>
          <w:szCs w:val="19"/>
          <w:color w:val="auto"/>
        </w:rPr>
        <w:t>Registrar) be duly endorsed, or be accompanied by a written instrument of transfer in form satisfactory to the Company and the Security Registrar, duly executed by the Holder thereof or his attorney duly authorized in writing.</w:t>
      </w:r>
    </w:p>
    <w:p>
      <w:pPr>
        <w:spacing w:after="0" w:line="105" w:lineRule="exact"/>
        <w:rPr>
          <w:sz w:val="20"/>
          <w:szCs w:val="20"/>
          <w:color w:val="auto"/>
        </w:rPr>
      </w:pPr>
    </w:p>
    <w:p>
      <w:pPr>
        <w:ind w:right="140" w:firstLine="648"/>
        <w:spacing w:after="0" w:line="287" w:lineRule="auto"/>
        <w:rPr>
          <w:sz w:val="20"/>
          <w:szCs w:val="20"/>
          <w:color w:val="auto"/>
        </w:rPr>
      </w:pPr>
      <w:r>
        <w:rPr>
          <w:rFonts w:ascii="Arial" w:cs="Arial" w:eastAsia="Arial" w:hAnsi="Arial"/>
          <w:sz w:val="19"/>
          <w:szCs w:val="19"/>
          <w:color w:val="auto"/>
        </w:rPr>
        <w:t>No service charge shall be made to the Holder for any registration of transfer or conversion or exchange of Securities, but the Company may require payment of a sum sufficient to cover any tax or other governmental charge that may be imposed in connection with any registration of transfer or conversion or exchange of Securities, other than exchanges pursuant to Section 304, 906, 1107 or 1305 not involving any transfer.</w:t>
      </w:r>
    </w:p>
    <w:p>
      <w:pPr>
        <w:spacing w:after="0" w:line="143"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The Company or the Trustee, as applicable,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(A) if such Securities are issuable only as Registered Securities, the day of the mailing of the relevant notice of redemption and (B) if such Securities are issuable as Bearer Securities, the day of the first publication of the relevant notice of redemption or, if such Securities are also issuable as Registered Securities and there is no publication, the mailing of the relevant notice of redemption, or (ii) to register the transfer of or exchange any Registered Security so selected for redemption in whole or in part, except, in the case of any Registered Security to be redeemed in part, the portion thereof not to be redeemed, or (iii) to exchange any Bearer Security so selected for redemption except that such a Bearer Security may be exchanged for a Registered Security of that series and like tenor,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Registered Security shall be simultaneously surrendered for redemption, or (iv) to issue, register the transfer of or exchange any Security which has been surrendered for repayment at the option of the Holder, except the portion, if any, of such Security not to be so repaid.</w:t>
      </w:r>
    </w:p>
    <w:p>
      <w:pPr>
        <w:spacing w:after="0" w:line="200" w:lineRule="exact"/>
        <w:rPr>
          <w:sz w:val="20"/>
          <w:szCs w:val="20"/>
          <w:color w:val="auto"/>
        </w:rPr>
      </w:pPr>
    </w:p>
    <w:p>
      <w:pPr>
        <w:spacing w:after="0" w:line="205" w:lineRule="exact"/>
        <w:rPr>
          <w:sz w:val="20"/>
          <w:szCs w:val="20"/>
          <w:color w:val="auto"/>
        </w:rPr>
      </w:pPr>
    </w:p>
    <w:p>
      <w:pPr>
        <w:jc w:val="both"/>
        <w:ind w:right="460" w:firstLine="648"/>
        <w:spacing w:after="0"/>
        <w:rPr>
          <w:sz w:val="20"/>
          <w:szCs w:val="20"/>
          <w:color w:val="auto"/>
        </w:rPr>
      </w:pPr>
      <w:r>
        <w:rPr>
          <w:rFonts w:ascii="Arial" w:cs="Arial" w:eastAsia="Arial" w:hAnsi="Arial"/>
          <w:sz w:val="22"/>
          <w:szCs w:val="22"/>
          <w:color w:val="auto"/>
        </w:rPr>
        <w:t>Furthermore, notwithstanding any other provision of this Section 305, the Company will not be required to exchange any Securities if, as a result of the exchange, the Company would suffer adverse consequences under any United States law or regulation.</w:t>
      </w:r>
    </w:p>
    <w:p>
      <w:pPr>
        <w:spacing w:after="0" w:line="186" w:lineRule="exact"/>
        <w:rPr>
          <w:sz w:val="20"/>
          <w:szCs w:val="20"/>
          <w:color w:val="auto"/>
        </w:rPr>
      </w:pPr>
    </w:p>
    <w:p>
      <w:pPr>
        <w:ind w:right="40" w:firstLine="648"/>
        <w:spacing w:after="0" w:line="234" w:lineRule="auto"/>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u w:val="single" w:color="auto"/>
          <w:color w:val="auto"/>
        </w:rPr>
        <w:t>Mutilated, Destroyed, Lost and Stolen Securities</w:t>
      </w:r>
      <w:r>
        <w:rPr>
          <w:rFonts w:ascii="Arial" w:cs="Arial" w:eastAsia="Arial" w:hAnsi="Arial"/>
          <w:sz w:val="22"/>
          <w:szCs w:val="22"/>
          <w:color w:val="auto"/>
        </w:rPr>
        <w:t>. If any mutilated Security or a Security with a mutilated coupon appertaining to it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 with coupons corresponding to the coupons, if any, appertaining to the surrendered Security.</w:t>
      </w:r>
    </w:p>
    <w:p>
      <w:pPr>
        <w:spacing w:after="0" w:line="19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9"/>
          <w:szCs w:val="19"/>
          <w:color w:val="auto"/>
        </w:rPr>
        <w:t>If there shall be delivered to the Company and to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upon its request the Trustee shall authenticate and deliver, in lieu of any such destroyed, lost or stolen Security or in exchange for the Security to which a destroyed, lost or stolen coupon appertains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85" w:name="page86"/>
    <w:bookmarkEnd w:id="85"/>
    <w:p>
      <w:pPr>
        <w:ind w:right="160"/>
        <w:spacing w:after="0" w:line="252" w:lineRule="auto"/>
        <w:rPr>
          <w:sz w:val="20"/>
          <w:szCs w:val="20"/>
          <w:color w:val="auto"/>
        </w:rPr>
      </w:pPr>
      <w:r>
        <w:rPr>
          <w:rFonts w:ascii="Arial" w:cs="Arial" w:eastAsia="Arial" w:hAnsi="Arial"/>
          <w:sz w:val="21"/>
          <w:szCs w:val="21"/>
          <w:color w:val="auto"/>
        </w:rPr>
        <w:t>(with all appurtenant coupons not destroyed, lost or stolen), a new Security of the same series and principal amount, containing identical terms and provisions and bearing a number not contemporaneously outstanding, with coupons corresponding to the coupons, if any, appertaining to such destroyed, lost or stolen Security or to the Security to which such destroyed, lost or stolen coupon appertains.</w:t>
      </w:r>
    </w:p>
    <w:p>
      <w:pPr>
        <w:spacing w:after="0" w:line="174"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color w:val="auto"/>
        </w:rPr>
        <w:t xml:space="preserve">Notwithstanding the provisions of the previous two paragraphs, in case any such mutilated, destroyed, lost or stolen Security or coupon has become or is about to become due and payable, the Company in its discretion may, instead of issuing a new Security, with coupons corresponding to the coupons, if any, appertaining to such destroyed, lost or stolen Security or to the Security to which such destroyed, lost or stolen coupon appertains, pay such Security or coupon if the applicant for such payment shall furnish to the Company and the Trustee for such Security such security or indemnity as may be required by them to save each of them harmless, and in the case of destruction, loss or theft, evidence satisfactory to the Company and Trustee and any agent of any of them of the destruction, loss or theft of such Security and the ownership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payment of principal of (and premium or Make-Whole Amount, if any), and interest, if any, on, Bearer Securities shall, except as otherwise provided in Section 1002,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200" w:lineRule="exact"/>
        <w:rPr>
          <w:sz w:val="20"/>
          <w:szCs w:val="20"/>
          <w:color w:val="auto"/>
        </w:rPr>
      </w:pPr>
    </w:p>
    <w:p>
      <w:pPr>
        <w:spacing w:after="0" w:line="209"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86" w:lineRule="exact"/>
        <w:rPr>
          <w:sz w:val="20"/>
          <w:szCs w:val="20"/>
          <w:color w:val="auto"/>
        </w:rPr>
      </w:pPr>
    </w:p>
    <w:p>
      <w:pPr>
        <w:ind w:right="20" w:firstLine="648"/>
        <w:spacing w:after="0" w:line="248" w:lineRule="auto"/>
        <w:rPr>
          <w:sz w:val="20"/>
          <w:szCs w:val="20"/>
          <w:color w:val="auto"/>
        </w:rPr>
      </w:pPr>
      <w:r>
        <w:rPr>
          <w:rFonts w:ascii="Arial" w:cs="Arial" w:eastAsia="Arial" w:hAnsi="Arial"/>
          <w:sz w:val="21"/>
          <w:szCs w:val="21"/>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177" w:lineRule="exact"/>
        <w:rPr>
          <w:sz w:val="20"/>
          <w:szCs w:val="20"/>
          <w:color w:val="auto"/>
        </w:rPr>
      </w:pPr>
    </w:p>
    <w:p>
      <w:pPr>
        <w:ind w:right="600" w:firstLine="648"/>
        <w:spacing w:after="0" w:line="328" w:lineRule="auto"/>
        <w:rPr>
          <w:sz w:val="20"/>
          <w:szCs w:val="20"/>
          <w:color w:val="auto"/>
        </w:rPr>
      </w:pPr>
      <w:r>
        <w:rPr>
          <w:rFonts w:ascii="Arial" w:cs="Arial" w:eastAsia="Arial" w:hAnsi="Arial"/>
          <w:sz w:val="19"/>
          <w:szCs w:val="19"/>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05"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 xml:space="preserve">SECTION 307. </w:t>
      </w:r>
      <w:r>
        <w:rPr>
          <w:rFonts w:ascii="Arial" w:cs="Arial" w:eastAsia="Arial" w:hAnsi="Arial"/>
          <w:sz w:val="19"/>
          <w:szCs w:val="19"/>
          <w:u w:val="single" w:color="auto"/>
          <w:color w:val="auto"/>
        </w:rPr>
        <w:t>Payment of Interest; Interest Rights Preserved</w:t>
      </w:r>
      <w:r>
        <w:rPr>
          <w:rFonts w:ascii="Arial" w:cs="Arial" w:eastAsia="Arial" w:hAnsi="Arial"/>
          <w:sz w:val="19"/>
          <w:szCs w:val="19"/>
          <w:color w:val="auto"/>
        </w:rPr>
        <w:t xml:space="preserve">. Except as otherwise specified with respect to a series of Securities in accordance with the provisions of Section 301, interest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payment at the office or agency of the Company maintained for such purpose pursuant to Section 1002;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each installment of interest on any Registered Security may at the Company’s option be paid by (i) mailing a check for such interest, payable to or upon the written order of the Person entitled thereto</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86" w:name="page87"/>
    <w:bookmarkEnd w:id="86"/>
    <w:p>
      <w:pPr>
        <w:spacing w:after="0" w:line="251" w:lineRule="auto"/>
        <w:rPr>
          <w:sz w:val="20"/>
          <w:szCs w:val="20"/>
          <w:color w:val="auto"/>
        </w:rPr>
      </w:pPr>
      <w:r>
        <w:rPr>
          <w:rFonts w:ascii="Arial" w:cs="Arial" w:eastAsia="Arial" w:hAnsi="Arial"/>
          <w:sz w:val="22"/>
          <w:szCs w:val="22"/>
          <w:color w:val="auto"/>
        </w:rPr>
        <w:t>pursuant to Section 308, to the address of such Person as it appears on the Security Register or (ii) transfer to an account maintained by the payee located inside the United States.</w:t>
      </w:r>
    </w:p>
    <w:p>
      <w:pPr>
        <w:spacing w:after="0" w:line="173" w:lineRule="exact"/>
        <w:rPr>
          <w:sz w:val="20"/>
          <w:szCs w:val="20"/>
          <w:color w:val="auto"/>
        </w:rPr>
      </w:pPr>
    </w:p>
    <w:p>
      <w:pPr>
        <w:jc w:val="both"/>
        <w:ind w:right="80" w:firstLine="648"/>
        <w:spacing w:after="0"/>
        <w:rPr>
          <w:sz w:val="20"/>
          <w:szCs w:val="20"/>
          <w:color w:val="auto"/>
        </w:rPr>
      </w:pPr>
      <w:r>
        <w:rPr>
          <w:rFonts w:ascii="Arial" w:cs="Arial" w:eastAsia="Arial" w:hAnsi="Arial"/>
          <w:sz w:val="22"/>
          <w:szCs w:val="22"/>
          <w:color w:val="auto"/>
        </w:rPr>
        <w:t>Unless otherwise provided as contemplated by Section 301 with respect to the Securities of any series, payment of interest may be made, in the case of a Bearer Security, by transfer to an account maintained by the payee with a bank located outside the United States.</w:t>
      </w:r>
    </w:p>
    <w:p>
      <w:pPr>
        <w:spacing w:after="0" w:line="186" w:lineRule="exact"/>
        <w:rPr>
          <w:sz w:val="20"/>
          <w:szCs w:val="20"/>
          <w:color w:val="auto"/>
        </w:rPr>
      </w:pPr>
    </w:p>
    <w:p>
      <w:pPr>
        <w:ind w:right="100" w:firstLine="648"/>
        <w:spacing w:after="0" w:line="282" w:lineRule="auto"/>
        <w:rPr>
          <w:sz w:val="20"/>
          <w:szCs w:val="20"/>
          <w:color w:val="auto"/>
        </w:rPr>
      </w:pPr>
      <w:r>
        <w:rPr>
          <w:rFonts w:ascii="Arial" w:cs="Arial" w:eastAsia="Arial" w:hAnsi="Arial"/>
          <w:sz w:val="19"/>
          <w:szCs w:val="19"/>
          <w:color w:val="auto"/>
        </w:rPr>
        <w:t>Unless otherwise provided as contemplated by Section 301, every permanent Global Security will provide that interest, if any, payable on any Interest Payment Date will be paid to DTC, Euroclear and/or Clearstream, as the case may be, with respect to that portion of such permanent Global Security held for its account by Cede &amp; Co. or the Common Depository, as the case may be, for the purpose of permitting such party to credit the interest received by it in respect of such permanent Global Security to the accounts of the beneficial owners thereof.</w:t>
      </w:r>
    </w:p>
    <w:p>
      <w:pPr>
        <w:spacing w:after="0" w:line="148" w:lineRule="exact"/>
        <w:rPr>
          <w:sz w:val="20"/>
          <w:szCs w:val="20"/>
          <w:color w:val="auto"/>
        </w:rPr>
      </w:pPr>
    </w:p>
    <w:p>
      <w:pPr>
        <w:ind w:right="60" w:firstLine="648"/>
        <w:spacing w:after="0" w:line="279" w:lineRule="auto"/>
        <w:rPr>
          <w:sz w:val="20"/>
          <w:szCs w:val="20"/>
          <w:color w:val="auto"/>
        </w:rPr>
      </w:pPr>
      <w:r>
        <w:rPr>
          <w:rFonts w:ascii="Arial" w:cs="Arial" w:eastAsia="Arial" w:hAnsi="Arial"/>
          <w:sz w:val="19"/>
          <w:szCs w:val="19"/>
          <w:color w:val="auto"/>
        </w:rPr>
        <w:t>In case a Bearer Security of any series is surrendered in exchange for a Registered Security of such series after the close of business (at an office or agency in a Place of Payment for such series) on any Regular Record Date and before the opening of business (at such office or agency) on the next succeeding Interest Payment Date, such Bearer Security shall be surrendered without the coupon relating to such Interest Payment Date and interest will not be payable on such Interest Payment Date in respect of the Registered Security issued in exchange for such Bearer Security, but will be payable only to the Holder of such coupon when due in accordance with the provisions of this Indenture.</w:t>
      </w:r>
    </w:p>
    <w:p>
      <w:pPr>
        <w:spacing w:after="0" w:line="151" w:lineRule="exact"/>
        <w:rPr>
          <w:sz w:val="20"/>
          <w:szCs w:val="20"/>
          <w:color w:val="auto"/>
        </w:rPr>
      </w:pPr>
    </w:p>
    <w:p>
      <w:pPr>
        <w:ind w:right="140" w:firstLine="648"/>
        <w:spacing w:after="0" w:line="282" w:lineRule="auto"/>
        <w:rPr>
          <w:sz w:val="20"/>
          <w:szCs w:val="20"/>
          <w:color w:val="auto"/>
        </w:rPr>
      </w:pPr>
      <w:r>
        <w:rPr>
          <w:rFonts w:ascii="Arial" w:cs="Arial" w:eastAsia="Arial" w:hAnsi="Arial"/>
          <w:sz w:val="19"/>
          <w:szCs w:val="19"/>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“Defaulted Interest”) shall forthwith cease to be payable to the registered Holder thereof on the relevant Regular Record Date by virtue of having been such Holder, and such Defaulted Interest may be paid by the Company, at its election in each case, as provided in clause (1) or (2) below:</w:t>
      </w:r>
    </w:p>
    <w:p>
      <w:pPr>
        <w:spacing w:after="0" w:line="148" w:lineRule="exact"/>
        <w:rPr>
          <w:sz w:val="20"/>
          <w:szCs w:val="20"/>
          <w:color w:val="auto"/>
        </w:rPr>
      </w:pPr>
    </w:p>
    <w:p>
      <w:pPr>
        <w:ind w:left="640" w:right="60" w:firstLine="648"/>
        <w:spacing w:after="0" w:line="271" w:lineRule="auto"/>
        <w:tabs>
          <w:tab w:leader="none" w:pos="1914"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or currencies, currency unit or units or composite currency or currencies in which the Securities of such series are payable (except as otherwise specified pursuant to Section 301 for the Securities of such series)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87" w:name="page88"/>
    <w:bookmarkEnd w:id="87"/>
    <w:p>
      <w:pPr>
        <w:ind w:left="640" w:right="20"/>
        <w:spacing w:after="0" w:line="246" w:lineRule="exact"/>
        <w:rPr>
          <w:sz w:val="20"/>
          <w:szCs w:val="20"/>
          <w:color w:val="auto"/>
        </w:rPr>
      </w:pPr>
      <w:r>
        <w:rPr>
          <w:rFonts w:ascii="Arial" w:cs="Arial" w:eastAsia="Arial" w:hAnsi="Arial"/>
          <w:sz w:val="19"/>
          <w:szCs w:val="19"/>
          <w:color w:val="auto"/>
        </w:rPr>
        <w:t>payment. The Trustee shall promptly notify the Company of such Special Record Date and, in the name and at the expense of the Company, shall cause notice of the proposed payment of such Defaulted Interest and the Special Record Date therefor to be mailed, first</w:t>
      </w:r>
      <w:r>
        <w:rPr>
          <w:rFonts w:ascii="MS PGothic" w:cs="MS PGothic" w:eastAsia="MS PGothic" w:hAnsi="MS PGothic"/>
          <w:sz w:val="19"/>
          <w:szCs w:val="19"/>
          <w:color w:val="auto"/>
        </w:rPr>
        <w:t>‑</w:t>
      </w:r>
      <w:r>
        <w:rPr>
          <w:rFonts w:ascii="Arial" w:cs="Arial" w:eastAsia="Arial" w:hAnsi="Arial"/>
          <w:sz w:val="19"/>
          <w:szCs w:val="19"/>
          <w:color w:val="auto"/>
        </w:rPr>
        <w:t>class postage prepaid, to each Holder of Registered Securities of such series at his address as it appears in the Security Register not less than 10 days prior to such Special Record Date. The Trustee may, in its discretion, in the name and at the expense of the Company, cause a similar notice to be published at least once in an Authorized Newspaper in each Place of Payment, but such publications shall not be a condition precedent to the establishment of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 In case a Bearer Security of any series is surrendered at the office or agency in a Place of Payment for such series in exchange for a Registered Security of such series after the close of business at such office or agency on any Special Record Date and before the opening of business at such office or agency on the related proposed date for payment of Defaulted Interest, such Bearer Security shall be surrendered without the coupon relating to such proposed date of payment and Defaulted Interest will not be payable on such proposed date of payment in respect of the Registered Security issued in exchange for such Bearer Security, but will be payable only to the Holder of such coupon when due in accordance with the provisions of this Indenture.</w:t>
      </w:r>
    </w:p>
    <w:p>
      <w:pPr>
        <w:spacing w:after="0" w:line="200" w:lineRule="exact"/>
        <w:rPr>
          <w:sz w:val="20"/>
          <w:szCs w:val="20"/>
          <w:color w:val="auto"/>
        </w:rPr>
      </w:pPr>
    </w:p>
    <w:p>
      <w:pPr>
        <w:spacing w:after="0" w:line="213" w:lineRule="exact"/>
        <w:rPr>
          <w:sz w:val="20"/>
          <w:szCs w:val="20"/>
          <w:color w:val="auto"/>
        </w:rPr>
      </w:pPr>
    </w:p>
    <w:p>
      <w:pPr>
        <w:ind w:left="640" w:right="160" w:firstLine="648"/>
        <w:spacing w:after="0" w:line="282" w:lineRule="auto"/>
        <w:tabs>
          <w:tab w:leader="none" w:pos="1914"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Company may make payment of any Defaulted Interest on the Registered Securities of any series in any other lawful manner not inconsistent with the requirements of any over-the-counter market or securities exchange on which such Securities may be quoted or listed, and upon such notice as may be required by such market or exchange, if, after notice given by the Company to the Trustee of the proposed payment pursuant to this clause, such manner of payment shall be deemed practicable by the Trustee.</w:t>
      </w:r>
    </w:p>
    <w:p>
      <w:pPr>
        <w:spacing w:after="0" w:line="148"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Subject to the foregoing provisions of this Section and Section 305, each Security delivered under this Indenture upon registration of transfer of or upon conversion of or in exchange for or in lieu of any other Security shall carry the rights to interest accrued and unpaid, and to accrue, which were carried by such other Security.</w:t>
      </w:r>
    </w:p>
    <w:p>
      <w:pPr>
        <w:spacing w:after="0" w:line="134"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 xml:space="preserve">SECTION 308. </w:t>
      </w:r>
      <w:r>
        <w:rPr>
          <w:rFonts w:ascii="Arial" w:cs="Arial" w:eastAsia="Arial" w:hAnsi="Arial"/>
          <w:sz w:val="19"/>
          <w:szCs w:val="19"/>
          <w:u w:val="single" w:color="auto"/>
          <w:color w:val="auto"/>
        </w:rPr>
        <w:t>Persons Deemed Owners</w:t>
      </w:r>
      <w:r>
        <w:rPr>
          <w:rFonts w:ascii="Arial" w:cs="Arial" w:eastAsia="Arial" w:hAnsi="Arial"/>
          <w:sz w:val="19"/>
          <w:szCs w:val="19"/>
          <w:color w:val="auto"/>
        </w:rPr>
        <w:t>. Prior to due presentment of a Registered Security for registration of transfer, the Company, the Trustee and any agent of the Company or the Trustee may treat the Person in whose name such Registered Security is registered as the owner of such Security for the purpose of receiving payment of principal of (and premium or Make-Whole Amount, if any), and (subject to Sections 305 and 307) interest on, such Registered Security and for all other purposes whatsoever, whether or not such Registered Security be overdue, and neither the Company, the Trustee nor any agent of the Company or the Trustee shall be affected by notice to the contrary. All such payments so made to any such Person, or upon such Person’s order, shall be valid, and, to the extent of the sum or sums so paid, effectual to satisfy and discharge the liability for money payable upon any such Security.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88" w:name="page89"/>
    <w:bookmarkEnd w:id="88"/>
    <w:p>
      <w:pPr>
        <w:ind w:right="40" w:firstLine="648"/>
        <w:spacing w:after="0" w:line="282" w:lineRule="auto"/>
        <w:rPr>
          <w:sz w:val="20"/>
          <w:szCs w:val="20"/>
          <w:color w:val="auto"/>
        </w:rPr>
      </w:pPr>
      <w:r>
        <w:rPr>
          <w:rFonts w:ascii="Arial" w:cs="Arial" w:eastAsia="Arial" w:hAnsi="Arial"/>
          <w:sz w:val="19"/>
          <w:szCs w:val="19"/>
          <w:color w:val="auto"/>
        </w:rPr>
        <w:t>Title to any Bearer Security and any coupons appertaining thereto shall pass by delivery. The Company, the Trustee and any agent of the Company or the Trustee may treat the Holder of any Bearer Security and the Holder of any coupon as the absolute owner of such Security or coupon for 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148"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No holder of any beneficial interest in any Global Security held on its behalf by a depository shall have any rights under this Indenture with respect to such Global Security and such depository (which is the Holder of such security) shall be treated by the Company, the Trustee, and any agent of the Company or the Trustee as the owner of such Global Security for all purposes whatsoever. None of the Company,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91" w:lineRule="exact"/>
        <w:rPr>
          <w:sz w:val="20"/>
          <w:szCs w:val="20"/>
          <w:color w:val="auto"/>
        </w:rPr>
      </w:pPr>
    </w:p>
    <w:p>
      <w:pPr>
        <w:ind w:right="120" w:firstLine="648"/>
        <w:spacing w:after="0" w:line="282" w:lineRule="auto"/>
        <w:rPr>
          <w:sz w:val="20"/>
          <w:szCs w:val="20"/>
          <w:color w:val="auto"/>
        </w:rPr>
      </w:pPr>
      <w:r>
        <w:rPr>
          <w:rFonts w:ascii="Arial" w:cs="Arial" w:eastAsia="Arial" w:hAnsi="Arial"/>
          <w:sz w:val="19"/>
          <w:szCs w:val="19"/>
          <w:color w:val="auto"/>
        </w:rPr>
        <w:t>Notwithstanding the foregoing, with respect to any Global Security, nothing herein shall prevent the Company, the Trustee, or any agent of the Company or the Trustee, from giving effect to any written certification, proxy or other authorization furnished by any depository, as a Holder, with respect to such Global Security or impair, as between such depository and owners of beneficial interests in such Global Security, the operation of customary practices governing the exercise of the rights of such depository (or its nominee) as Holder of such Global Security.</w:t>
      </w:r>
    </w:p>
    <w:p>
      <w:pPr>
        <w:spacing w:after="0" w:line="148" w:lineRule="exact"/>
        <w:rPr>
          <w:sz w:val="20"/>
          <w:szCs w:val="20"/>
          <w:color w:val="auto"/>
        </w:rPr>
      </w:pPr>
    </w:p>
    <w:p>
      <w:pPr>
        <w:ind w:right="60" w:firstLine="648"/>
        <w:spacing w:after="0" w:line="271" w:lineRule="auto"/>
        <w:rPr>
          <w:sz w:val="20"/>
          <w:szCs w:val="20"/>
          <w:color w:val="auto"/>
        </w:rPr>
      </w:pPr>
      <w:r>
        <w:rPr>
          <w:rFonts w:ascii="Arial" w:cs="Arial" w:eastAsia="Arial" w:hAnsi="Arial"/>
          <w:sz w:val="19"/>
          <w:szCs w:val="19"/>
          <w:color w:val="auto"/>
        </w:rPr>
        <w:t xml:space="preserve">SECTION 309. </w:t>
      </w:r>
      <w:r>
        <w:rPr>
          <w:rFonts w:ascii="Arial" w:cs="Arial" w:eastAsia="Arial" w:hAnsi="Arial"/>
          <w:sz w:val="19"/>
          <w:szCs w:val="19"/>
          <w:u w:val="single" w:color="auto"/>
          <w:color w:val="auto"/>
        </w:rPr>
        <w:t>Cancellation</w:t>
      </w:r>
      <w:r>
        <w:rPr>
          <w:rFonts w:ascii="Arial" w:cs="Arial" w:eastAsia="Arial" w:hAnsi="Arial"/>
          <w:sz w:val="19"/>
          <w:szCs w:val="19"/>
          <w:color w:val="auto"/>
        </w:rPr>
        <w:t>. All Securities and coupons surrendered for payment, redemption, repayment at the option of the Holder, registration of transfer or conversion or exchange or for credit against any sinking fund payment shall, if surrendered to any Person other than the Trustee, be delivered to the Trustee, and any such Securities and coupons and Securities and coupons surrendered directly to the Trustee for any such purpose, upon direction by the Company,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and coupons held by the Trustee shall be disposed of by the Trustee in accordance with its customary practices (subject to the record retention requirements of the Exchange Act).</w:t>
      </w:r>
    </w:p>
    <w:p>
      <w:pPr>
        <w:spacing w:after="0" w:line="165" w:lineRule="exact"/>
        <w:rPr>
          <w:sz w:val="20"/>
          <w:szCs w:val="20"/>
          <w:color w:val="auto"/>
        </w:rPr>
      </w:pPr>
    </w:p>
    <w:p>
      <w:pPr>
        <w:ind w:firstLine="648"/>
        <w:spacing w:after="0" w:line="253" w:lineRule="exact"/>
        <w:rPr>
          <w:sz w:val="20"/>
          <w:szCs w:val="20"/>
          <w:color w:val="auto"/>
        </w:rPr>
      </w:pPr>
      <w:r>
        <w:rPr>
          <w:rFonts w:ascii="Arial" w:cs="Arial" w:eastAsia="Arial" w:hAnsi="Arial"/>
          <w:sz w:val="22"/>
          <w:szCs w:val="22"/>
          <w:color w:val="auto"/>
        </w:rPr>
        <w:t xml:space="preserve">SECTION 310. </w:t>
      </w:r>
      <w:r>
        <w:rPr>
          <w:rFonts w:ascii="Arial" w:cs="Arial" w:eastAsia="Arial" w:hAnsi="Arial"/>
          <w:sz w:val="22"/>
          <w:szCs w:val="22"/>
          <w:u w:val="single" w:color="auto"/>
          <w:color w:val="auto"/>
        </w:rPr>
        <w:t>Computation of Interest</w:t>
      </w:r>
      <w:r>
        <w:rPr>
          <w:rFonts w:ascii="Arial" w:cs="Arial" w:eastAsia="Arial" w:hAnsi="Arial"/>
          <w:sz w:val="22"/>
          <w:szCs w:val="22"/>
          <w:color w:val="auto"/>
        </w:rPr>
        <w:t>. Except as otherwise specified as contemplated by Section 301 with respect to Securities of any series, interest on the Securities of each series shall be computed on the basis of a 360</w:t>
      </w:r>
      <w:r>
        <w:rPr>
          <w:rFonts w:ascii="MS PGothic" w:cs="MS PGothic" w:eastAsia="MS PGothic" w:hAnsi="MS PGothic"/>
          <w:sz w:val="22"/>
          <w:szCs w:val="22"/>
          <w:color w:val="auto"/>
        </w:rPr>
        <w:t>‑</w:t>
      </w:r>
      <w:r>
        <w:rPr>
          <w:rFonts w:ascii="Arial" w:cs="Arial" w:eastAsia="Arial" w:hAnsi="Arial"/>
          <w:sz w:val="22"/>
          <w:szCs w:val="22"/>
          <w:color w:val="auto"/>
        </w:rPr>
        <w:t>day year consisting of twelve 30</w:t>
      </w:r>
      <w:r>
        <w:rPr>
          <w:rFonts w:ascii="MS PGothic" w:cs="MS PGothic" w:eastAsia="MS PGothic" w:hAnsi="MS PGothic"/>
          <w:sz w:val="22"/>
          <w:szCs w:val="22"/>
          <w:color w:val="auto"/>
        </w:rPr>
        <w:t>‑</w:t>
      </w:r>
      <w:r>
        <w:rPr>
          <w:rFonts w:ascii="Arial" w:cs="Arial" w:eastAsia="Arial" w:hAnsi="Arial"/>
          <w:sz w:val="22"/>
          <w:szCs w:val="22"/>
          <w:color w:val="auto"/>
        </w:rPr>
        <w:t>day months.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89" w:name="page90"/>
    <w:bookmarkEnd w:id="89"/>
    <w:p>
      <w:pPr>
        <w:ind w:right="60" w:firstLine="648"/>
        <w:spacing w:after="0" w:line="247" w:lineRule="auto"/>
        <w:rPr>
          <w:sz w:val="20"/>
          <w:szCs w:val="20"/>
          <w:color w:val="auto"/>
        </w:rPr>
      </w:pPr>
      <w:r>
        <w:rPr>
          <w:rFonts w:ascii="Arial" w:cs="Arial" w:eastAsia="Arial" w:hAnsi="Arial"/>
          <w:sz w:val="21"/>
          <w:szCs w:val="21"/>
          <w:color w:val="auto"/>
        </w:rPr>
        <w:t xml:space="preserve">SECTION 311. </w:t>
      </w:r>
      <w:r>
        <w:rPr>
          <w:rFonts w:ascii="Arial" w:cs="Arial" w:eastAsia="Arial" w:hAnsi="Arial"/>
          <w:sz w:val="21"/>
          <w:szCs w:val="21"/>
          <w:u w:val="single" w:color="auto"/>
          <w:color w:val="auto"/>
        </w:rPr>
        <w:t>CUSIP Numbers</w:t>
      </w:r>
      <w:r>
        <w:rPr>
          <w:rFonts w:ascii="Arial" w:cs="Arial" w:eastAsia="Arial" w:hAnsi="Arial"/>
          <w:sz w:val="21"/>
          <w:szCs w:val="21"/>
          <w:color w:val="auto"/>
        </w:rPr>
        <w:t xml:space="preserve">. The Company in issuing the Securities may use “CUSIP” numbers (if then generally in use), and, if so, the Trustee shall use “CUSIP” numbers in notices of redemption as a convenience to Holders;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of any change in the “CUSIP” numbers.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FOUR - SATISFACTION AND DISCHARGE</w:t>
      </w:r>
    </w:p>
    <w:p>
      <w:pPr>
        <w:spacing w:after="0" w:line="206" w:lineRule="exact"/>
        <w:rPr>
          <w:sz w:val="20"/>
          <w:szCs w:val="20"/>
          <w:color w:val="auto"/>
        </w:rPr>
      </w:pPr>
    </w:p>
    <w:p>
      <w:pPr>
        <w:ind w:firstLine="648"/>
        <w:spacing w:after="0" w:line="248" w:lineRule="auto"/>
        <w:rPr>
          <w:sz w:val="20"/>
          <w:szCs w:val="20"/>
          <w:color w:val="auto"/>
        </w:rPr>
      </w:pPr>
      <w:r>
        <w:rPr>
          <w:rFonts w:ascii="Arial" w:cs="Arial" w:eastAsia="Arial" w:hAnsi="Arial"/>
          <w:sz w:val="21"/>
          <w:szCs w:val="21"/>
          <w:color w:val="auto"/>
        </w:rPr>
        <w:t xml:space="preserve">SECTION 401. </w:t>
      </w:r>
      <w:r>
        <w:rPr>
          <w:rFonts w:ascii="Arial" w:cs="Arial" w:eastAsia="Arial" w:hAnsi="Arial"/>
          <w:sz w:val="21"/>
          <w:szCs w:val="21"/>
          <w:u w:val="single" w:color="auto"/>
          <w:color w:val="auto"/>
        </w:rPr>
        <w:t>Satisfaction and Discharge of Indenture</w:t>
      </w:r>
      <w:r>
        <w:rPr>
          <w:rFonts w:ascii="Arial" w:cs="Arial" w:eastAsia="Arial" w:hAnsi="Arial"/>
          <w:sz w:val="21"/>
          <w:szCs w:val="21"/>
          <w:color w:val="auto"/>
        </w:rPr>
        <w:t>. This Indenture shall upon Company Request cease to be of further effect with respect to any series of Securities specified in such Company Request (except as to any surviving rights of registration of transfer or conversion or exchange of Securities of such series herein expressly provided for), and the Trustee, upon receipt of a Company Order, and at the expense of the Company, shall execute instruments in form and substance satisfactory to the Trustee and the Company acknowledging satisfaction and discharge of this Indenture as to such series when</w:t>
      </w:r>
    </w:p>
    <w:p>
      <w:pPr>
        <w:spacing w:after="0" w:line="177" w:lineRule="exact"/>
        <w:rPr>
          <w:sz w:val="20"/>
          <w:szCs w:val="20"/>
          <w:color w:val="auto"/>
        </w:rPr>
      </w:pPr>
    </w:p>
    <w:p>
      <w:pPr>
        <w:ind w:left="1980" w:hanging="692"/>
        <w:spacing w:after="0"/>
        <w:tabs>
          <w:tab w:leader="none" w:pos="19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either</w:t>
      </w:r>
    </w:p>
    <w:p>
      <w:pPr>
        <w:spacing w:after="0" w:line="206" w:lineRule="exact"/>
        <w:rPr>
          <w:rFonts w:ascii="Arial" w:cs="Arial" w:eastAsia="Arial" w:hAnsi="Arial"/>
          <w:sz w:val="22"/>
          <w:szCs w:val="22"/>
          <w:color w:val="auto"/>
        </w:rPr>
      </w:pPr>
    </w:p>
    <w:p>
      <w:pPr>
        <w:ind w:left="1280" w:right="20" w:firstLine="656"/>
        <w:spacing w:after="0" w:line="273" w:lineRule="auto"/>
        <w:tabs>
          <w:tab w:leader="none" w:pos="2606" w:val="left"/>
        </w:tabs>
        <w:numPr>
          <w:ilvl w:val="1"/>
          <w:numId w:val="65"/>
        </w:numPr>
        <w:rPr>
          <w:rFonts w:ascii="Arial" w:cs="Arial" w:eastAsia="Arial" w:hAnsi="Arial"/>
          <w:sz w:val="19"/>
          <w:szCs w:val="19"/>
          <w:color w:val="auto"/>
        </w:rPr>
      </w:pPr>
      <w:r>
        <w:rPr>
          <w:rFonts w:ascii="Arial" w:cs="Arial" w:eastAsia="Arial" w:hAnsi="Arial"/>
          <w:sz w:val="19"/>
          <w:szCs w:val="19"/>
          <w:color w:val="auto"/>
        </w:rPr>
        <w:t>all Securities of such series theretofore authenticated and delivered and all coupons, if any, appertaining thereto (other than (i) 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of such series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161" w:lineRule="exact"/>
        <w:rPr>
          <w:rFonts w:ascii="Arial" w:cs="Arial" w:eastAsia="Arial" w:hAnsi="Arial"/>
          <w:sz w:val="19"/>
          <w:szCs w:val="19"/>
          <w:color w:val="auto"/>
        </w:rPr>
      </w:pPr>
    </w:p>
    <w:p>
      <w:pPr>
        <w:ind w:left="1280" w:right="100" w:firstLine="656"/>
        <w:spacing w:after="0" w:line="251" w:lineRule="auto"/>
        <w:tabs>
          <w:tab w:leader="none" w:pos="2594" w:val="left"/>
        </w:tabs>
        <w:numPr>
          <w:ilvl w:val="1"/>
          <w:numId w:val="65"/>
        </w:numPr>
        <w:rPr>
          <w:rFonts w:ascii="Arial" w:cs="Arial" w:eastAsia="Arial" w:hAnsi="Arial"/>
          <w:sz w:val="22"/>
          <w:szCs w:val="22"/>
          <w:color w:val="auto"/>
        </w:rPr>
      </w:pPr>
      <w:r>
        <w:rPr>
          <w:rFonts w:ascii="Arial" w:cs="Arial" w:eastAsia="Arial" w:hAnsi="Arial"/>
          <w:sz w:val="22"/>
          <w:szCs w:val="22"/>
          <w:color w:val="auto"/>
        </w:rPr>
        <w:t>all Securities of such series and, in the case of (i) or (ii) below, any coupons appertaining thereto not theretofore delivered to the Trustee for cancellation</w:t>
      </w:r>
    </w:p>
    <w:p>
      <w:pPr>
        <w:spacing w:after="0" w:line="173" w:lineRule="exact"/>
        <w:rPr>
          <w:sz w:val="20"/>
          <w:szCs w:val="20"/>
          <w:color w:val="auto"/>
        </w:rPr>
      </w:pPr>
    </w:p>
    <w:p>
      <w:pPr>
        <w:ind w:left="2580" w:hanging="644"/>
        <w:spacing w:after="0"/>
        <w:tabs>
          <w:tab w:leader="none" w:pos="25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have become due and payable, or</w:t>
      </w:r>
    </w:p>
    <w:p>
      <w:pPr>
        <w:spacing w:after="0" w:line="206" w:lineRule="exact"/>
        <w:rPr>
          <w:rFonts w:ascii="Arial" w:cs="Arial" w:eastAsia="Arial" w:hAnsi="Arial"/>
          <w:sz w:val="22"/>
          <w:szCs w:val="22"/>
          <w:color w:val="auto"/>
        </w:rPr>
      </w:pPr>
    </w:p>
    <w:p>
      <w:pPr>
        <w:ind w:left="2580" w:hanging="644"/>
        <w:spacing w:after="0"/>
        <w:tabs>
          <w:tab w:leader="none" w:pos="25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will become due and payable at their Stated Maturity within one year, or</w:t>
      </w:r>
    </w:p>
    <w:p>
      <w:pPr>
        <w:spacing w:after="0" w:line="206" w:lineRule="exact"/>
        <w:rPr>
          <w:rFonts w:ascii="Arial" w:cs="Arial" w:eastAsia="Arial" w:hAnsi="Arial"/>
          <w:sz w:val="22"/>
          <w:szCs w:val="22"/>
          <w:color w:val="auto"/>
        </w:rPr>
      </w:pPr>
    </w:p>
    <w:p>
      <w:pPr>
        <w:ind w:left="1280" w:right="80" w:firstLine="656"/>
        <w:spacing w:after="0"/>
        <w:tabs>
          <w:tab w:leader="none" w:pos="2577" w:val="left"/>
        </w:tabs>
        <w:numPr>
          <w:ilvl w:val="0"/>
          <w:numId w:val="66"/>
        </w:numPr>
        <w:rPr>
          <w:rFonts w:ascii="Arial" w:cs="Arial" w:eastAsia="Arial" w:hAnsi="Arial"/>
          <w:sz w:val="22"/>
          <w:szCs w:val="22"/>
          <w:color w:val="auto"/>
        </w:rPr>
      </w:pPr>
      <w:r>
        <w:rPr>
          <w:rFonts w:ascii="Arial" w:cs="Arial" w:eastAsia="Arial" w:hAnsi="Arial"/>
          <w:sz w:val="22"/>
          <w:szCs w:val="22"/>
          <w:color w:val="auto"/>
        </w:rPr>
        <w:t>if redeemable at the option of the Company, are to be called for redemption within one year under arrangements satisfactory to the Trustee for the giving of notice of redemption by the Trustee in the name, and at the expense,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90" w:name="page91"/>
    <w:bookmarkEnd w:id="90"/>
    <w:p>
      <w:pPr>
        <w:ind w:right="120"/>
        <w:spacing w:after="0" w:line="279" w:lineRule="auto"/>
        <w:rPr>
          <w:sz w:val="20"/>
          <w:szCs w:val="20"/>
          <w:color w:val="auto"/>
        </w:rPr>
      </w:pPr>
      <w:r>
        <w:rPr>
          <w:rFonts w:ascii="Arial" w:cs="Arial" w:eastAsia="Arial" w:hAnsi="Arial"/>
          <w:sz w:val="19"/>
          <w:szCs w:val="19"/>
          <w:color w:val="auto"/>
        </w:rPr>
        <w:t>and the Company, in the case of (i), (ii) or (iii) above, has irrevocably deposited or caused to be deposited with the Trustee as trust funds in trust for the purpose an amount in the currency or currencies, currency unit or units or composite currency or currencies in which the Securities of such series are payable, sufficient to pay and discharge the entire indebtedness on such Securities and such coupons not theretofore delivered to the Trustee for cancellation, for principal (and premium or Make-Whole Amount, if any) and interest to the date of such deposit (in the case of Securities which have become due and payable) or to the Stated Maturity or Redemption Date, as the case may be;</w:t>
      </w:r>
    </w:p>
    <w:p>
      <w:pPr>
        <w:spacing w:after="0" w:line="151" w:lineRule="exact"/>
        <w:rPr>
          <w:sz w:val="20"/>
          <w:szCs w:val="20"/>
          <w:color w:val="auto"/>
        </w:rPr>
      </w:pPr>
    </w:p>
    <w:p>
      <w:pPr>
        <w:ind w:left="1980" w:hanging="692"/>
        <w:spacing w:after="0"/>
        <w:tabs>
          <w:tab w:leader="none" w:pos="1980"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Company has paid or caused to be paid all other sums payable hereunder by the Company;</w:t>
      </w:r>
    </w:p>
    <w:p>
      <w:pPr>
        <w:spacing w:after="0" w:line="4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and</w:t>
      </w:r>
    </w:p>
    <w:p>
      <w:pPr>
        <w:spacing w:after="0" w:line="188" w:lineRule="exact"/>
        <w:rPr>
          <w:sz w:val="20"/>
          <w:szCs w:val="20"/>
          <w:color w:val="auto"/>
        </w:rPr>
      </w:pPr>
    </w:p>
    <w:p>
      <w:pPr>
        <w:jc w:val="both"/>
        <w:ind w:left="640" w:right="300" w:firstLine="648"/>
        <w:spacing w:after="0"/>
        <w:tabs>
          <w:tab w:leader="none" w:pos="1972"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86"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Notwithstanding the satisfaction and discharge of this Indenture, the obligations of the Company to the Trustee and any predecessor Trustee under Section 606, the obligations of the Company to any Authenticating Agent under Section 611 and, if money shall have been deposited with and held by the Trustee pursuant to subclause (B) of clause (1) of this Section, the obligations of the Trustee under Section 402 and the last paragraph of Section 1003 shall survive such satisfaction and discharge.</w:t>
      </w:r>
    </w:p>
    <w:p>
      <w:pPr>
        <w:spacing w:after="0" w:line="188" w:lineRule="exact"/>
        <w:rPr>
          <w:sz w:val="20"/>
          <w:szCs w:val="20"/>
          <w:color w:val="auto"/>
        </w:rPr>
      </w:pPr>
    </w:p>
    <w:p>
      <w:pPr>
        <w:ind w:firstLine="648"/>
        <w:spacing w:after="0" w:line="247" w:lineRule="auto"/>
        <w:rPr>
          <w:sz w:val="20"/>
          <w:szCs w:val="20"/>
          <w:color w:val="auto"/>
        </w:rPr>
      </w:pPr>
      <w:r>
        <w:rPr>
          <w:rFonts w:ascii="Arial" w:cs="Arial" w:eastAsia="Arial" w:hAnsi="Arial"/>
          <w:sz w:val="21"/>
          <w:szCs w:val="21"/>
          <w:color w:val="auto"/>
        </w:rPr>
        <w:t xml:space="preserve">SECTION 402. </w:t>
      </w:r>
      <w:r>
        <w:rPr>
          <w:rFonts w:ascii="Arial" w:cs="Arial" w:eastAsia="Arial" w:hAnsi="Arial"/>
          <w:sz w:val="21"/>
          <w:szCs w:val="21"/>
          <w:u w:val="single" w:color="auto"/>
          <w:color w:val="auto"/>
        </w:rPr>
        <w:t>Application of Trust Funds</w:t>
      </w:r>
      <w:r>
        <w:rPr>
          <w:rFonts w:ascii="Arial" w:cs="Arial" w:eastAsia="Arial" w:hAnsi="Arial"/>
          <w:sz w:val="21"/>
          <w:szCs w:val="21"/>
          <w:color w:val="auto"/>
        </w:rPr>
        <w:t>. Subject to the provisions of 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premium or Make-Whole Amount, if any), and any interest for whose payment such money has been deposited with or received by the Trustee, but such money need not be segregated from other funds except to the extent required by law.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FIVE - REMEDIES</w:t>
      </w:r>
    </w:p>
    <w:p>
      <w:pPr>
        <w:spacing w:after="0" w:line="206" w:lineRule="exact"/>
        <w:rPr>
          <w:sz w:val="20"/>
          <w:szCs w:val="20"/>
          <w:color w:val="auto"/>
        </w:rPr>
      </w:pPr>
    </w:p>
    <w:p>
      <w:pPr>
        <w:ind w:right="80" w:firstLine="648"/>
        <w:spacing w:after="0" w:line="287" w:lineRule="auto"/>
        <w:rPr>
          <w:sz w:val="20"/>
          <w:szCs w:val="20"/>
          <w:color w:val="auto"/>
        </w:rPr>
      </w:pPr>
      <w:r>
        <w:rPr>
          <w:rFonts w:ascii="Arial" w:cs="Arial" w:eastAsia="Arial" w:hAnsi="Arial"/>
          <w:sz w:val="19"/>
          <w:szCs w:val="19"/>
          <w:color w:val="auto"/>
        </w:rPr>
        <w:t xml:space="preserve">SECTION 501. </w:t>
      </w:r>
      <w:r>
        <w:rPr>
          <w:rFonts w:ascii="Arial" w:cs="Arial" w:eastAsia="Arial" w:hAnsi="Arial"/>
          <w:sz w:val="19"/>
          <w:szCs w:val="19"/>
          <w:u w:val="single" w:color="auto"/>
          <w:color w:val="auto"/>
        </w:rPr>
        <w:t>Events of Default</w:t>
      </w:r>
      <w:r>
        <w:rPr>
          <w:rFonts w:ascii="Arial" w:cs="Arial" w:eastAsia="Arial" w:hAnsi="Arial"/>
          <w:sz w:val="19"/>
          <w:szCs w:val="19"/>
          <w:color w:val="auto"/>
        </w:rPr>
        <w:t>. “Event of Default,”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143" w:lineRule="exact"/>
        <w:rPr>
          <w:sz w:val="20"/>
          <w:szCs w:val="20"/>
          <w:color w:val="auto"/>
        </w:rPr>
      </w:pPr>
    </w:p>
    <w:p>
      <w:pPr>
        <w:ind w:left="640" w:right="220" w:firstLine="648"/>
        <w:spacing w:after="0"/>
        <w:tabs>
          <w:tab w:leader="none" w:pos="1972" w:val="left"/>
        </w:tabs>
        <w:numPr>
          <w:ilvl w:val="0"/>
          <w:numId w:val="69"/>
        </w:numPr>
        <w:rPr>
          <w:rFonts w:ascii="Arial" w:cs="Arial" w:eastAsia="Arial" w:hAnsi="Arial"/>
          <w:sz w:val="22"/>
          <w:szCs w:val="22"/>
          <w:color w:val="auto"/>
        </w:rPr>
      </w:pPr>
      <w:r>
        <w:rPr>
          <w:rFonts w:ascii="Arial" w:cs="Arial" w:eastAsia="Arial" w:hAnsi="Arial"/>
          <w:sz w:val="22"/>
          <w:szCs w:val="22"/>
          <w:color w:val="auto"/>
        </w:rPr>
        <w:t>default in the payment of any interest on any Security of that series or of any coupon appertaining thereto, when such interest or coupon becomes due and payable, and continuance of such default for a period of 30 days; or</w:t>
      </w:r>
    </w:p>
    <w:p>
      <w:pPr>
        <w:spacing w:after="0" w:line="186" w:lineRule="exact"/>
        <w:rPr>
          <w:rFonts w:ascii="Arial" w:cs="Arial" w:eastAsia="Arial" w:hAnsi="Arial"/>
          <w:sz w:val="22"/>
          <w:szCs w:val="22"/>
          <w:color w:val="auto"/>
        </w:rPr>
      </w:pPr>
    </w:p>
    <w:p>
      <w:pPr>
        <w:ind w:left="640" w:right="160" w:firstLine="648"/>
        <w:spacing w:after="0" w:line="251" w:lineRule="auto"/>
        <w:tabs>
          <w:tab w:leader="none" w:pos="1972" w:val="left"/>
        </w:tabs>
        <w:numPr>
          <w:ilvl w:val="0"/>
          <w:numId w:val="69"/>
        </w:numPr>
        <w:rPr>
          <w:rFonts w:ascii="Arial" w:cs="Arial" w:eastAsia="Arial" w:hAnsi="Arial"/>
          <w:sz w:val="22"/>
          <w:szCs w:val="22"/>
          <w:color w:val="auto"/>
        </w:rPr>
      </w:pPr>
      <w:r>
        <w:rPr>
          <w:rFonts w:ascii="Arial" w:cs="Arial" w:eastAsia="Arial" w:hAnsi="Arial"/>
          <w:sz w:val="22"/>
          <w:szCs w:val="22"/>
          <w:color w:val="auto"/>
        </w:rPr>
        <w:t>default in the payment of the principal of (or premium or Make-Whole Amount, if any, on) any Security of that series when it becomes due and payable at its Maturity; or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91" w:name="page92"/>
    <w:bookmarkEnd w:id="91"/>
    <w:p>
      <w:pPr>
        <w:ind w:right="460" w:firstLine="648"/>
        <w:spacing w:after="0" w:line="251" w:lineRule="auto"/>
        <w:tabs>
          <w:tab w:leader="none" w:pos="1332" w:val="left"/>
        </w:tabs>
        <w:numPr>
          <w:ilvl w:val="0"/>
          <w:numId w:val="70"/>
        </w:numPr>
        <w:rPr>
          <w:rFonts w:ascii="Arial" w:cs="Arial" w:eastAsia="Arial" w:hAnsi="Arial"/>
          <w:sz w:val="22"/>
          <w:szCs w:val="22"/>
          <w:color w:val="auto"/>
        </w:rPr>
      </w:pPr>
      <w:r>
        <w:rPr>
          <w:rFonts w:ascii="Arial" w:cs="Arial" w:eastAsia="Arial" w:hAnsi="Arial"/>
          <w:sz w:val="22"/>
          <w:szCs w:val="22"/>
          <w:color w:val="auto"/>
        </w:rPr>
        <w:t>default in the deposit of any sinking fund payment, to the extent applicable to such series of Securities, when and as due by the terms of any Security of that series; or</w:t>
      </w:r>
    </w:p>
    <w:p>
      <w:pPr>
        <w:spacing w:after="0" w:line="173" w:lineRule="exact"/>
        <w:rPr>
          <w:rFonts w:ascii="Arial" w:cs="Arial" w:eastAsia="Arial" w:hAnsi="Arial"/>
          <w:sz w:val="22"/>
          <w:szCs w:val="22"/>
          <w:color w:val="auto"/>
        </w:rPr>
      </w:pPr>
    </w:p>
    <w:p>
      <w:pPr>
        <w:ind w:right="20" w:firstLine="648"/>
        <w:spacing w:after="0" w:line="275" w:lineRule="auto"/>
        <w:tabs>
          <w:tab w:leader="none" w:pos="1332" w:val="left"/>
        </w:tabs>
        <w:numPr>
          <w:ilvl w:val="0"/>
          <w:numId w:val="70"/>
        </w:numPr>
        <w:rPr>
          <w:rFonts w:ascii="Arial" w:cs="Arial" w:eastAsia="Arial" w:hAnsi="Arial"/>
          <w:sz w:val="19"/>
          <w:szCs w:val="19"/>
          <w:color w:val="auto"/>
        </w:rPr>
      </w:pPr>
      <w:r>
        <w:rPr>
          <w:rFonts w:ascii="Arial" w:cs="Arial" w:eastAsia="Arial" w:hAnsi="Arial"/>
          <w:sz w:val="19"/>
          <w:szCs w:val="19"/>
          <w:color w:val="auto"/>
        </w:rPr>
        <w:t>default in the performance, or breach, of any covenant or warranty of the Company in this Indenture with respect to any Security of that series (other than a covenant or warranty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58" w:lineRule="exact"/>
        <w:rPr>
          <w:rFonts w:ascii="Arial" w:cs="Arial" w:eastAsia="Arial" w:hAnsi="Arial"/>
          <w:sz w:val="19"/>
          <w:szCs w:val="19"/>
          <w:color w:val="auto"/>
        </w:rPr>
      </w:pPr>
    </w:p>
    <w:p>
      <w:pPr>
        <w:ind w:firstLine="648"/>
        <w:spacing w:after="0" w:line="270" w:lineRule="auto"/>
        <w:tabs>
          <w:tab w:leader="none" w:pos="1332"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default under any bond, debenture, note, mortgage, indenture or instrument under which there may be issued or by which there may be secured or evidenced any indebtedness for money borrowed by the Company (or by any Subsidiary, the repayment of which the Company has guaranteed or for which the Company is directly responsible or liable as obligor or guarantor), having an aggregate principal amount outstanding of at least $30,000,000, whether such indebtedness now exists or shall hereafter be created, which default shall have resulted in such indebtedness becoming or being declared due and payable prior to the date on which it would otherwise have become due and payable, without such indebtedness having been discharged, or such acceleration having been rescinded or annulled, within a period of 30 days after there shall have been given, by registered or certified mail, to the Company by the Trustee or to the Company and the Trustee by the Holders of at least 10% in principal amount of the Outstanding Securities of that series a written notice specifying such default and requiring the Company to cause such indebtedness to be discharged or cause such acceleration to be rescinded or annulled and stating that such notice is a “Notice of Default”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subject to the provisions of Sections 601 and 602, the Trustee shall not be deemed to have knowledge of such default unless either (A) a Responsible Officer of the Trustee shall have knowledge of such default or (B) the Trustee shall have received written notice thereof from the Company, from any Holder, from the holder of any such indebtedness or from the trustee under any such mortgage, indenture or other instrument; or</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left="1340" w:hanging="692"/>
        <w:spacing w:after="0"/>
        <w:tabs>
          <w:tab w:leader="none" w:pos="13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Company or any Significant Subsidiary pursuant to or within the meaning of any Bankruptcy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Law:</w:t>
      </w:r>
    </w:p>
    <w:p>
      <w:pPr>
        <w:spacing w:after="0" w:line="188" w:lineRule="exact"/>
        <w:rPr>
          <w:rFonts w:ascii="Arial" w:cs="Arial" w:eastAsia="Arial" w:hAnsi="Arial"/>
          <w:sz w:val="19"/>
          <w:szCs w:val="19"/>
          <w:color w:val="auto"/>
        </w:rPr>
      </w:pPr>
    </w:p>
    <w:p>
      <w:pPr>
        <w:ind w:left="2020" w:hanging="724"/>
        <w:spacing w:after="0"/>
        <w:tabs>
          <w:tab w:leader="none" w:pos="2020" w:val="left"/>
        </w:tabs>
        <w:numPr>
          <w:ilvl w:val="1"/>
          <w:numId w:val="70"/>
        </w:numPr>
        <w:rPr>
          <w:rFonts w:ascii="Arial" w:cs="Arial" w:eastAsia="Arial" w:hAnsi="Arial"/>
          <w:sz w:val="22"/>
          <w:szCs w:val="22"/>
          <w:color w:val="auto"/>
        </w:rPr>
      </w:pPr>
      <w:r>
        <w:rPr>
          <w:rFonts w:ascii="Arial" w:cs="Arial" w:eastAsia="Arial" w:hAnsi="Arial"/>
          <w:sz w:val="22"/>
          <w:szCs w:val="22"/>
          <w:color w:val="auto"/>
        </w:rPr>
        <w:t>commences a voluntary case,</w:t>
      </w:r>
    </w:p>
    <w:p>
      <w:pPr>
        <w:spacing w:after="0" w:line="206" w:lineRule="exact"/>
        <w:rPr>
          <w:rFonts w:ascii="Arial" w:cs="Arial" w:eastAsia="Arial" w:hAnsi="Arial"/>
          <w:sz w:val="22"/>
          <w:szCs w:val="22"/>
          <w:color w:val="auto"/>
        </w:rPr>
      </w:pPr>
    </w:p>
    <w:p>
      <w:pPr>
        <w:ind w:left="2020" w:hanging="724"/>
        <w:spacing w:after="0"/>
        <w:tabs>
          <w:tab w:leader="none" w:pos="2020" w:val="left"/>
        </w:tabs>
        <w:numPr>
          <w:ilvl w:val="1"/>
          <w:numId w:val="70"/>
        </w:numPr>
        <w:rPr>
          <w:rFonts w:ascii="Arial" w:cs="Arial" w:eastAsia="Arial" w:hAnsi="Arial"/>
          <w:sz w:val="22"/>
          <w:szCs w:val="22"/>
          <w:color w:val="auto"/>
        </w:rPr>
      </w:pPr>
      <w:r>
        <w:rPr>
          <w:rFonts w:ascii="Arial" w:cs="Arial" w:eastAsia="Arial" w:hAnsi="Arial"/>
          <w:sz w:val="22"/>
          <w:szCs w:val="22"/>
          <w:color w:val="auto"/>
        </w:rPr>
        <w:t>consents to the entry of an order for relief against it in an involuntary case,</w:t>
      </w:r>
    </w:p>
    <w:p>
      <w:pPr>
        <w:spacing w:after="0" w:line="206" w:lineRule="exact"/>
        <w:rPr>
          <w:rFonts w:ascii="Arial" w:cs="Arial" w:eastAsia="Arial" w:hAnsi="Arial"/>
          <w:sz w:val="22"/>
          <w:szCs w:val="22"/>
          <w:color w:val="auto"/>
        </w:rPr>
      </w:pPr>
    </w:p>
    <w:p>
      <w:pPr>
        <w:ind w:left="2020" w:hanging="724"/>
        <w:spacing w:after="0"/>
        <w:tabs>
          <w:tab w:leader="none" w:pos="2020" w:val="left"/>
        </w:tabs>
        <w:numPr>
          <w:ilvl w:val="1"/>
          <w:numId w:val="70"/>
        </w:numPr>
        <w:rPr>
          <w:rFonts w:ascii="Arial" w:cs="Arial" w:eastAsia="Arial" w:hAnsi="Arial"/>
          <w:sz w:val="21"/>
          <w:szCs w:val="21"/>
          <w:color w:val="auto"/>
        </w:rPr>
      </w:pPr>
      <w:r>
        <w:rPr>
          <w:rFonts w:ascii="Arial" w:cs="Arial" w:eastAsia="Arial" w:hAnsi="Arial"/>
          <w:sz w:val="21"/>
          <w:szCs w:val="21"/>
          <w:color w:val="auto"/>
        </w:rPr>
        <w:t>consents to the appointment of a Custodian of it or for all or substantially all of its</w:t>
      </w:r>
    </w:p>
    <w:p>
      <w:pPr>
        <w:spacing w:after="0" w:line="19"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22"/>
          <w:szCs w:val="22"/>
          <w:color w:val="auto"/>
        </w:rPr>
        <w:t>property, or</w:t>
      </w:r>
    </w:p>
    <w:p>
      <w:pPr>
        <w:spacing w:after="0" w:line="188" w:lineRule="exact"/>
        <w:rPr>
          <w:rFonts w:ascii="Arial" w:cs="Arial" w:eastAsia="Arial" w:hAnsi="Arial"/>
          <w:sz w:val="21"/>
          <w:szCs w:val="21"/>
          <w:color w:val="auto"/>
        </w:rPr>
      </w:pPr>
    </w:p>
    <w:p>
      <w:pPr>
        <w:ind w:left="2020" w:hanging="724"/>
        <w:spacing w:after="0"/>
        <w:tabs>
          <w:tab w:leader="none" w:pos="2020" w:val="left"/>
        </w:tabs>
        <w:numPr>
          <w:ilvl w:val="1"/>
          <w:numId w:val="70"/>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 or</w:t>
      </w:r>
    </w:p>
    <w:p>
      <w:pPr>
        <w:spacing w:after="0" w:line="200" w:lineRule="exact"/>
        <w:rPr>
          <w:sz w:val="20"/>
          <w:szCs w:val="20"/>
          <w:color w:val="auto"/>
        </w:rPr>
      </w:pPr>
    </w:p>
    <w:p>
      <w:pPr>
        <w:spacing w:after="0" w:line="222"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76200</wp:posOffset>
            </wp:positionV>
            <wp:extent cx="661225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00" w:top="361" w:right="779" w:bottom="1440" w:gutter="0" w:footer="0" w:header="0"/>
        </w:sectPr>
      </w:pPr>
    </w:p>
    <w:bookmarkStart w:id="92" w:name="page93"/>
    <w:bookmarkEnd w:id="92"/>
    <w:p>
      <w:pPr>
        <w:ind w:left="1980" w:hanging="692"/>
        <w:spacing w:after="0"/>
        <w:tabs>
          <w:tab w:leader="none" w:pos="1980" w:val="left"/>
        </w:tabs>
        <w:numPr>
          <w:ilvl w:val="0"/>
          <w:numId w:val="71"/>
        </w:numPr>
        <w:rPr>
          <w:rFonts w:ascii="Arial" w:cs="Arial" w:eastAsia="Arial" w:hAnsi="Arial"/>
          <w:sz w:val="19"/>
          <w:szCs w:val="19"/>
          <w:color w:val="auto"/>
        </w:rPr>
      </w:pPr>
      <w:r>
        <w:rPr>
          <w:rFonts w:ascii="Arial" w:cs="Arial" w:eastAsia="Arial" w:hAnsi="Arial"/>
          <w:sz w:val="19"/>
          <w:szCs w:val="19"/>
          <w:color w:val="auto"/>
        </w:rPr>
        <w:t>a court of competent jurisdiction enters an order or decree under any Bankruptcy Law that:</w:t>
      </w:r>
    </w:p>
    <w:p>
      <w:pPr>
        <w:spacing w:after="0" w:line="132" w:lineRule="exact"/>
        <w:rPr>
          <w:rFonts w:ascii="Arial" w:cs="Arial" w:eastAsia="Arial" w:hAnsi="Arial"/>
          <w:sz w:val="19"/>
          <w:szCs w:val="19"/>
          <w:color w:val="auto"/>
        </w:rPr>
      </w:pPr>
    </w:p>
    <w:p>
      <w:pPr>
        <w:ind w:left="2660" w:hanging="724"/>
        <w:spacing w:after="0"/>
        <w:tabs>
          <w:tab w:leader="none" w:pos="2660" w:val="left"/>
        </w:tabs>
        <w:numPr>
          <w:ilvl w:val="1"/>
          <w:numId w:val="71"/>
        </w:numPr>
        <w:rPr>
          <w:rFonts w:ascii="Arial" w:cs="Arial" w:eastAsia="Arial" w:hAnsi="Arial"/>
          <w:sz w:val="19"/>
          <w:szCs w:val="19"/>
          <w:color w:val="auto"/>
        </w:rPr>
      </w:pPr>
      <w:r>
        <w:rPr>
          <w:rFonts w:ascii="Arial" w:cs="Arial" w:eastAsia="Arial" w:hAnsi="Arial"/>
          <w:sz w:val="19"/>
          <w:szCs w:val="19"/>
          <w:color w:val="auto"/>
        </w:rPr>
        <w:t>is for relief against the Company or any Significant Subsidiary in an involuntary case,</w:t>
      </w:r>
    </w:p>
    <w:p>
      <w:pPr>
        <w:spacing w:after="0" w:line="240" w:lineRule="exact"/>
        <w:rPr>
          <w:rFonts w:ascii="Arial" w:cs="Arial" w:eastAsia="Arial" w:hAnsi="Arial"/>
          <w:sz w:val="19"/>
          <w:szCs w:val="19"/>
          <w:color w:val="auto"/>
        </w:rPr>
      </w:pPr>
    </w:p>
    <w:p>
      <w:pPr>
        <w:ind w:left="1280" w:right="840" w:firstLine="656"/>
        <w:spacing w:after="0" w:line="251" w:lineRule="auto"/>
        <w:tabs>
          <w:tab w:leader="none" w:pos="2648" w:val="left"/>
        </w:tabs>
        <w:numPr>
          <w:ilvl w:val="1"/>
          <w:numId w:val="71"/>
        </w:numPr>
        <w:rPr>
          <w:rFonts w:ascii="Arial" w:cs="Arial" w:eastAsia="Arial" w:hAnsi="Arial"/>
          <w:sz w:val="22"/>
          <w:szCs w:val="22"/>
          <w:color w:val="auto"/>
        </w:rPr>
      </w:pPr>
      <w:r>
        <w:rPr>
          <w:rFonts w:ascii="Arial" w:cs="Arial" w:eastAsia="Arial" w:hAnsi="Arial"/>
          <w:sz w:val="22"/>
          <w:szCs w:val="22"/>
          <w:color w:val="auto"/>
        </w:rPr>
        <w:t>appoints a Custodian of the Company or any Significant Subsidiary or for all or substantially all of either of its property, or</w:t>
      </w:r>
    </w:p>
    <w:p>
      <w:pPr>
        <w:spacing w:after="0" w:line="173" w:lineRule="exact"/>
        <w:rPr>
          <w:rFonts w:ascii="Arial" w:cs="Arial" w:eastAsia="Arial" w:hAnsi="Arial"/>
          <w:sz w:val="22"/>
          <w:szCs w:val="22"/>
          <w:color w:val="auto"/>
        </w:rPr>
      </w:pPr>
    </w:p>
    <w:p>
      <w:pPr>
        <w:ind w:left="1280" w:right="380" w:firstLine="656"/>
        <w:spacing w:after="0" w:line="251" w:lineRule="auto"/>
        <w:tabs>
          <w:tab w:leader="none" w:pos="2648" w:val="left"/>
        </w:tabs>
        <w:numPr>
          <w:ilvl w:val="1"/>
          <w:numId w:val="71"/>
        </w:numPr>
        <w:rPr>
          <w:rFonts w:ascii="Arial" w:cs="Arial" w:eastAsia="Arial" w:hAnsi="Arial"/>
          <w:sz w:val="22"/>
          <w:szCs w:val="22"/>
          <w:color w:val="auto"/>
        </w:rPr>
      </w:pPr>
      <w:r>
        <w:rPr>
          <w:rFonts w:ascii="Arial" w:cs="Arial" w:eastAsia="Arial" w:hAnsi="Arial"/>
          <w:sz w:val="22"/>
          <w:szCs w:val="22"/>
          <w:color w:val="auto"/>
        </w:rPr>
        <w:t>orders the liquidation of the Company or any Significant Subsidiary, and the order or decree remains unstayed and in effect for 90 days; or</w:t>
      </w:r>
    </w:p>
    <w:p>
      <w:pPr>
        <w:spacing w:after="0" w:line="173" w:lineRule="exact"/>
        <w:rPr>
          <w:rFonts w:ascii="Arial" w:cs="Arial" w:eastAsia="Arial" w:hAnsi="Arial"/>
          <w:sz w:val="22"/>
          <w:szCs w:val="22"/>
          <w:color w:val="auto"/>
        </w:rPr>
      </w:pPr>
    </w:p>
    <w:p>
      <w:pPr>
        <w:ind w:left="1980" w:hanging="692"/>
        <w:spacing w:after="0"/>
        <w:tabs>
          <w:tab w:leader="none" w:pos="19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other Event of Default provided with respect to Securities of that series.</w:t>
      </w:r>
    </w:p>
    <w:p>
      <w:pPr>
        <w:spacing w:after="0" w:line="206" w:lineRule="exact"/>
        <w:rPr>
          <w:sz w:val="20"/>
          <w:szCs w:val="20"/>
          <w:color w:val="auto"/>
        </w:rPr>
      </w:pPr>
    </w:p>
    <w:p>
      <w:pPr>
        <w:jc w:val="both"/>
        <w:ind w:right="400" w:firstLine="648"/>
        <w:spacing w:after="0"/>
        <w:rPr>
          <w:sz w:val="20"/>
          <w:szCs w:val="20"/>
          <w:color w:val="auto"/>
        </w:rPr>
      </w:pPr>
      <w:r>
        <w:rPr>
          <w:rFonts w:ascii="Arial" w:cs="Arial" w:eastAsia="Arial" w:hAnsi="Arial"/>
          <w:sz w:val="22"/>
          <w:szCs w:val="22"/>
          <w:color w:val="auto"/>
        </w:rPr>
        <w:t>As used in this Section 501, the term “Bankruptcy Law” means title 11, U.S. Code or any similar Federal or state law for the relief of debtors and the term “Custodian” means any receiver, trustee, assignee, liquidator or other similar official under any Bankruptcy Law.</w:t>
      </w:r>
    </w:p>
    <w:p>
      <w:pPr>
        <w:spacing w:after="0" w:line="186"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u w:val="single" w:color="auto"/>
          <w:color w:val="auto"/>
        </w:rPr>
        <w:t>Acceleration of Maturity; Rescission and Annulment</w:t>
      </w:r>
      <w:r>
        <w:rPr>
          <w:rFonts w:ascii="Arial" w:cs="Arial" w:eastAsia="Arial" w:hAnsi="Arial"/>
          <w:sz w:val="19"/>
          <w:szCs w:val="19"/>
          <w:color w:val="auto"/>
        </w:rPr>
        <w:t>. If an Event of Default with respect to Securities of any series at the time Outstanding occurs and is continuing, then and in every such case the Trustee or the Holders of not less than 25% in principal amount of the Outstanding Securities of that series may declare the principal amount (or, if Securities of that Series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w:t>
      </w:r>
    </w:p>
    <w:p>
      <w:pPr>
        <w:spacing w:after="0" w:line="153" w:lineRule="exact"/>
        <w:rPr>
          <w:sz w:val="20"/>
          <w:szCs w:val="20"/>
          <w:color w:val="auto"/>
        </w:rPr>
      </w:pPr>
    </w:p>
    <w:p>
      <w:pPr>
        <w:ind w:right="80" w:firstLine="648"/>
        <w:spacing w:after="0" w:line="287" w:lineRule="auto"/>
        <w:rPr>
          <w:sz w:val="20"/>
          <w:szCs w:val="20"/>
          <w:color w:val="auto"/>
        </w:rPr>
      </w:pPr>
      <w:r>
        <w:rPr>
          <w:rFonts w:ascii="Arial" w:cs="Arial" w:eastAsia="Arial" w:hAnsi="Arial"/>
          <w:sz w:val="19"/>
          <w:szCs w:val="19"/>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of acceleration and its consequences if:</w:t>
      </w:r>
    </w:p>
    <w:p>
      <w:pPr>
        <w:spacing w:after="0" w:line="143" w:lineRule="exact"/>
        <w:rPr>
          <w:sz w:val="20"/>
          <w:szCs w:val="20"/>
          <w:color w:val="auto"/>
        </w:rPr>
      </w:pPr>
    </w:p>
    <w:p>
      <w:pPr>
        <w:jc w:val="both"/>
        <w:ind w:left="640" w:right="480" w:firstLine="648"/>
        <w:spacing w:after="0" w:line="258" w:lineRule="auto"/>
        <w:tabs>
          <w:tab w:leader="none" w:pos="1972" w:val="left"/>
        </w:tabs>
        <w:numPr>
          <w:ilvl w:val="0"/>
          <w:numId w:val="72"/>
        </w:numPr>
        <w:rPr>
          <w:rFonts w:ascii="Arial" w:cs="Arial" w:eastAsia="Arial" w:hAnsi="Arial"/>
          <w:sz w:val="21"/>
          <w:szCs w:val="21"/>
          <w:color w:val="auto"/>
        </w:rPr>
      </w:pPr>
      <w:r>
        <w:rPr>
          <w:rFonts w:ascii="Arial" w:cs="Arial" w:eastAsia="Arial" w:hAnsi="Arial"/>
          <w:sz w:val="21"/>
          <w:szCs w:val="21"/>
          <w:color w:val="auto"/>
        </w:rPr>
        <w:t>the Company has paid or deposited with the Trustee a sum sufficient to pay in the currency, currency unit or composite currency in which the Securities of such series are payable (except as otherwise specified pursuant to Section 301 for the Securities of such series):</w:t>
      </w:r>
    </w:p>
    <w:p>
      <w:pPr>
        <w:spacing w:after="0" w:line="166" w:lineRule="exact"/>
        <w:rPr>
          <w:rFonts w:ascii="Arial" w:cs="Arial" w:eastAsia="Arial" w:hAnsi="Arial"/>
          <w:sz w:val="21"/>
          <w:szCs w:val="21"/>
          <w:color w:val="auto"/>
        </w:rPr>
      </w:pPr>
    </w:p>
    <w:p>
      <w:pPr>
        <w:ind w:left="1280" w:right="280" w:firstLine="656"/>
        <w:spacing w:after="0" w:line="251" w:lineRule="auto"/>
        <w:tabs>
          <w:tab w:leader="none" w:pos="2660" w:val="left"/>
        </w:tabs>
        <w:numPr>
          <w:ilvl w:val="1"/>
          <w:numId w:val="72"/>
        </w:numPr>
        <w:rPr>
          <w:rFonts w:ascii="Arial" w:cs="Arial" w:eastAsia="Arial" w:hAnsi="Arial"/>
          <w:sz w:val="22"/>
          <w:szCs w:val="22"/>
          <w:color w:val="auto"/>
        </w:rPr>
      </w:pPr>
      <w:r>
        <w:rPr>
          <w:rFonts w:ascii="Arial" w:cs="Arial" w:eastAsia="Arial" w:hAnsi="Arial"/>
          <w:sz w:val="22"/>
          <w:szCs w:val="22"/>
          <w:color w:val="auto"/>
        </w:rPr>
        <w:t>all overdue installments of interest on all Outstanding Securities of that series and any related coupons,</w:t>
      </w:r>
    </w:p>
    <w:p>
      <w:pPr>
        <w:spacing w:after="0" w:line="173" w:lineRule="exact"/>
        <w:rPr>
          <w:rFonts w:ascii="Arial" w:cs="Arial" w:eastAsia="Arial" w:hAnsi="Arial"/>
          <w:sz w:val="22"/>
          <w:szCs w:val="22"/>
          <w:color w:val="auto"/>
        </w:rPr>
      </w:pPr>
    </w:p>
    <w:p>
      <w:pPr>
        <w:ind w:left="1280" w:right="200" w:firstLine="656"/>
        <w:spacing w:after="0" w:line="297" w:lineRule="auto"/>
        <w:tabs>
          <w:tab w:leader="none" w:pos="2648" w:val="left"/>
        </w:tabs>
        <w:numPr>
          <w:ilvl w:val="1"/>
          <w:numId w:val="72"/>
        </w:numPr>
        <w:rPr>
          <w:rFonts w:ascii="Arial" w:cs="Arial" w:eastAsia="Arial" w:hAnsi="Arial"/>
          <w:sz w:val="19"/>
          <w:szCs w:val="19"/>
          <w:color w:val="auto"/>
        </w:rPr>
      </w:pPr>
      <w:r>
        <w:rPr>
          <w:rFonts w:ascii="Arial" w:cs="Arial" w:eastAsia="Arial" w:hAnsi="Arial"/>
          <w:sz w:val="19"/>
          <w:szCs w:val="19"/>
          <w:color w:val="auto"/>
        </w:rPr>
        <w:t>the principal of (and premium or Make-Whole Amount, if any, on) any Outstanding Securities of that series which have become due otherwise than by such declaration of acceleration and interest thereon at the rate or rates borne by or provided for in such Securities,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469" w:right="759" w:bottom="1440" w:gutter="0" w:footer="0" w:header="0"/>
        </w:sectPr>
      </w:pPr>
    </w:p>
    <w:bookmarkStart w:id="93" w:name="page94"/>
    <w:bookmarkEnd w:id="93"/>
    <w:p>
      <w:pPr>
        <w:ind w:left="1280" w:firstLine="656"/>
        <w:spacing w:after="0" w:line="251" w:lineRule="auto"/>
        <w:tabs>
          <w:tab w:leader="none" w:pos="2648" w:val="left"/>
        </w:tabs>
        <w:numPr>
          <w:ilvl w:val="1"/>
          <w:numId w:val="73"/>
        </w:numPr>
        <w:rPr>
          <w:rFonts w:ascii="Arial" w:cs="Arial" w:eastAsia="Arial" w:hAnsi="Arial"/>
          <w:sz w:val="22"/>
          <w:szCs w:val="22"/>
          <w:color w:val="auto"/>
        </w:rPr>
      </w:pPr>
      <w:r>
        <w:rPr>
          <w:rFonts w:ascii="Arial" w:cs="Arial" w:eastAsia="Arial" w:hAnsi="Arial"/>
          <w:sz w:val="22"/>
          <w:szCs w:val="22"/>
          <w:color w:val="auto"/>
        </w:rPr>
        <w:t>to the extent that payment of such interest is lawful, interest upon overdue installments of interest at the rate or rates borne by or provided for in such Securities, and</w:t>
      </w:r>
    </w:p>
    <w:p>
      <w:pPr>
        <w:spacing w:after="0" w:line="173" w:lineRule="exact"/>
        <w:rPr>
          <w:rFonts w:ascii="Arial" w:cs="Arial" w:eastAsia="Arial" w:hAnsi="Arial"/>
          <w:sz w:val="22"/>
          <w:szCs w:val="22"/>
          <w:color w:val="auto"/>
        </w:rPr>
      </w:pPr>
    </w:p>
    <w:p>
      <w:pPr>
        <w:ind w:left="1280" w:right="320" w:firstLine="656"/>
        <w:spacing w:after="0" w:line="328" w:lineRule="auto"/>
        <w:tabs>
          <w:tab w:leader="none" w:pos="2660" w:val="left"/>
        </w:tabs>
        <w:numPr>
          <w:ilvl w:val="1"/>
          <w:numId w:val="73"/>
        </w:numPr>
        <w:rPr>
          <w:rFonts w:ascii="Arial" w:cs="Arial" w:eastAsia="Arial" w:hAnsi="Arial"/>
          <w:sz w:val="19"/>
          <w:szCs w:val="19"/>
          <w:color w:val="auto"/>
        </w:rPr>
      </w:pPr>
      <w:r>
        <w:rPr>
          <w:rFonts w:ascii="Arial" w:cs="Arial" w:eastAsia="Arial" w:hAnsi="Arial"/>
          <w:sz w:val="19"/>
          <w:szCs w:val="19"/>
          <w:color w:val="auto"/>
        </w:rPr>
        <w:t>all sums paid or advanced by the Trustee hereunder and the reasonable compensation, expenses, disbursements and advances of the Trustee, its agents and counsel; and</w:t>
      </w:r>
    </w:p>
    <w:p>
      <w:pPr>
        <w:spacing w:after="0" w:line="105" w:lineRule="exact"/>
        <w:rPr>
          <w:rFonts w:ascii="Arial" w:cs="Arial" w:eastAsia="Arial" w:hAnsi="Arial"/>
          <w:sz w:val="19"/>
          <w:szCs w:val="19"/>
          <w:color w:val="auto"/>
        </w:rPr>
      </w:pPr>
    </w:p>
    <w:p>
      <w:pPr>
        <w:ind w:left="640" w:right="240" w:firstLine="648"/>
        <w:spacing w:after="0" w:line="297" w:lineRule="auto"/>
        <w:tabs>
          <w:tab w:leader="none" w:pos="1972" w:val="left"/>
        </w:tabs>
        <w:numPr>
          <w:ilvl w:val="0"/>
          <w:numId w:val="74"/>
        </w:numPr>
        <w:rPr>
          <w:rFonts w:ascii="Arial" w:cs="Arial" w:eastAsia="Arial" w:hAnsi="Arial"/>
          <w:sz w:val="19"/>
          <w:szCs w:val="19"/>
          <w:color w:val="auto"/>
        </w:rPr>
      </w:pPr>
      <w:r>
        <w:rPr>
          <w:rFonts w:ascii="Arial" w:cs="Arial" w:eastAsia="Arial" w:hAnsi="Arial"/>
          <w:sz w:val="19"/>
          <w:szCs w:val="19"/>
          <w:color w:val="auto"/>
        </w:rPr>
        <w:t>all Events of Default with respect to Securities of that series, other than the nonpayment of the principal of (or premium or Make-Whole Amount, if any) or interest on Securities of that series which have become due solely by such declaration of acceleration, have been cured or waived as provided in Section 513.</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No such rescission shall affect any subsequent default or impair any right consequent thereon.</w:t>
      </w:r>
    </w:p>
    <w:p>
      <w:pPr>
        <w:spacing w:after="0" w:line="206" w:lineRule="exact"/>
        <w:rPr>
          <w:sz w:val="20"/>
          <w:szCs w:val="20"/>
          <w:color w:val="auto"/>
        </w:rPr>
      </w:pPr>
    </w:p>
    <w:p>
      <w:pPr>
        <w:ind w:left="640"/>
        <w:spacing w:after="0"/>
        <w:tabs>
          <w:tab w:leader="none" w:pos="2400" w:val="left"/>
        </w:tabs>
        <w:rPr>
          <w:sz w:val="20"/>
          <w:szCs w:val="20"/>
          <w:color w:val="auto"/>
        </w:rPr>
      </w:pPr>
      <w:r>
        <w:rPr>
          <w:rFonts w:ascii="Arial" w:cs="Arial" w:eastAsia="Arial" w:hAnsi="Arial"/>
          <w:sz w:val="22"/>
          <w:szCs w:val="22"/>
          <w:color w:val="auto"/>
        </w:rPr>
        <w:t>SECTION 503.</w:t>
      </w:r>
      <w:r>
        <w:rPr>
          <w:sz w:val="20"/>
          <w:szCs w:val="20"/>
          <w:color w:val="auto"/>
        </w:rPr>
        <w:tab/>
      </w:r>
      <w:r>
        <w:rPr>
          <w:rFonts w:ascii="Arial" w:cs="Arial" w:eastAsia="Arial" w:hAnsi="Arial"/>
          <w:sz w:val="19"/>
          <w:szCs w:val="19"/>
          <w:u w:val="single" w:color="auto"/>
          <w:color w:val="auto"/>
        </w:rPr>
        <w:t>Collection of Indebtedness and Suits for Enforcement by Trustee</w:t>
      </w:r>
      <w:r>
        <w:rPr>
          <w:rFonts w:ascii="Arial" w:cs="Arial" w:eastAsia="Arial" w:hAnsi="Arial"/>
          <w:sz w:val="19"/>
          <w:szCs w:val="19"/>
          <w:color w:val="auto"/>
        </w:rPr>
        <w:t>. The Company covenants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that if:</w:t>
      </w:r>
    </w:p>
    <w:p>
      <w:pPr>
        <w:spacing w:after="0" w:line="188" w:lineRule="exact"/>
        <w:rPr>
          <w:sz w:val="20"/>
          <w:szCs w:val="20"/>
          <w:color w:val="auto"/>
        </w:rPr>
      </w:pPr>
    </w:p>
    <w:p>
      <w:pPr>
        <w:jc w:val="both"/>
        <w:ind w:left="640" w:right="260" w:firstLine="648"/>
        <w:spacing w:after="0"/>
        <w:tabs>
          <w:tab w:leader="none" w:pos="1972" w:val="left"/>
        </w:tabs>
        <w:numPr>
          <w:ilvl w:val="0"/>
          <w:numId w:val="75"/>
        </w:numPr>
        <w:rPr>
          <w:rFonts w:ascii="Arial" w:cs="Arial" w:eastAsia="Arial" w:hAnsi="Arial"/>
          <w:sz w:val="22"/>
          <w:szCs w:val="22"/>
          <w:color w:val="auto"/>
        </w:rPr>
      </w:pPr>
      <w:r>
        <w:rPr>
          <w:rFonts w:ascii="Arial" w:cs="Arial" w:eastAsia="Arial" w:hAnsi="Arial"/>
          <w:sz w:val="22"/>
          <w:szCs w:val="22"/>
          <w:color w:val="auto"/>
        </w:rPr>
        <w:t>default is made in the payment of any installment of interest on any Security of any series and any related coupon when such interest becomes due and payable and such default continues for a period of 30 days, or</w:t>
      </w:r>
    </w:p>
    <w:p>
      <w:pPr>
        <w:spacing w:after="0" w:line="186" w:lineRule="exact"/>
        <w:rPr>
          <w:rFonts w:ascii="Arial" w:cs="Arial" w:eastAsia="Arial" w:hAnsi="Arial"/>
          <w:sz w:val="22"/>
          <w:szCs w:val="22"/>
          <w:color w:val="auto"/>
        </w:rPr>
      </w:pPr>
    </w:p>
    <w:p>
      <w:pPr>
        <w:ind w:left="640" w:right="180" w:firstLine="648"/>
        <w:spacing w:after="0" w:line="251" w:lineRule="auto"/>
        <w:tabs>
          <w:tab w:leader="none" w:pos="1972" w:val="left"/>
        </w:tabs>
        <w:numPr>
          <w:ilvl w:val="0"/>
          <w:numId w:val="75"/>
        </w:numPr>
        <w:rPr>
          <w:rFonts w:ascii="Arial" w:cs="Arial" w:eastAsia="Arial" w:hAnsi="Arial"/>
          <w:sz w:val="22"/>
          <w:szCs w:val="22"/>
          <w:color w:val="auto"/>
        </w:rPr>
      </w:pPr>
      <w:r>
        <w:rPr>
          <w:rFonts w:ascii="Arial" w:cs="Arial" w:eastAsia="Arial" w:hAnsi="Arial"/>
          <w:sz w:val="22"/>
          <w:szCs w:val="22"/>
          <w:color w:val="auto"/>
        </w:rPr>
        <w:t>default is made in the payment of the principal of (or premium or Make-Whole Amount, if any, on) any Security of any series at its Maturity,</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then the Company will, upon demand of the Trustee, pay to the Trustee, for the benefit of the Holders of such Securities of such series and coupons, the whole amount then due and payable on such Securities and coupons for principal (and premium or Make-Whole Amount, if any) and interest, with interest upon any overdue principal (and premium or Make-Whole Amount, if any) and, to the extent that payment of such interest shall be legally enforceable, upon any overdue installments of interest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53" w:lineRule="exact"/>
        <w:rPr>
          <w:sz w:val="20"/>
          <w:szCs w:val="20"/>
          <w:color w:val="auto"/>
        </w:rPr>
      </w:pPr>
    </w:p>
    <w:p>
      <w:pPr>
        <w:ind w:right="60" w:firstLine="648"/>
        <w:spacing w:after="0" w:line="235" w:lineRule="auto"/>
        <w:rPr>
          <w:sz w:val="20"/>
          <w:szCs w:val="20"/>
          <w:color w:val="auto"/>
        </w:rPr>
      </w:pPr>
      <w:r>
        <w:rPr>
          <w:rFonts w:ascii="Arial" w:cs="Arial" w:eastAsia="Arial" w:hAnsi="Arial"/>
          <w:sz w:val="22"/>
          <w:szCs w:val="22"/>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such Securities of such series and collect the moneys adjudged or decreed to be payable in the manner provided by law out of the property of the Company or any other obligor upon such Securities of such series, wherever situated.</w:t>
      </w:r>
    </w:p>
    <w:p>
      <w:pPr>
        <w:spacing w:after="0" w:line="188" w:lineRule="exact"/>
        <w:rPr>
          <w:sz w:val="20"/>
          <w:szCs w:val="20"/>
          <w:color w:val="auto"/>
        </w:rPr>
      </w:pPr>
    </w:p>
    <w:p>
      <w:pPr>
        <w:ind w:right="60" w:firstLine="648"/>
        <w:spacing w:after="0" w:line="249" w:lineRule="auto"/>
        <w:rPr>
          <w:sz w:val="20"/>
          <w:szCs w:val="20"/>
          <w:color w:val="auto"/>
        </w:rPr>
      </w:pPr>
      <w:r>
        <w:rPr>
          <w:rFonts w:ascii="Arial" w:cs="Arial" w:eastAsia="Arial" w:hAnsi="Arial"/>
          <w:sz w:val="21"/>
          <w:szCs w:val="21"/>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necessary to protect and enforce any such rights, whether for the specific enforcement of any covenant or agreement in this Indenture or in aid of the exercise of any power granted herein, or to enforce any other proper remedy.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94" w:name="page95"/>
    <w:bookmarkEnd w:id="94"/>
    <w:p>
      <w:pPr>
        <w:ind w:firstLine="648"/>
        <w:spacing w:after="0" w:line="277"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Trustee May File Proofs of Claim</w:t>
      </w:r>
      <w:r>
        <w:rPr>
          <w:rFonts w:ascii="Arial" w:cs="Arial" w:eastAsia="Arial" w:hAnsi="Arial"/>
          <w:sz w:val="19"/>
          <w:szCs w:val="19"/>
          <w:color w:val="auto"/>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overdue principal, premium or Make-Whole Amount, if any, or interest) shall be entitled and empowered, by intervention in such proceeding or otherwise:</w:t>
      </w:r>
    </w:p>
    <w:p>
      <w:pPr>
        <w:spacing w:after="0" w:line="153" w:lineRule="exact"/>
        <w:rPr>
          <w:sz w:val="20"/>
          <w:szCs w:val="20"/>
          <w:color w:val="auto"/>
        </w:rPr>
      </w:pPr>
    </w:p>
    <w:p>
      <w:pPr>
        <w:ind w:left="1280" w:right="40" w:firstLine="656"/>
        <w:spacing w:after="0" w:line="279" w:lineRule="auto"/>
        <w:tabs>
          <w:tab w:leader="none" w:pos="2564" w:val="left"/>
        </w:tabs>
        <w:numPr>
          <w:ilvl w:val="0"/>
          <w:numId w:val="76"/>
        </w:numPr>
        <w:rPr>
          <w:rFonts w:ascii="Arial" w:cs="Arial" w:eastAsia="Arial" w:hAnsi="Arial"/>
          <w:sz w:val="19"/>
          <w:szCs w:val="19"/>
          <w:color w:val="auto"/>
        </w:rPr>
      </w:pPr>
      <w:r>
        <w:rPr>
          <w:rFonts w:ascii="Arial" w:cs="Arial" w:eastAsia="Arial" w:hAnsi="Arial"/>
          <w:sz w:val="19"/>
          <w:szCs w:val="19"/>
          <w:color w:val="auto"/>
        </w:rPr>
        <w:t>to file and prove a claim for the whole amount, or such lesser amount as may be provided for in the Securities of such series, of principal (and premium or Make-Whole Amount, if any)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50" w:lineRule="exact"/>
        <w:rPr>
          <w:rFonts w:ascii="Arial" w:cs="Arial" w:eastAsia="Arial" w:hAnsi="Arial"/>
          <w:sz w:val="19"/>
          <w:szCs w:val="19"/>
          <w:color w:val="auto"/>
        </w:rPr>
      </w:pPr>
    </w:p>
    <w:p>
      <w:pPr>
        <w:ind w:left="1280" w:right="260" w:firstLine="656"/>
        <w:spacing w:after="0" w:line="251" w:lineRule="auto"/>
        <w:tabs>
          <w:tab w:leader="none" w:pos="257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to collect and receive any moneys or other property payable or deliverable on any such claims and to distribute the same;</w:t>
      </w:r>
    </w:p>
    <w:p>
      <w:pPr>
        <w:spacing w:after="0" w:line="173"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and any custodian, receiver, assignee, trustee, liquidator, sequestrator (or other similar official) in any such judicial proceeding is hereby authorized by each Holder of Securities of such series and coupons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w:t>
      </w:r>
    </w:p>
    <w:p>
      <w:pPr>
        <w:spacing w:after="0" w:line="177" w:lineRule="exact"/>
        <w:rPr>
          <w:sz w:val="20"/>
          <w:szCs w:val="20"/>
          <w:color w:val="auto"/>
        </w:rPr>
      </w:pPr>
    </w:p>
    <w:p>
      <w:pPr>
        <w:ind w:right="120" w:firstLine="648"/>
        <w:spacing w:after="0" w:line="252" w:lineRule="auto"/>
        <w:rPr>
          <w:sz w:val="20"/>
          <w:szCs w:val="20"/>
          <w:color w:val="auto"/>
        </w:rPr>
      </w:pPr>
      <w:r>
        <w:rPr>
          <w:rFonts w:ascii="Arial" w:cs="Arial" w:eastAsia="Arial" w:hAnsi="Arial"/>
          <w:sz w:val="21"/>
          <w:szCs w:val="21"/>
          <w:color w:val="auto"/>
        </w:rPr>
        <w:t>Nothing herein contained shall be deemed to authorize the Trustee to authorize or consent to or accept or adopt on behalf of any Holder of a Security or coupon any plan of reorganization, arrangement, adjustment or composition affecting the Securities or coupons or the rights of any Holder thereof, or to authorize the Trustee to vote in respect of the claim of any Holder of a Security or coupon in any such proceeding.</w:t>
      </w:r>
    </w:p>
    <w:p>
      <w:pPr>
        <w:spacing w:after="0" w:line="174"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In any proceedings brought by the Trustee (and also any proceedings involving the interpretation of any provision of this Indenture to which the Trustee shall be a party) the Trustee shall be held to represent all the Holders of the Securities, and it shall not be necessary to make any Holders of the Securities parties to any such proceedings.</w:t>
      </w:r>
    </w:p>
    <w:p>
      <w:pPr>
        <w:spacing w:after="0" w:line="13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9"/>
          <w:szCs w:val="19"/>
          <w:color w:val="auto"/>
        </w:rPr>
        <w:t xml:space="preserve">SECTION 505. </w:t>
      </w:r>
      <w:r>
        <w:rPr>
          <w:rFonts w:ascii="Arial" w:cs="Arial" w:eastAsia="Arial" w:hAnsi="Arial"/>
          <w:sz w:val="19"/>
          <w:szCs w:val="19"/>
          <w:u w:val="single" w:color="auto"/>
          <w:color w:val="auto"/>
        </w:rPr>
        <w:t>Trustee May Enforce Claims Without Possession of Securities or Coupons</w:t>
      </w:r>
      <w:r>
        <w:rPr>
          <w:rFonts w:ascii="Arial" w:cs="Arial" w:eastAsia="Arial" w:hAnsi="Arial"/>
          <w:sz w:val="19"/>
          <w:szCs w:val="19"/>
          <w:color w:val="auto"/>
        </w:rPr>
        <w:t>. All rights of action and claims under this Indenture or any of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95" w:name="page96"/>
    <w:bookmarkEnd w:id="95"/>
    <w:p>
      <w:pPr>
        <w:spacing w:after="0"/>
        <w:rPr>
          <w:sz w:val="20"/>
          <w:szCs w:val="20"/>
          <w:color w:val="auto"/>
        </w:rPr>
      </w:pPr>
      <w:r>
        <w:rPr>
          <w:rFonts w:ascii="Arial" w:cs="Arial" w:eastAsia="Arial" w:hAnsi="Arial"/>
          <w:sz w:val="21"/>
          <w:szCs w:val="21"/>
          <w:color w:val="auto"/>
        </w:rPr>
        <w:t>benefit of the Holders of the Securities and coupons in respect of which such judgment has been recovered.</w:t>
      </w:r>
    </w:p>
    <w:p>
      <w:pPr>
        <w:spacing w:after="0" w:line="218"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 xml:space="preserve">SECTION 506. </w:t>
      </w:r>
      <w:r>
        <w:rPr>
          <w:rFonts w:ascii="Arial" w:cs="Arial" w:eastAsia="Arial" w:hAnsi="Arial"/>
          <w:sz w:val="22"/>
          <w:szCs w:val="22"/>
          <w:u w:val="single" w:color="auto"/>
          <w:color w:val="auto"/>
        </w:rPr>
        <w:t>Application of Money Collected</w:t>
      </w:r>
      <w:r>
        <w:rPr>
          <w:rFonts w:ascii="Arial" w:cs="Arial" w:eastAsia="Arial" w:hAnsi="Arial"/>
          <w:sz w:val="22"/>
          <w:szCs w:val="22"/>
          <w:color w:val="auto"/>
        </w:rPr>
        <w:t>. Any money collected by the Trustee pursuant to this Article shall be applied in the following order, at the date or dates fixed by the Trustee and, in case of the distribution of such money on account of principal (or premium or Make-Whole Amount, if any) or interest, upon presentation of the Securities or coupons, or both, as the case may be, and the notation thereon of the payment if only partially paid and upon surrender thereof if fully paid:</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FIRST: To the payment of all amounts due the Trustee and any predecessor Trustee under Section 606;</w:t>
      </w:r>
    </w:p>
    <w:p>
      <w:pPr>
        <w:spacing w:after="0" w:line="218"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SECOND: To the payment of the amounts then due and unpaid upon the Securities and coupons for principal (and premium or Make-Whole Amount, if any) and interest, in respect of which or for the benefit of which such money has been collected, ratably, without preference or priority of any kind, according to the aggregate amounts due and payable on such Securities and coupons for principal (and premium or Make-Whole Amount, if any) and interest, respectively; and</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THIRD: To the payment of the remainder, if any, to the Company.</w:t>
      </w:r>
    </w:p>
    <w:p>
      <w:pPr>
        <w:spacing w:after="0" w:line="206" w:lineRule="exact"/>
        <w:rPr>
          <w:sz w:val="20"/>
          <w:szCs w:val="20"/>
          <w:color w:val="auto"/>
        </w:rPr>
      </w:pPr>
    </w:p>
    <w:p>
      <w:pPr>
        <w:jc w:val="both"/>
        <w:ind w:right="220" w:firstLine="648"/>
        <w:spacing w:after="0"/>
        <w:rPr>
          <w:sz w:val="20"/>
          <w:szCs w:val="20"/>
          <w:color w:val="auto"/>
        </w:rPr>
      </w:pPr>
      <w:r>
        <w:rPr>
          <w:rFonts w:ascii="Arial" w:cs="Arial" w:eastAsia="Arial" w:hAnsi="Arial"/>
          <w:sz w:val="22"/>
          <w:szCs w:val="22"/>
          <w:color w:val="auto"/>
        </w:rPr>
        <w:t xml:space="preserve">SECTION 507. </w:t>
      </w:r>
      <w:r>
        <w:rPr>
          <w:rFonts w:ascii="Arial" w:cs="Arial" w:eastAsia="Arial" w:hAnsi="Arial"/>
          <w:sz w:val="22"/>
          <w:szCs w:val="22"/>
          <w:u w:val="single" w:color="auto"/>
          <w:color w:val="auto"/>
        </w:rPr>
        <w:t>Limitation on Suits</w:t>
      </w:r>
      <w:r>
        <w:rPr>
          <w:rFonts w:ascii="Arial" w:cs="Arial" w:eastAsia="Arial" w:hAnsi="Arial"/>
          <w:sz w:val="22"/>
          <w:szCs w:val="22"/>
          <w:color w:val="auto"/>
        </w:rPr>
        <w:t>. No Holder of any Security of any series or any related coupon shall have any right to institute any proceeding, judicial or otherwise, with respect to this Indenture or the Securities, or for the appointment of a receiver or trustee, or for any other remedy hereunder, unless:</w:t>
      </w:r>
    </w:p>
    <w:p>
      <w:pPr>
        <w:spacing w:after="0" w:line="186" w:lineRule="exact"/>
        <w:rPr>
          <w:sz w:val="20"/>
          <w:szCs w:val="20"/>
          <w:color w:val="auto"/>
        </w:rPr>
      </w:pPr>
    </w:p>
    <w:p>
      <w:pPr>
        <w:ind w:left="640" w:right="160" w:firstLine="648"/>
        <w:spacing w:after="0" w:line="251" w:lineRule="auto"/>
        <w:tabs>
          <w:tab w:leader="none" w:pos="1972" w:val="left"/>
        </w:tabs>
        <w:numPr>
          <w:ilvl w:val="0"/>
          <w:numId w:val="77"/>
        </w:numPr>
        <w:rPr>
          <w:rFonts w:ascii="Arial" w:cs="Arial" w:eastAsia="Arial" w:hAnsi="Arial"/>
          <w:sz w:val="22"/>
          <w:szCs w:val="22"/>
          <w:color w:val="auto"/>
        </w:rPr>
      </w:pPr>
      <w:r>
        <w:rPr>
          <w:rFonts w:ascii="Arial" w:cs="Arial" w:eastAsia="Arial" w:hAnsi="Arial"/>
          <w:sz w:val="22"/>
          <w:szCs w:val="22"/>
          <w:color w:val="auto"/>
        </w:rPr>
        <w:t>such Holder has previously given written notice to the Trustee of a continuing Event of Default with respect to the Securities of that series;</w:t>
      </w:r>
    </w:p>
    <w:p>
      <w:pPr>
        <w:spacing w:after="0" w:line="173" w:lineRule="exact"/>
        <w:rPr>
          <w:rFonts w:ascii="Arial" w:cs="Arial" w:eastAsia="Arial" w:hAnsi="Arial"/>
          <w:sz w:val="22"/>
          <w:szCs w:val="22"/>
          <w:color w:val="auto"/>
        </w:rPr>
      </w:pPr>
    </w:p>
    <w:p>
      <w:pPr>
        <w:jc w:val="both"/>
        <w:ind w:left="640" w:right="100" w:firstLine="648"/>
        <w:spacing w:after="0"/>
        <w:tabs>
          <w:tab w:leader="none" w:pos="1972"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86" w:lineRule="exact"/>
        <w:rPr>
          <w:rFonts w:ascii="Arial" w:cs="Arial" w:eastAsia="Arial" w:hAnsi="Arial"/>
          <w:sz w:val="22"/>
          <w:szCs w:val="22"/>
          <w:color w:val="auto"/>
        </w:rPr>
      </w:pPr>
    </w:p>
    <w:p>
      <w:pPr>
        <w:ind w:left="640" w:right="480" w:firstLine="648"/>
        <w:spacing w:after="0" w:line="328" w:lineRule="auto"/>
        <w:tabs>
          <w:tab w:leader="none" w:pos="1972" w:val="left"/>
        </w:tabs>
        <w:numPr>
          <w:ilvl w:val="0"/>
          <w:numId w:val="77"/>
        </w:numPr>
        <w:rPr>
          <w:rFonts w:ascii="Arial" w:cs="Arial" w:eastAsia="Arial" w:hAnsi="Arial"/>
          <w:sz w:val="19"/>
          <w:szCs w:val="19"/>
          <w:color w:val="auto"/>
        </w:rPr>
      </w:pPr>
      <w:r>
        <w:rPr>
          <w:rFonts w:ascii="Arial" w:cs="Arial" w:eastAsia="Arial" w:hAnsi="Arial"/>
          <w:sz w:val="19"/>
          <w:szCs w:val="19"/>
          <w:color w:val="auto"/>
        </w:rPr>
        <w:t>such Holder or Holders have offered to the Trustee indemnity reasonably satisfactory to the Trustee against the costs, expenses and liabilities to be incurred in compliance with such request;</w:t>
      </w:r>
    </w:p>
    <w:p>
      <w:pPr>
        <w:spacing w:after="0" w:line="105" w:lineRule="exact"/>
        <w:rPr>
          <w:rFonts w:ascii="Arial" w:cs="Arial" w:eastAsia="Arial" w:hAnsi="Arial"/>
          <w:sz w:val="19"/>
          <w:szCs w:val="19"/>
          <w:color w:val="auto"/>
        </w:rPr>
      </w:pPr>
    </w:p>
    <w:p>
      <w:pPr>
        <w:ind w:left="640" w:right="160" w:firstLine="648"/>
        <w:spacing w:after="0" w:line="251" w:lineRule="auto"/>
        <w:tabs>
          <w:tab w:leader="none" w:pos="1972"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Trustee for 60 days after its receipt of such notice, request and offer of indemnity has failed to institute any such proceeding; and</w:t>
      </w:r>
    </w:p>
    <w:p>
      <w:pPr>
        <w:spacing w:after="0" w:line="173" w:lineRule="exact"/>
        <w:rPr>
          <w:rFonts w:ascii="Arial" w:cs="Arial" w:eastAsia="Arial" w:hAnsi="Arial"/>
          <w:sz w:val="22"/>
          <w:szCs w:val="22"/>
          <w:color w:val="auto"/>
        </w:rPr>
      </w:pPr>
    </w:p>
    <w:p>
      <w:pPr>
        <w:ind w:left="640" w:right="400" w:firstLine="648"/>
        <w:spacing w:after="0" w:line="259" w:lineRule="exact"/>
        <w:tabs>
          <w:tab w:leader="none" w:pos="1972" w:val="left"/>
        </w:tabs>
        <w:numPr>
          <w:ilvl w:val="0"/>
          <w:numId w:val="77"/>
        </w:numPr>
        <w:rPr>
          <w:rFonts w:ascii="Arial" w:cs="Arial" w:eastAsia="Arial" w:hAnsi="Arial"/>
          <w:sz w:val="19"/>
          <w:szCs w:val="19"/>
          <w:color w:val="auto"/>
        </w:rPr>
      </w:pPr>
      <w:r>
        <w:rPr>
          <w:rFonts w:ascii="Arial" w:cs="Arial" w:eastAsia="Arial" w:hAnsi="Arial"/>
          <w:sz w:val="19"/>
          <w:szCs w:val="19"/>
          <w:color w:val="auto"/>
        </w:rPr>
        <w:t>no direction inconsistent with such written request has been given to the Trustee during such 60</w:t>
      </w:r>
      <w:r>
        <w:rPr>
          <w:rFonts w:ascii="MS PGothic" w:cs="MS PGothic" w:eastAsia="MS PGothic" w:hAnsi="MS PGothic"/>
          <w:sz w:val="19"/>
          <w:szCs w:val="19"/>
          <w:color w:val="auto"/>
        </w:rPr>
        <w:t>‑</w:t>
      </w:r>
      <w:r>
        <w:rPr>
          <w:rFonts w:ascii="Arial" w:cs="Arial" w:eastAsia="Arial" w:hAnsi="Arial"/>
          <w:sz w:val="19"/>
          <w:szCs w:val="19"/>
          <w:color w:val="auto"/>
        </w:rPr>
        <w:t>day period by the Holders of a majority in principal amount of the Outstanding Securities of that series;</w:t>
      </w:r>
    </w:p>
    <w:p>
      <w:pPr>
        <w:spacing w:after="0" w:line="185"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96" w:name="page97"/>
    <w:bookmarkEnd w:id="96"/>
    <w:p>
      <w:pPr>
        <w:ind w:firstLine="648"/>
        <w:spacing w:after="0" w:line="234" w:lineRule="auto"/>
        <w:rPr>
          <w:sz w:val="20"/>
          <w:szCs w:val="20"/>
          <w:color w:val="auto"/>
        </w:rPr>
      </w:pPr>
      <w:r>
        <w:rPr>
          <w:rFonts w:ascii="Arial" w:cs="Arial" w:eastAsia="Arial" w:hAnsi="Arial"/>
          <w:sz w:val="22"/>
          <w:szCs w:val="22"/>
          <w:color w:val="auto"/>
        </w:rPr>
        <w:t xml:space="preserve">SECTION 508. </w:t>
      </w:r>
      <w:r>
        <w:rPr>
          <w:rFonts w:ascii="Arial" w:cs="Arial" w:eastAsia="Arial" w:hAnsi="Arial"/>
          <w:sz w:val="22"/>
          <w:szCs w:val="22"/>
          <w:u w:val="single" w:color="auto"/>
          <w:color w:val="auto"/>
        </w:rPr>
        <w:t>Unconditional Right of Holders to Receive Principal, Premium or Make-Whole Amount, if</w:t>
      </w:r>
      <w:r>
        <w:rPr>
          <w:rFonts w:ascii="Arial" w:cs="Arial" w:eastAsia="Arial" w:hAnsi="Arial"/>
          <w:sz w:val="22"/>
          <w:szCs w:val="22"/>
          <w:color w:val="auto"/>
        </w:rPr>
        <w:t xml:space="preserve"> </w:t>
      </w:r>
      <w:r>
        <w:rPr>
          <w:rFonts w:ascii="Arial" w:cs="Arial" w:eastAsia="Arial" w:hAnsi="Arial"/>
          <w:sz w:val="22"/>
          <w:szCs w:val="22"/>
          <w:u w:val="single" w:color="auto"/>
          <w:color w:val="auto"/>
        </w:rPr>
        <w:t>any, and Interest</w:t>
      </w:r>
      <w:r>
        <w:rPr>
          <w:rFonts w:ascii="Arial" w:cs="Arial" w:eastAsia="Arial" w:hAnsi="Arial"/>
          <w:sz w:val="22"/>
          <w:szCs w:val="22"/>
          <w:color w:val="auto"/>
        </w:rPr>
        <w:t>. Notwithstanding any other provision in this Indenture, the Holder of any Security or coupon shall have the right which is absolute and unconditional to receive payment of the principal of (and premium or Make-Whole Amount, if any) and (subject to Sections 305 and 307) interest on such Security or payment of such coupon on the respective due dates expressed in such Security or coupon (or, in the case of redemption, on the Redemption Date) and to institute suit for the enforcement of any such payment, and such rights shall not be impaired without the consent of such Holder.</w:t>
      </w:r>
    </w:p>
    <w:p>
      <w:pPr>
        <w:spacing w:after="0" w:line="191" w:lineRule="exact"/>
        <w:rPr>
          <w:sz w:val="20"/>
          <w:szCs w:val="20"/>
          <w:color w:val="auto"/>
        </w:rPr>
      </w:pPr>
    </w:p>
    <w:p>
      <w:pPr>
        <w:ind w:right="100" w:firstLine="648"/>
        <w:spacing w:after="0" w:line="234" w:lineRule="auto"/>
        <w:rPr>
          <w:sz w:val="20"/>
          <w:szCs w:val="20"/>
          <w:color w:val="auto"/>
        </w:rPr>
      </w:pPr>
      <w:r>
        <w:rPr>
          <w:rFonts w:ascii="Arial" w:cs="Arial" w:eastAsia="Arial" w:hAnsi="Arial"/>
          <w:sz w:val="22"/>
          <w:szCs w:val="22"/>
          <w:color w:val="auto"/>
        </w:rPr>
        <w:t xml:space="preserve">SECTION 509. </w:t>
      </w:r>
      <w:r>
        <w:rPr>
          <w:rFonts w:ascii="Arial" w:cs="Arial" w:eastAsia="Arial" w:hAnsi="Arial"/>
          <w:sz w:val="22"/>
          <w:szCs w:val="22"/>
          <w:u w:val="single" w:color="auto"/>
          <w:color w:val="auto"/>
        </w:rPr>
        <w:t>Restoration of Rights and Remedies</w:t>
      </w:r>
      <w:r>
        <w:rPr>
          <w:rFonts w:ascii="Arial" w:cs="Arial" w:eastAsia="Arial" w:hAnsi="Arial"/>
          <w:sz w:val="22"/>
          <w:szCs w:val="22"/>
          <w:color w:val="auto"/>
        </w:rPr>
        <w:t>. 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and coupons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91" w:lineRule="exact"/>
        <w:rPr>
          <w:sz w:val="20"/>
          <w:szCs w:val="20"/>
          <w:color w:val="auto"/>
        </w:rPr>
      </w:pPr>
    </w:p>
    <w:p>
      <w:pPr>
        <w:ind w:right="40" w:firstLine="648"/>
        <w:spacing w:after="0" w:line="277" w:lineRule="auto"/>
        <w:rPr>
          <w:sz w:val="20"/>
          <w:szCs w:val="20"/>
          <w:color w:val="auto"/>
        </w:rPr>
      </w:pPr>
      <w:r>
        <w:rPr>
          <w:rFonts w:ascii="Arial" w:cs="Arial" w:eastAsia="Arial" w:hAnsi="Arial"/>
          <w:sz w:val="19"/>
          <w:szCs w:val="19"/>
          <w:color w:val="auto"/>
        </w:rPr>
        <w:t xml:space="preserve">SECTION 510. </w:t>
      </w:r>
      <w:r>
        <w:rPr>
          <w:rFonts w:ascii="Arial" w:cs="Arial" w:eastAsia="Arial" w:hAnsi="Arial"/>
          <w:sz w:val="19"/>
          <w:szCs w:val="19"/>
          <w:u w:val="single" w:color="auto"/>
          <w:color w:val="auto"/>
        </w:rPr>
        <w:t>Rights and Remedies Cumulative</w:t>
      </w:r>
      <w:r>
        <w:rPr>
          <w:rFonts w:ascii="Arial" w:cs="Arial" w:eastAsia="Arial" w:hAnsi="Arial"/>
          <w:sz w:val="19"/>
          <w:szCs w:val="19"/>
          <w:color w:val="auto"/>
        </w:rPr>
        <w:t>. 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53" w:lineRule="exact"/>
        <w:rPr>
          <w:sz w:val="20"/>
          <w:szCs w:val="20"/>
          <w:color w:val="auto"/>
        </w:rPr>
      </w:pPr>
    </w:p>
    <w:p>
      <w:pPr>
        <w:ind w:right="20" w:firstLine="648"/>
        <w:spacing w:after="0" w:line="282" w:lineRule="auto"/>
        <w:rPr>
          <w:sz w:val="20"/>
          <w:szCs w:val="20"/>
          <w:color w:val="auto"/>
        </w:rPr>
      </w:pPr>
      <w:r>
        <w:rPr>
          <w:rFonts w:ascii="Arial" w:cs="Arial" w:eastAsia="Arial" w:hAnsi="Arial"/>
          <w:sz w:val="19"/>
          <w:szCs w:val="19"/>
          <w:color w:val="auto"/>
        </w:rPr>
        <w:t xml:space="preserve">SECTION 511. </w:t>
      </w:r>
      <w:r>
        <w:rPr>
          <w:rFonts w:ascii="Arial" w:cs="Arial" w:eastAsia="Arial" w:hAnsi="Arial"/>
          <w:sz w:val="19"/>
          <w:szCs w:val="19"/>
          <w:u w:val="single" w:color="auto"/>
          <w:color w:val="auto"/>
        </w:rPr>
        <w:t>Delay or Omission Not Waiver</w:t>
      </w:r>
      <w:r>
        <w:rPr>
          <w:rFonts w:ascii="Arial" w:cs="Arial" w:eastAsia="Arial" w:hAnsi="Arial"/>
          <w:sz w:val="19"/>
          <w:szCs w:val="19"/>
          <w:color w:val="auto"/>
        </w:rPr>
        <w:t>. 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or coupons, as the case may be.</w:t>
      </w:r>
    </w:p>
    <w:p>
      <w:pPr>
        <w:spacing w:after="0" w:line="148" w:lineRule="exact"/>
        <w:rPr>
          <w:sz w:val="20"/>
          <w:szCs w:val="20"/>
          <w:color w:val="auto"/>
        </w:rPr>
      </w:pPr>
    </w:p>
    <w:p>
      <w:pPr>
        <w:ind w:right="280" w:firstLine="648"/>
        <w:spacing w:after="0" w:line="238" w:lineRule="auto"/>
        <w:rPr>
          <w:sz w:val="20"/>
          <w:szCs w:val="20"/>
          <w:color w:val="auto"/>
        </w:rPr>
      </w:pPr>
      <w:r>
        <w:rPr>
          <w:rFonts w:ascii="Arial" w:cs="Arial" w:eastAsia="Arial" w:hAnsi="Arial"/>
          <w:sz w:val="22"/>
          <w:szCs w:val="22"/>
          <w:color w:val="auto"/>
        </w:rPr>
        <w:t xml:space="preserve">SECTION 512. </w:t>
      </w:r>
      <w:r>
        <w:rPr>
          <w:rFonts w:ascii="Arial" w:cs="Arial" w:eastAsia="Arial" w:hAnsi="Arial"/>
          <w:sz w:val="22"/>
          <w:szCs w:val="22"/>
          <w:u w:val="single" w:color="auto"/>
          <w:color w:val="auto"/>
        </w:rPr>
        <w:t>Control by Holders of Securities</w:t>
      </w:r>
      <w:r>
        <w:rPr>
          <w:rFonts w:ascii="Arial" w:cs="Arial" w:eastAsia="Arial" w:hAnsi="Arial"/>
          <w:sz w:val="22"/>
          <w:szCs w:val="22"/>
          <w:color w:val="auto"/>
        </w:rPr>
        <w:t xml:space="preserve">. 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85" w:lineRule="exact"/>
        <w:rPr>
          <w:sz w:val="20"/>
          <w:szCs w:val="20"/>
          <w:color w:val="auto"/>
        </w:rPr>
      </w:pPr>
    </w:p>
    <w:p>
      <w:pPr>
        <w:ind w:left="1980" w:hanging="692"/>
        <w:spacing w:after="0"/>
        <w:tabs>
          <w:tab w:leader="none" w:pos="1980" w:val="left"/>
        </w:tabs>
        <w:numPr>
          <w:ilvl w:val="0"/>
          <w:numId w:val="78"/>
        </w:numPr>
        <w:rPr>
          <w:rFonts w:ascii="Arial" w:cs="Arial" w:eastAsia="Arial" w:hAnsi="Arial"/>
          <w:sz w:val="22"/>
          <w:szCs w:val="22"/>
          <w:color w:val="auto"/>
        </w:rPr>
      </w:pPr>
      <w:r>
        <w:rPr>
          <w:rFonts w:ascii="Arial" w:cs="Arial" w:eastAsia="Arial" w:hAnsi="Arial"/>
          <w:sz w:val="22"/>
          <w:szCs w:val="22"/>
          <w:color w:val="auto"/>
        </w:rPr>
        <w:t>such direction shall not be in conflict with any rule of law or with this Indenture,</w:t>
      </w:r>
    </w:p>
    <w:p>
      <w:pPr>
        <w:spacing w:after="0" w:line="206" w:lineRule="exact"/>
        <w:rPr>
          <w:rFonts w:ascii="Arial" w:cs="Arial" w:eastAsia="Arial" w:hAnsi="Arial"/>
          <w:sz w:val="22"/>
          <w:szCs w:val="22"/>
          <w:color w:val="auto"/>
        </w:rPr>
      </w:pPr>
    </w:p>
    <w:p>
      <w:pPr>
        <w:ind w:left="640" w:right="300" w:firstLine="648"/>
        <w:spacing w:after="0" w:line="251" w:lineRule="auto"/>
        <w:tabs>
          <w:tab w:leader="none" w:pos="1972"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Trustee may take any other action deemed proper by the Trustee which is not inconsistent with such direction, and</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361" w:right="799" w:bottom="1440" w:gutter="0" w:footer="0" w:header="0"/>
        </w:sectPr>
      </w:pPr>
    </w:p>
    <w:bookmarkStart w:id="97" w:name="page98"/>
    <w:bookmarkEnd w:id="97"/>
    <w:p>
      <w:pPr>
        <w:ind w:left="640" w:right="380" w:firstLine="648"/>
        <w:spacing w:after="0" w:line="251" w:lineRule="auto"/>
        <w:tabs>
          <w:tab w:leader="none" w:pos="1972"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Trustee need not take any action which might involve it in personal liability or be unduly prejudicial to the Holders of Securities of such series not joining therein.</w:t>
      </w:r>
    </w:p>
    <w:p>
      <w:pPr>
        <w:spacing w:after="0" w:line="173" w:lineRule="exact"/>
        <w:rPr>
          <w:sz w:val="20"/>
          <w:szCs w:val="20"/>
          <w:color w:val="auto"/>
        </w:rPr>
      </w:pPr>
    </w:p>
    <w:p>
      <w:pPr>
        <w:ind w:right="120" w:firstLine="648"/>
        <w:spacing w:after="0" w:line="251" w:lineRule="auto"/>
        <w:rPr>
          <w:sz w:val="20"/>
          <w:szCs w:val="20"/>
          <w:color w:val="auto"/>
        </w:rPr>
      </w:pPr>
      <w:r>
        <w:rPr>
          <w:rFonts w:ascii="Arial" w:cs="Arial" w:eastAsia="Arial" w:hAnsi="Arial"/>
          <w:sz w:val="22"/>
          <w:szCs w:val="22"/>
          <w:color w:val="auto"/>
        </w:rPr>
        <w:t>Nothing in this Indenture shall impair the right of the Trustee in its discretion to take any action deemed proper by the Trustee and which is not inconsistent with such direction by Holders.</w:t>
      </w:r>
    </w:p>
    <w:p>
      <w:pPr>
        <w:spacing w:after="0" w:line="173"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 xml:space="preserve">SECTION 513. </w:t>
      </w:r>
      <w:r>
        <w:rPr>
          <w:rFonts w:ascii="Arial" w:cs="Arial" w:eastAsia="Arial" w:hAnsi="Arial"/>
          <w:sz w:val="19"/>
          <w:szCs w:val="19"/>
          <w:u w:val="single" w:color="auto"/>
          <w:color w:val="auto"/>
        </w:rPr>
        <w:t>Waiver of Past Defaults</w:t>
      </w:r>
      <w:r>
        <w:rPr>
          <w:rFonts w:ascii="Arial" w:cs="Arial" w:eastAsia="Arial" w:hAnsi="Arial"/>
          <w:sz w:val="19"/>
          <w:szCs w:val="19"/>
          <w:color w:val="auto"/>
        </w:rPr>
        <w:t>. The Holders of not less than a majority in principal amount of the Outstanding Securities of any series may on behalf of the Holders of all the Securities of such series and any related coupons waive any past default hereunder with respect to such series and its consequences, except a default</w:t>
      </w:r>
    </w:p>
    <w:p>
      <w:pPr>
        <w:spacing w:after="0" w:line="134" w:lineRule="exact"/>
        <w:rPr>
          <w:sz w:val="20"/>
          <w:szCs w:val="20"/>
          <w:color w:val="auto"/>
        </w:rPr>
      </w:pPr>
    </w:p>
    <w:p>
      <w:pPr>
        <w:ind w:left="640" w:right="300" w:firstLine="648"/>
        <w:spacing w:after="0" w:line="251" w:lineRule="auto"/>
        <w:tabs>
          <w:tab w:leader="none" w:pos="1972" w:val="left"/>
        </w:tabs>
        <w:numPr>
          <w:ilvl w:val="0"/>
          <w:numId w:val="80"/>
        </w:numPr>
        <w:rPr>
          <w:rFonts w:ascii="Arial" w:cs="Arial" w:eastAsia="Arial" w:hAnsi="Arial"/>
          <w:sz w:val="22"/>
          <w:szCs w:val="22"/>
          <w:color w:val="auto"/>
        </w:rPr>
      </w:pPr>
      <w:r>
        <w:rPr>
          <w:rFonts w:ascii="Arial" w:cs="Arial" w:eastAsia="Arial" w:hAnsi="Arial"/>
          <w:sz w:val="22"/>
          <w:szCs w:val="22"/>
          <w:color w:val="auto"/>
        </w:rPr>
        <w:t>in the payment of the principal of (or premium or Make-Whole Amount, if any) or interest on any Security of such series or any related coupons, or</w:t>
      </w:r>
    </w:p>
    <w:p>
      <w:pPr>
        <w:spacing w:after="0" w:line="173" w:lineRule="exact"/>
        <w:rPr>
          <w:rFonts w:ascii="Arial" w:cs="Arial" w:eastAsia="Arial" w:hAnsi="Arial"/>
          <w:sz w:val="22"/>
          <w:szCs w:val="22"/>
          <w:color w:val="auto"/>
        </w:rPr>
      </w:pPr>
    </w:p>
    <w:p>
      <w:pPr>
        <w:ind w:left="640" w:right="420" w:firstLine="648"/>
        <w:spacing w:after="0" w:line="328" w:lineRule="auto"/>
        <w:tabs>
          <w:tab w:leader="none" w:pos="1972" w:val="left"/>
        </w:tabs>
        <w:numPr>
          <w:ilvl w:val="0"/>
          <w:numId w:val="80"/>
        </w:numPr>
        <w:rPr>
          <w:rFonts w:ascii="Arial" w:cs="Arial" w:eastAsia="Arial" w:hAnsi="Arial"/>
          <w:sz w:val="19"/>
          <w:szCs w:val="19"/>
          <w:color w:val="auto"/>
        </w:rPr>
      </w:pPr>
      <w:r>
        <w:rPr>
          <w:rFonts w:ascii="Arial" w:cs="Arial" w:eastAsia="Arial" w:hAnsi="Arial"/>
          <w:sz w:val="19"/>
          <w:szCs w:val="19"/>
          <w:color w:val="auto"/>
        </w:rPr>
        <w:t>in respect of a covenant or provision hereof which under Article Nine cannot be modified or amended without the consent of the Holder of each Outstanding Security of such series affected; or</w:t>
      </w:r>
    </w:p>
    <w:p>
      <w:pPr>
        <w:spacing w:after="0" w:line="105" w:lineRule="exact"/>
        <w:rPr>
          <w:rFonts w:ascii="Arial" w:cs="Arial" w:eastAsia="Arial" w:hAnsi="Arial"/>
          <w:sz w:val="19"/>
          <w:szCs w:val="19"/>
          <w:color w:val="auto"/>
        </w:rPr>
      </w:pPr>
    </w:p>
    <w:p>
      <w:pPr>
        <w:ind w:left="640" w:right="160" w:firstLine="648"/>
        <w:spacing w:after="0" w:line="251" w:lineRule="auto"/>
        <w:tabs>
          <w:tab w:leader="none" w:pos="1972" w:val="left"/>
        </w:tabs>
        <w:numPr>
          <w:ilvl w:val="0"/>
          <w:numId w:val="80"/>
        </w:numPr>
        <w:rPr>
          <w:rFonts w:ascii="Arial" w:cs="Arial" w:eastAsia="Arial" w:hAnsi="Arial"/>
          <w:sz w:val="22"/>
          <w:szCs w:val="22"/>
          <w:color w:val="auto"/>
        </w:rPr>
      </w:pPr>
      <w:r>
        <w:rPr>
          <w:rFonts w:ascii="Arial" w:cs="Arial" w:eastAsia="Arial" w:hAnsi="Arial"/>
          <w:sz w:val="22"/>
          <w:szCs w:val="22"/>
          <w:color w:val="auto"/>
        </w:rPr>
        <w:t>in respect of a covenant or provision hereof for the benefit or protection of the Trustee, without its express written consent.</w:t>
      </w:r>
    </w:p>
    <w:p>
      <w:pPr>
        <w:spacing w:after="0" w:line="173" w:lineRule="exact"/>
        <w:rPr>
          <w:sz w:val="20"/>
          <w:szCs w:val="20"/>
          <w:color w:val="auto"/>
        </w:rPr>
      </w:pPr>
    </w:p>
    <w:p>
      <w:pPr>
        <w:ind w:right="220" w:firstLine="648"/>
        <w:spacing w:after="0" w:line="258" w:lineRule="auto"/>
        <w:rPr>
          <w:sz w:val="20"/>
          <w:szCs w:val="20"/>
          <w:color w:val="auto"/>
        </w:rPr>
      </w:pPr>
      <w:r>
        <w:rPr>
          <w:rFonts w:ascii="Arial" w:cs="Arial" w:eastAsia="Arial" w:hAnsi="Arial"/>
          <w:sz w:val="21"/>
          <w:szCs w:val="21"/>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67" w:lineRule="exact"/>
        <w:rPr>
          <w:sz w:val="20"/>
          <w:szCs w:val="20"/>
          <w:color w:val="auto"/>
        </w:rPr>
      </w:pPr>
    </w:p>
    <w:p>
      <w:pPr>
        <w:ind w:right="20" w:firstLine="648"/>
        <w:spacing w:after="0" w:line="247" w:lineRule="auto"/>
        <w:rPr>
          <w:sz w:val="20"/>
          <w:szCs w:val="20"/>
          <w:color w:val="auto"/>
        </w:rPr>
      </w:pPr>
      <w:r>
        <w:rPr>
          <w:rFonts w:ascii="Arial" w:cs="Arial" w:eastAsia="Arial" w:hAnsi="Arial"/>
          <w:sz w:val="21"/>
          <w:szCs w:val="21"/>
          <w:color w:val="auto"/>
        </w:rPr>
        <w:t xml:space="preserve">SECTION 514. </w:t>
      </w:r>
      <w:r>
        <w:rPr>
          <w:rFonts w:ascii="Arial" w:cs="Arial" w:eastAsia="Arial" w:hAnsi="Arial"/>
          <w:sz w:val="21"/>
          <w:szCs w:val="21"/>
          <w:u w:val="single" w:color="auto"/>
          <w:color w:val="auto"/>
        </w:rPr>
        <w:t>Waiver of Usury, Stay or Extension Laws</w:t>
      </w:r>
      <w:r>
        <w:rPr>
          <w:rFonts w:ascii="Arial" w:cs="Arial" w:eastAsia="Arial" w:hAnsi="Arial"/>
          <w:sz w:val="21"/>
          <w:szCs w:val="21"/>
          <w:color w:val="auto"/>
        </w:rPr>
        <w:t>.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78"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 xml:space="preserve">SECTION 515. </w:t>
      </w:r>
      <w:r>
        <w:rPr>
          <w:rFonts w:ascii="Arial" w:cs="Arial" w:eastAsia="Arial" w:hAnsi="Arial"/>
          <w:sz w:val="19"/>
          <w:szCs w:val="19"/>
          <w:u w:val="single" w:color="auto"/>
          <w:color w:val="auto"/>
        </w:rPr>
        <w:t>Undertaking for Costs</w:t>
      </w:r>
      <w:r>
        <w:rPr>
          <w:rFonts w:ascii="Arial" w:cs="Arial" w:eastAsia="Arial" w:hAnsi="Arial"/>
          <w:sz w:val="19"/>
          <w:szCs w:val="19"/>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 any Holder for the enforcement of the</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98" w:name="page99"/>
    <w:bookmarkEnd w:id="98"/>
    <w:p>
      <w:pPr>
        <w:ind w:right="20"/>
        <w:spacing w:after="0" w:line="328" w:lineRule="auto"/>
        <w:rPr>
          <w:sz w:val="20"/>
          <w:szCs w:val="20"/>
          <w:color w:val="auto"/>
        </w:rPr>
      </w:pPr>
      <w:r>
        <w:rPr>
          <w:rFonts w:ascii="Arial" w:cs="Arial" w:eastAsia="Arial" w:hAnsi="Arial"/>
          <w:sz w:val="19"/>
          <w:szCs w:val="19"/>
          <w:color w:val="auto"/>
        </w:rPr>
        <w:t>payment of the principal of (or premium or Make-Whole Amount, if any) or interest on any Security on or after the respective Stated Maturities expressed in such Security (or, in the case of redemption, on or after the Redemption Date).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SIX - THE TRUSTEE</w:t>
      </w:r>
    </w:p>
    <w:p>
      <w:pPr>
        <w:spacing w:after="0" w:line="206"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 xml:space="preserve">SECTION 601. </w:t>
      </w:r>
      <w:r>
        <w:rPr>
          <w:rFonts w:ascii="Arial" w:cs="Arial" w:eastAsia="Arial" w:hAnsi="Arial"/>
          <w:sz w:val="21"/>
          <w:szCs w:val="21"/>
          <w:u w:val="single" w:color="auto"/>
          <w:color w:val="auto"/>
        </w:rPr>
        <w:t>Notice of Defaults</w:t>
      </w:r>
      <w:r>
        <w:rPr>
          <w:rFonts w:ascii="Arial" w:cs="Arial" w:eastAsia="Arial" w:hAnsi="Arial"/>
          <w:sz w:val="21"/>
          <w:szCs w:val="21"/>
          <w:color w:val="auto"/>
        </w:rPr>
        <w:t xml:space="preserve">. Within 90 days after the occurrence of any default hereunder with respect to the Securities of any series, the Trustee shall transmit in the manner and to the extent provided in TIA Section 313(c), notice of such default hereunder known to the Trustee, unless such default shall have been cured or waived;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except in the case of a default in the payment of the principal of (or premium or Make-Whole Amount, if any) or interest on any Security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Holders of the Securities and coupons of such series;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in the case of any default or breach of the character specified in Section 501(4) with respect to the Securities and coupons of such series, no such notice to Holders shall be given until at least 60 days after the occurrence thereof. For the purpose of this Section, the term “default” means any event which is, or after notice or lapse of time or both would become, an Event of Default with respect to the Securities of such series.</w:t>
      </w:r>
    </w:p>
    <w:p>
      <w:pPr>
        <w:spacing w:after="0" w:line="185" w:lineRule="exact"/>
        <w:rPr>
          <w:sz w:val="20"/>
          <w:szCs w:val="20"/>
          <w:color w:val="auto"/>
        </w:rPr>
      </w:pPr>
    </w:p>
    <w:p>
      <w:pPr>
        <w:ind w:left="640"/>
        <w:spacing w:after="0"/>
        <w:tabs>
          <w:tab w:leader="none" w:pos="240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u w:val="single" w:color="auto"/>
          <w:color w:val="auto"/>
        </w:rPr>
        <w:t>Certain Rights of Trustee</w:t>
      </w:r>
      <w:r>
        <w:rPr>
          <w:rFonts w:ascii="Arial" w:cs="Arial" w:eastAsia="Arial" w:hAnsi="Arial"/>
          <w:sz w:val="19"/>
          <w:szCs w:val="19"/>
          <w:color w:val="auto"/>
        </w:rPr>
        <w:t>. Subject to the provisions of TIA Section 315(a) through 315(d):</w:t>
      </w:r>
    </w:p>
    <w:p>
      <w:pPr>
        <w:spacing w:after="0" w:line="206" w:lineRule="exact"/>
        <w:rPr>
          <w:sz w:val="20"/>
          <w:szCs w:val="20"/>
          <w:color w:val="auto"/>
        </w:rPr>
      </w:pPr>
    </w:p>
    <w:p>
      <w:pPr>
        <w:jc w:val="both"/>
        <w:ind w:left="640" w:right="100" w:firstLine="648"/>
        <w:spacing w:after="0" w:line="287" w:lineRule="auto"/>
        <w:tabs>
          <w:tab w:leader="none" w:pos="1972"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Trustee may conclusively rely and shall be fully protected in acting or refraining from acting upon any resolution, certificate, statement, instrument, opinion, report, notice, request, direction, consent, order, bond, debenture, note, coupon or other paper or document (whether in its original or facsimile form) reasonably believed by it to be genuine and to have been signed or presented by the proper party or parties;</w:t>
      </w:r>
    </w:p>
    <w:p>
      <w:pPr>
        <w:spacing w:after="0" w:line="143" w:lineRule="exact"/>
        <w:rPr>
          <w:rFonts w:ascii="Arial" w:cs="Arial" w:eastAsia="Arial" w:hAnsi="Arial"/>
          <w:sz w:val="19"/>
          <w:szCs w:val="19"/>
          <w:color w:val="auto"/>
        </w:rPr>
      </w:pPr>
    </w:p>
    <w:p>
      <w:pPr>
        <w:ind w:left="640" w:right="280" w:firstLine="648"/>
        <w:spacing w:after="0" w:line="236" w:lineRule="auto"/>
        <w:tabs>
          <w:tab w:leader="none" w:pos="1972" w:val="left"/>
        </w:tabs>
        <w:numPr>
          <w:ilvl w:val="0"/>
          <w:numId w:val="81"/>
        </w:numPr>
        <w:rPr>
          <w:rFonts w:ascii="Arial" w:cs="Arial" w:eastAsia="Arial" w:hAnsi="Arial"/>
          <w:sz w:val="22"/>
          <w:szCs w:val="22"/>
          <w:color w:val="auto"/>
        </w:rPr>
      </w:pPr>
      <w:r>
        <w:rPr>
          <w:rFonts w:ascii="Arial" w:cs="Arial" w:eastAsia="Arial" w:hAnsi="Arial"/>
          <w:sz w:val="22"/>
          <w:szCs w:val="22"/>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187" w:lineRule="exact"/>
        <w:rPr>
          <w:rFonts w:ascii="Arial" w:cs="Arial" w:eastAsia="Arial" w:hAnsi="Arial"/>
          <w:sz w:val="22"/>
          <w:szCs w:val="22"/>
          <w:color w:val="auto"/>
        </w:rPr>
      </w:pPr>
    </w:p>
    <w:p>
      <w:pPr>
        <w:ind w:left="640" w:right="120" w:firstLine="648"/>
        <w:spacing w:after="0" w:line="238" w:lineRule="auto"/>
        <w:tabs>
          <w:tab w:leader="none" w:pos="1972" w:val="left"/>
        </w:tabs>
        <w:numPr>
          <w:ilvl w:val="0"/>
          <w:numId w:val="81"/>
        </w:numPr>
        <w:rPr>
          <w:rFonts w:ascii="Arial" w:cs="Arial" w:eastAsia="Arial" w:hAnsi="Arial"/>
          <w:sz w:val="22"/>
          <w:szCs w:val="22"/>
          <w:color w:val="auto"/>
        </w:rPr>
      </w:pPr>
      <w:r>
        <w:rPr>
          <w:rFonts w:ascii="Arial" w:cs="Arial" w:eastAsia="Arial" w:hAnsi="Arial"/>
          <w:sz w:val="22"/>
          <w:szCs w:val="22"/>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85" w:lineRule="exact"/>
        <w:rPr>
          <w:rFonts w:ascii="Arial" w:cs="Arial" w:eastAsia="Arial" w:hAnsi="Arial"/>
          <w:sz w:val="22"/>
          <w:szCs w:val="22"/>
          <w:color w:val="auto"/>
        </w:rPr>
      </w:pPr>
    </w:p>
    <w:p>
      <w:pPr>
        <w:jc w:val="both"/>
        <w:ind w:left="640" w:right="40" w:firstLine="648"/>
        <w:spacing w:after="0" w:line="258" w:lineRule="auto"/>
        <w:tabs>
          <w:tab w:leader="none" w:pos="1972" w:val="left"/>
        </w:tabs>
        <w:numPr>
          <w:ilvl w:val="0"/>
          <w:numId w:val="81"/>
        </w:numPr>
        <w:rPr>
          <w:rFonts w:ascii="Arial" w:cs="Arial" w:eastAsia="Arial" w:hAnsi="Arial"/>
          <w:sz w:val="21"/>
          <w:szCs w:val="21"/>
          <w:color w:val="auto"/>
        </w:rPr>
      </w:pPr>
      <w:r>
        <w:rPr>
          <w:rFonts w:ascii="Arial" w:cs="Arial" w:eastAsia="Arial" w:hAnsi="Arial"/>
          <w:sz w:val="21"/>
          <w:szCs w:val="21"/>
          <w:color w:val="auto"/>
        </w:rPr>
        <w:t>the Trustee may consult with counsel of its own selection and the written advice of such counsel or any Opinion of Counsel shall be full and complete authorization and protection in respect of any action taken, suffered or omitted by it hereunder in good faith and in reliance thereon;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99" w:name="page100"/>
    <w:bookmarkEnd w:id="99"/>
    <w:p>
      <w:pPr>
        <w:ind w:left="-40" w:firstLine="648"/>
        <w:spacing w:after="0" w:line="236" w:lineRule="auto"/>
        <w:tabs>
          <w:tab w:leader="none" w:pos="1292"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security or indemnity reasonably satisfactory to the Trustee against the costs, expenses and liabilities which might be incurred by it in compliance with such request or direction;</w:t>
      </w:r>
    </w:p>
    <w:p>
      <w:pPr>
        <w:spacing w:after="0" w:line="187" w:lineRule="exact"/>
        <w:rPr>
          <w:rFonts w:ascii="Arial" w:cs="Arial" w:eastAsia="Arial" w:hAnsi="Arial"/>
          <w:sz w:val="22"/>
          <w:szCs w:val="22"/>
          <w:color w:val="auto"/>
        </w:rPr>
      </w:pPr>
    </w:p>
    <w:p>
      <w:pPr>
        <w:ind w:left="-40" w:right="20" w:firstLine="648"/>
        <w:spacing w:after="0" w:line="271" w:lineRule="auto"/>
        <w:tabs>
          <w:tab w:leader="none" w:pos="1292"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the Trustee shall not be bound to make any investigation into the facts or matters stated in any resolution, certificate, statement, instrument, opinion, report, notice, request, direction, consent, order, bond, debenture, note, coupon or other paper or document, unless requested in writing so to do by the Holders of not less than a majority in aggregate principal amount of the Outstanding Securities of any series;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examination shall be paid by the Holders or, if paid by the Trustee, shall be repaid by the Holders upon demand.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relevant to the facts or matters that are the subject of its inquiry, personally or by agent or attorney at the expense of the Company and shall incur no liability or additional liability of any kind by reason of such inquiry or investigation;</w:t>
      </w:r>
    </w:p>
    <w:p>
      <w:pPr>
        <w:spacing w:after="0" w:line="165" w:lineRule="exact"/>
        <w:rPr>
          <w:rFonts w:ascii="Arial" w:cs="Arial" w:eastAsia="Arial" w:hAnsi="Arial"/>
          <w:sz w:val="19"/>
          <w:szCs w:val="19"/>
          <w:color w:val="auto"/>
        </w:rPr>
      </w:pPr>
    </w:p>
    <w:p>
      <w:pPr>
        <w:jc w:val="both"/>
        <w:ind w:left="-40" w:right="220" w:firstLine="648"/>
        <w:spacing w:after="0" w:line="297" w:lineRule="auto"/>
        <w:tabs>
          <w:tab w:leader="none" w:pos="1292"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34" w:lineRule="exact"/>
        <w:rPr>
          <w:rFonts w:ascii="Arial" w:cs="Arial" w:eastAsia="Arial" w:hAnsi="Arial"/>
          <w:sz w:val="19"/>
          <w:szCs w:val="19"/>
          <w:color w:val="auto"/>
        </w:rPr>
      </w:pPr>
    </w:p>
    <w:p>
      <w:pPr>
        <w:ind w:left="-40" w:right="220" w:firstLine="648"/>
        <w:spacing w:after="0"/>
        <w:tabs>
          <w:tab w:leader="none" w:pos="1292"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Trustee shall not be liable for any action taken, suffered or omitted by it in good faith and reasonably believed by it to be authorized or within the discretion or rights or powers conferred upon it by this Indenture;</w:t>
      </w:r>
    </w:p>
    <w:p>
      <w:pPr>
        <w:spacing w:after="0" w:line="186" w:lineRule="exact"/>
        <w:rPr>
          <w:rFonts w:ascii="Arial" w:cs="Arial" w:eastAsia="Arial" w:hAnsi="Arial"/>
          <w:sz w:val="22"/>
          <w:szCs w:val="22"/>
          <w:color w:val="auto"/>
        </w:rPr>
      </w:pPr>
    </w:p>
    <w:p>
      <w:pPr>
        <w:ind w:left="-40" w:right="320" w:firstLine="648"/>
        <w:spacing w:after="0" w:line="251" w:lineRule="auto"/>
        <w:tabs>
          <w:tab w:leader="none" w:pos="1292" w:val="left"/>
        </w:tabs>
        <w:numPr>
          <w:ilvl w:val="0"/>
          <w:numId w:val="82"/>
        </w:numPr>
        <w:rPr>
          <w:rFonts w:ascii="Arial" w:cs="Arial" w:eastAsia="Arial" w:hAnsi="Arial"/>
          <w:sz w:val="22"/>
          <w:szCs w:val="22"/>
          <w:color w:val="auto"/>
        </w:rPr>
      </w:pPr>
      <w:r>
        <w:rPr>
          <w:rFonts w:ascii="Arial" w:cs="Arial" w:eastAsia="Arial" w:hAnsi="Arial"/>
          <w:sz w:val="22"/>
          <w:szCs w:val="22"/>
          <w:color w:val="auto"/>
        </w:rPr>
        <w:t>any permissive right or power available to the Trustee under this Indenture or any supplement hereto shall not be construed to be a mandatory duty or obligation;</w:t>
      </w:r>
    </w:p>
    <w:p>
      <w:pPr>
        <w:spacing w:after="0" w:line="173" w:lineRule="exact"/>
        <w:rPr>
          <w:rFonts w:ascii="Arial" w:cs="Arial" w:eastAsia="Arial" w:hAnsi="Arial"/>
          <w:sz w:val="22"/>
          <w:szCs w:val="22"/>
          <w:color w:val="auto"/>
        </w:rPr>
      </w:pPr>
    </w:p>
    <w:p>
      <w:pPr>
        <w:ind w:left="-40" w:right="100" w:firstLine="648"/>
        <w:spacing w:after="0" w:line="238" w:lineRule="auto"/>
        <w:tabs>
          <w:tab w:leader="none" w:pos="1292"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Trustee shall not be charged with knowledge of any matter (including any default, other than as described in Section 501(1), (2) or (3)) unless and except to the extent actually known to a Responsible Officer of the Trustee or to the extent written notice thereof is received by the Trustee at the Corporate Trust Office;</w:t>
      </w:r>
    </w:p>
    <w:p>
      <w:pPr>
        <w:spacing w:after="0" w:line="185" w:lineRule="exact"/>
        <w:rPr>
          <w:rFonts w:ascii="Arial" w:cs="Arial" w:eastAsia="Arial" w:hAnsi="Arial"/>
          <w:sz w:val="22"/>
          <w:szCs w:val="22"/>
          <w:color w:val="auto"/>
        </w:rPr>
      </w:pPr>
    </w:p>
    <w:p>
      <w:pPr>
        <w:jc w:val="both"/>
        <w:ind w:left="-40" w:right="540" w:firstLine="648"/>
        <w:spacing w:after="0" w:line="328" w:lineRule="auto"/>
        <w:tabs>
          <w:tab w:leader="none" w:pos="1284"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Trustee shall have no liability for any inaccuracy in the books and records of, or for any actions or omissions of, DTC, Euroclear or Clearstream or any depository acting on behalf of any of them;</w:t>
      </w:r>
    </w:p>
    <w:p>
      <w:pPr>
        <w:spacing w:after="0" w:line="105" w:lineRule="exact"/>
        <w:rPr>
          <w:rFonts w:ascii="Arial" w:cs="Arial" w:eastAsia="Arial" w:hAnsi="Arial"/>
          <w:sz w:val="19"/>
          <w:szCs w:val="19"/>
          <w:color w:val="auto"/>
        </w:rPr>
      </w:pPr>
    </w:p>
    <w:p>
      <w:pPr>
        <w:ind w:left="-40" w:right="660" w:firstLine="648"/>
        <w:spacing w:after="0" w:line="251" w:lineRule="auto"/>
        <w:tabs>
          <w:tab w:leader="none" w:pos="1292"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rights, privileges, protections, immunities and benefits given to the Trustee, including, without limitation, its right to be indemnified, are extended to, and</w:t>
      </w:r>
    </w:p>
    <w:p>
      <w:pPr>
        <w:spacing w:after="0" w:line="389"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76200</wp:posOffset>
            </wp:positionV>
            <wp:extent cx="661225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61" w:right="739" w:bottom="1440" w:gutter="0" w:footer="0" w:header="0"/>
        </w:sectPr>
      </w:pPr>
    </w:p>
    <w:bookmarkStart w:id="100" w:name="page101"/>
    <w:bookmarkEnd w:id="100"/>
    <w:p>
      <w:pPr>
        <w:ind w:left="640" w:right="520"/>
        <w:spacing w:after="0" w:line="251" w:lineRule="auto"/>
        <w:rPr>
          <w:sz w:val="20"/>
          <w:szCs w:val="20"/>
          <w:color w:val="auto"/>
        </w:rPr>
      </w:pPr>
      <w:r>
        <w:rPr>
          <w:rFonts w:ascii="Arial" w:cs="Arial" w:eastAsia="Arial" w:hAnsi="Arial"/>
          <w:sz w:val="22"/>
          <w:szCs w:val="22"/>
          <w:color w:val="auto"/>
        </w:rPr>
        <w:t>shall be enforceable by, the Trustee in each of its capacities hereunder, and each agent, custodian and other Person employed by the Trustee to act hereunder; and</w:t>
      </w:r>
    </w:p>
    <w:p>
      <w:pPr>
        <w:spacing w:after="0" w:line="173" w:lineRule="exact"/>
        <w:rPr>
          <w:sz w:val="20"/>
          <w:szCs w:val="20"/>
          <w:color w:val="auto"/>
        </w:rPr>
      </w:pPr>
    </w:p>
    <w:p>
      <w:pPr>
        <w:jc w:val="both"/>
        <w:ind w:left="640" w:firstLine="648"/>
        <w:spacing w:after="0" w:line="287" w:lineRule="auto"/>
        <w:tabs>
          <w:tab w:leader="none" w:pos="1972"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43"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85" w:lineRule="exact"/>
        <w:rPr>
          <w:sz w:val="20"/>
          <w:szCs w:val="20"/>
          <w:color w:val="auto"/>
        </w:rPr>
      </w:pPr>
    </w:p>
    <w:p>
      <w:pPr>
        <w:jc w:val="both"/>
        <w:ind w:right="80" w:firstLine="648"/>
        <w:spacing w:after="0"/>
        <w:rPr>
          <w:sz w:val="20"/>
          <w:szCs w:val="20"/>
          <w:color w:val="auto"/>
        </w:rPr>
      </w:pPr>
      <w:r>
        <w:rPr>
          <w:rFonts w:ascii="Arial" w:cs="Arial" w:eastAsia="Arial" w:hAnsi="Arial"/>
          <w:sz w:val="22"/>
          <w:szCs w:val="22"/>
          <w:color w:val="auto"/>
        </w:rPr>
        <w:t>Except during the continuance of an Event of Default, the Trustee undertakes to perform only such duties as are specifically set forth in this Indenture, and no implied covenants or obligations shall be read into this Indenture against the Trustee.</w:t>
      </w:r>
    </w:p>
    <w:p>
      <w:pPr>
        <w:spacing w:after="0" w:line="186" w:lineRule="exact"/>
        <w:rPr>
          <w:sz w:val="20"/>
          <w:szCs w:val="20"/>
          <w:color w:val="auto"/>
        </w:rPr>
      </w:pPr>
    </w:p>
    <w:p>
      <w:pPr>
        <w:ind w:left="640"/>
        <w:spacing w:after="0"/>
        <w:tabs>
          <w:tab w:leader="none" w:pos="2400"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19"/>
          <w:szCs w:val="19"/>
          <w:u w:val="single" w:color="auto"/>
          <w:color w:val="auto"/>
        </w:rPr>
        <w:t>Not Responsible for Recitals or Issuance of Securities</w:t>
      </w:r>
      <w:r>
        <w:rPr>
          <w:rFonts w:ascii="Arial" w:cs="Arial" w:eastAsia="Arial" w:hAnsi="Arial"/>
          <w:sz w:val="19"/>
          <w:szCs w:val="19"/>
          <w:color w:val="auto"/>
        </w:rPr>
        <w:t>. The recitals contained herein and in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the Securities, except the Trustee’s certificate of authentication, and in any coupons shall be taken as the statements of</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the Company, and neither the Trustee nor any Authenticating Agent assumes any responsibility for their</w:t>
      </w:r>
    </w:p>
    <w:p>
      <w:pPr>
        <w:spacing w:after="0"/>
        <w:rPr>
          <w:sz w:val="20"/>
          <w:szCs w:val="20"/>
          <w:color w:val="auto"/>
        </w:rPr>
      </w:pPr>
      <w:r>
        <w:rPr>
          <w:rFonts w:ascii="Arial" w:cs="Arial" w:eastAsia="Arial" w:hAnsi="Arial"/>
          <w:sz w:val="19"/>
          <w:szCs w:val="19"/>
          <w:color w:val="auto"/>
        </w:rPr>
        <w:t>correctness. The Trustee makes no representations as to the validity or sufficiency of this Indenture or of the Securities</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or coupons, except that the Trustee represents that it is duly authorized to execute and deliver this Indenture,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authenticate the Securities and perform its obligations hereunder. Neither the Trustee nor any Authenticating Agent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shall be accountable for the use or application by the Company of Securities or the proceeds thereof. The Trustee shall</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have no responsibility with respect to any information, statement or recital in any offering prospectus or other</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disclosure materials prepared or distributed with respect to the Securities.</w:t>
      </w:r>
    </w:p>
    <w:p>
      <w:pPr>
        <w:spacing w:after="0" w:line="188" w:lineRule="exact"/>
        <w:rPr>
          <w:sz w:val="20"/>
          <w:szCs w:val="20"/>
          <w:color w:val="auto"/>
        </w:rPr>
      </w:pPr>
    </w:p>
    <w:p>
      <w:pPr>
        <w:ind w:right="180" w:firstLine="648"/>
        <w:spacing w:after="0" w:line="236" w:lineRule="auto"/>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u w:val="single" w:color="auto"/>
          <w:color w:val="auto"/>
        </w:rPr>
        <w:t>May Hold Securities</w:t>
      </w:r>
      <w:r>
        <w:rPr>
          <w:rFonts w:ascii="Arial" w:cs="Arial" w:eastAsia="Arial" w:hAnsi="Arial"/>
          <w:sz w:val="22"/>
          <w:szCs w:val="22"/>
          <w:color w:val="auto"/>
        </w:rPr>
        <w:t>. The Trustee, any Paying Agent, Security Registrar, Authenticating Agent or any other agent of the Company, in its individual or any other capacity, may become the owner or pledgee of Securities and coupons and, subject to TIA Sections 310(b) and 311, may otherwise deal with the Company with the same rights it would have if it were not Trustee, Paying Agent, Security Registrar, Authenticating Agent or such other agent.</w:t>
      </w:r>
    </w:p>
    <w:p>
      <w:pPr>
        <w:spacing w:after="0" w:line="188" w:lineRule="exact"/>
        <w:rPr>
          <w:sz w:val="20"/>
          <w:szCs w:val="20"/>
          <w:color w:val="auto"/>
        </w:rPr>
      </w:pPr>
    </w:p>
    <w:p>
      <w:pPr>
        <w:jc w:val="both"/>
        <w:ind w:right="60" w:firstLine="648"/>
        <w:spacing w:after="0" w:line="258" w:lineRule="auto"/>
        <w:rPr>
          <w:sz w:val="20"/>
          <w:szCs w:val="20"/>
          <w:color w:val="auto"/>
        </w:rPr>
      </w:pPr>
      <w:r>
        <w:rPr>
          <w:rFonts w:ascii="Arial" w:cs="Arial" w:eastAsia="Arial" w:hAnsi="Arial"/>
          <w:sz w:val="21"/>
          <w:szCs w:val="21"/>
          <w:color w:val="auto"/>
        </w:rPr>
        <w:t xml:space="preserve">SECTION 605. </w:t>
      </w:r>
      <w:r>
        <w:rPr>
          <w:rFonts w:ascii="Arial" w:cs="Arial" w:eastAsia="Arial" w:hAnsi="Arial"/>
          <w:sz w:val="21"/>
          <w:szCs w:val="21"/>
          <w:u w:val="single" w:color="auto"/>
          <w:color w:val="auto"/>
        </w:rPr>
        <w:t>Money Held in Trust</w:t>
      </w:r>
      <w:r>
        <w:rPr>
          <w:rFonts w:ascii="Arial" w:cs="Arial" w:eastAsia="Arial" w:hAnsi="Arial"/>
          <w:sz w:val="21"/>
          <w:szCs w:val="21"/>
          <w:color w:val="auto"/>
        </w:rPr>
        <w:t>.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67" w:lineRule="exact"/>
        <w:rPr>
          <w:sz w:val="20"/>
          <w:szCs w:val="20"/>
          <w:color w:val="auto"/>
        </w:rPr>
      </w:pPr>
    </w:p>
    <w:p>
      <w:pPr>
        <w:ind w:left="640"/>
        <w:spacing w:after="0"/>
        <w:tabs>
          <w:tab w:leader="none" w:pos="2400" w:val="left"/>
        </w:tabs>
        <w:rPr>
          <w:sz w:val="20"/>
          <w:szCs w:val="20"/>
          <w:color w:val="auto"/>
        </w:rPr>
      </w:pPr>
      <w:r>
        <w:rPr>
          <w:rFonts w:ascii="Arial" w:cs="Arial" w:eastAsia="Arial" w:hAnsi="Arial"/>
          <w:sz w:val="22"/>
          <w:szCs w:val="22"/>
          <w:color w:val="auto"/>
        </w:rPr>
        <w:t>SECTION 606.</w:t>
      </w:r>
      <w:r>
        <w:rPr>
          <w:sz w:val="20"/>
          <w:szCs w:val="20"/>
          <w:color w:val="auto"/>
        </w:rPr>
        <w:tab/>
      </w:r>
      <w:r>
        <w:rPr>
          <w:rFonts w:ascii="Arial" w:cs="Arial" w:eastAsia="Arial" w:hAnsi="Arial"/>
          <w:sz w:val="19"/>
          <w:szCs w:val="19"/>
          <w:u w:val="single" w:color="auto"/>
          <w:color w:val="auto"/>
        </w:rPr>
        <w:t>Compensation and Reimbursement</w:t>
      </w:r>
      <w:r>
        <w:rPr>
          <w:rFonts w:ascii="Arial" w:cs="Arial" w:eastAsia="Arial" w:hAnsi="Arial"/>
          <w:sz w:val="19"/>
          <w:szCs w:val="19"/>
          <w:color w:val="auto"/>
        </w:rPr>
        <w:t>. The Company agrees:</w:t>
      </w:r>
    </w:p>
    <w:p>
      <w:pPr>
        <w:spacing w:after="0" w:line="206" w:lineRule="exact"/>
        <w:rPr>
          <w:sz w:val="20"/>
          <w:szCs w:val="20"/>
          <w:color w:val="auto"/>
        </w:rPr>
      </w:pPr>
    </w:p>
    <w:p>
      <w:pPr>
        <w:ind w:left="640" w:firstLine="648"/>
        <w:spacing w:after="0"/>
        <w:tabs>
          <w:tab w:leader="none" w:pos="1972" w:val="left"/>
        </w:tabs>
        <w:numPr>
          <w:ilvl w:val="0"/>
          <w:numId w:val="84"/>
        </w:numPr>
        <w:rPr>
          <w:rFonts w:ascii="Arial" w:cs="Arial" w:eastAsia="Arial" w:hAnsi="Arial"/>
          <w:sz w:val="22"/>
          <w:szCs w:val="22"/>
          <w:color w:val="auto"/>
        </w:rPr>
      </w:pPr>
      <w:r>
        <w:rPr>
          <w:rFonts w:ascii="Arial" w:cs="Arial" w:eastAsia="Arial" w:hAnsi="Arial"/>
          <w:sz w:val="22"/>
          <w:szCs w:val="22"/>
          <w:color w:val="auto"/>
        </w:rPr>
        <w:t>to pay to the Trustee as agreed upon in writing from time to time reasonable compensation for all services rendered by it hereunder (which compensation shall not be limited by any provision of law in regard to the compensation of a trustee of an express trust);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01" w:name="page102"/>
    <w:bookmarkEnd w:id="101"/>
    <w:p>
      <w:pPr>
        <w:ind w:left="640" w:right="220" w:firstLine="648"/>
        <w:spacing w:after="0" w:line="282" w:lineRule="auto"/>
        <w:tabs>
          <w:tab w:leader="none" w:pos="1972" w:val="left"/>
        </w:tabs>
        <w:numPr>
          <w:ilvl w:val="0"/>
          <w:numId w:val="85"/>
        </w:numPr>
        <w:rPr>
          <w:rFonts w:ascii="Arial" w:cs="Arial" w:eastAsia="Arial" w:hAnsi="Arial"/>
          <w:sz w:val="19"/>
          <w:szCs w:val="19"/>
          <w:color w:val="auto"/>
        </w:rPr>
      </w:pPr>
      <w:r>
        <w:rPr>
          <w:rFonts w:ascii="Arial" w:cs="Arial" w:eastAsia="Arial" w:hAnsi="Arial"/>
          <w:sz w:val="19"/>
          <w:szCs w:val="19"/>
          <w:color w:val="auto"/>
        </w:rPr>
        <w:t>except as otherwise expressly provided herein, to reimburse each of the Trustee and any predecessor Trustee upon its request for all reasonable expenses, and disbursements incurred by the Trustee in accordance with any provision of this Indenture (including the reasonable compensation and the reasonable expenses and disbursements of its agents and counsel), except any such expense or disbursement as shall be determined to have been caused by its own negligence, willful misconduct or bad faith; and</w:t>
      </w:r>
    </w:p>
    <w:p>
      <w:pPr>
        <w:spacing w:after="0" w:line="147" w:lineRule="exact"/>
        <w:rPr>
          <w:rFonts w:ascii="Arial" w:cs="Arial" w:eastAsia="Arial" w:hAnsi="Arial"/>
          <w:sz w:val="19"/>
          <w:szCs w:val="19"/>
          <w:color w:val="auto"/>
        </w:rPr>
      </w:pPr>
    </w:p>
    <w:p>
      <w:pPr>
        <w:ind w:left="640" w:firstLine="648"/>
        <w:spacing w:after="0" w:line="249" w:lineRule="auto"/>
        <w:tabs>
          <w:tab w:leader="none" w:pos="1972" w:val="left"/>
        </w:tabs>
        <w:numPr>
          <w:ilvl w:val="0"/>
          <w:numId w:val="85"/>
        </w:numPr>
        <w:rPr>
          <w:rFonts w:ascii="Arial" w:cs="Arial" w:eastAsia="Arial" w:hAnsi="Arial"/>
          <w:sz w:val="21"/>
          <w:szCs w:val="21"/>
          <w:color w:val="auto"/>
        </w:rPr>
      </w:pPr>
      <w:r>
        <w:rPr>
          <w:rFonts w:ascii="Arial" w:cs="Arial" w:eastAsia="Arial" w:hAnsi="Arial"/>
          <w:sz w:val="21"/>
          <w:szCs w:val="21"/>
          <w:color w:val="auto"/>
        </w:rPr>
        <w:t>to indemnify each of the Trustee and any predecessor Trustee for, and to hold it harmless against, any loss, liability, claim, damage or expense incurred without negligence, willful misconduct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79" w:lineRule="exact"/>
        <w:rPr>
          <w:sz w:val="20"/>
          <w:szCs w:val="20"/>
          <w:color w:val="auto"/>
        </w:rPr>
      </w:pPr>
    </w:p>
    <w:p>
      <w:pPr>
        <w:ind w:right="220" w:firstLine="648"/>
        <w:spacing w:after="0" w:line="238" w:lineRule="auto"/>
        <w:rPr>
          <w:sz w:val="20"/>
          <w:szCs w:val="20"/>
          <w:color w:val="auto"/>
        </w:rPr>
      </w:pPr>
      <w:r>
        <w:rPr>
          <w:rFonts w:ascii="Arial" w:cs="Arial" w:eastAsia="Arial" w:hAnsi="Arial"/>
          <w:sz w:val="22"/>
          <w:szCs w:val="22"/>
          <w:color w:val="auto"/>
        </w:rPr>
        <w:t>When the Trustee incurs expenses or renders services in connection with an Event of Default specified in Section 501(7) or Section 501(8),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85"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As security for the performance of the obligations of the Company under this Section, the Trustee shall have a lien for payment of the Trustee’s fees and expenses prior to the Securities upon all property and funds held or collected by the Trustee as such, except funds held in trust for the payment of principal of (or premium or Make-Whole Amount, if any) or interest on particular Securities or any coupons.</w:t>
      </w:r>
    </w:p>
    <w:p>
      <w:pPr>
        <w:spacing w:after="0" w:line="185" w:lineRule="exact"/>
        <w:rPr>
          <w:sz w:val="20"/>
          <w:szCs w:val="20"/>
          <w:color w:val="auto"/>
        </w:rPr>
      </w:pPr>
    </w:p>
    <w:p>
      <w:pPr>
        <w:ind w:right="220" w:firstLine="648"/>
        <w:spacing w:after="0" w:line="251" w:lineRule="auto"/>
        <w:rPr>
          <w:sz w:val="20"/>
          <w:szCs w:val="20"/>
          <w:color w:val="auto"/>
        </w:rPr>
      </w:pPr>
      <w:r>
        <w:rPr>
          <w:rFonts w:ascii="Arial" w:cs="Arial" w:eastAsia="Arial" w:hAnsi="Arial"/>
          <w:sz w:val="22"/>
          <w:szCs w:val="22"/>
          <w:color w:val="auto"/>
        </w:rPr>
        <w:t>The provisions of this Section shall survive the termination of this Indenture and the resignation or removal of the Trustee.</w:t>
      </w:r>
    </w:p>
    <w:p>
      <w:pPr>
        <w:spacing w:after="0" w:line="173" w:lineRule="exact"/>
        <w:rPr>
          <w:sz w:val="20"/>
          <w:szCs w:val="20"/>
          <w:color w:val="auto"/>
        </w:rPr>
      </w:pPr>
    </w:p>
    <w:p>
      <w:pPr>
        <w:ind w:left="640"/>
        <w:spacing w:after="0"/>
        <w:tabs>
          <w:tab w:leader="none" w:pos="2400" w:val="left"/>
        </w:tabs>
        <w:rPr>
          <w:sz w:val="20"/>
          <w:szCs w:val="20"/>
          <w:color w:val="auto"/>
        </w:rPr>
      </w:pPr>
      <w:r>
        <w:rPr>
          <w:rFonts w:ascii="Arial" w:cs="Arial" w:eastAsia="Arial" w:hAnsi="Arial"/>
          <w:sz w:val="22"/>
          <w:szCs w:val="22"/>
          <w:color w:val="auto"/>
        </w:rPr>
        <w:t>SECTION 607.</w:t>
      </w:r>
      <w:r>
        <w:rPr>
          <w:sz w:val="20"/>
          <w:szCs w:val="20"/>
          <w:color w:val="auto"/>
        </w:rPr>
        <w:tab/>
      </w:r>
      <w:r>
        <w:rPr>
          <w:rFonts w:ascii="Arial" w:cs="Arial" w:eastAsia="Arial" w:hAnsi="Arial"/>
          <w:sz w:val="19"/>
          <w:szCs w:val="19"/>
          <w:u w:val="single" w:color="auto"/>
          <w:color w:val="auto"/>
        </w:rPr>
        <w:t>Corporate Trustee Required; Eligibility; Conflicting Interests</w:t>
      </w:r>
      <w:r>
        <w:rPr>
          <w:rFonts w:ascii="Arial" w:cs="Arial" w:eastAsia="Arial" w:hAnsi="Arial"/>
          <w:sz w:val="19"/>
          <w:szCs w:val="19"/>
          <w:color w:val="auto"/>
        </w:rPr>
        <w:t>. There shall at all times be a</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Trustee hereunder which shall be eligible to act as Trustee under TIA Section 310(a)(1) and shall have at all times 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combined capital and surplus of at least $50,000,000 (or which shall have a combined capital and surplus of at least</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$10,000,000 and whose ultimate parent holding company shall have a combined capital and surplus of at least</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$50,000,000. If the Trustee publishes reports of condition at least annually, pursuant to law or the requirements of</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Federal, state, territorial or District of Columbia supervising or examining authority, then for the purposes of this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Section, the combined capital and surplus of the Trustee shall be deemed to be its combined capital and surplus as set</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forth in its most recent report of condition so published. If at any time the Trustee shall cease to be eligible in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accordance with the provisions of this Section, it shall resign immediately in the manner and with the effect hereinafter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specified in this Article. Neither the Company nor any Person directly or indirectly controlling, controlled by, or under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common control with the Company shall serve as Trustee.</w:t>
      </w:r>
    </w:p>
    <w:p>
      <w:pPr>
        <w:spacing w:after="0" w:line="188" w:lineRule="exact"/>
        <w:rPr>
          <w:sz w:val="20"/>
          <w:szCs w:val="20"/>
          <w:color w:val="auto"/>
        </w:rPr>
      </w:pPr>
    </w:p>
    <w:p>
      <w:pPr>
        <w:ind w:left="640"/>
        <w:spacing w:after="0"/>
        <w:tabs>
          <w:tab w:leader="none" w:pos="2400" w:val="left"/>
        </w:tabs>
        <w:rPr>
          <w:sz w:val="20"/>
          <w:szCs w:val="20"/>
          <w:color w:val="auto"/>
        </w:rPr>
      </w:pPr>
      <w:r>
        <w:rPr>
          <w:rFonts w:ascii="Arial" w:cs="Arial" w:eastAsia="Arial" w:hAnsi="Arial"/>
          <w:sz w:val="22"/>
          <w:szCs w:val="22"/>
          <w:color w:val="auto"/>
        </w:rPr>
        <w:t>SECTION 608.</w:t>
      </w:r>
      <w:r>
        <w:rPr>
          <w:sz w:val="20"/>
          <w:szCs w:val="20"/>
          <w:color w:val="auto"/>
        </w:rPr>
        <w:tab/>
      </w:r>
      <w:r>
        <w:rPr>
          <w:rFonts w:ascii="Arial" w:cs="Arial" w:eastAsia="Arial" w:hAnsi="Arial"/>
          <w:sz w:val="19"/>
          <w:szCs w:val="19"/>
          <w:u w:val="single" w:color="auto"/>
          <w:color w:val="auto"/>
        </w:rPr>
        <w:t>Resignation and Removal; Appointment of Successor</w:t>
      </w:r>
      <w:r>
        <w:rPr>
          <w:rFonts w:ascii="Arial" w:cs="Arial" w:eastAsia="Arial" w:hAnsi="Arial"/>
          <w:sz w:val="19"/>
          <w:szCs w:val="19"/>
          <w:color w:val="auto"/>
        </w:rPr>
        <w:t>.</w:t>
      </w:r>
    </w:p>
    <w:p>
      <w:pPr>
        <w:spacing w:after="0" w:line="206" w:lineRule="exact"/>
        <w:rPr>
          <w:sz w:val="20"/>
          <w:szCs w:val="20"/>
          <w:color w:val="auto"/>
        </w:rPr>
      </w:pPr>
    </w:p>
    <w:p>
      <w:pPr>
        <w:ind w:right="140" w:firstLine="1288"/>
        <w:spacing w:after="0" w:line="251" w:lineRule="auto"/>
        <w:tabs>
          <w:tab w:leader="none" w:pos="1968" w:val="left"/>
        </w:tabs>
        <w:numPr>
          <w:ilvl w:val="0"/>
          <w:numId w:val="86"/>
        </w:numPr>
        <w:rPr>
          <w:rFonts w:ascii="Arial" w:cs="Arial" w:eastAsia="Arial" w:hAnsi="Arial"/>
          <w:sz w:val="22"/>
          <w:szCs w:val="22"/>
          <w:color w:val="auto"/>
        </w:rPr>
      </w:pPr>
      <w:r>
        <w:rPr>
          <w:rFonts w:ascii="Arial" w:cs="Arial" w:eastAsia="Arial" w:hAnsi="Arial"/>
          <w:sz w:val="22"/>
          <w:szCs w:val="22"/>
          <w:color w:val="auto"/>
        </w:rPr>
        <w:t>No resignation or removal of the Trustee and no appointment of a successor Trustee pursuant to this Article shall become effective until the acceptance of</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color w:val="auto"/>
        </w:rPr>
        <w:t>appointment by the successor Trustee in accordance with the applicable requirements of Section 609.</w:t>
      </w:r>
    </w:p>
    <w:p>
      <w:pPr>
        <w:spacing w:after="0" w:line="206" w:lineRule="exact"/>
        <w:rPr>
          <w:sz w:val="20"/>
          <w:szCs w:val="20"/>
          <w:color w:val="auto"/>
        </w:rPr>
      </w:pPr>
    </w:p>
    <w:p>
      <w:pPr>
        <w:ind w:right="20" w:firstLine="1288"/>
        <w:spacing w:after="0" w:line="287" w:lineRule="auto"/>
        <w:tabs>
          <w:tab w:leader="none" w:pos="1981"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Trustee may resign at any time with respect to the Securities of one or more series by giving written notice thereof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143" w:lineRule="exact"/>
        <w:rPr>
          <w:rFonts w:ascii="Arial" w:cs="Arial" w:eastAsia="Arial" w:hAnsi="Arial"/>
          <w:sz w:val="19"/>
          <w:szCs w:val="19"/>
          <w:color w:val="auto"/>
        </w:rPr>
      </w:pPr>
    </w:p>
    <w:p>
      <w:pPr>
        <w:ind w:firstLine="1288"/>
        <w:spacing w:after="0" w:line="282" w:lineRule="auto"/>
        <w:tabs>
          <w:tab w:leader="none" w:pos="1968"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Trustee may be removed at any time with respect to the Securities of any series by Act of the Holders of a majority in principal amount of the Outstanding Securities of such series delivered to the Trustee and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147" w:lineRule="exact"/>
        <w:rPr>
          <w:rFonts w:ascii="Arial" w:cs="Arial" w:eastAsia="Arial" w:hAnsi="Arial"/>
          <w:sz w:val="19"/>
          <w:szCs w:val="19"/>
          <w:color w:val="auto"/>
        </w:rPr>
      </w:pPr>
    </w:p>
    <w:p>
      <w:pPr>
        <w:ind w:left="1980" w:hanging="692"/>
        <w:spacing w:after="0"/>
        <w:tabs>
          <w:tab w:leader="none" w:pos="19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If at any time:</w:t>
      </w:r>
    </w:p>
    <w:p>
      <w:pPr>
        <w:spacing w:after="0" w:line="206" w:lineRule="exact"/>
        <w:rPr>
          <w:sz w:val="20"/>
          <w:szCs w:val="20"/>
          <w:color w:val="auto"/>
        </w:rPr>
      </w:pPr>
    </w:p>
    <w:p>
      <w:pPr>
        <w:ind w:left="640" w:right="240" w:firstLine="648"/>
        <w:spacing w:after="0"/>
        <w:tabs>
          <w:tab w:leader="none" w:pos="1972"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186" w:lineRule="exact"/>
        <w:rPr>
          <w:rFonts w:ascii="Arial" w:cs="Arial" w:eastAsia="Arial" w:hAnsi="Arial"/>
          <w:sz w:val="22"/>
          <w:szCs w:val="22"/>
          <w:color w:val="auto"/>
        </w:rPr>
      </w:pPr>
    </w:p>
    <w:p>
      <w:pPr>
        <w:ind w:left="640" w:right="160" w:firstLine="648"/>
        <w:spacing w:after="0"/>
        <w:tabs>
          <w:tab w:leader="none" w:pos="1972"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186" w:lineRule="exact"/>
        <w:rPr>
          <w:rFonts w:ascii="Arial" w:cs="Arial" w:eastAsia="Arial" w:hAnsi="Arial"/>
          <w:sz w:val="22"/>
          <w:szCs w:val="22"/>
          <w:color w:val="auto"/>
        </w:rPr>
      </w:pPr>
    </w:p>
    <w:p>
      <w:pPr>
        <w:ind w:left="640" w:right="200" w:firstLine="648"/>
        <w:spacing w:after="0" w:line="297" w:lineRule="auto"/>
        <w:tabs>
          <w:tab w:leader="none" w:pos="1972"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34"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88" w:lineRule="exact"/>
        <w:rPr>
          <w:sz w:val="20"/>
          <w:szCs w:val="20"/>
          <w:color w:val="auto"/>
        </w:rPr>
      </w:pPr>
    </w:p>
    <w:p>
      <w:pPr>
        <w:ind w:right="60" w:firstLine="1288"/>
        <w:spacing w:after="0" w:line="274" w:lineRule="auto"/>
        <w:tabs>
          <w:tab w:leader="none" w:pos="1968" w:val="left"/>
        </w:tabs>
        <w:numPr>
          <w:ilvl w:val="0"/>
          <w:numId w:val="89"/>
        </w:numPr>
        <w:rPr>
          <w:rFonts w:ascii="Arial" w:cs="Arial" w:eastAsia="Arial" w:hAnsi="Arial"/>
          <w:sz w:val="19"/>
          <w:szCs w:val="19"/>
          <w:color w:val="auto"/>
        </w:rPr>
      </w:pPr>
      <w:r>
        <w:rPr>
          <w:rFonts w:ascii="Arial" w:cs="Arial" w:eastAsia="Arial" w:hAnsi="Arial"/>
          <w:sz w:val="19"/>
          <w:szCs w:val="19"/>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03" w:name="page104"/>
    <w:bookmarkEnd w:id="103"/>
    <w:p>
      <w:pPr>
        <w:ind w:right="140"/>
        <w:spacing w:after="0" w:line="248" w:lineRule="auto"/>
        <w:rPr>
          <w:sz w:val="20"/>
          <w:szCs w:val="20"/>
          <w:color w:val="auto"/>
        </w:rPr>
      </w:pPr>
      <w:r>
        <w:rPr>
          <w:rFonts w:ascii="Arial" w:cs="Arial" w:eastAsia="Arial" w:hAnsi="Arial"/>
          <w:sz w:val="21"/>
          <w:szCs w:val="21"/>
          <w:color w:val="auto"/>
        </w:rPr>
        <w:t>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177" w:lineRule="exact"/>
        <w:rPr>
          <w:sz w:val="20"/>
          <w:szCs w:val="20"/>
          <w:color w:val="auto"/>
        </w:rPr>
      </w:pPr>
    </w:p>
    <w:p>
      <w:pPr>
        <w:ind w:right="20" w:firstLine="1288"/>
        <w:spacing w:after="0" w:line="287" w:lineRule="auto"/>
        <w:tabs>
          <w:tab w:leader="none" w:pos="1941"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143" w:lineRule="exact"/>
        <w:rPr>
          <w:sz w:val="20"/>
          <w:szCs w:val="20"/>
          <w:color w:val="auto"/>
        </w:rPr>
      </w:pPr>
    </w:p>
    <w:p>
      <w:pPr>
        <w:ind w:left="640"/>
        <w:spacing w:after="0"/>
        <w:tabs>
          <w:tab w:leader="none" w:pos="2400" w:val="left"/>
        </w:tabs>
        <w:rPr>
          <w:sz w:val="20"/>
          <w:szCs w:val="20"/>
          <w:color w:val="auto"/>
        </w:rPr>
      </w:pPr>
      <w:r>
        <w:rPr>
          <w:rFonts w:ascii="Arial" w:cs="Arial" w:eastAsia="Arial" w:hAnsi="Arial"/>
          <w:sz w:val="22"/>
          <w:szCs w:val="22"/>
          <w:color w:val="auto"/>
        </w:rPr>
        <w:t>SECTION 609.</w:t>
      </w:r>
      <w:r>
        <w:rPr>
          <w:sz w:val="20"/>
          <w:szCs w:val="20"/>
          <w:color w:val="auto"/>
        </w:rPr>
        <w:tab/>
      </w:r>
      <w:r>
        <w:rPr>
          <w:rFonts w:ascii="Arial" w:cs="Arial" w:eastAsia="Arial" w:hAnsi="Arial"/>
          <w:sz w:val="19"/>
          <w:szCs w:val="19"/>
          <w:u w:val="single" w:color="auto"/>
          <w:color w:val="auto"/>
        </w:rPr>
        <w:t>Acceptance of Appointment by Successor</w:t>
      </w:r>
      <w:r>
        <w:rPr>
          <w:rFonts w:ascii="Arial" w:cs="Arial" w:eastAsia="Arial" w:hAnsi="Arial"/>
          <w:sz w:val="19"/>
          <w:szCs w:val="19"/>
          <w:color w:val="auto"/>
        </w:rPr>
        <w:t>.</w:t>
      </w:r>
    </w:p>
    <w:p>
      <w:pPr>
        <w:spacing w:after="0" w:line="206" w:lineRule="exact"/>
        <w:rPr>
          <w:sz w:val="20"/>
          <w:szCs w:val="20"/>
          <w:color w:val="auto"/>
        </w:rPr>
      </w:pPr>
    </w:p>
    <w:p>
      <w:pPr>
        <w:ind w:firstLine="1288"/>
        <w:spacing w:after="0" w:line="245" w:lineRule="auto"/>
        <w:tabs>
          <w:tab w:leader="none" w:pos="1968" w:val="left"/>
        </w:tabs>
        <w:numPr>
          <w:ilvl w:val="0"/>
          <w:numId w:val="91"/>
        </w:numPr>
        <w:rPr>
          <w:rFonts w:ascii="Arial" w:cs="Arial" w:eastAsia="Arial" w:hAnsi="Arial"/>
          <w:sz w:val="21"/>
          <w:szCs w:val="21"/>
          <w:color w:val="auto"/>
        </w:rPr>
      </w:pPr>
      <w:r>
        <w:rPr>
          <w:rFonts w:ascii="Arial" w:cs="Arial" w:eastAsia="Arial" w:hAnsi="Arial"/>
          <w:sz w:val="21"/>
          <w:szCs w:val="21"/>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pacing w:after="0" w:line="185" w:lineRule="exact"/>
        <w:rPr>
          <w:rFonts w:ascii="Arial" w:cs="Arial" w:eastAsia="Arial" w:hAnsi="Arial"/>
          <w:sz w:val="21"/>
          <w:szCs w:val="21"/>
          <w:color w:val="auto"/>
        </w:rPr>
      </w:pPr>
    </w:p>
    <w:p>
      <w:pPr>
        <w:ind w:right="60" w:firstLine="1288"/>
        <w:spacing w:after="0" w:line="245" w:lineRule="exact"/>
        <w:tabs>
          <w:tab w:leader="none" w:pos="1927" w:val="left"/>
        </w:tabs>
        <w:numPr>
          <w:ilvl w:val="0"/>
          <w:numId w:val="91"/>
        </w:numPr>
        <w:rPr>
          <w:rFonts w:ascii="Arial" w:cs="Arial" w:eastAsia="Arial" w:hAnsi="Arial"/>
          <w:sz w:val="19"/>
          <w:szCs w:val="19"/>
          <w:color w:val="auto"/>
        </w:rPr>
      </w:pPr>
      <w:r>
        <w:rPr>
          <w:rFonts w:ascii="Arial" w:cs="Arial" w:eastAsia="Arial" w:hAnsi="Arial"/>
          <w:sz w:val="19"/>
          <w:szCs w:val="19"/>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pursuant to Article Nine hereof,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w:t>
      </w:r>
      <w:r>
        <w:rPr>
          <w:rFonts w:ascii="MS PGothic" w:cs="MS PGothic" w:eastAsia="MS PGothic" w:hAnsi="MS PGothic"/>
          <w:sz w:val="19"/>
          <w:szCs w:val="19"/>
          <w:color w:val="auto"/>
        </w:rPr>
        <w:t>‑</w:t>
      </w:r>
      <w:r>
        <w:rPr>
          <w:rFonts w:ascii="Arial" w:cs="Arial" w:eastAsia="Arial" w:hAnsi="Arial"/>
          <w:sz w:val="19"/>
          <w:szCs w:val="19"/>
          <w:color w:val="auto"/>
        </w:rPr>
        <w:t>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04" w:name="page105"/>
    <w:bookmarkEnd w:id="104"/>
    <w:p>
      <w:pPr>
        <w:ind w:right="200"/>
        <w:spacing w:after="0" w:line="282" w:lineRule="auto"/>
        <w:rPr>
          <w:sz w:val="20"/>
          <w:szCs w:val="20"/>
          <w:color w:val="auto"/>
        </w:rPr>
      </w:pPr>
      <w:r>
        <w:rPr>
          <w:rFonts w:ascii="Arial" w:cs="Arial" w:eastAsia="Arial" w:hAnsi="Arial"/>
          <w:sz w:val="19"/>
          <w:szCs w:val="19"/>
          <w:color w:val="auto"/>
        </w:rPr>
        <w:t>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48" w:lineRule="exact"/>
        <w:rPr>
          <w:sz w:val="20"/>
          <w:szCs w:val="20"/>
          <w:color w:val="auto"/>
        </w:rPr>
      </w:pPr>
    </w:p>
    <w:p>
      <w:pPr>
        <w:ind w:right="120" w:firstLine="1288"/>
        <w:spacing w:after="0"/>
        <w:tabs>
          <w:tab w:leader="none" w:pos="1968" w:val="left"/>
        </w:tabs>
        <w:numPr>
          <w:ilvl w:val="0"/>
          <w:numId w:val="92"/>
        </w:numPr>
        <w:rPr>
          <w:rFonts w:ascii="Arial" w:cs="Arial" w:eastAsia="Arial" w:hAnsi="Arial"/>
          <w:sz w:val="22"/>
          <w:szCs w:val="22"/>
          <w:color w:val="auto"/>
        </w:rPr>
      </w:pPr>
      <w:r>
        <w:rPr>
          <w:rFonts w:ascii="Arial" w:cs="Arial" w:eastAsia="Arial" w:hAnsi="Arial"/>
          <w:sz w:val="22"/>
          <w:szCs w:val="22"/>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609, as the case may be.</w:t>
      </w:r>
    </w:p>
    <w:p>
      <w:pPr>
        <w:spacing w:after="0" w:line="186" w:lineRule="exact"/>
        <w:rPr>
          <w:rFonts w:ascii="Arial" w:cs="Arial" w:eastAsia="Arial" w:hAnsi="Arial"/>
          <w:sz w:val="22"/>
          <w:szCs w:val="22"/>
          <w:color w:val="auto"/>
        </w:rPr>
      </w:pPr>
    </w:p>
    <w:p>
      <w:pPr>
        <w:ind w:right="420" w:firstLine="1288"/>
        <w:spacing w:after="0" w:line="251" w:lineRule="auto"/>
        <w:tabs>
          <w:tab w:leader="none" w:pos="1981" w:val="left"/>
        </w:tabs>
        <w:numPr>
          <w:ilvl w:val="0"/>
          <w:numId w:val="92"/>
        </w:numPr>
        <w:rPr>
          <w:rFonts w:ascii="Arial" w:cs="Arial" w:eastAsia="Arial" w:hAnsi="Arial"/>
          <w:sz w:val="22"/>
          <w:szCs w:val="22"/>
          <w:color w:val="auto"/>
        </w:rPr>
      </w:pPr>
      <w:r>
        <w:rPr>
          <w:rFonts w:ascii="Arial" w:cs="Arial" w:eastAsia="Arial" w:hAnsi="Arial"/>
          <w:sz w:val="22"/>
          <w:szCs w:val="22"/>
          <w:color w:val="auto"/>
        </w:rPr>
        <w:t>No successor Trustee shall accept its appointment unless at the time of such acceptance such successor Trustee shall be qualified and eligible under this Article.</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SECTION 610. </w:t>
      </w:r>
      <w:r>
        <w:rPr>
          <w:rFonts w:ascii="Arial" w:cs="Arial" w:eastAsia="Arial" w:hAnsi="Arial"/>
          <w:sz w:val="19"/>
          <w:szCs w:val="19"/>
          <w:u w:val="single" w:color="auto"/>
          <w:color w:val="auto"/>
        </w:rPr>
        <w:t>Merger, Conversion, Consolidation or Succession to Business</w:t>
      </w:r>
      <w:r>
        <w:rPr>
          <w:rFonts w:ascii="Arial" w:cs="Arial" w:eastAsia="Arial" w:hAnsi="Arial"/>
          <w:sz w:val="19"/>
          <w:szCs w:val="19"/>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Securities or coupons shall not have been authenticated by such predecessor Trustee, any such successor Trustee may authenticate and deliver such Securities or coupons, in either its own name or that of its predecessor Trustee, with the full force and effect which this Indenture provides for the certificate of authentication of the Trustee.</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 xml:space="preserve">SECTION 611. </w:t>
      </w:r>
      <w:r>
        <w:rPr>
          <w:rFonts w:ascii="Arial" w:cs="Arial" w:eastAsia="Arial" w:hAnsi="Arial"/>
          <w:sz w:val="19"/>
          <w:szCs w:val="19"/>
          <w:u w:val="single" w:color="auto"/>
          <w:color w:val="auto"/>
        </w:rPr>
        <w:t>Appointment of Authenticating Agent</w:t>
      </w:r>
      <w:r>
        <w:rPr>
          <w:rFonts w:ascii="Arial" w:cs="Arial" w:eastAsia="Arial" w:hAnsi="Arial"/>
          <w:sz w:val="19"/>
          <w:szCs w:val="19"/>
          <w:color w:val="auto"/>
        </w:rPr>
        <w:t>. At any time when any of the Securities remain Outstanding, the Trustee may appoint an Authenticating Agent or Agents with respect to one or more series of Securities which shall be authorized to act on behalf of the Trustee to authenticate Securities of such series issued upon conversion or exchange, registration of transfer or partial redemption or repayment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w:t>
      </w:r>
    </w:p>
    <w:p>
      <w:pPr>
        <w:spacing w:after="0" w:line="5"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bank or trust company or corporation organized and doing business and in good standing under the laws of the United States of America or of any state or the District of Columbia, authorized under such laws to act as Authenticating Agent, having 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05" w:name="page106"/>
    <w:bookmarkEnd w:id="105"/>
    <w:p>
      <w:pPr>
        <w:ind w:right="20"/>
        <w:spacing w:after="0" w:line="247" w:lineRule="auto"/>
        <w:rPr>
          <w:sz w:val="20"/>
          <w:szCs w:val="20"/>
          <w:color w:val="auto"/>
        </w:rPr>
      </w:pPr>
      <w:r>
        <w:rPr>
          <w:rFonts w:ascii="Arial" w:cs="Arial" w:eastAsia="Arial" w:hAnsi="Arial"/>
          <w:sz w:val="21"/>
          <w:szCs w:val="21"/>
          <w:color w:val="auto"/>
        </w:rPr>
        <w:t>combined capital and surplus of not less than $50,000,000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178" w:lineRule="exact"/>
        <w:rPr>
          <w:sz w:val="20"/>
          <w:szCs w:val="20"/>
          <w:color w:val="auto"/>
        </w:rPr>
      </w:pPr>
    </w:p>
    <w:p>
      <w:pPr>
        <w:ind w:right="160" w:firstLine="648"/>
        <w:spacing w:after="0" w:line="235" w:lineRule="auto"/>
        <w:rPr>
          <w:sz w:val="20"/>
          <w:szCs w:val="20"/>
          <w:color w:val="auto"/>
        </w:rPr>
      </w:pPr>
      <w:r>
        <w:rPr>
          <w:rFonts w:ascii="Arial" w:cs="Arial" w:eastAsia="Arial" w:hAnsi="Arial"/>
          <w:sz w:val="22"/>
          <w:szCs w:val="22"/>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56" w:lineRule="exact"/>
        <w:rPr>
          <w:sz w:val="20"/>
          <w:szCs w:val="20"/>
          <w:color w:val="auto"/>
        </w:rPr>
      </w:pPr>
    </w:p>
    <w:p>
      <w:pPr>
        <w:ind w:right="20" w:firstLine="648"/>
        <w:spacing w:after="0" w:line="274" w:lineRule="auto"/>
        <w:rPr>
          <w:sz w:val="20"/>
          <w:szCs w:val="20"/>
          <w:color w:val="auto"/>
        </w:rPr>
      </w:pPr>
      <w:r>
        <w:rPr>
          <w:rFonts w:ascii="Arial" w:cs="Arial" w:eastAsia="Arial" w:hAnsi="Arial"/>
          <w:sz w:val="21"/>
          <w:szCs w:val="21"/>
          <w:color w:val="auto"/>
        </w:rPr>
        <w:t>The Company agrees to pay to each Authenticating Agent from time to time reasonable compensation including reimbursement of its reasonable expenses for its services under this Section, subject to Section 606.</w:t>
      </w:r>
    </w:p>
    <w:p>
      <w:pPr>
        <w:spacing w:after="0" w:line="151" w:lineRule="exact"/>
        <w:rPr>
          <w:sz w:val="20"/>
          <w:szCs w:val="20"/>
          <w:color w:val="auto"/>
        </w:rPr>
      </w:pPr>
    </w:p>
    <w:p>
      <w:pPr>
        <w:jc w:val="both"/>
        <w:ind w:right="420" w:firstLine="648"/>
        <w:spacing w:after="0"/>
        <w:rPr>
          <w:sz w:val="20"/>
          <w:szCs w:val="20"/>
          <w:color w:val="auto"/>
        </w:rPr>
      </w:pPr>
      <w:r>
        <w:rPr>
          <w:rFonts w:ascii="Arial" w:cs="Arial" w:eastAsia="Arial" w:hAnsi="Arial"/>
          <w:sz w:val="22"/>
          <w:szCs w:val="22"/>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86" w:lineRule="exact"/>
        <w:rPr>
          <w:sz w:val="20"/>
          <w:szCs w:val="20"/>
          <w:color w:val="auto"/>
        </w:rPr>
      </w:pPr>
    </w:p>
    <w:p>
      <w:pPr>
        <w:ind w:left="640"/>
        <w:spacing w:after="0" w:line="219" w:lineRule="exact"/>
        <w:rPr>
          <w:sz w:val="20"/>
          <w:szCs w:val="20"/>
          <w:color w:val="auto"/>
        </w:rPr>
      </w:pPr>
      <w:r>
        <w:rPr>
          <w:rFonts w:ascii="Arial" w:cs="Arial" w:eastAsia="Arial" w:hAnsi="Arial"/>
          <w:sz w:val="19"/>
          <w:szCs w:val="19"/>
          <w:color w:val="auto"/>
        </w:rPr>
        <w:t>This is one of the Securities of the series designated therein referred to in the within</w:t>
      </w:r>
      <w:r>
        <w:rPr>
          <w:rFonts w:ascii="MS PGothic" w:cs="MS PGothic" w:eastAsia="MS PGothic" w:hAnsi="MS PGothic"/>
          <w:sz w:val="19"/>
          <w:szCs w:val="19"/>
          <w:color w:val="auto"/>
        </w:rPr>
        <w:t>‑</w:t>
      </w:r>
      <w:r>
        <w:rPr>
          <w:rFonts w:ascii="Arial" w:cs="Arial" w:eastAsia="Arial" w:hAnsi="Arial"/>
          <w:sz w:val="19"/>
          <w:szCs w:val="19"/>
          <w:color w:val="auto"/>
        </w:rPr>
        <w:t xml:space="preserve"> mentioned Indenture.</w:t>
      </w:r>
    </w:p>
    <w:p>
      <w:pPr>
        <w:spacing w:after="0" w:line="254" w:lineRule="exact"/>
        <w:rPr>
          <w:sz w:val="20"/>
          <w:szCs w:val="20"/>
          <w:color w:val="auto"/>
        </w:rPr>
      </w:pPr>
    </w:p>
    <w:p>
      <w:pPr>
        <w:ind w:left="6720"/>
        <w:spacing w:after="0"/>
        <w:rPr>
          <w:sz w:val="20"/>
          <w:szCs w:val="20"/>
          <w:color w:val="auto"/>
        </w:rPr>
      </w:pPr>
      <w:r>
        <w:rPr>
          <w:rFonts w:ascii="Arial" w:cs="Arial" w:eastAsia="Arial" w:hAnsi="Arial"/>
          <w:sz w:val="22"/>
          <w:szCs w:val="22"/>
          <w:color w:val="auto"/>
        </w:rPr>
        <w:t>[________________]</w:t>
      </w:r>
    </w:p>
    <w:p>
      <w:pPr>
        <w:spacing w:after="0" w:line="233" w:lineRule="exact"/>
        <w:rPr>
          <w:sz w:val="20"/>
          <w:szCs w:val="20"/>
          <w:color w:val="auto"/>
        </w:rPr>
      </w:pPr>
    </w:p>
    <w:p>
      <w:pPr>
        <w:ind w:left="672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106" w:name="page107"/>
    <w:bookmarkEnd w:id="106"/>
    <w:p>
      <w:pPr>
        <w:spacing w:after="0"/>
        <w:tabs>
          <w:tab w:leader="none" w:pos="518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3611245</wp:posOffset>
            </wp:positionH>
            <wp:positionV relativeFrom="paragraph">
              <wp:posOffset>7620</wp:posOffset>
            </wp:positionV>
            <wp:extent cx="2984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984500" cy="8890"/>
                    </a:xfrm>
                    <a:prstGeom prst="rect">
                      <a:avLst/>
                    </a:prstGeom>
                    <a:noFill/>
                  </pic:spPr>
                </pic:pic>
              </a:graphicData>
            </a:graphic>
          </wp:anchor>
        </w:drawing>
        <w:drawing>
          <wp:anchor simplePos="0" relativeHeight="251657728" behindDoc="1" locked="0" layoutInCell="0" allowOverlap="1">
            <wp:simplePos x="0" y="0"/>
            <wp:positionH relativeFrom="column">
              <wp:posOffset>429895</wp:posOffset>
            </wp:positionH>
            <wp:positionV relativeFrom="paragraph">
              <wp:posOffset>7620</wp:posOffset>
            </wp:positionV>
            <wp:extent cx="14408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as Authenticating Agent</w:t>
      </w:r>
    </w:p>
    <w:p>
      <w:pPr>
        <w:spacing w:after="0" w:line="215" w:lineRule="exact"/>
        <w:rPr>
          <w:sz w:val="20"/>
          <w:szCs w:val="20"/>
          <w:color w:val="auto"/>
        </w:rPr>
      </w:pPr>
    </w:p>
    <w:p>
      <w:pPr>
        <w:spacing w:after="0"/>
        <w:tabs>
          <w:tab w:leader="none" w:pos="518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3611245</wp:posOffset>
            </wp:positionH>
            <wp:positionV relativeFrom="paragraph">
              <wp:posOffset>7620</wp:posOffset>
            </wp:positionV>
            <wp:extent cx="2984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984500" cy="8890"/>
                    </a:xfrm>
                    <a:prstGeom prst="rect">
                      <a:avLst/>
                    </a:prstGeom>
                    <a:noFill/>
                  </pic:spPr>
                </pic:pic>
              </a:graphicData>
            </a:graphic>
          </wp:anchor>
        </w:drawing>
        <w:drawing>
          <wp:anchor simplePos="0" relativeHeight="251657728" behindDoc="1" locked="0" layoutInCell="0" allowOverlap="1">
            <wp:simplePos x="0" y="0"/>
            <wp:positionH relativeFrom="column">
              <wp:posOffset>429895</wp:posOffset>
            </wp:positionH>
            <wp:positionV relativeFrom="paragraph">
              <wp:posOffset>7620</wp:posOffset>
            </wp:positionV>
            <wp:extent cx="14408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as Authenticating Agent</w:t>
      </w:r>
    </w:p>
    <w:p>
      <w:pPr>
        <w:spacing w:after="0" w:line="188" w:lineRule="exact"/>
        <w:rPr>
          <w:sz w:val="20"/>
          <w:szCs w:val="20"/>
          <w:color w:val="auto"/>
        </w:rPr>
      </w:pPr>
    </w:p>
    <w:p>
      <w:pPr>
        <w:ind w:left="640"/>
        <w:spacing w:after="0"/>
        <w:tabs>
          <w:tab w:leader="none" w:pos="2400" w:val="left"/>
        </w:tabs>
        <w:rPr>
          <w:sz w:val="20"/>
          <w:szCs w:val="20"/>
          <w:color w:val="auto"/>
        </w:rPr>
      </w:pPr>
      <w:r>
        <w:rPr>
          <w:rFonts w:ascii="Arial" w:cs="Arial" w:eastAsia="Arial" w:hAnsi="Arial"/>
          <w:sz w:val="22"/>
          <w:szCs w:val="22"/>
          <w:color w:val="auto"/>
        </w:rPr>
        <w:t>SECTION 612.</w:t>
      </w:r>
      <w:r>
        <w:rPr>
          <w:sz w:val="20"/>
          <w:szCs w:val="20"/>
          <w:color w:val="auto"/>
        </w:rPr>
        <w:tab/>
      </w:r>
      <w:r>
        <w:rPr>
          <w:rFonts w:ascii="Arial" w:cs="Arial" w:eastAsia="Arial" w:hAnsi="Arial"/>
          <w:sz w:val="19"/>
          <w:szCs w:val="19"/>
          <w:u w:val="single" w:color="auto"/>
          <w:color w:val="auto"/>
        </w:rPr>
        <w:t>Certain Duties and Responsibilities of the Trustee</w:t>
      </w:r>
      <w:r>
        <w:rPr>
          <w:rFonts w:ascii="Arial" w:cs="Arial" w:eastAsia="Arial" w:hAnsi="Arial"/>
          <w:sz w:val="19"/>
          <w:szCs w:val="19"/>
          <w:color w:val="auto"/>
        </w:rPr>
        <w:t>.</w:t>
      </w:r>
    </w:p>
    <w:p>
      <w:pPr>
        <w:spacing w:after="0" w:line="206" w:lineRule="exact"/>
        <w:rPr>
          <w:sz w:val="20"/>
          <w:szCs w:val="20"/>
          <w:color w:val="auto"/>
        </w:rPr>
      </w:pPr>
    </w:p>
    <w:p>
      <w:pPr>
        <w:ind w:right="40" w:firstLine="1288"/>
        <w:spacing w:after="0" w:line="251" w:lineRule="auto"/>
        <w:tabs>
          <w:tab w:leader="none" w:pos="1968" w:val="left"/>
        </w:tabs>
        <w:numPr>
          <w:ilvl w:val="0"/>
          <w:numId w:val="93"/>
        </w:numPr>
        <w:rPr>
          <w:rFonts w:ascii="Arial" w:cs="Arial" w:eastAsia="Arial" w:hAnsi="Arial"/>
          <w:sz w:val="22"/>
          <w:szCs w:val="22"/>
          <w:color w:val="auto"/>
        </w:rPr>
      </w:pPr>
      <w:r>
        <w:rPr>
          <w:rFonts w:ascii="Arial" w:cs="Arial" w:eastAsia="Arial" w:hAnsi="Arial"/>
          <w:sz w:val="22"/>
          <w:szCs w:val="22"/>
          <w:color w:val="auto"/>
        </w:rPr>
        <w:t>With respect to the Securities of any series, except during the continuance of an Event of Default with respect to the Securities of such series:</w:t>
      </w:r>
    </w:p>
    <w:p>
      <w:pPr>
        <w:spacing w:after="0" w:line="173" w:lineRule="exact"/>
        <w:rPr>
          <w:sz w:val="20"/>
          <w:szCs w:val="20"/>
          <w:color w:val="auto"/>
        </w:rPr>
      </w:pPr>
    </w:p>
    <w:p>
      <w:pPr>
        <w:jc w:val="both"/>
        <w:ind w:left="640" w:right="40" w:firstLine="648"/>
        <w:spacing w:after="0" w:line="328" w:lineRule="auto"/>
        <w:tabs>
          <w:tab w:leader="none" w:pos="1972"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Trustee undertakes to perform such duties and only such duties as are specifically set forth in this Indenture, and no implied covenants or obligations shall be read into this Indenture against the Trustee; and</w:t>
      </w:r>
    </w:p>
    <w:p>
      <w:pPr>
        <w:spacing w:after="0" w:line="105" w:lineRule="exact"/>
        <w:rPr>
          <w:rFonts w:ascii="Arial" w:cs="Arial" w:eastAsia="Arial" w:hAnsi="Arial"/>
          <w:sz w:val="19"/>
          <w:szCs w:val="19"/>
          <w:color w:val="auto"/>
        </w:rPr>
      </w:pPr>
    </w:p>
    <w:p>
      <w:pPr>
        <w:ind w:left="640" w:right="20" w:firstLine="648"/>
        <w:spacing w:after="0" w:line="279" w:lineRule="auto"/>
        <w:tabs>
          <w:tab w:leader="none" w:pos="1972" w:val="left"/>
        </w:tabs>
        <w:numPr>
          <w:ilvl w:val="0"/>
          <w:numId w:val="94"/>
        </w:numPr>
        <w:rPr>
          <w:rFonts w:ascii="Arial" w:cs="Arial" w:eastAsia="Arial" w:hAnsi="Arial"/>
          <w:sz w:val="19"/>
          <w:szCs w:val="19"/>
          <w:color w:val="auto"/>
        </w:rPr>
      </w:pPr>
      <w:r>
        <w:rPr>
          <w:rFonts w:ascii="Arial" w:cs="Arial" w:eastAsia="Arial" w:hAnsi="Arial"/>
          <w:sz w:val="19"/>
          <w:szCs w:val="19"/>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shall not be under any duty to verify the contents or accuracy thereof.</w:t>
      </w:r>
    </w:p>
    <w:p>
      <w:pPr>
        <w:spacing w:after="0" w:line="151" w:lineRule="exact"/>
        <w:rPr>
          <w:sz w:val="20"/>
          <w:szCs w:val="20"/>
          <w:color w:val="auto"/>
        </w:rPr>
      </w:pPr>
    </w:p>
    <w:p>
      <w:pPr>
        <w:ind w:firstLine="1288"/>
        <w:spacing w:after="0" w:line="238" w:lineRule="auto"/>
        <w:tabs>
          <w:tab w:leader="none" w:pos="1981" w:val="left"/>
        </w:tabs>
        <w:numPr>
          <w:ilvl w:val="0"/>
          <w:numId w:val="95"/>
        </w:numPr>
        <w:rPr>
          <w:rFonts w:ascii="Arial" w:cs="Arial" w:eastAsia="Arial" w:hAnsi="Arial"/>
          <w:sz w:val="22"/>
          <w:szCs w:val="22"/>
          <w:color w:val="auto"/>
        </w:rPr>
      </w:pPr>
      <w:r>
        <w:rPr>
          <w:rFonts w:ascii="Arial" w:cs="Arial" w:eastAsia="Arial" w:hAnsi="Arial"/>
          <w:sz w:val="22"/>
          <w:szCs w:val="22"/>
          <w:color w:val="auto"/>
        </w:rPr>
        <w:t>In case an Event of Default with respect to the Securities of any series has occurred and is continuing, the Trustee shall, with respect to Securities of such series, exercise such of the rights and powers vested in it by this Indenture, and use the same degree of care and skill in their exercise, as a prudent man would exercise or use under the circumstances in the conduct of his own affairs.</w:t>
      </w:r>
    </w:p>
    <w:p>
      <w:pPr>
        <w:spacing w:after="0" w:line="185" w:lineRule="exact"/>
        <w:rPr>
          <w:rFonts w:ascii="Arial" w:cs="Arial" w:eastAsia="Arial" w:hAnsi="Arial"/>
          <w:sz w:val="22"/>
          <w:szCs w:val="22"/>
          <w:color w:val="auto"/>
        </w:rPr>
      </w:pPr>
    </w:p>
    <w:p>
      <w:pPr>
        <w:ind w:right="120" w:firstLine="1288"/>
        <w:spacing w:after="0" w:line="251" w:lineRule="auto"/>
        <w:tabs>
          <w:tab w:leader="none" w:pos="1968" w:val="left"/>
        </w:tabs>
        <w:numPr>
          <w:ilvl w:val="0"/>
          <w:numId w:val="95"/>
        </w:numPr>
        <w:rPr>
          <w:rFonts w:ascii="Arial" w:cs="Arial" w:eastAsia="Arial" w:hAnsi="Arial"/>
          <w:sz w:val="22"/>
          <w:szCs w:val="22"/>
          <w:color w:val="auto"/>
        </w:rPr>
      </w:pPr>
      <w:r>
        <w:rPr>
          <w:rFonts w:ascii="Arial" w:cs="Arial" w:eastAsia="Arial" w:hAnsi="Arial"/>
          <w:sz w:val="22"/>
          <w:szCs w:val="22"/>
          <w:color w:val="auto"/>
        </w:rPr>
        <w:t>No provision of this Indenture shall be construed to relieve the Trustee from liability for its own negligent action, its own negligent failure to act, or its own willful misconduct, except that:</w:t>
      </w:r>
    </w:p>
    <w:p>
      <w:pPr>
        <w:spacing w:after="0" w:line="173" w:lineRule="exact"/>
        <w:rPr>
          <w:sz w:val="20"/>
          <w:szCs w:val="20"/>
          <w:color w:val="auto"/>
        </w:rPr>
      </w:pPr>
    </w:p>
    <w:p>
      <w:pPr>
        <w:ind w:left="1980" w:hanging="692"/>
        <w:spacing w:after="0"/>
        <w:tabs>
          <w:tab w:leader="none" w:pos="1980" w:val="left"/>
        </w:tabs>
        <w:numPr>
          <w:ilvl w:val="0"/>
          <w:numId w:val="96"/>
        </w:numPr>
        <w:rPr>
          <w:rFonts w:ascii="Arial" w:cs="Arial" w:eastAsia="Arial" w:hAnsi="Arial"/>
          <w:sz w:val="21"/>
          <w:szCs w:val="21"/>
          <w:color w:val="auto"/>
        </w:rPr>
      </w:pPr>
      <w:r>
        <w:rPr>
          <w:rFonts w:ascii="Arial" w:cs="Arial" w:eastAsia="Arial" w:hAnsi="Arial"/>
          <w:sz w:val="21"/>
          <w:szCs w:val="21"/>
          <w:color w:val="auto"/>
        </w:rPr>
        <w:t>this Subsection shall not be construed to limit the effect of Subsection (a) of this Section;</w:t>
      </w:r>
    </w:p>
    <w:p>
      <w:pPr>
        <w:spacing w:after="0" w:line="217" w:lineRule="exact"/>
        <w:rPr>
          <w:rFonts w:ascii="Arial" w:cs="Arial" w:eastAsia="Arial" w:hAnsi="Arial"/>
          <w:sz w:val="21"/>
          <w:szCs w:val="21"/>
          <w:color w:val="auto"/>
        </w:rPr>
      </w:pPr>
    </w:p>
    <w:p>
      <w:pPr>
        <w:ind w:right="400" w:firstLine="1288"/>
        <w:spacing w:after="0" w:line="328" w:lineRule="auto"/>
        <w:tabs>
          <w:tab w:leader="none" w:pos="1981"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Trustee shall not be liable for any error of judgment made in good faith by a Responsible Officer, unless it shall be proved that the Trustee was negligent in ascertaining the pertinent facts;</w:t>
      </w:r>
    </w:p>
    <w:p>
      <w:pPr>
        <w:spacing w:after="0" w:line="105" w:lineRule="exact"/>
        <w:rPr>
          <w:rFonts w:ascii="Arial" w:cs="Arial" w:eastAsia="Arial" w:hAnsi="Arial"/>
          <w:sz w:val="19"/>
          <w:szCs w:val="19"/>
          <w:color w:val="auto"/>
        </w:rPr>
      </w:pPr>
    </w:p>
    <w:p>
      <w:pPr>
        <w:ind w:firstLine="1288"/>
        <w:spacing w:after="0" w:line="236" w:lineRule="auto"/>
        <w:tabs>
          <w:tab w:leader="none" w:pos="1981"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Trustee shall not be liable with respect to any action taken or omitted to be taken by it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and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75" w:right="759" w:bottom="1440" w:gutter="0" w:footer="0" w:header="0"/>
        </w:sectPr>
      </w:pPr>
    </w:p>
    <w:bookmarkStart w:id="107" w:name="page108"/>
    <w:bookmarkEnd w:id="107"/>
    <w:p>
      <w:pPr>
        <w:ind w:right="60" w:firstLine="1288"/>
        <w:spacing w:after="0" w:line="279" w:lineRule="auto"/>
        <w:tabs>
          <w:tab w:leader="none" w:pos="1981" w:val="left"/>
        </w:tabs>
        <w:numPr>
          <w:ilvl w:val="0"/>
          <w:numId w:val="97"/>
        </w:numPr>
        <w:rPr>
          <w:rFonts w:ascii="Arial" w:cs="Arial" w:eastAsia="Arial" w:hAnsi="Arial"/>
          <w:sz w:val="19"/>
          <w:szCs w:val="19"/>
          <w:color w:val="auto"/>
        </w:rPr>
      </w:pPr>
      <w:r>
        <w:rPr>
          <w:rFonts w:ascii="Arial" w:cs="Arial" w:eastAsia="Arial" w:hAnsi="Arial"/>
          <w:sz w:val="19"/>
          <w:szCs w:val="19"/>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and, the Trustee shall be under no obligation to exercise any of its rights and powers under this Indenture at the request of any Holder, unless such Holder shall have offered to the Trustee security and indemnity satisfactory to it against any loss, liability or expense.</w:t>
      </w:r>
    </w:p>
    <w:p>
      <w:pPr>
        <w:spacing w:after="0" w:line="151" w:lineRule="exact"/>
        <w:rPr>
          <w:sz w:val="20"/>
          <w:szCs w:val="20"/>
          <w:color w:val="auto"/>
        </w:rPr>
      </w:pPr>
    </w:p>
    <w:p>
      <w:pPr>
        <w:ind w:right="320" w:firstLine="1288"/>
        <w:spacing w:after="0"/>
        <w:tabs>
          <w:tab w:leader="none" w:pos="1977" w:val="left"/>
        </w:tabs>
        <w:numPr>
          <w:ilvl w:val="0"/>
          <w:numId w:val="98"/>
        </w:numPr>
        <w:rPr>
          <w:rFonts w:ascii="Arial" w:cs="Arial" w:eastAsia="Arial" w:hAnsi="Arial"/>
          <w:sz w:val="22"/>
          <w:szCs w:val="22"/>
          <w:color w:val="auto"/>
        </w:rPr>
      </w:pPr>
      <w:r>
        <w:rPr>
          <w:rFonts w:ascii="Arial" w:cs="Arial" w:eastAsia="Arial" w:hAnsi="Arial"/>
          <w:sz w:val="22"/>
          <w:szCs w:val="22"/>
          <w:color w:val="auto"/>
        </w:rPr>
        <w:t>Whether or not therein expressly so provided, every provision of this Indenture relating to the conduct or affecting the liability of or affording protection to the Trustee shall be subject to the provisions of this Section 612.</w:t>
      </w:r>
    </w:p>
    <w:p>
      <w:pPr>
        <w:spacing w:after="0" w:line="186" w:lineRule="exact"/>
        <w:rPr>
          <w:rFonts w:ascii="Arial" w:cs="Arial" w:eastAsia="Arial" w:hAnsi="Arial"/>
          <w:sz w:val="22"/>
          <w:szCs w:val="22"/>
          <w:color w:val="auto"/>
        </w:rPr>
      </w:pPr>
    </w:p>
    <w:p>
      <w:pPr>
        <w:ind w:right="140" w:firstLine="1288"/>
        <w:spacing w:after="0"/>
        <w:tabs>
          <w:tab w:leader="none" w:pos="1965"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Trustee shall not be liable for interest on any money or assets held by it except to the extent the Trustee may agree in writing with the Company. Assets held in trust by the Trustee need not be segregated from other assets except to the extent required by law.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SEVEN - HOLDERS’ LISTS AND REPORTS BY TRUSTEE AND COMPANY</w:t>
      </w:r>
    </w:p>
    <w:p>
      <w:pPr>
        <w:spacing w:after="0" w:line="206" w:lineRule="exact"/>
        <w:rPr>
          <w:sz w:val="20"/>
          <w:szCs w:val="20"/>
          <w:color w:val="auto"/>
        </w:rPr>
      </w:pPr>
    </w:p>
    <w:p>
      <w:pPr>
        <w:ind w:right="60" w:firstLine="648"/>
        <w:spacing w:after="0" w:line="279" w:lineRule="auto"/>
        <w:rPr>
          <w:sz w:val="20"/>
          <w:szCs w:val="20"/>
          <w:color w:val="auto"/>
        </w:rPr>
      </w:pPr>
      <w:r>
        <w:rPr>
          <w:rFonts w:ascii="Arial" w:cs="Arial" w:eastAsia="Arial" w:hAnsi="Arial"/>
          <w:sz w:val="19"/>
          <w:szCs w:val="19"/>
          <w:color w:val="auto"/>
        </w:rPr>
        <w:t xml:space="preserve">SECTION 701. </w:t>
      </w:r>
      <w:r>
        <w:rPr>
          <w:rFonts w:ascii="Arial" w:cs="Arial" w:eastAsia="Arial" w:hAnsi="Arial"/>
          <w:sz w:val="19"/>
          <w:szCs w:val="19"/>
          <w:u w:val="single" w:color="auto"/>
          <w:color w:val="auto"/>
        </w:rPr>
        <w:t>Disclosure of Names and Addresses of Holders</w:t>
      </w:r>
      <w:r>
        <w:rPr>
          <w:rFonts w:ascii="Arial" w:cs="Arial" w:eastAsia="Arial" w:hAnsi="Arial"/>
          <w:sz w:val="19"/>
          <w:szCs w:val="19"/>
          <w:color w:val="auto"/>
        </w:rPr>
        <w:t>. Every Holder of Securities or coupons, by receiving and holding the same, agrees with the Company and the Trustee that neither the Company nor the Trustee nor any Authenticating Agent nor any Paying Agent nor any Security Registrar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any material pursuant to a request made under TIA Section 312(b).</w:t>
      </w:r>
    </w:p>
    <w:p>
      <w:pPr>
        <w:spacing w:after="0" w:line="151" w:lineRule="exact"/>
        <w:rPr>
          <w:sz w:val="20"/>
          <w:szCs w:val="20"/>
          <w:color w:val="auto"/>
        </w:rPr>
      </w:pPr>
    </w:p>
    <w:p>
      <w:pPr>
        <w:ind w:right="120" w:firstLine="648"/>
        <w:spacing w:after="0" w:line="273"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u w:val="single" w:color="auto"/>
          <w:color w:val="auto"/>
        </w:rPr>
        <w:t>Reports by Trustee</w:t>
      </w:r>
      <w:r>
        <w:rPr>
          <w:rFonts w:ascii="Arial" w:cs="Arial" w:eastAsia="Arial" w:hAnsi="Arial"/>
          <w:sz w:val="19"/>
          <w:szCs w:val="19"/>
          <w:color w:val="auto"/>
        </w:rPr>
        <w:t>. The Trustee shall transmit to Holders such reports concerning the Trustee and its actions under this Indenture as may be required by TIA Section 313 at the times and in the manner provided by the TIA, which shall initially be not less than every twelve months commencing on __________, 2009. A</w:t>
      </w:r>
    </w:p>
    <w:p>
      <w:pPr>
        <w:spacing w:after="0" w:line="2" w:lineRule="exact"/>
        <w:rPr>
          <w:sz w:val="20"/>
          <w:szCs w:val="20"/>
          <w:color w:val="auto"/>
        </w:rPr>
      </w:pPr>
    </w:p>
    <w:p>
      <w:pPr>
        <w:ind w:right="80"/>
        <w:spacing w:after="0" w:line="246" w:lineRule="auto"/>
        <w:rPr>
          <w:sz w:val="20"/>
          <w:szCs w:val="20"/>
          <w:color w:val="auto"/>
        </w:rPr>
      </w:pPr>
      <w:r>
        <w:rPr>
          <w:rFonts w:ascii="Arial" w:cs="Arial" w:eastAsia="Arial" w:hAnsi="Arial"/>
          <w:sz w:val="21"/>
          <w:szCs w:val="21"/>
          <w:color w:val="auto"/>
        </w:rPr>
        <w:t>copy of each such report shall, at the time of such transmission to Holders, be filed by the Trustee with each over-the-counter market or securities exchange, if any, upon which any Securities are quoted or listed, with the Commission and with the Company. The Company will notify the Trustee when any Securities are quoted or listed on any over-the-counter market or securities exchange or delisted therefrom.</w:t>
      </w:r>
    </w:p>
    <w:p>
      <w:pPr>
        <w:spacing w:after="0" w:line="180" w:lineRule="exact"/>
        <w:rPr>
          <w:sz w:val="20"/>
          <w:szCs w:val="20"/>
          <w:color w:val="auto"/>
        </w:rPr>
      </w:pPr>
    </w:p>
    <w:p>
      <w:pPr>
        <w:ind w:left="640"/>
        <w:spacing w:after="0"/>
        <w:tabs>
          <w:tab w:leader="none" w:pos="2400" w:val="left"/>
        </w:tabs>
        <w:rPr>
          <w:sz w:val="20"/>
          <w:szCs w:val="20"/>
          <w:color w:val="auto"/>
        </w:rPr>
      </w:pPr>
      <w:r>
        <w:rPr>
          <w:rFonts w:ascii="Arial" w:cs="Arial" w:eastAsia="Arial" w:hAnsi="Arial"/>
          <w:sz w:val="22"/>
          <w:szCs w:val="22"/>
          <w:color w:val="auto"/>
        </w:rPr>
        <w:t>SECTION 703.</w:t>
      </w:r>
      <w:r>
        <w:rPr>
          <w:sz w:val="20"/>
          <w:szCs w:val="20"/>
          <w:color w:val="auto"/>
        </w:rPr>
        <w:tab/>
      </w:r>
      <w:r>
        <w:rPr>
          <w:rFonts w:ascii="Arial" w:cs="Arial" w:eastAsia="Arial" w:hAnsi="Arial"/>
          <w:sz w:val="19"/>
          <w:szCs w:val="19"/>
          <w:u w:val="single" w:color="auto"/>
          <w:color w:val="auto"/>
        </w:rPr>
        <w:t>Reports by Company</w:t>
      </w:r>
      <w:r>
        <w:rPr>
          <w:rFonts w:ascii="Arial" w:cs="Arial" w:eastAsia="Arial" w:hAnsi="Arial"/>
          <w:sz w:val="19"/>
          <w:szCs w:val="19"/>
          <w:color w:val="auto"/>
        </w:rPr>
        <w:t>. The Company will:</w:t>
      </w:r>
    </w:p>
    <w:p>
      <w:pPr>
        <w:spacing w:after="0" w:line="206" w:lineRule="exact"/>
        <w:rPr>
          <w:sz w:val="20"/>
          <w:szCs w:val="20"/>
          <w:color w:val="auto"/>
        </w:rPr>
      </w:pPr>
    </w:p>
    <w:p>
      <w:pPr>
        <w:ind w:left="640" w:firstLine="648"/>
        <w:spacing w:after="0" w:line="234" w:lineRule="auto"/>
        <w:tabs>
          <w:tab w:leader="none" w:pos="1972" w:val="left"/>
        </w:tabs>
        <w:numPr>
          <w:ilvl w:val="0"/>
          <w:numId w:val="99"/>
        </w:numPr>
        <w:rPr>
          <w:rFonts w:ascii="Arial" w:cs="Arial" w:eastAsia="Arial" w:hAnsi="Arial"/>
          <w:sz w:val="22"/>
          <w:szCs w:val="22"/>
          <w:color w:val="auto"/>
        </w:rPr>
      </w:pPr>
      <w:r>
        <w:rPr>
          <w:rFonts w:ascii="Arial" w:cs="Arial" w:eastAsia="Arial" w:hAnsi="Arial"/>
          <w:sz w:val="22"/>
          <w:szCs w:val="22"/>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as an accelerated filer with the Commission pursuant to Section 13 or Section 15(d) of the Exchange Act (and if the Company’s status as an accelerated filer changes, the Company shall provide written notice of such change to the Trustee); or, if the Company is not required to file information, documents or reports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08" w:name="page109"/>
    <w:bookmarkEnd w:id="108"/>
    <w:p>
      <w:pPr>
        <w:ind w:left="640" w:right="160"/>
        <w:spacing w:after="0" w:line="249" w:lineRule="auto"/>
        <w:rPr>
          <w:sz w:val="20"/>
          <w:szCs w:val="20"/>
          <w:color w:val="auto"/>
        </w:rPr>
      </w:pPr>
      <w:r>
        <w:rPr>
          <w:rFonts w:ascii="Arial" w:cs="Arial" w:eastAsia="Arial" w:hAnsi="Arial"/>
          <w:sz w:val="21"/>
          <w:szCs w:val="21"/>
          <w:color w:val="auto"/>
        </w:rPr>
        <w:t>pursuant to either of such Sections, then it will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quoted or listed and registered on an over-the-counter market or national securities exchange as may be prescribed from time to time in such rules and regulations;</w:t>
      </w:r>
    </w:p>
    <w:p>
      <w:pPr>
        <w:spacing w:after="0" w:line="179" w:lineRule="exact"/>
        <w:rPr>
          <w:sz w:val="20"/>
          <w:szCs w:val="20"/>
          <w:color w:val="auto"/>
        </w:rPr>
      </w:pPr>
    </w:p>
    <w:p>
      <w:pPr>
        <w:ind w:left="640" w:right="180" w:firstLine="648"/>
        <w:spacing w:after="0" w:line="238" w:lineRule="auto"/>
        <w:tabs>
          <w:tab w:leader="none" w:pos="1972" w:val="left"/>
        </w:tabs>
        <w:numPr>
          <w:ilvl w:val="0"/>
          <w:numId w:val="100"/>
        </w:numPr>
        <w:rPr>
          <w:rFonts w:ascii="Arial" w:cs="Arial" w:eastAsia="Arial" w:hAnsi="Arial"/>
          <w:sz w:val="22"/>
          <w:szCs w:val="22"/>
          <w:color w:val="auto"/>
        </w:rPr>
      </w:pPr>
      <w:r>
        <w:rPr>
          <w:rFonts w:ascii="Arial" w:cs="Arial" w:eastAsia="Arial" w:hAnsi="Arial"/>
          <w:sz w:val="22"/>
          <w:szCs w:val="22"/>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w:t>
      </w:r>
    </w:p>
    <w:p>
      <w:pPr>
        <w:spacing w:after="0" w:line="185" w:lineRule="exact"/>
        <w:rPr>
          <w:rFonts w:ascii="Arial" w:cs="Arial" w:eastAsia="Arial" w:hAnsi="Arial"/>
          <w:sz w:val="22"/>
          <w:szCs w:val="22"/>
          <w:color w:val="auto"/>
        </w:rPr>
      </w:pPr>
    </w:p>
    <w:p>
      <w:pPr>
        <w:ind w:left="640" w:right="60" w:firstLine="648"/>
        <w:spacing w:after="0" w:line="287" w:lineRule="auto"/>
        <w:tabs>
          <w:tab w:leader="none" w:pos="1972"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transmit by mail to the Holders of Securities, within 30 days after the filing thereof with the Trustee, in the manner and to the extent provided in TIA Section 313(c), such summaries of any information, documents and reports required to be filed by the Company pursuant to paragraphs (1) and (2) of this Section as may be required by rules and regulations prescribed from time to time by the Commission; and</w:t>
      </w:r>
    </w:p>
    <w:p>
      <w:pPr>
        <w:spacing w:after="0" w:line="143" w:lineRule="exact"/>
        <w:rPr>
          <w:rFonts w:ascii="Arial" w:cs="Arial" w:eastAsia="Arial" w:hAnsi="Arial"/>
          <w:sz w:val="19"/>
          <w:szCs w:val="19"/>
          <w:color w:val="auto"/>
        </w:rPr>
      </w:pPr>
    </w:p>
    <w:p>
      <w:pPr>
        <w:ind w:left="640" w:firstLine="648"/>
        <w:spacing w:after="0" w:line="287" w:lineRule="auto"/>
        <w:tabs>
          <w:tab w:leader="none" w:pos="1972" w:val="left"/>
        </w:tabs>
        <w:numPr>
          <w:ilvl w:val="0"/>
          <w:numId w:val="100"/>
        </w:numPr>
        <w:rPr>
          <w:rFonts w:ascii="Arial" w:cs="Arial" w:eastAsia="Arial" w:hAnsi="Arial"/>
          <w:sz w:val="19"/>
          <w:szCs w:val="19"/>
          <w:color w:val="auto"/>
        </w:rPr>
      </w:pPr>
      <w:r>
        <w:rPr>
          <w:rFonts w:ascii="Arial" w:cs="Arial" w:eastAsia="Arial" w:hAnsi="Arial"/>
          <w:sz w:val="19"/>
          <w:szCs w:val="19"/>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4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 xml:space="preserve">SECTION 704. </w:t>
      </w:r>
      <w:r>
        <w:rPr>
          <w:rFonts w:ascii="Arial" w:cs="Arial" w:eastAsia="Arial" w:hAnsi="Arial"/>
          <w:sz w:val="22"/>
          <w:szCs w:val="22"/>
          <w:u w:val="single" w:color="auto"/>
          <w:color w:val="auto"/>
        </w:rPr>
        <w:t>Company to Furnish Trustee Names and Addresses of Holders</w:t>
      </w:r>
      <w:r>
        <w:rPr>
          <w:rFonts w:ascii="Arial" w:cs="Arial" w:eastAsia="Arial" w:hAnsi="Arial"/>
          <w:sz w:val="22"/>
          <w:szCs w:val="22"/>
          <w:color w:val="auto"/>
        </w:rPr>
        <w:t>. The Company will furnish or cause to be furnished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5001260</wp:posOffset>
            </wp:positionH>
            <wp:positionV relativeFrom="paragraph">
              <wp:posOffset>-193040</wp:posOffset>
            </wp:positionV>
            <wp:extent cx="137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3" w:lineRule="exact"/>
        <w:rPr>
          <w:sz w:val="20"/>
          <w:szCs w:val="20"/>
          <w:color w:val="auto"/>
        </w:rPr>
      </w:pPr>
    </w:p>
    <w:p>
      <w:pPr>
        <w:ind w:right="140" w:firstLine="1288"/>
        <w:spacing w:after="0" w:line="236" w:lineRule="auto"/>
        <w:tabs>
          <w:tab w:leader="none" w:pos="1968" w:val="left"/>
        </w:tabs>
        <w:numPr>
          <w:ilvl w:val="0"/>
          <w:numId w:val="101"/>
        </w:numPr>
        <w:rPr>
          <w:rFonts w:ascii="Arial" w:cs="Arial" w:eastAsia="Arial" w:hAnsi="Arial"/>
          <w:sz w:val="22"/>
          <w:szCs w:val="22"/>
          <w:color w:val="auto"/>
        </w:rPr>
      </w:pPr>
      <w:r>
        <w:rPr>
          <w:rFonts w:ascii="Arial" w:cs="Arial" w:eastAsia="Arial" w:hAnsi="Arial"/>
          <w:sz w:val="22"/>
          <w:szCs w:val="22"/>
          <w:color w:val="auto"/>
        </w:rPr>
        <w:t>semiannually, not later than 15 days after the Regular Record Date for interest for each series of Securities, a list, in such form as the Trustee may reasonably require, of the names and addresses of the Holders of Registered Securities of such series as of such Regular Record Date, or if there is no Regular Record Date for interest for such series of Securities, semiannually, upon such dates as are set forth in the Board Resolution or indenture supplemental hereto authorizing such series, and</w:t>
      </w:r>
    </w:p>
    <w:p>
      <w:pPr>
        <w:spacing w:after="0" w:line="187" w:lineRule="exact"/>
        <w:rPr>
          <w:rFonts w:ascii="Arial" w:cs="Arial" w:eastAsia="Arial" w:hAnsi="Arial"/>
          <w:sz w:val="22"/>
          <w:szCs w:val="22"/>
          <w:color w:val="auto"/>
        </w:rPr>
      </w:pPr>
    </w:p>
    <w:p>
      <w:pPr>
        <w:ind w:right="160" w:firstLine="1288"/>
        <w:spacing w:after="0"/>
        <w:tabs>
          <w:tab w:leader="none" w:pos="1981"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so long as the Trustee is the Security Registrar, no such list shall be required to be furnished.</w:t>
      </w:r>
    </w:p>
    <w:p>
      <w:pPr>
        <w:spacing w:after="0" w:line="241"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ARTICLE EIGHT - CONSOLIDATION, MERGER, SALE, LEASE OR CONVEYANCE</w:t>
      </w:r>
    </w:p>
    <w:p>
      <w:pPr>
        <w:spacing w:after="0" w:line="206"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u w:val="single" w:color="auto"/>
          <w:color w:val="auto"/>
        </w:rPr>
        <w:t>Consolidations and Mergers of Company and Sales, Leases and Conveyances Permitted</w:t>
      </w:r>
      <w:r>
        <w:rPr>
          <w:rFonts w:ascii="Arial" w:cs="Arial" w:eastAsia="Arial" w:hAnsi="Arial"/>
          <w:sz w:val="22"/>
          <w:szCs w:val="22"/>
          <w:color w:val="auto"/>
        </w:rPr>
        <w:t xml:space="preserve"> </w:t>
      </w:r>
      <w:r>
        <w:rPr>
          <w:rFonts w:ascii="Arial" w:cs="Arial" w:eastAsia="Arial" w:hAnsi="Arial"/>
          <w:sz w:val="22"/>
          <w:szCs w:val="22"/>
          <w:u w:val="single" w:color="auto"/>
          <w:color w:val="auto"/>
        </w:rPr>
        <w:t>Subject to Certain Conditions</w:t>
      </w:r>
      <w:r>
        <w:rPr>
          <w:rFonts w:ascii="Arial" w:cs="Arial" w:eastAsia="Arial" w:hAnsi="Arial"/>
          <w:sz w:val="22"/>
          <w:szCs w:val="22"/>
          <w:color w:val="auto"/>
        </w:rPr>
        <w:t>. The Company may consolidate with, or sell, lease or convey all or substantially all of its assets to, or merge with or into any other corporation, provided that in any such case, (1) either the Company shall be the continuing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09" w:name="page110"/>
    <w:bookmarkEnd w:id="109"/>
    <w:p>
      <w:pPr>
        <w:spacing w:after="0" w:line="273" w:lineRule="auto"/>
        <w:rPr>
          <w:sz w:val="20"/>
          <w:szCs w:val="20"/>
          <w:color w:val="auto"/>
        </w:rPr>
      </w:pPr>
      <w:r>
        <w:rPr>
          <w:rFonts w:ascii="Arial" w:cs="Arial" w:eastAsia="Arial" w:hAnsi="Arial"/>
          <w:sz w:val="19"/>
          <w:szCs w:val="19"/>
          <w:color w:val="auto"/>
        </w:rPr>
        <w:t>corporation, or the successor corporation shall be a corporation organized and existing under the laws of the United States or a State thereof and such successor corporation shall expressly assume the due and punctual payment of the principal of (and premium or Make-Whole Amount, if any) and any interest on all of the Securities, according to their tenor, and the due and punctual performance and observance of all of the covenants and conditions of this Indenture to be performed by the Company by supplemental indenture, complying with Article Nine hereof, satisfactory to the Trustee, executed and delivered to the Trustee by such corporation, (2) immediately after giving effect to such transaction and treating any indebtedness which becomes an obligation of the Company or any Subsidiary as a result thereof as having been incurred by the Company or such Subsidiary at the time of such transaction, no Event of Default, and no event which, after notice or the lapse of time, or both, would become an Event of Default, shall have occurred and be continuing and (3) the Company shall have delivered to the Trustee the Officer’s Certificate and Opinion of Counsel required pursuant to Section 803 below.</w:t>
      </w:r>
    </w:p>
    <w:p>
      <w:pPr>
        <w:spacing w:after="0" w:line="200" w:lineRule="exact"/>
        <w:rPr>
          <w:sz w:val="20"/>
          <w:szCs w:val="20"/>
          <w:color w:val="auto"/>
        </w:rPr>
      </w:pPr>
    </w:p>
    <w:p>
      <w:pPr>
        <w:spacing w:after="0" w:line="205" w:lineRule="exact"/>
        <w:rPr>
          <w:sz w:val="20"/>
          <w:szCs w:val="20"/>
          <w:color w:val="auto"/>
        </w:rPr>
      </w:pPr>
    </w:p>
    <w:p>
      <w:pPr>
        <w:ind w:right="40" w:firstLine="648"/>
        <w:spacing w:after="0" w:line="271"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u w:val="single" w:color="auto"/>
          <w:color w:val="auto"/>
        </w:rPr>
        <w:t>Rights and Duties of Successor Corporation</w:t>
      </w:r>
      <w:r>
        <w:rPr>
          <w:rFonts w:ascii="Arial" w:cs="Arial" w:eastAsia="Arial" w:hAnsi="Arial"/>
          <w:sz w:val="19"/>
          <w:szCs w:val="19"/>
          <w:color w:val="auto"/>
        </w:rPr>
        <w:t>. In case of any such consolidation, merger, sale, lease or conveyance and upon any such assumption by the successor corporation, such successor corporation shall succeed to and be substituted for the Company, with the same effect as if it had been named herein as the party of the first part, and the predecessor corporation, except in the event of a lease, shall be relieved of any further obligation under this Indenture and the Securities. Such successor corporation thereupon may cause to be signed, and may issue either in its own name or in the name of the Company, any or all of the Securities 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shall deliver any Securities which previously shall have been signed and delivered by the officers of the Company to the Trustee for authentication, and any Securities which such successor corporation thereafter shall cause to be signed and delivered to the Trustee for that purpose.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200" w:lineRule="exact"/>
        <w:rPr>
          <w:sz w:val="20"/>
          <w:szCs w:val="20"/>
          <w:color w:val="auto"/>
        </w:rPr>
      </w:pPr>
    </w:p>
    <w:p>
      <w:pPr>
        <w:spacing w:after="0" w:line="212" w:lineRule="exact"/>
        <w:rPr>
          <w:sz w:val="20"/>
          <w:szCs w:val="20"/>
          <w:color w:val="auto"/>
        </w:rPr>
      </w:pPr>
    </w:p>
    <w:p>
      <w:pPr>
        <w:ind w:right="40" w:firstLine="648"/>
        <w:spacing w:after="0" w:line="274" w:lineRule="auto"/>
        <w:rPr>
          <w:sz w:val="20"/>
          <w:szCs w:val="20"/>
          <w:color w:val="auto"/>
        </w:rPr>
      </w:pPr>
      <w:r>
        <w:rPr>
          <w:rFonts w:ascii="Arial" w:cs="Arial" w:eastAsia="Arial" w:hAnsi="Arial"/>
          <w:sz w:val="21"/>
          <w:szCs w:val="21"/>
          <w:color w:val="auto"/>
        </w:rPr>
        <w:t>In case of any such consolidation, merger, sale, lease or conveyance, such changes in phraseology and form (but not in substance) may be made in the Securities thereafter to be issued as may be appropriate.</w:t>
      </w:r>
    </w:p>
    <w:p>
      <w:pPr>
        <w:spacing w:after="0" w:line="151" w:lineRule="exact"/>
        <w:rPr>
          <w:sz w:val="20"/>
          <w:szCs w:val="20"/>
          <w:color w:val="auto"/>
        </w:rPr>
      </w:pPr>
    </w:p>
    <w:p>
      <w:pPr>
        <w:ind w:right="60" w:firstLine="648"/>
        <w:spacing w:after="0" w:line="249" w:lineRule="auto"/>
        <w:rPr>
          <w:sz w:val="20"/>
          <w:szCs w:val="20"/>
          <w:color w:val="auto"/>
        </w:rPr>
      </w:pPr>
      <w:r>
        <w:rPr>
          <w:rFonts w:ascii="Arial" w:cs="Arial" w:eastAsia="Arial" w:hAnsi="Arial"/>
          <w:sz w:val="21"/>
          <w:szCs w:val="21"/>
          <w:color w:val="auto"/>
        </w:rPr>
        <w:t xml:space="preserve">SECTION 803. </w:t>
      </w:r>
      <w:r>
        <w:rPr>
          <w:rFonts w:ascii="Arial" w:cs="Arial" w:eastAsia="Arial" w:hAnsi="Arial"/>
          <w:sz w:val="21"/>
          <w:szCs w:val="21"/>
          <w:u w:val="single" w:color="auto"/>
          <w:color w:val="auto"/>
        </w:rPr>
        <w:t>Officers’ Certificate and Opinion of Counsel</w:t>
      </w:r>
      <w:r>
        <w:rPr>
          <w:rFonts w:ascii="Arial" w:cs="Arial" w:eastAsia="Arial" w:hAnsi="Arial"/>
          <w:sz w:val="21"/>
          <w:szCs w:val="21"/>
          <w:color w:val="auto"/>
        </w:rPr>
        <w:t>. Any consolidation, merger, sale, lease or conveyance permitted under Section 801 is also subject to the condition that the Trustee receive an Officers’ Certificate and an Opinion of Counsel to the effect that any such consolidation, merger, sale, lease or conveyance, and the assumption by any successor corporation, complies with the provisions of this Article and that all conditions precedent herein provided for relating to such transaction have been complied with.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NINE - SUPPLEMENTAL INDENTURES</w:t>
      </w:r>
    </w:p>
    <w:p>
      <w:pPr>
        <w:spacing w:after="0" w:line="206" w:lineRule="exact"/>
        <w:rPr>
          <w:sz w:val="20"/>
          <w:szCs w:val="20"/>
          <w:color w:val="auto"/>
        </w:rPr>
      </w:pPr>
    </w:p>
    <w:p>
      <w:pPr>
        <w:ind w:right="100" w:firstLine="648"/>
        <w:spacing w:after="0" w:line="251" w:lineRule="auto"/>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u w:val="single" w:color="auto"/>
          <w:color w:val="auto"/>
        </w:rPr>
        <w:t>Supplemental Indentures Without Consent of Holders</w:t>
      </w:r>
      <w:r>
        <w:rPr>
          <w:rFonts w:ascii="Arial" w:cs="Arial" w:eastAsia="Arial" w:hAnsi="Arial"/>
          <w:sz w:val="22"/>
          <w:szCs w:val="22"/>
          <w:color w:val="auto"/>
        </w:rPr>
        <w:t>. Without the consent of any Holders of Securities or coupons, the Company, when authorized by or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10" w:name="page111"/>
    <w:bookmarkEnd w:id="110"/>
    <w:p>
      <w:pPr>
        <w:ind w:right="800"/>
        <w:spacing w:after="0" w:line="328" w:lineRule="auto"/>
        <w:rPr>
          <w:sz w:val="20"/>
          <w:szCs w:val="20"/>
          <w:color w:val="auto"/>
        </w:rPr>
      </w:pPr>
      <w:r>
        <w:rPr>
          <w:rFonts w:ascii="Arial" w:cs="Arial" w:eastAsia="Arial" w:hAnsi="Arial"/>
          <w:sz w:val="19"/>
          <w:szCs w:val="19"/>
          <w:color w:val="auto"/>
        </w:rPr>
        <w:t>pursuant to a Board Resolution, and the Trustee, at any time and from time to time, may enter into one or more indentures supplemental hereto, in form satisfactory to the Trustee, for any of the following purposes:</w:t>
      </w:r>
    </w:p>
    <w:p>
      <w:pPr>
        <w:spacing w:after="0" w:line="105" w:lineRule="exact"/>
        <w:rPr>
          <w:sz w:val="20"/>
          <w:szCs w:val="20"/>
          <w:color w:val="auto"/>
        </w:rPr>
      </w:pPr>
    </w:p>
    <w:p>
      <w:pPr>
        <w:ind w:left="640" w:right="300" w:firstLine="648"/>
        <w:spacing w:after="0" w:line="274" w:lineRule="auto"/>
        <w:tabs>
          <w:tab w:leader="none" w:pos="1972" w:val="left"/>
        </w:tabs>
        <w:numPr>
          <w:ilvl w:val="0"/>
          <w:numId w:val="102"/>
        </w:numPr>
        <w:rPr>
          <w:rFonts w:ascii="Arial" w:cs="Arial" w:eastAsia="Arial" w:hAnsi="Arial"/>
          <w:sz w:val="21"/>
          <w:szCs w:val="21"/>
          <w:color w:val="auto"/>
        </w:rPr>
      </w:pPr>
      <w:r>
        <w:rPr>
          <w:rFonts w:ascii="Arial" w:cs="Arial" w:eastAsia="Arial" w:hAnsi="Arial"/>
          <w:sz w:val="21"/>
          <w:szCs w:val="21"/>
          <w:color w:val="auto"/>
        </w:rPr>
        <w:t>to evidence the succession of another Person to the Company and the assumption by any such successor of the covenants of the Company contained herein and in the Securities; or</w:t>
      </w:r>
    </w:p>
    <w:p>
      <w:pPr>
        <w:spacing w:after="0" w:line="150" w:lineRule="exact"/>
        <w:rPr>
          <w:rFonts w:ascii="Arial" w:cs="Arial" w:eastAsia="Arial" w:hAnsi="Arial"/>
          <w:sz w:val="21"/>
          <w:szCs w:val="21"/>
          <w:color w:val="auto"/>
        </w:rPr>
      </w:pPr>
    </w:p>
    <w:p>
      <w:pPr>
        <w:ind w:left="640" w:right="220" w:firstLine="648"/>
        <w:spacing w:after="0" w:line="238" w:lineRule="auto"/>
        <w:tabs>
          <w:tab w:leader="none" w:pos="1972"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5" w:lineRule="exact"/>
        <w:rPr>
          <w:rFonts w:ascii="Arial" w:cs="Arial" w:eastAsia="Arial" w:hAnsi="Arial"/>
          <w:sz w:val="22"/>
          <w:szCs w:val="22"/>
          <w:color w:val="auto"/>
        </w:rPr>
      </w:pPr>
    </w:p>
    <w:p>
      <w:pPr>
        <w:ind w:left="640" w:right="100" w:firstLine="648"/>
        <w:spacing w:after="0" w:line="245" w:lineRule="auto"/>
        <w:tabs>
          <w:tab w:leader="none" w:pos="1972" w:val="left"/>
        </w:tabs>
        <w:numPr>
          <w:ilvl w:val="0"/>
          <w:numId w:val="102"/>
        </w:numPr>
        <w:rPr>
          <w:rFonts w:ascii="Arial" w:cs="Arial" w:eastAsia="Arial" w:hAnsi="Arial"/>
          <w:sz w:val="21"/>
          <w:szCs w:val="21"/>
          <w:color w:val="auto"/>
        </w:rPr>
      </w:pPr>
      <w:r>
        <w:rPr>
          <w:rFonts w:ascii="Arial" w:cs="Arial" w:eastAsia="Arial" w:hAnsi="Arial"/>
          <w:sz w:val="21"/>
          <w:szCs w:val="21"/>
          <w:color w:val="auto"/>
        </w:rPr>
        <w:t xml:space="preserve">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185" w:lineRule="exact"/>
        <w:rPr>
          <w:rFonts w:ascii="Arial" w:cs="Arial" w:eastAsia="Arial" w:hAnsi="Arial"/>
          <w:sz w:val="21"/>
          <w:szCs w:val="21"/>
          <w:color w:val="auto"/>
        </w:rPr>
      </w:pPr>
    </w:p>
    <w:p>
      <w:pPr>
        <w:ind w:left="640" w:right="60" w:firstLine="648"/>
        <w:spacing w:after="0" w:line="247" w:lineRule="auto"/>
        <w:tabs>
          <w:tab w:leader="none" w:pos="1972" w:val="left"/>
        </w:tabs>
        <w:numPr>
          <w:ilvl w:val="0"/>
          <w:numId w:val="102"/>
        </w:numPr>
        <w:rPr>
          <w:rFonts w:ascii="Arial" w:cs="Arial" w:eastAsia="Arial" w:hAnsi="Arial"/>
          <w:sz w:val="21"/>
          <w:szCs w:val="21"/>
          <w:color w:val="auto"/>
        </w:rPr>
      </w:pPr>
      <w:r>
        <w:rPr>
          <w:rFonts w:ascii="Arial" w:cs="Arial" w:eastAsia="Arial" w:hAnsi="Arial"/>
          <w:sz w:val="21"/>
          <w:szCs w:val="21"/>
          <w:color w:val="auto"/>
        </w:rPr>
        <w:t xml:space="preserve">to add to or change any of the provisions of this Indenture to provide that Bearer Securities may be registrable as to principal, to change or eliminate any restrictions on the payment of principal of or premium or Make-Whole Amount, if any,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action shall not adversely affect the interests of the Holders of Securities of any series or any related coupons in any material respect; or</w:t>
      </w:r>
    </w:p>
    <w:p>
      <w:pPr>
        <w:spacing w:after="0" w:line="178" w:lineRule="exact"/>
        <w:rPr>
          <w:rFonts w:ascii="Arial" w:cs="Arial" w:eastAsia="Arial" w:hAnsi="Arial"/>
          <w:sz w:val="21"/>
          <w:szCs w:val="21"/>
          <w:color w:val="auto"/>
        </w:rPr>
      </w:pPr>
    </w:p>
    <w:p>
      <w:pPr>
        <w:jc w:val="both"/>
        <w:ind w:left="640" w:right="120" w:firstLine="648"/>
        <w:spacing w:after="0" w:line="297" w:lineRule="auto"/>
        <w:tabs>
          <w:tab w:leader="none" w:pos="1972"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to change or eliminate any of the provisions of this Indenture,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change or elimination shall become effective only when there is no Security Outstanding of any series created prior to the execution of such supplemental indenture which is entitled to the benefit of such provision; or</w:t>
      </w:r>
    </w:p>
    <w:p>
      <w:pPr>
        <w:spacing w:after="0" w:line="134" w:lineRule="exact"/>
        <w:rPr>
          <w:rFonts w:ascii="Arial" w:cs="Arial" w:eastAsia="Arial" w:hAnsi="Arial"/>
          <w:sz w:val="19"/>
          <w:szCs w:val="19"/>
          <w:color w:val="auto"/>
        </w:rPr>
      </w:pPr>
    </w:p>
    <w:p>
      <w:pPr>
        <w:ind w:left="1980" w:hanging="692"/>
        <w:spacing w:after="0"/>
        <w:tabs>
          <w:tab w:leader="none" w:pos="198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to secure the Securities; or</w:t>
      </w:r>
    </w:p>
    <w:p>
      <w:pPr>
        <w:spacing w:after="0" w:line="206" w:lineRule="exact"/>
        <w:rPr>
          <w:rFonts w:ascii="Arial" w:cs="Arial" w:eastAsia="Arial" w:hAnsi="Arial"/>
          <w:sz w:val="22"/>
          <w:szCs w:val="22"/>
          <w:color w:val="auto"/>
        </w:rPr>
      </w:pPr>
    </w:p>
    <w:p>
      <w:pPr>
        <w:ind w:left="640" w:right="80" w:firstLine="648"/>
        <w:spacing w:after="0" w:line="251" w:lineRule="auto"/>
        <w:tabs>
          <w:tab w:leader="none" w:pos="1972"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to establish the form or terms of Securities of any series and any related coupons as permitted or contemplated by Sections 201 and 301; or</w:t>
      </w:r>
    </w:p>
    <w:p>
      <w:pPr>
        <w:spacing w:after="0" w:line="173" w:lineRule="exact"/>
        <w:rPr>
          <w:rFonts w:ascii="Arial" w:cs="Arial" w:eastAsia="Arial" w:hAnsi="Arial"/>
          <w:sz w:val="22"/>
          <w:szCs w:val="22"/>
          <w:color w:val="auto"/>
        </w:rPr>
      </w:pPr>
    </w:p>
    <w:p>
      <w:pPr>
        <w:ind w:left="640" w:firstLine="648"/>
        <w:spacing w:after="0" w:line="238" w:lineRule="auto"/>
        <w:tabs>
          <w:tab w:leader="none" w:pos="1972"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11" w:name="page112"/>
    <w:bookmarkEnd w:id="111"/>
    <w:p>
      <w:pPr>
        <w:ind w:left="640" w:right="100" w:firstLine="648"/>
        <w:spacing w:after="0" w:line="236" w:lineRule="auto"/>
        <w:tabs>
          <w:tab w:leader="none" w:pos="1972" w:val="left"/>
        </w:tabs>
        <w:numPr>
          <w:ilvl w:val="0"/>
          <w:numId w:val="103"/>
        </w:numPr>
        <w:rPr>
          <w:rFonts w:ascii="Arial" w:cs="Arial" w:eastAsia="Arial" w:hAnsi="Arial"/>
          <w:sz w:val="22"/>
          <w:szCs w:val="22"/>
          <w:color w:val="auto"/>
        </w:rPr>
      </w:pPr>
      <w:r>
        <w:rPr>
          <w:rFonts w:ascii="Arial" w:cs="Arial" w:eastAsia="Arial" w:hAnsi="Arial"/>
          <w:sz w:val="22"/>
          <w:szCs w:val="22"/>
          <w:color w:val="auto"/>
        </w:rPr>
        <w:t xml:space="preserve">to cure any ambiguity, to correct or supplement any provision herein which may be defective or inconsistent with any other provision herein, or to make any other provisions with respect to matters or questions arising under this Indenture which shall not be inconsistent with the provisions of this Indenture,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such provisions shall not adversely affect the interests of the Holders of Securities of any series or any related coupons in any material respect; or</w:t>
      </w:r>
    </w:p>
    <w:p>
      <w:pPr>
        <w:spacing w:after="0" w:line="187" w:lineRule="exact"/>
        <w:rPr>
          <w:rFonts w:ascii="Arial" w:cs="Arial" w:eastAsia="Arial" w:hAnsi="Arial"/>
          <w:sz w:val="22"/>
          <w:szCs w:val="22"/>
          <w:color w:val="auto"/>
        </w:rPr>
      </w:pPr>
    </w:p>
    <w:p>
      <w:pPr>
        <w:ind w:left="640" w:right="160" w:firstLine="648"/>
        <w:spacing w:after="0" w:line="287" w:lineRule="auto"/>
        <w:tabs>
          <w:tab w:leader="none" w:pos="1972"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to supplement any of the provisions of this Indenture to such extent as shall be necessary to permit or facilitate the Defeasance and discharge of any series of Securities pursuant to Sections 401, 1402 and 1403;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action shall not adversely affect the interests of the Holders of Securities of such series and any related coupons or any other series of Securities in any material respect; or</w:t>
      </w:r>
    </w:p>
    <w:p>
      <w:pPr>
        <w:spacing w:after="0" w:line="143" w:lineRule="exact"/>
        <w:rPr>
          <w:rFonts w:ascii="Arial" w:cs="Arial" w:eastAsia="Arial" w:hAnsi="Arial"/>
          <w:sz w:val="19"/>
          <w:szCs w:val="19"/>
          <w:color w:val="auto"/>
        </w:rPr>
      </w:pPr>
    </w:p>
    <w:p>
      <w:pPr>
        <w:ind w:left="640" w:right="400" w:firstLine="648"/>
        <w:spacing w:after="0" w:line="251" w:lineRule="auto"/>
        <w:tabs>
          <w:tab w:leader="none" w:pos="196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to make provisions with respect to Holders’ rights of conversion with respect to any series of Securities pursuant to Article Sixteen.</w:t>
      </w:r>
    </w:p>
    <w:p>
      <w:pPr>
        <w:spacing w:after="0" w:line="173"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 xml:space="preserve">SECTION 902. </w:t>
      </w:r>
      <w:r>
        <w:rPr>
          <w:rFonts w:ascii="Arial" w:cs="Arial" w:eastAsia="Arial" w:hAnsi="Arial"/>
          <w:sz w:val="19"/>
          <w:szCs w:val="19"/>
          <w:u w:val="single" w:color="auto"/>
          <w:color w:val="auto"/>
        </w:rPr>
        <w:t>Supplemental Indentures with Consent of Holders</w:t>
      </w:r>
      <w:r>
        <w:rPr>
          <w:rFonts w:ascii="Arial" w:cs="Arial" w:eastAsia="Arial" w:hAnsi="Arial"/>
          <w:sz w:val="19"/>
          <w:szCs w:val="19"/>
          <w:color w:val="auto"/>
        </w:rPr>
        <w:t xml:space="preserve">. With the consent of the Holders of not less than a majority in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and any related coupons under this Indenture;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supplemental indenture shall, without the consent of the Holder of each Outstanding Security affected thereby:</w:t>
      </w:r>
    </w:p>
    <w:p>
      <w:pPr>
        <w:spacing w:after="0" w:line="153" w:lineRule="exact"/>
        <w:rPr>
          <w:sz w:val="20"/>
          <w:szCs w:val="20"/>
          <w:color w:val="auto"/>
        </w:rPr>
      </w:pPr>
    </w:p>
    <w:p>
      <w:pPr>
        <w:ind w:left="640" w:firstLine="648"/>
        <w:spacing w:after="0" w:line="272" w:lineRule="auto"/>
        <w:tabs>
          <w:tab w:leader="none" w:pos="1972" w:val="left"/>
        </w:tabs>
        <w:numPr>
          <w:ilvl w:val="0"/>
          <w:numId w:val="104"/>
        </w:numPr>
        <w:rPr>
          <w:rFonts w:ascii="Arial" w:cs="Arial" w:eastAsia="Arial" w:hAnsi="Arial"/>
          <w:sz w:val="19"/>
          <w:szCs w:val="19"/>
          <w:color w:val="auto"/>
        </w:rPr>
      </w:pPr>
      <w:r>
        <w:rPr>
          <w:rFonts w:ascii="Arial" w:cs="Arial" w:eastAsia="Arial" w:hAnsi="Arial"/>
          <w:sz w:val="19"/>
          <w:szCs w:val="19"/>
          <w:color w:val="auto"/>
        </w:rPr>
        <w:t>change the Stated Maturity of the principal of (or premium or Make-Whole Amount, if any, on) or any installment of principal of or interest on, any Security; or reduce the principal amount thereof or the rate or amount of interest thereon, or any premium or Make-Whole Amount payable upon the redemption thereof, or reduce the amount of the principal of an Original Issue Discount Security that would be due and payable upon a declaration of acceleration of the Maturity thereof pursuant to Section 502 or the amount thereof provable in bankruptcy pursuant to Section 504, or adversely affect any right of repayment at the option of the Holder of any Security, or change any Place of Payment where, or the currency or currencies, currency unit or units or composite currency or currencies in which, any Security or any premium or Make-Whole Amount or the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(if Securities of such series are convertible) adversely affect the right of the Holder to convert any Security as provided in Article Sixteen; or</w:t>
      </w:r>
    </w:p>
    <w:p>
      <w:pPr>
        <w:spacing w:after="0" w:line="161" w:lineRule="exact"/>
        <w:rPr>
          <w:rFonts w:ascii="Arial" w:cs="Arial" w:eastAsia="Arial" w:hAnsi="Arial"/>
          <w:sz w:val="19"/>
          <w:szCs w:val="19"/>
          <w:color w:val="auto"/>
        </w:rPr>
      </w:pPr>
    </w:p>
    <w:p>
      <w:pPr>
        <w:ind w:left="640" w:right="260" w:firstLine="648"/>
        <w:spacing w:after="0" w:line="238" w:lineRule="auto"/>
        <w:tabs>
          <w:tab w:leader="none" w:pos="197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reduce the percentage in principal amount of the Outstanding Securities of any series, the consent of whose Holders is required for any such supplemental indenture, or the consent of whose Holders is required for any waiver with respect to such series (or compliance with certain provisions of this Indenture or certain defaults hereunder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112" w:name="page113"/>
    <w:bookmarkEnd w:id="112"/>
    <w:p>
      <w:pPr>
        <w:ind w:left="640" w:right="340"/>
        <w:spacing w:after="0" w:line="251" w:lineRule="auto"/>
        <w:rPr>
          <w:sz w:val="20"/>
          <w:szCs w:val="20"/>
          <w:color w:val="auto"/>
        </w:rPr>
      </w:pPr>
      <w:r>
        <w:rPr>
          <w:rFonts w:ascii="Arial" w:cs="Arial" w:eastAsia="Arial" w:hAnsi="Arial"/>
          <w:sz w:val="22"/>
          <w:szCs w:val="22"/>
          <w:color w:val="auto"/>
        </w:rPr>
        <w:t>their consequences) provided for in this Indenture, or reduce the requirements of Section 1504 for quorum or voting, or</w:t>
      </w:r>
    </w:p>
    <w:p>
      <w:pPr>
        <w:spacing w:after="0" w:line="173" w:lineRule="exact"/>
        <w:rPr>
          <w:sz w:val="20"/>
          <w:szCs w:val="20"/>
          <w:color w:val="auto"/>
        </w:rPr>
      </w:pPr>
    </w:p>
    <w:p>
      <w:pPr>
        <w:ind w:left="640" w:firstLine="648"/>
        <w:spacing w:after="0" w:line="279" w:lineRule="auto"/>
        <w:tabs>
          <w:tab w:leader="none" w:pos="1972"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modify any of the provisions of this Section, Section 513 or Section 1009, except to increase the required percentage to effect such action or to provide that certain other provisions of this Indenture cannot be modified or waived without the consent of the Holder of each Outstanding Security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clause shall not be deemed to require the consent of any Holder with respect to changes in the references to “the Trustee” and concomitant changes in this Section 902 and Section 1009, or the deletion of this proviso, in accordance with the requirements of Sections 609(b) and 901(11).</w:t>
      </w:r>
    </w:p>
    <w:p>
      <w:pPr>
        <w:spacing w:after="0" w:line="151" w:lineRule="exact"/>
        <w:rPr>
          <w:sz w:val="20"/>
          <w:szCs w:val="20"/>
          <w:color w:val="auto"/>
        </w:rPr>
      </w:pPr>
    </w:p>
    <w:p>
      <w:pPr>
        <w:ind w:right="440" w:firstLine="648"/>
        <w:spacing w:after="0" w:line="328" w:lineRule="auto"/>
        <w:rPr>
          <w:sz w:val="20"/>
          <w:szCs w:val="20"/>
          <w:color w:val="auto"/>
        </w:rPr>
      </w:pPr>
      <w:r>
        <w:rPr>
          <w:rFonts w:ascii="Arial" w:cs="Arial" w:eastAsia="Arial" w:hAnsi="Arial"/>
          <w:sz w:val="19"/>
          <w:szCs w:val="19"/>
          <w:color w:val="auto"/>
        </w:rPr>
        <w:t>It shall not be necessary for any Act of Holders under this Section 902 to approve the particular form of any proposed supplemental indenture, but it shall be sufficient if such Act shall approve the substance thereof.</w:t>
      </w:r>
    </w:p>
    <w:p>
      <w:pPr>
        <w:spacing w:after="0" w:line="105" w:lineRule="exact"/>
        <w:rPr>
          <w:sz w:val="20"/>
          <w:szCs w:val="20"/>
          <w:color w:val="auto"/>
        </w:rPr>
      </w:pPr>
    </w:p>
    <w:p>
      <w:pPr>
        <w:jc w:val="both"/>
        <w:ind w:right="160" w:firstLine="648"/>
        <w:spacing w:after="0" w:line="287" w:lineRule="auto"/>
        <w:rPr>
          <w:sz w:val="20"/>
          <w:szCs w:val="20"/>
          <w:color w:val="auto"/>
        </w:rPr>
      </w:pPr>
      <w:r>
        <w:rPr>
          <w:rFonts w:ascii="Arial" w:cs="Arial" w:eastAsia="Arial" w:hAnsi="Arial"/>
          <w:sz w:val="19"/>
          <w:szCs w:val="19"/>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43" w:lineRule="exact"/>
        <w:rPr>
          <w:sz w:val="20"/>
          <w:szCs w:val="20"/>
          <w:color w:val="auto"/>
        </w:rPr>
      </w:pPr>
    </w:p>
    <w:p>
      <w:pPr>
        <w:ind w:right="60" w:firstLine="648"/>
        <w:spacing w:after="0" w:line="279" w:lineRule="auto"/>
        <w:rPr>
          <w:sz w:val="20"/>
          <w:szCs w:val="20"/>
          <w:color w:val="auto"/>
        </w:rPr>
      </w:pPr>
      <w:r>
        <w:rPr>
          <w:rFonts w:ascii="Arial" w:cs="Arial" w:eastAsia="Arial" w:hAnsi="Arial"/>
          <w:sz w:val="19"/>
          <w:szCs w:val="19"/>
          <w:color w:val="auto"/>
        </w:rPr>
        <w:t xml:space="preserve">SECTION 903. </w:t>
      </w:r>
      <w:r>
        <w:rPr>
          <w:rFonts w:ascii="Arial" w:cs="Arial" w:eastAsia="Arial" w:hAnsi="Arial"/>
          <w:sz w:val="19"/>
          <w:szCs w:val="19"/>
          <w:u w:val="single" w:color="auto"/>
          <w:color w:val="auto"/>
        </w:rPr>
        <w:t>Execution of Supplemental Indentures</w:t>
      </w:r>
      <w:r>
        <w:rPr>
          <w:rFonts w:ascii="Arial" w:cs="Arial" w:eastAsia="Arial" w:hAnsi="Arial"/>
          <w:sz w:val="19"/>
          <w:szCs w:val="19"/>
          <w:color w:val="auto"/>
        </w:rPr>
        <w:t>. In executing, or accepting the additional trusts created by, any supplemental indenture permitted by this Article or the modification thereby of the trusts created by this Indenture, the Trustee shall be entitled to receive, and (subject to Section 612)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51" w:lineRule="exact"/>
        <w:rPr>
          <w:sz w:val="20"/>
          <w:szCs w:val="20"/>
          <w:color w:val="auto"/>
        </w:rPr>
      </w:pPr>
    </w:p>
    <w:p>
      <w:pPr>
        <w:ind w:right="40" w:firstLine="648"/>
        <w:spacing w:after="0" w:line="252" w:lineRule="auto"/>
        <w:rPr>
          <w:sz w:val="20"/>
          <w:szCs w:val="20"/>
          <w:color w:val="auto"/>
        </w:rPr>
      </w:pPr>
      <w:r>
        <w:rPr>
          <w:rFonts w:ascii="Arial" w:cs="Arial" w:eastAsia="Arial" w:hAnsi="Arial"/>
          <w:sz w:val="21"/>
          <w:szCs w:val="21"/>
          <w:color w:val="auto"/>
        </w:rPr>
        <w:t xml:space="preserve">SECTION 904. </w:t>
      </w:r>
      <w:r>
        <w:rPr>
          <w:rFonts w:ascii="Arial" w:cs="Arial" w:eastAsia="Arial" w:hAnsi="Arial"/>
          <w:sz w:val="21"/>
          <w:szCs w:val="21"/>
          <w:u w:val="single" w:color="auto"/>
          <w:color w:val="auto"/>
        </w:rPr>
        <w:t>Effect of Supplemental Indentures</w:t>
      </w:r>
      <w:r>
        <w:rPr>
          <w:rFonts w:ascii="Arial" w:cs="Arial" w:eastAsia="Arial" w:hAnsi="Arial"/>
          <w:sz w:val="21"/>
          <w:szCs w:val="21"/>
          <w:color w:val="auto"/>
        </w:rPr>
        <w:t>.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w:t>
      </w:r>
    </w:p>
    <w:p>
      <w:pPr>
        <w:spacing w:after="0" w:line="174" w:lineRule="exact"/>
        <w:rPr>
          <w:sz w:val="20"/>
          <w:szCs w:val="20"/>
          <w:color w:val="auto"/>
        </w:rPr>
      </w:pPr>
    </w:p>
    <w:p>
      <w:pPr>
        <w:ind w:right="180" w:firstLine="648"/>
        <w:spacing w:after="0" w:line="251" w:lineRule="auto"/>
        <w:rPr>
          <w:sz w:val="20"/>
          <w:szCs w:val="20"/>
          <w:color w:val="auto"/>
        </w:rPr>
      </w:pPr>
      <w:r>
        <w:rPr>
          <w:rFonts w:ascii="Arial" w:cs="Arial" w:eastAsia="Arial" w:hAnsi="Arial"/>
          <w:sz w:val="22"/>
          <w:szCs w:val="22"/>
          <w:color w:val="auto"/>
        </w:rPr>
        <w:t xml:space="preserve">SECTION 905. </w:t>
      </w:r>
      <w:r>
        <w:rPr>
          <w:rFonts w:ascii="Arial" w:cs="Arial" w:eastAsia="Arial" w:hAnsi="Arial"/>
          <w:sz w:val="22"/>
          <w:szCs w:val="22"/>
          <w:u w:val="single" w:color="auto"/>
          <w:color w:val="auto"/>
        </w:rPr>
        <w:t>Conformity with Trust Indenture Act</w:t>
      </w:r>
      <w:r>
        <w:rPr>
          <w:rFonts w:ascii="Arial" w:cs="Arial" w:eastAsia="Arial" w:hAnsi="Arial"/>
          <w:sz w:val="22"/>
          <w:szCs w:val="22"/>
          <w:color w:val="auto"/>
        </w:rPr>
        <w:t>. Every supplemental indenture executed pursuant to this Article shall conform to the requirements of the Trust Indenture Act as then in effect.</w:t>
      </w:r>
    </w:p>
    <w:p>
      <w:pPr>
        <w:spacing w:after="0" w:line="173" w:lineRule="exact"/>
        <w:rPr>
          <w:sz w:val="20"/>
          <w:szCs w:val="20"/>
          <w:color w:val="auto"/>
        </w:rPr>
      </w:pPr>
    </w:p>
    <w:p>
      <w:pPr>
        <w:ind w:right="60" w:firstLine="648"/>
        <w:spacing w:after="0" w:line="282" w:lineRule="auto"/>
        <w:rPr>
          <w:sz w:val="20"/>
          <w:szCs w:val="20"/>
          <w:color w:val="auto"/>
        </w:rPr>
      </w:pPr>
      <w:r>
        <w:rPr>
          <w:rFonts w:ascii="Arial" w:cs="Arial" w:eastAsia="Arial" w:hAnsi="Arial"/>
          <w:sz w:val="19"/>
          <w:szCs w:val="19"/>
          <w:color w:val="auto"/>
        </w:rPr>
        <w:t xml:space="preserve">SECTION 906. </w:t>
      </w:r>
      <w:r>
        <w:rPr>
          <w:rFonts w:ascii="Arial" w:cs="Arial" w:eastAsia="Arial" w:hAnsi="Arial"/>
          <w:sz w:val="19"/>
          <w:szCs w:val="19"/>
          <w:u w:val="single" w:color="auto"/>
          <w:color w:val="auto"/>
        </w:rPr>
        <w:t>Reference in Securities to Supplemental Indentures</w:t>
      </w:r>
      <w:r>
        <w:rPr>
          <w:rFonts w:ascii="Arial" w:cs="Arial" w:eastAsia="Arial" w:hAnsi="Arial"/>
          <w:sz w:val="19"/>
          <w:szCs w:val="19"/>
          <w:color w:val="auto"/>
        </w:rPr>
        <w: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113" w:name="page114"/>
    <w:bookmarkEnd w:id="113"/>
    <w:p>
      <w:pPr>
        <w:spacing w:after="0"/>
        <w:rPr>
          <w:sz w:val="20"/>
          <w:szCs w:val="20"/>
          <w:color w:val="auto"/>
        </w:rPr>
      </w:pPr>
      <w:r>
        <w:rPr>
          <w:rFonts w:ascii="Arial" w:cs="Arial" w:eastAsia="Arial" w:hAnsi="Arial"/>
          <w:sz w:val="19"/>
          <w:szCs w:val="19"/>
          <w:color w:val="auto"/>
        </w:rPr>
        <w:t>Company and authenticated and delivered by the Trustee in exchange for Outstanding Securities of such series.</w:t>
      </w:r>
    </w:p>
    <w:p>
      <w:pPr>
        <w:spacing w:after="0" w:line="241"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ARTICLE TEN - COVENANTS</w:t>
      </w:r>
    </w:p>
    <w:p>
      <w:pPr>
        <w:spacing w:after="0" w:line="206"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 xml:space="preserve">SECTION 1001. </w:t>
      </w:r>
      <w:r>
        <w:rPr>
          <w:rFonts w:ascii="Arial" w:cs="Arial" w:eastAsia="Arial" w:hAnsi="Arial"/>
          <w:sz w:val="19"/>
          <w:szCs w:val="19"/>
          <w:u w:val="single" w:color="auto"/>
          <w:color w:val="auto"/>
        </w:rPr>
        <w:t>Payment of Principal, Premium or Make-Whole Amount, if any; and Interest</w:t>
      </w:r>
      <w:r>
        <w:rPr>
          <w:rFonts w:ascii="Arial" w:cs="Arial" w:eastAsia="Arial" w:hAnsi="Arial"/>
          <w:sz w:val="19"/>
          <w:szCs w:val="19"/>
          <w:color w:val="auto"/>
        </w:rPr>
        <w:t>. The Company covenants and agrees for the benefit of the Holders of each series of Securities that it will duly and punctually pay the principal of (and premium or Make-Whole Amount, if any) and interest on the Securities of that series in accordance with the terms of such series of Securities, any coupons appertaining thereto and this Indenture.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 Unless otherwise specified with respect to Securities of any series pursuant to Section 301, at the option of the Company (upon written notice to the Trustee), all payments of principal may be paid by check to the registered Holder of the Registered Security or other Person entitled thereto against surrender of such Security.</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 xml:space="preserve">SECTION 1002. </w:t>
      </w:r>
      <w:r>
        <w:rPr>
          <w:rFonts w:ascii="Arial" w:cs="Arial" w:eastAsia="Arial" w:hAnsi="Arial"/>
          <w:sz w:val="19"/>
          <w:szCs w:val="19"/>
          <w:u w:val="single" w:color="auto"/>
          <w:color w:val="auto"/>
        </w:rPr>
        <w:t>Maintenance of Office or Agency</w:t>
      </w:r>
      <w:r>
        <w:rPr>
          <w:rFonts w:ascii="Arial" w:cs="Arial" w:eastAsia="Arial" w:hAnsi="Arial"/>
          <w:sz w:val="19"/>
          <w:szCs w:val="19"/>
          <w:color w:val="auto"/>
        </w:rPr>
        <w:t xml:space="preserve">. If Securities of a series are issuable only as Registered Securities, the Company shall maintain in each Place of Payment for any series of Securities an office or agency where Securities of that series may be presented or surrendered for payment or conversion, where Securities of that series may be surrendered for registration of transfer or conversion or exchange and where notices and demands to or upon the Company in respect of the Securities of that series and this Indenture may be served. If Securities of a series are issuable as Bearer Securities, the Company will maintain: (A) in the Borough of Manhattan, The City of New York, an office or agency where any Registered Securities of that series may be presented or surrendered for payment or conversion, where any Registered Securities of that series may be surrendered for registration of transfer, where Securities of that series may be surrendered for conversion or exchange, where notices and demands to or upon the Company in respect of the Securities of that series and this Indenture may be served and where Bearer Securities of that series and related coupons may be presented or surrendered for payment or conversion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Securities of that series are listed on any stock exchange located outside the United States and such stock exchange shall so require, the Company will maintain a Paying Agent for the Securities of that series in any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conversion or exchange and where notices and demands to or upon the Company in respect of the Securities of that series and this Indenture may be served. The Company will give prompt written notice to the Trustee of the location, and any change in the location, of each such office or agency. If at any time the Company shall fail to maintain any such required office or agency or shall fail to furnish the Trustee with the address thereof, such</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14" w:name="page115"/>
    <w:bookmarkEnd w:id="114"/>
    <w:p>
      <w:pPr>
        <w:ind w:right="200"/>
        <w:spacing w:after="0" w:line="282" w:lineRule="auto"/>
        <w:rPr>
          <w:sz w:val="20"/>
          <w:szCs w:val="20"/>
          <w:color w:val="auto"/>
        </w:rPr>
      </w:pPr>
      <w:r>
        <w:rPr>
          <w:rFonts w:ascii="Arial" w:cs="Arial" w:eastAsia="Arial" w:hAnsi="Arial"/>
          <w:sz w:val="19"/>
          <w:szCs w:val="19"/>
          <w:color w:val="auto"/>
        </w:rPr>
        <w:t>presentations, surrenders, notices and demands may be made or served at the Corporate Trust Office of the Trustee, except that Bearer Securities of that series and the related coupons may be presented and surrendered for payment or conversion at the offices specified in the Security, in London, England, and the Company hereby appoints the same as its agent to receive such respective presentations, surrenders, notices and demands, and the Company hereby appoints the Trustee its agent to receive all such presentations, surrenders, notices and demands.</w:t>
      </w:r>
    </w:p>
    <w:p>
      <w:pPr>
        <w:spacing w:after="0" w:line="148" w:lineRule="exact"/>
        <w:rPr>
          <w:sz w:val="20"/>
          <w:szCs w:val="20"/>
          <w:color w:val="auto"/>
        </w:rPr>
      </w:pPr>
    </w:p>
    <w:p>
      <w:pPr>
        <w:ind w:right="40" w:firstLine="648"/>
        <w:spacing w:after="0" w:line="274" w:lineRule="auto"/>
        <w:rPr>
          <w:sz w:val="20"/>
          <w:szCs w:val="20"/>
          <w:color w:val="auto"/>
        </w:rPr>
      </w:pPr>
      <w:r>
        <w:rPr>
          <w:rFonts w:ascii="Arial" w:cs="Arial" w:eastAsia="Arial" w:hAnsi="Arial"/>
          <w:sz w:val="19"/>
          <w:szCs w:val="19"/>
          <w:color w:val="auto"/>
        </w:rPr>
        <w:t xml:space="preserve">Unless otherwise specified with respect to any Securities pursuant to Section 301, no payment of principal, premium or Make-Whole Amount or interest on Bearer Securities shall be made at any office or agency of the Company in the United States or by check mailed to any address in the United States or by transfer to an account maintained with a bank located in the United States;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Securities of a series are payable in Dollars, payment of principal of and any premium or Make-Whole Amount and interest on any Bearer Security shall be made at the office of the Company’s Paying Agent in the Borough of Manhattan, The City of New York, if (but only if) payment in Dollars of the full amount of such principal, premium or Make-Whole Amount, or interest, as the case may be, at all offices or agencies outside the United States maintained for the purpose by the Company in accordance with this Indenture, is illegal or effectively precluded by exchange controls or other similar restrictions.</w:t>
      </w:r>
    </w:p>
    <w:p>
      <w:pPr>
        <w:spacing w:after="0" w:line="159"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 xml:space="preserve">The Company may from time to time designate one or more other offices or agencies (in or outside the Place of Payment) where the Securities of one or more series may be presented or surrendered for any or all of such purposes, and may from time to time rescind such designations;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w:t>
      </w:r>
    </w:p>
    <w:p>
      <w:pPr>
        <w:spacing w:after="0" w:line="2" w:lineRule="exact"/>
        <w:rPr>
          <w:sz w:val="20"/>
          <w:szCs w:val="20"/>
          <w:color w:val="auto"/>
        </w:rPr>
      </w:pPr>
    </w:p>
    <w:p>
      <w:pPr>
        <w:ind w:right="100"/>
        <w:spacing w:after="0" w:line="275" w:lineRule="auto"/>
        <w:rPr>
          <w:sz w:val="20"/>
          <w:szCs w:val="20"/>
          <w:color w:val="auto"/>
        </w:rPr>
      </w:pPr>
      <w:r>
        <w:rPr>
          <w:rFonts w:ascii="Arial" w:cs="Arial" w:eastAsia="Arial" w:hAnsi="Arial"/>
          <w:sz w:val="19"/>
          <w:szCs w:val="19"/>
          <w:color w:val="auto"/>
        </w:rPr>
        <w:t>agency. Unless otherwise specified with respect to any Securities pursuant to Section 301 with respect to a series of Securities, the Company hereby designates as a Place of Payment for each series of Securities, each of (i) the office or agency of the Company in the Borough of Manhattan, The City of New York, and (ii) the Corporate Trust Office of the Trustee (as Paying Agent); and the Company hereby initially appoints the Trustee at its Corporate Trust Office as Paying Agent in such city; and the Company hereby initially appoints as its agent to receive all such presentations, surrenders, notices and demands each of the Trustee, at its Corporate Trust Office.</w:t>
      </w:r>
    </w:p>
    <w:p>
      <w:pPr>
        <w:spacing w:after="0" w:line="155" w:lineRule="exact"/>
        <w:rPr>
          <w:sz w:val="20"/>
          <w:szCs w:val="20"/>
          <w:color w:val="auto"/>
        </w:rPr>
      </w:pPr>
    </w:p>
    <w:p>
      <w:pPr>
        <w:ind w:right="180" w:firstLine="648"/>
        <w:spacing w:after="0" w:line="236" w:lineRule="auto"/>
        <w:rPr>
          <w:sz w:val="20"/>
          <w:szCs w:val="20"/>
          <w:color w:val="auto"/>
        </w:rPr>
      </w:pPr>
      <w:r>
        <w:rPr>
          <w:rFonts w:ascii="Arial" w:cs="Arial" w:eastAsia="Arial" w:hAnsi="Arial"/>
          <w:sz w:val="22"/>
          <w:szCs w:val="22"/>
          <w:color w:val="auto"/>
        </w:rPr>
        <w:t>Unless otherwise specified with respect to any Securities pursuant to Section 301, if and so long as the Securities of any series (i) are denominated in a Foreign Currency or (ii) may be payable in a Foreign Currency, or so long as it is required under any other provision of the Indenture, then the Company will maintain with respect to each such series of Securities, or as so required, at least one exchange rate agent (of which it shall give written notice to the Trustee).</w:t>
      </w:r>
    </w:p>
    <w:p>
      <w:pPr>
        <w:spacing w:after="0" w:line="188" w:lineRule="exact"/>
        <w:rPr>
          <w:sz w:val="20"/>
          <w:szCs w:val="20"/>
          <w:color w:val="auto"/>
        </w:rPr>
      </w:pPr>
    </w:p>
    <w:p>
      <w:pPr>
        <w:jc w:val="both"/>
        <w:ind w:right="120" w:firstLine="648"/>
        <w:spacing w:after="0" w:line="287" w:lineRule="auto"/>
        <w:rPr>
          <w:sz w:val="20"/>
          <w:szCs w:val="20"/>
          <w:color w:val="auto"/>
        </w:rPr>
      </w:pPr>
      <w:r>
        <w:rPr>
          <w:rFonts w:ascii="Arial" w:cs="Arial" w:eastAsia="Arial" w:hAnsi="Arial"/>
          <w:sz w:val="19"/>
          <w:szCs w:val="19"/>
          <w:color w:val="auto"/>
        </w:rPr>
        <w:t xml:space="preserve">SECTION 1003. </w:t>
      </w:r>
      <w:r>
        <w:rPr>
          <w:rFonts w:ascii="Arial" w:cs="Arial" w:eastAsia="Arial" w:hAnsi="Arial"/>
          <w:sz w:val="19"/>
          <w:szCs w:val="19"/>
          <w:u w:val="single" w:color="auto"/>
          <w:color w:val="auto"/>
        </w:rPr>
        <w:t>Money for Securities Payments to Be Held in Trust</w:t>
      </w:r>
      <w:r>
        <w:rPr>
          <w:rFonts w:ascii="Arial" w:cs="Arial" w:eastAsia="Arial" w:hAnsi="Arial"/>
          <w:sz w:val="19"/>
          <w:szCs w:val="19"/>
          <w:color w:val="auto"/>
        </w:rPr>
        <w:t>. If the Company shall at any time act as its own Paying Agent with respect to any series of any Securities and any related coupons, it will, on or before each due date of the principal of (and premium or Make-Whole Amount, if any), or interest on any of the Securities of that series, segregate and hold in trust for the benefit of the Persons entitled thereto a sum in the currency or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15" w:name="page116"/>
    <w:bookmarkEnd w:id="115"/>
    <w:p>
      <w:pPr>
        <w:ind w:right="100"/>
        <w:spacing w:after="0" w:line="236" w:lineRule="auto"/>
        <w:rPr>
          <w:sz w:val="20"/>
          <w:szCs w:val="20"/>
          <w:color w:val="auto"/>
        </w:rPr>
      </w:pPr>
      <w:r>
        <w:rPr>
          <w:rFonts w:ascii="Arial" w:cs="Arial" w:eastAsia="Arial" w:hAnsi="Arial"/>
          <w:sz w:val="22"/>
          <w:szCs w:val="22"/>
          <w:color w:val="auto"/>
        </w:rPr>
        <w:t>currencies, currency unit or units or composite currency or currencies in which the Securities of such series are payable (except as otherwise specified pursuant to Section 301 for the Securities of such series) sufficient to pay the principal (and premium or Make-Whole Amount, if any) or interest so becoming due until such sums shall be paid to such Persons or otherwise disposed of as herein provided, and will promptly notify the Trustee of its action or failure so to act.</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Whenever the Company shall have one or more Paying Agents for any series of Securities and any related coupons, it will, on or before each due date of the principal of (and premium or Make-Whole Amount, if any), or interest on any Securities of that series, deposit with a Paying Agent a sum (in the currency or currencies, currency unit or units or composite currency or currencies described in the preceding paragraph) sufficient to pay the principal (and premium or Make-Whole Amount, if any) or interest so becoming due, such sum to be held in trust for the benefit of the Persons entitled to such principal, premium or Make-Whole Amount, if any, or interest and (unless such Paying Agent is the Trustee) the Company will promptly notify the Trustee of its action or failure so to act.</w:t>
      </w:r>
    </w:p>
    <w:p>
      <w:pPr>
        <w:spacing w:after="0" w:line="153" w:lineRule="exact"/>
        <w:rPr>
          <w:sz w:val="20"/>
          <w:szCs w:val="20"/>
          <w:color w:val="auto"/>
        </w:rPr>
      </w:pPr>
    </w:p>
    <w:p>
      <w:pPr>
        <w:ind w:right="200" w:firstLine="648"/>
        <w:spacing w:after="0"/>
        <w:rPr>
          <w:sz w:val="20"/>
          <w:szCs w:val="20"/>
          <w:color w:val="auto"/>
        </w:rPr>
      </w:pPr>
      <w:r>
        <w:rPr>
          <w:rFonts w:ascii="Arial" w:cs="Arial" w:eastAsia="Arial" w:hAnsi="Arial"/>
          <w:sz w:val="22"/>
          <w:szCs w:val="22"/>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186" w:lineRule="exact"/>
        <w:rPr>
          <w:sz w:val="20"/>
          <w:szCs w:val="20"/>
          <w:color w:val="auto"/>
        </w:rPr>
      </w:pPr>
    </w:p>
    <w:p>
      <w:pPr>
        <w:ind w:left="640" w:right="180" w:firstLine="648"/>
        <w:spacing w:after="0"/>
        <w:tabs>
          <w:tab w:leader="none" w:pos="1972" w:val="left"/>
        </w:tabs>
        <w:numPr>
          <w:ilvl w:val="0"/>
          <w:numId w:val="106"/>
        </w:numPr>
        <w:rPr>
          <w:rFonts w:ascii="Arial" w:cs="Arial" w:eastAsia="Arial" w:hAnsi="Arial"/>
          <w:sz w:val="22"/>
          <w:szCs w:val="22"/>
          <w:color w:val="auto"/>
        </w:rPr>
      </w:pPr>
      <w:r>
        <w:rPr>
          <w:rFonts w:ascii="Arial" w:cs="Arial" w:eastAsia="Arial" w:hAnsi="Arial"/>
          <w:sz w:val="22"/>
          <w:szCs w:val="22"/>
          <w:color w:val="auto"/>
        </w:rPr>
        <w:t>hold all sums held by it for the payment of principal of (and premium or Make-Whole Amount, if any) or interest on Securities in trust for the benefit of the Persons entitled thereto until such sums shall be paid to such Persons or otherwise disposed of as herein provided;</w:t>
      </w:r>
    </w:p>
    <w:p>
      <w:pPr>
        <w:spacing w:after="0" w:line="186" w:lineRule="exact"/>
        <w:rPr>
          <w:rFonts w:ascii="Arial" w:cs="Arial" w:eastAsia="Arial" w:hAnsi="Arial"/>
          <w:sz w:val="22"/>
          <w:szCs w:val="22"/>
          <w:color w:val="auto"/>
        </w:rPr>
      </w:pPr>
    </w:p>
    <w:p>
      <w:pPr>
        <w:ind w:left="640" w:right="20" w:firstLine="648"/>
        <w:spacing w:after="0"/>
        <w:tabs>
          <w:tab w:leader="none" w:pos="1972" w:val="left"/>
        </w:tabs>
        <w:numPr>
          <w:ilvl w:val="0"/>
          <w:numId w:val="106"/>
        </w:numPr>
        <w:rPr>
          <w:rFonts w:ascii="Arial" w:cs="Arial" w:eastAsia="Arial" w:hAnsi="Arial"/>
          <w:sz w:val="22"/>
          <w:szCs w:val="22"/>
          <w:color w:val="auto"/>
        </w:rPr>
      </w:pPr>
      <w:r>
        <w:rPr>
          <w:rFonts w:ascii="Arial" w:cs="Arial" w:eastAsia="Arial" w:hAnsi="Arial"/>
          <w:sz w:val="22"/>
          <w:szCs w:val="22"/>
          <w:color w:val="auto"/>
        </w:rPr>
        <w:t>give the Trustee notice of any default by the Company (or any other obligor upon the Securities) in the making of any such payment of principal (and premium or Make-Whole Amount, if any) or interest on the Securities of that series; and</w:t>
      </w:r>
    </w:p>
    <w:p>
      <w:pPr>
        <w:spacing w:after="0" w:line="186" w:lineRule="exact"/>
        <w:rPr>
          <w:rFonts w:ascii="Arial" w:cs="Arial" w:eastAsia="Arial" w:hAnsi="Arial"/>
          <w:sz w:val="22"/>
          <w:szCs w:val="22"/>
          <w:color w:val="auto"/>
        </w:rPr>
      </w:pPr>
    </w:p>
    <w:p>
      <w:pPr>
        <w:ind w:left="640" w:right="280" w:firstLine="648"/>
        <w:spacing w:after="0" w:line="251" w:lineRule="auto"/>
        <w:tabs>
          <w:tab w:leader="none" w:pos="1972"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at any time during the continuance of any such default upon the written request of the Trustee, forthwith pay to the Trustee all sums so held in trust by such Paying Agent.</w:t>
      </w:r>
    </w:p>
    <w:p>
      <w:pPr>
        <w:spacing w:after="0" w:line="173" w:lineRule="exact"/>
        <w:rPr>
          <w:sz w:val="20"/>
          <w:szCs w:val="20"/>
          <w:color w:val="auto"/>
        </w:rPr>
      </w:pPr>
    </w:p>
    <w:p>
      <w:pPr>
        <w:ind w:right="240" w:firstLine="648"/>
        <w:spacing w:after="0" w:line="282" w:lineRule="auto"/>
        <w:rPr>
          <w:sz w:val="20"/>
          <w:szCs w:val="20"/>
          <w:color w:val="auto"/>
        </w:rPr>
      </w:pPr>
      <w:r>
        <w:rPr>
          <w:rFonts w:ascii="Arial" w:cs="Arial" w:eastAsia="Arial" w:hAnsi="Arial"/>
          <w:sz w:val="19"/>
          <w:szCs w:val="19"/>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48"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Except as otherwise provided in the Securities of any series, and subject to applicable laws, any money deposited with the Trustee or any Paying Agent, or then held by the Company, in trust for the payment of the principal of (and premium or Make-Whole Amount, if any) or interest on any Security of any series and remaining unclaimed for two years after such principal (and premium or Make-Whole Amount, if any) or interest has become due and payable shall be paid to the Company upon Company Request or (if then held by the Company) shall be discharged from such trust; and the Holder of such Security shall thereafter, as an unsecured general creditor, look only to the Company for payment of such principal of (and premium or Make-Whole Amount, if any) or interest on any Security, without interest thereon, and all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116" w:name="page117"/>
    <w:bookmarkEnd w:id="116"/>
    <w:p>
      <w:pPr>
        <w:ind w:right="80"/>
        <w:spacing w:after="0" w:line="235" w:lineRule="auto"/>
        <w:rPr>
          <w:sz w:val="20"/>
          <w:szCs w:val="20"/>
          <w:color w:val="auto"/>
        </w:rPr>
      </w:pPr>
      <w:r>
        <w:rPr>
          <w:rFonts w:ascii="Arial" w:cs="Arial" w:eastAsia="Arial" w:hAnsi="Arial"/>
          <w:sz w:val="22"/>
          <w:szCs w:val="22"/>
          <w:color w:val="auto"/>
        </w:rPr>
        <w:t xml:space="preserve">liability of the Trustee or such Paying Agent with respect to such trust money, and all liability of the Company as trustee thereof, shall thereupon cease;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will be repaid to the Company.</w:t>
      </w:r>
    </w:p>
    <w:p>
      <w:pPr>
        <w:spacing w:after="0" w:line="188" w:lineRule="exact"/>
        <w:rPr>
          <w:sz w:val="20"/>
          <w:szCs w:val="20"/>
          <w:color w:val="auto"/>
        </w:rPr>
      </w:pPr>
    </w:p>
    <w:p>
      <w:pPr>
        <w:ind w:right="80" w:firstLine="648"/>
        <w:spacing w:after="0" w:line="249" w:lineRule="exact"/>
        <w:rPr>
          <w:sz w:val="20"/>
          <w:szCs w:val="20"/>
          <w:color w:val="auto"/>
        </w:rPr>
      </w:pPr>
      <w:r>
        <w:rPr>
          <w:rFonts w:ascii="Arial" w:cs="Arial" w:eastAsia="Arial" w:hAnsi="Arial"/>
          <w:sz w:val="21"/>
          <w:szCs w:val="21"/>
          <w:color w:val="auto"/>
        </w:rPr>
        <w:t xml:space="preserve">SECTION 1004. </w:t>
      </w:r>
      <w:r>
        <w:rPr>
          <w:rFonts w:ascii="Arial" w:cs="Arial" w:eastAsia="Arial" w:hAnsi="Arial"/>
          <w:sz w:val="21"/>
          <w:szCs w:val="21"/>
          <w:u w:val="single" w:color="auto"/>
          <w:color w:val="auto"/>
        </w:rPr>
        <w:t>Existence</w:t>
      </w:r>
      <w:r>
        <w:rPr>
          <w:rFonts w:ascii="Arial" w:cs="Arial" w:eastAsia="Arial" w:hAnsi="Arial"/>
          <w:sz w:val="21"/>
          <w:szCs w:val="21"/>
          <w:color w:val="auto"/>
        </w:rPr>
        <w:t>. Subject to Article Eight, the Company will do or cause to be done all things necessary to preserve and keep in full force and effect its corporate existence, all material rights (by articles of incorporation, by</w:t>
      </w:r>
      <w:r>
        <w:rPr>
          <w:rFonts w:ascii="MS PGothic" w:cs="MS PGothic" w:eastAsia="MS PGothic" w:hAnsi="MS PGothic"/>
          <w:sz w:val="21"/>
          <w:szCs w:val="21"/>
          <w:color w:val="auto"/>
        </w:rPr>
        <w:t>‑</w:t>
      </w:r>
      <w:r>
        <w:rPr>
          <w:rFonts w:ascii="Arial" w:cs="Arial" w:eastAsia="Arial" w:hAnsi="Arial"/>
          <w:sz w:val="21"/>
          <w:szCs w:val="21"/>
          <w:color w:val="auto"/>
        </w:rPr>
        <w:t xml:space="preserve">laws and statute) and material franchises;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Company shall not be required to preserve any such right or franchise if the Board of Directors shall determine that the preservation thereof is no longer desirable in the conduct of the business of the Company.</w:t>
      </w:r>
    </w:p>
    <w:p>
      <w:pPr>
        <w:spacing w:after="0" w:line="18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9"/>
          <w:szCs w:val="19"/>
          <w:color w:val="auto"/>
        </w:rPr>
        <w:t xml:space="preserve">SECTION 1005. </w:t>
      </w:r>
      <w:r>
        <w:rPr>
          <w:rFonts w:ascii="Arial" w:cs="Arial" w:eastAsia="Arial" w:hAnsi="Arial"/>
          <w:sz w:val="19"/>
          <w:szCs w:val="19"/>
          <w:u w:val="single" w:color="auto"/>
          <w:color w:val="auto"/>
        </w:rPr>
        <w:t>Maintenance of Properties</w:t>
      </w:r>
      <w:r>
        <w:rPr>
          <w:rFonts w:ascii="Arial" w:cs="Arial" w:eastAsia="Arial" w:hAnsi="Arial"/>
          <w:sz w:val="19"/>
          <w:szCs w:val="19"/>
          <w:color w:val="auto"/>
        </w:rPr>
        <w:t xml:space="preserve">. The Company will cause all of its material properties used or useful in the conduct of its business or the business of any Subsidiary to be maintained and kept in good condition, repair and working order, normal wear and tear, casualty and condemnation excepted, and supplied with all necessary equipment and will cause to be made all necessary repairs, renewals, replacements, betterments and improvements thereof (and the Company may take out of service for a period of time, any of its properties that have been condemned or suffered any loss due to casualty in order to make such repairs, betterments and improvements), all as in the judgment of the Company may be necessary so that the business carried on in connection therewith may be properly and advantageously conducted at all times;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and its Subsidiaries shall not be prevented from (i) removing permanently any property that has been condemned or suffered a loss due to casualty based on the Company’s reasonable judgment that such removal is in the best interest of the Company, or (ii) selling or otherwise disposing of their properties for value in the ordinary course of business.</w:t>
      </w:r>
    </w:p>
    <w:p>
      <w:pPr>
        <w:spacing w:after="0" w:line="156" w:lineRule="exact"/>
        <w:rPr>
          <w:sz w:val="20"/>
          <w:szCs w:val="20"/>
          <w:color w:val="auto"/>
        </w:rPr>
      </w:pPr>
    </w:p>
    <w:p>
      <w:pPr>
        <w:ind w:right="220" w:firstLine="648"/>
        <w:spacing w:after="0"/>
        <w:rPr>
          <w:sz w:val="20"/>
          <w:szCs w:val="20"/>
          <w:color w:val="auto"/>
        </w:rPr>
      </w:pPr>
      <w:r>
        <w:rPr>
          <w:rFonts w:ascii="Arial" w:cs="Arial" w:eastAsia="Arial" w:hAnsi="Arial"/>
          <w:sz w:val="22"/>
          <w:szCs w:val="22"/>
          <w:color w:val="auto"/>
        </w:rPr>
        <w:t xml:space="preserve">SECTION 1006. </w:t>
      </w:r>
      <w:r>
        <w:rPr>
          <w:rFonts w:ascii="Arial" w:cs="Arial" w:eastAsia="Arial" w:hAnsi="Arial"/>
          <w:sz w:val="22"/>
          <w:szCs w:val="22"/>
          <w:u w:val="single" w:color="auto"/>
          <w:color w:val="auto"/>
        </w:rPr>
        <w:t>Insurance</w:t>
      </w:r>
      <w:r>
        <w:rPr>
          <w:rFonts w:ascii="Arial" w:cs="Arial" w:eastAsia="Arial" w:hAnsi="Arial"/>
          <w:sz w:val="22"/>
          <w:szCs w:val="22"/>
          <w:color w:val="auto"/>
        </w:rPr>
        <w:t>. The Company will cause each of its and its Subsidiaries’ insurable properties to be insured against loss or damage in an amount deemed reasonable by the Board of Directors with insurers of recognized responsibility.</w:t>
      </w:r>
    </w:p>
    <w:p>
      <w:pPr>
        <w:spacing w:after="0" w:line="186" w:lineRule="exact"/>
        <w:rPr>
          <w:sz w:val="20"/>
          <w:szCs w:val="20"/>
          <w:color w:val="auto"/>
        </w:rPr>
      </w:pPr>
    </w:p>
    <w:p>
      <w:pPr>
        <w:ind w:firstLine="648"/>
        <w:spacing w:after="0" w:line="247" w:lineRule="auto"/>
        <w:rPr>
          <w:sz w:val="20"/>
          <w:szCs w:val="20"/>
          <w:color w:val="auto"/>
        </w:rPr>
      </w:pPr>
      <w:r>
        <w:rPr>
          <w:rFonts w:ascii="Arial" w:cs="Arial" w:eastAsia="Arial" w:hAnsi="Arial"/>
          <w:sz w:val="21"/>
          <w:szCs w:val="21"/>
          <w:color w:val="auto"/>
        </w:rPr>
        <w:t xml:space="preserve">SECTION 1007. </w:t>
      </w:r>
      <w:r>
        <w:rPr>
          <w:rFonts w:ascii="Arial" w:cs="Arial" w:eastAsia="Arial" w:hAnsi="Arial"/>
          <w:sz w:val="21"/>
          <w:szCs w:val="21"/>
          <w:u w:val="single" w:color="auto"/>
          <w:color w:val="auto"/>
        </w:rPr>
        <w:t>Payment of Taxes and Other Claims</w:t>
      </w:r>
      <w:r>
        <w:rPr>
          <w:rFonts w:ascii="Arial" w:cs="Arial" w:eastAsia="Arial" w:hAnsi="Arial"/>
          <w:sz w:val="21"/>
          <w:szCs w:val="21"/>
          <w:color w:val="auto"/>
        </w:rPr>
        <w:t xml:space="preserve">. The Company will pay or discharge or cause to be paid or discharged, before the same shall become delinquent, (1) all taxes, assessments and governmental charges levied or imposed upon it or any Subsidiary or upon the income, profits or property of the Company or any Subsidiary, and (2) all lawful claims for labor, materials and supplies which, if unpaid, might by law become a lien upon the property of the Company or any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Company shall not be required to pay or discharge or cause to be paid or discharged any such tax, assessment, charge or claim whose amount, applicability or validity is being contested in good faith by appropriate proceedings.</w:t>
      </w:r>
    </w:p>
    <w:p>
      <w:pPr>
        <w:spacing w:after="0" w:line="178" w:lineRule="exact"/>
        <w:rPr>
          <w:sz w:val="20"/>
          <w:szCs w:val="20"/>
          <w:color w:val="auto"/>
        </w:rPr>
      </w:pPr>
    </w:p>
    <w:p>
      <w:pPr>
        <w:ind w:right="300" w:firstLine="648"/>
        <w:spacing w:after="0"/>
        <w:rPr>
          <w:sz w:val="20"/>
          <w:szCs w:val="20"/>
          <w:color w:val="auto"/>
        </w:rPr>
      </w:pPr>
      <w:r>
        <w:rPr>
          <w:rFonts w:ascii="Arial" w:cs="Arial" w:eastAsia="Arial" w:hAnsi="Arial"/>
          <w:sz w:val="22"/>
          <w:szCs w:val="22"/>
          <w:color w:val="auto"/>
        </w:rPr>
        <w:t xml:space="preserve">SECTION 1008. </w:t>
      </w:r>
      <w:r>
        <w:rPr>
          <w:rFonts w:ascii="Arial" w:cs="Arial" w:eastAsia="Arial" w:hAnsi="Arial"/>
          <w:sz w:val="22"/>
          <w:szCs w:val="22"/>
          <w:u w:val="single" w:color="auto"/>
          <w:color w:val="auto"/>
        </w:rPr>
        <w:t>Statement as to Compliance</w:t>
      </w:r>
      <w:r>
        <w:rPr>
          <w:rFonts w:ascii="Arial" w:cs="Arial" w:eastAsia="Arial" w:hAnsi="Arial"/>
          <w:sz w:val="22"/>
          <w:szCs w:val="22"/>
          <w:color w:val="auto"/>
        </w:rPr>
        <w:t>. The Company will deliver to the Trustee, within 120 days after the end of each fiscal year, a brief certificate from the principal executive officer, principal financial officer or principal accounting officer as to his or her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117" w:name="page118"/>
    <w:bookmarkEnd w:id="117"/>
    <w:p>
      <w:pPr>
        <w:jc w:val="both"/>
        <w:ind w:left="9" w:right="340"/>
        <w:spacing w:after="0" w:line="238" w:lineRule="auto"/>
        <w:rPr>
          <w:sz w:val="20"/>
          <w:szCs w:val="20"/>
          <w:color w:val="auto"/>
        </w:rPr>
      </w:pPr>
      <w:r>
        <w:rPr>
          <w:rFonts w:ascii="Arial" w:cs="Arial" w:eastAsia="Arial" w:hAnsi="Arial"/>
          <w:sz w:val="22"/>
          <w:szCs w:val="22"/>
          <w:color w:val="auto"/>
        </w:rPr>
        <w:t>knowledge of the Company’s compliance with all conditions and covenants under this Indenture and, in the event of any noncompliance, specifying such noncompliance and the nature and status thereof. For purposes of this Section 1008, such compliance shall be determined without regard to any period of grace or requirement of notice under this Indenture.</w:t>
      </w:r>
    </w:p>
    <w:p>
      <w:pPr>
        <w:spacing w:after="0" w:line="185" w:lineRule="exact"/>
        <w:rPr>
          <w:sz w:val="20"/>
          <w:szCs w:val="20"/>
          <w:color w:val="auto"/>
        </w:rPr>
      </w:pPr>
    </w:p>
    <w:p>
      <w:pPr>
        <w:ind w:left="9" w:right="20" w:firstLine="648"/>
        <w:spacing w:after="0" w:line="277" w:lineRule="auto"/>
        <w:rPr>
          <w:sz w:val="20"/>
          <w:szCs w:val="20"/>
          <w:color w:val="auto"/>
        </w:rPr>
      </w:pPr>
      <w:r>
        <w:rPr>
          <w:rFonts w:ascii="Arial" w:cs="Arial" w:eastAsia="Arial" w:hAnsi="Arial"/>
          <w:sz w:val="19"/>
          <w:szCs w:val="19"/>
          <w:color w:val="auto"/>
        </w:rPr>
        <w:t xml:space="preserve">SECTION 1009. </w:t>
      </w:r>
      <w:r>
        <w:rPr>
          <w:rFonts w:ascii="Arial" w:cs="Arial" w:eastAsia="Arial" w:hAnsi="Arial"/>
          <w:sz w:val="19"/>
          <w:szCs w:val="19"/>
          <w:u w:val="single" w:color="auto"/>
          <w:color w:val="auto"/>
        </w:rPr>
        <w:t>Waiver of Certain Covenants</w:t>
      </w:r>
      <w:r>
        <w:rPr>
          <w:rFonts w:ascii="Arial" w:cs="Arial" w:eastAsia="Arial" w:hAnsi="Arial"/>
          <w:sz w:val="19"/>
          <w:szCs w:val="19"/>
          <w:color w:val="auto"/>
        </w:rPr>
        <w:t>. The Company may omit in any particular instance to comply with any term, provision or condition set forth in Sections 1004 to 1008, inclusive, if before or after the time for such compliance the Holders of at least a majority in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53" w:lineRule="exact"/>
        <w:rPr>
          <w:sz w:val="20"/>
          <w:szCs w:val="20"/>
          <w:color w:val="auto"/>
        </w:rPr>
      </w:pPr>
    </w:p>
    <w:p>
      <w:pPr>
        <w:ind w:left="649" w:right="2720" w:firstLine="2067"/>
        <w:spacing w:after="0" w:line="435" w:lineRule="auto"/>
        <w:rPr>
          <w:sz w:val="20"/>
          <w:szCs w:val="20"/>
          <w:color w:val="auto"/>
        </w:rPr>
      </w:pPr>
      <w:r>
        <w:rPr>
          <w:rFonts w:ascii="Arial" w:cs="Arial" w:eastAsia="Arial" w:hAnsi="Arial"/>
          <w:sz w:val="22"/>
          <w:szCs w:val="22"/>
          <w:color w:val="auto"/>
        </w:rPr>
        <w:t xml:space="preserve">ARTICLE ELEVEN - REDEMPTION OF SECURITIES SECTION 1101. </w:t>
      </w:r>
      <w:r>
        <w:rPr>
          <w:rFonts w:ascii="Arial" w:cs="Arial" w:eastAsia="Arial" w:hAnsi="Arial"/>
          <w:sz w:val="22"/>
          <w:szCs w:val="22"/>
          <w:u w:val="single" w:color="auto"/>
          <w:color w:val="auto"/>
        </w:rPr>
        <w:t>Applicability of Article</w:t>
      </w:r>
    </w:p>
    <w:p>
      <w:pPr>
        <w:spacing w:after="0" w:line="1" w:lineRule="exact"/>
        <w:rPr>
          <w:sz w:val="20"/>
          <w:szCs w:val="20"/>
          <w:color w:val="auto"/>
        </w:rPr>
      </w:pPr>
    </w:p>
    <w:p>
      <w:pPr>
        <w:ind w:left="9" w:right="380" w:hanging="9"/>
        <w:spacing w:after="0"/>
        <w:tabs>
          <w:tab w:leader="none" w:pos="171" w:val="left"/>
        </w:tabs>
        <w:numPr>
          <w:ilvl w:val="0"/>
          <w:numId w:val="107"/>
        </w:numPr>
        <w:rPr>
          <w:rFonts w:ascii="Arial" w:cs="Arial" w:eastAsia="Arial" w:hAnsi="Arial"/>
          <w:sz w:val="22"/>
          <w:szCs w:val="22"/>
          <w:color w:val="auto"/>
        </w:rPr>
      </w:pPr>
      <w:r>
        <w:rPr>
          <w:rFonts w:ascii="Arial" w:cs="Arial" w:eastAsia="Arial" w:hAnsi="Arial"/>
          <w:sz w:val="22"/>
          <w:szCs w:val="22"/>
          <w:color w:val="auto"/>
        </w:rPr>
        <w:t>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86" w:lineRule="exact"/>
        <w:rPr>
          <w:sz w:val="20"/>
          <w:szCs w:val="20"/>
          <w:color w:val="auto"/>
        </w:rPr>
      </w:pPr>
    </w:p>
    <w:p>
      <w:pPr>
        <w:ind w:left="9" w:right="40" w:firstLine="648"/>
        <w:spacing w:after="0" w:line="246" w:lineRule="auto"/>
        <w:rPr>
          <w:sz w:val="20"/>
          <w:szCs w:val="20"/>
          <w:color w:val="auto"/>
        </w:rPr>
      </w:pPr>
      <w:r>
        <w:rPr>
          <w:rFonts w:ascii="Arial" w:cs="Arial" w:eastAsia="Arial" w:hAnsi="Arial"/>
          <w:sz w:val="21"/>
          <w:szCs w:val="21"/>
          <w:color w:val="auto"/>
        </w:rPr>
        <w:t xml:space="preserve">SECTION 1102. </w:t>
      </w:r>
      <w:r>
        <w:rPr>
          <w:rFonts w:ascii="Arial" w:cs="Arial" w:eastAsia="Arial" w:hAnsi="Arial"/>
          <w:sz w:val="21"/>
          <w:szCs w:val="21"/>
          <w:u w:val="single" w:color="auto"/>
          <w:color w:val="auto"/>
        </w:rPr>
        <w:t>Election to Redeem; Notice to Trustee</w:t>
      </w:r>
      <w:r>
        <w:rPr>
          <w:rFonts w:ascii="Arial" w:cs="Arial" w:eastAsia="Arial" w:hAnsi="Arial"/>
          <w:sz w:val="21"/>
          <w:szCs w:val="21"/>
          <w:color w:val="auto"/>
        </w:rPr>
        <w:t>. The election of the Company to redeem any Securities shall be evidenced by or pursuant to a Board Resolution. In case of any redemption at the election of the Company of less than all of the Securities of any series, the Company shall, at least 45 days prior to the giving of the notice of redemption in Section 1104 (unless a shorter notice shall be satisfactory to the Trustee), notify the Trustee of such Redemption Date and of the principal amount of Securities of such series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81" w:lineRule="exact"/>
        <w:rPr>
          <w:sz w:val="20"/>
          <w:szCs w:val="20"/>
          <w:color w:val="auto"/>
        </w:rPr>
      </w:pPr>
    </w:p>
    <w:p>
      <w:pPr>
        <w:ind w:left="9" w:firstLine="648"/>
        <w:spacing w:after="0" w:line="234" w:lineRule="auto"/>
        <w:rPr>
          <w:sz w:val="20"/>
          <w:szCs w:val="20"/>
          <w:color w:val="auto"/>
        </w:rPr>
      </w:pPr>
      <w:r>
        <w:rPr>
          <w:rFonts w:ascii="Arial" w:cs="Arial" w:eastAsia="Arial" w:hAnsi="Arial"/>
          <w:sz w:val="22"/>
          <w:szCs w:val="22"/>
          <w:color w:val="auto"/>
        </w:rPr>
        <w:t xml:space="preserve">SECTION 1103. </w:t>
      </w:r>
      <w:r>
        <w:rPr>
          <w:rFonts w:ascii="Arial" w:cs="Arial" w:eastAsia="Arial" w:hAnsi="Arial"/>
          <w:sz w:val="22"/>
          <w:szCs w:val="22"/>
          <w:u w:val="single" w:color="auto"/>
          <w:color w:val="auto"/>
        </w:rPr>
        <w:t>Selection by Trustee of Securities to Be Redeemed</w:t>
      </w:r>
      <w:r>
        <w:rPr>
          <w:rFonts w:ascii="Arial" w:cs="Arial" w:eastAsia="Arial" w:hAnsi="Arial"/>
          <w:sz w:val="22"/>
          <w:szCs w:val="22"/>
          <w:color w:val="auto"/>
        </w:rPr>
        <w:t>. If less than all the Securities of any series issued on the same day with the same terms are to be redeemed, the particular Securities to be redeemed shall be selected not more than 60 days prior to the Redemption Date by the Trustee, from the Outstanding Securities of such series issued on such date with the same terms not previously called for redemption, by such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88" w:lineRule="exact"/>
        <w:rPr>
          <w:sz w:val="20"/>
          <w:szCs w:val="20"/>
          <w:color w:val="auto"/>
        </w:rPr>
      </w:pPr>
    </w:p>
    <w:p>
      <w:pPr>
        <w:ind w:left="9" w:right="140" w:firstLine="648"/>
        <w:spacing w:after="0"/>
        <w:rPr>
          <w:sz w:val="20"/>
          <w:szCs w:val="20"/>
          <w:color w:val="auto"/>
        </w:rPr>
      </w:pPr>
      <w:r>
        <w:rPr>
          <w:rFonts w:ascii="Arial" w:cs="Arial" w:eastAsia="Arial" w:hAnsi="Arial"/>
          <w:sz w:val="22"/>
          <w:szCs w:val="22"/>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200" w:lineRule="exact"/>
        <w:rPr>
          <w:sz w:val="20"/>
          <w:szCs w:val="20"/>
          <w:color w:val="auto"/>
        </w:rPr>
      </w:pPr>
    </w:p>
    <w:p>
      <w:pPr>
        <w:spacing w:after="0" w:line="203" w:lineRule="exact"/>
        <w:rPr>
          <w:sz w:val="20"/>
          <w:szCs w:val="20"/>
          <w:color w:val="auto"/>
        </w:rPr>
      </w:pPr>
    </w:p>
    <w:p>
      <w:pPr>
        <w:jc w:val="center"/>
        <w:ind w:right="-8"/>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61225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61" w:right="739" w:bottom="1440" w:gutter="0" w:footer="0" w:header="0"/>
        </w:sectPr>
      </w:pPr>
    </w:p>
    <w:bookmarkStart w:id="118" w:name="page119"/>
    <w:bookmarkEnd w:id="118"/>
    <w:p>
      <w:pPr>
        <w:ind w:firstLine="648"/>
        <w:spacing w:after="0"/>
        <w:rPr>
          <w:sz w:val="20"/>
          <w:szCs w:val="20"/>
          <w:color w:val="auto"/>
        </w:rPr>
      </w:pPr>
      <w:r>
        <w:rPr>
          <w:rFonts w:ascii="Arial" w:cs="Arial" w:eastAsia="Arial" w:hAnsi="Arial"/>
          <w:sz w:val="22"/>
          <w:szCs w:val="22"/>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86" w:lineRule="exact"/>
        <w:rPr>
          <w:sz w:val="20"/>
          <w:szCs w:val="20"/>
          <w:color w:val="auto"/>
        </w:rPr>
      </w:pPr>
    </w:p>
    <w:p>
      <w:pPr>
        <w:ind w:right="40" w:firstLine="648"/>
        <w:spacing w:after="0" w:line="248" w:lineRule="auto"/>
        <w:rPr>
          <w:sz w:val="20"/>
          <w:szCs w:val="20"/>
          <w:color w:val="auto"/>
        </w:rPr>
      </w:pPr>
      <w:r>
        <w:rPr>
          <w:rFonts w:ascii="Arial" w:cs="Arial" w:eastAsia="Arial" w:hAnsi="Arial"/>
          <w:sz w:val="21"/>
          <w:szCs w:val="21"/>
          <w:color w:val="auto"/>
        </w:rPr>
        <w:t xml:space="preserve">SECTION 1104. </w:t>
      </w:r>
      <w:r>
        <w:rPr>
          <w:rFonts w:ascii="Arial" w:cs="Arial" w:eastAsia="Arial" w:hAnsi="Arial"/>
          <w:sz w:val="21"/>
          <w:szCs w:val="21"/>
          <w:u w:val="single" w:color="auto"/>
          <w:color w:val="auto"/>
        </w:rPr>
        <w:t>Notice of Redemption</w:t>
      </w:r>
      <w:r>
        <w:rPr>
          <w:rFonts w:ascii="Arial" w:cs="Arial" w:eastAsia="Arial" w:hAnsi="Arial"/>
          <w:sz w:val="21"/>
          <w:szCs w:val="21"/>
          <w:color w:val="auto"/>
        </w:rPr>
        <w:t>. Notice of redemption shall be given in the manner provided in Section 106, not less than 30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77" w:lineRule="exact"/>
        <w:rPr>
          <w:sz w:val="20"/>
          <w:szCs w:val="20"/>
          <w:color w:val="auto"/>
        </w:rPr>
      </w:pPr>
    </w:p>
    <w:p>
      <w:pPr>
        <w:ind w:right="800" w:firstLine="648"/>
        <w:spacing w:after="0" w:line="274" w:lineRule="auto"/>
        <w:rPr>
          <w:sz w:val="20"/>
          <w:szCs w:val="20"/>
          <w:color w:val="auto"/>
        </w:rPr>
      </w:pPr>
      <w:r>
        <w:rPr>
          <w:rFonts w:ascii="Arial" w:cs="Arial" w:eastAsia="Arial" w:hAnsi="Arial"/>
          <w:sz w:val="21"/>
          <w:szCs w:val="21"/>
          <w:color w:val="auto"/>
        </w:rPr>
        <w:t>Any notice that is mailed to the Holders of Registered Securities in the manner herein provided shall be conclusively presumed to have been duly given, whether or not the Holder receives the notice.</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All notices of redemption shall state:</w:t>
      </w:r>
    </w:p>
    <w:p>
      <w:pPr>
        <w:spacing w:after="0" w:line="206" w:lineRule="exact"/>
        <w:rPr>
          <w:sz w:val="20"/>
          <w:szCs w:val="20"/>
          <w:color w:val="auto"/>
        </w:rPr>
      </w:pPr>
    </w:p>
    <w:p>
      <w:pPr>
        <w:ind w:left="1980" w:hanging="692"/>
        <w:spacing w:after="0"/>
        <w:tabs>
          <w:tab w:leader="none" w:pos="198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06" w:lineRule="exact"/>
        <w:rPr>
          <w:rFonts w:ascii="Arial" w:cs="Arial" w:eastAsia="Arial" w:hAnsi="Arial"/>
          <w:sz w:val="22"/>
          <w:szCs w:val="22"/>
          <w:color w:val="auto"/>
        </w:rPr>
      </w:pPr>
    </w:p>
    <w:p>
      <w:pPr>
        <w:ind w:left="1980" w:hanging="692"/>
        <w:spacing w:after="0"/>
        <w:tabs>
          <w:tab w:leader="none" w:pos="198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Redemption Price, accrued interest to the Redemption Date payable as provided in Section</w:t>
      </w:r>
    </w:p>
    <w:p>
      <w:pPr>
        <w:spacing w:after="0" w:line="42"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1106, if any,</w:t>
      </w:r>
    </w:p>
    <w:p>
      <w:pPr>
        <w:spacing w:after="0" w:line="188" w:lineRule="exact"/>
        <w:rPr>
          <w:rFonts w:ascii="Arial" w:cs="Arial" w:eastAsia="Arial" w:hAnsi="Arial"/>
          <w:sz w:val="19"/>
          <w:szCs w:val="19"/>
          <w:color w:val="auto"/>
        </w:rPr>
      </w:pPr>
    </w:p>
    <w:p>
      <w:pPr>
        <w:ind w:left="640" w:right="60" w:firstLine="648"/>
        <w:spacing w:after="0" w:line="328" w:lineRule="auto"/>
        <w:tabs>
          <w:tab w:leader="none" w:pos="1972" w:val="left"/>
        </w:tabs>
        <w:numPr>
          <w:ilvl w:val="0"/>
          <w:numId w:val="108"/>
        </w:numPr>
        <w:rPr>
          <w:rFonts w:ascii="Arial" w:cs="Arial" w:eastAsia="Arial" w:hAnsi="Arial"/>
          <w:sz w:val="19"/>
          <w:szCs w:val="19"/>
          <w:color w:val="auto"/>
        </w:rPr>
      </w:pPr>
      <w:r>
        <w:rPr>
          <w:rFonts w:ascii="Arial" w:cs="Arial" w:eastAsia="Arial" w:hAnsi="Arial"/>
          <w:sz w:val="19"/>
          <w:szCs w:val="19"/>
          <w:color w:val="auto"/>
        </w:rPr>
        <w:t>if less than all Outstanding Securities of any series are to be redeemed, the identification (and, in the case of partial redemption, the principal amount) of the particular Security or Securities to be redeemed,</w:t>
      </w:r>
    </w:p>
    <w:p>
      <w:pPr>
        <w:spacing w:after="0" w:line="105" w:lineRule="exact"/>
        <w:rPr>
          <w:rFonts w:ascii="Arial" w:cs="Arial" w:eastAsia="Arial" w:hAnsi="Arial"/>
          <w:sz w:val="19"/>
          <w:szCs w:val="19"/>
          <w:color w:val="auto"/>
        </w:rPr>
      </w:pPr>
    </w:p>
    <w:p>
      <w:pPr>
        <w:ind w:left="640" w:firstLine="648"/>
        <w:spacing w:after="0" w:line="238" w:lineRule="auto"/>
        <w:tabs>
          <w:tab w:leader="none" w:pos="1972"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185" w:lineRule="exact"/>
        <w:rPr>
          <w:rFonts w:ascii="Arial" w:cs="Arial" w:eastAsia="Arial" w:hAnsi="Arial"/>
          <w:sz w:val="22"/>
          <w:szCs w:val="22"/>
          <w:color w:val="auto"/>
        </w:rPr>
      </w:pPr>
    </w:p>
    <w:p>
      <w:pPr>
        <w:ind w:left="640" w:right="100" w:firstLine="648"/>
        <w:spacing w:after="0" w:line="238" w:lineRule="auto"/>
        <w:tabs>
          <w:tab w:leader="none" w:pos="1972"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that on the Redemption Date the Redemption Price and accrued interest to the Redemption Date payable as provided in Section 1106, if any, will become due and payable upon each such Security, or the portion thereof, to be redeemed and, if applicable, that interest thereon shall cease to accrue on and after said date,</w:t>
      </w:r>
    </w:p>
    <w:p>
      <w:pPr>
        <w:spacing w:after="0" w:line="185" w:lineRule="exact"/>
        <w:rPr>
          <w:rFonts w:ascii="Arial" w:cs="Arial" w:eastAsia="Arial" w:hAnsi="Arial"/>
          <w:sz w:val="22"/>
          <w:szCs w:val="22"/>
          <w:color w:val="auto"/>
        </w:rPr>
      </w:pPr>
    </w:p>
    <w:p>
      <w:pPr>
        <w:ind w:left="640" w:right="240" w:firstLine="648"/>
        <w:spacing w:after="0" w:line="258" w:lineRule="auto"/>
        <w:tabs>
          <w:tab w:leader="none" w:pos="1972" w:val="left"/>
        </w:tabs>
        <w:numPr>
          <w:ilvl w:val="0"/>
          <w:numId w:val="108"/>
        </w:numPr>
        <w:rPr>
          <w:rFonts w:ascii="Arial" w:cs="Arial" w:eastAsia="Arial" w:hAnsi="Arial"/>
          <w:sz w:val="21"/>
          <w:szCs w:val="21"/>
          <w:color w:val="auto"/>
        </w:rPr>
      </w:pPr>
      <w:r>
        <w:rPr>
          <w:rFonts w:ascii="Arial" w:cs="Arial" w:eastAsia="Arial" w:hAnsi="Arial"/>
          <w:sz w:val="21"/>
          <w:szCs w:val="21"/>
          <w:color w:val="auto"/>
        </w:rPr>
        <w:t>the Place or Places of Payment where such Securities, together in the case of Bearer Securities with all coupons appertaining thereto, if any, maturing after the Redemption Date, are to be surrendered for payment of the Redemption Price and accrued interest, if any, or for conversion,</w:t>
      </w:r>
    </w:p>
    <w:p>
      <w:pPr>
        <w:spacing w:after="0" w:line="166" w:lineRule="exact"/>
        <w:rPr>
          <w:rFonts w:ascii="Arial" w:cs="Arial" w:eastAsia="Arial" w:hAnsi="Arial"/>
          <w:sz w:val="21"/>
          <w:szCs w:val="21"/>
          <w:color w:val="auto"/>
        </w:rPr>
      </w:pPr>
    </w:p>
    <w:p>
      <w:pPr>
        <w:ind w:left="1980" w:hanging="692"/>
        <w:spacing w:after="0"/>
        <w:tabs>
          <w:tab w:leader="none" w:pos="198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that the redemption is for a sinking fund, if such is the case,</w:t>
      </w:r>
    </w:p>
    <w:p>
      <w:pPr>
        <w:spacing w:after="0" w:line="206" w:lineRule="exact"/>
        <w:rPr>
          <w:rFonts w:ascii="Arial" w:cs="Arial" w:eastAsia="Arial" w:hAnsi="Arial"/>
          <w:sz w:val="22"/>
          <w:szCs w:val="22"/>
          <w:color w:val="auto"/>
        </w:rPr>
      </w:pPr>
    </w:p>
    <w:p>
      <w:pPr>
        <w:jc w:val="both"/>
        <w:ind w:left="640" w:firstLine="648"/>
        <w:spacing w:after="0" w:line="287" w:lineRule="auto"/>
        <w:tabs>
          <w:tab w:leader="none" w:pos="1972"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that, unless otherwise specified in such notice, Bearer Securities of any series, if any, surrendered for redemption must be accompanied by all coupons maturing subsequent to the date fixed for redemption or the amount of any such missing coupon or coupons will be deducted from the Redemption Price, unless security or indemnity satisfactory to the Company, the Trustee for such series and any Paying Agent is furnished,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19" w:name="page120"/>
    <w:bookmarkEnd w:id="119"/>
    <w:p>
      <w:pPr>
        <w:jc w:val="both"/>
        <w:ind w:left="640" w:right="60" w:firstLine="648"/>
        <w:spacing w:after="0" w:line="252" w:lineRule="auto"/>
        <w:tabs>
          <w:tab w:leader="none" w:pos="1972" w:val="left"/>
        </w:tabs>
        <w:numPr>
          <w:ilvl w:val="0"/>
          <w:numId w:val="109"/>
        </w:numPr>
        <w:rPr>
          <w:rFonts w:ascii="Arial" w:cs="Arial" w:eastAsia="Arial" w:hAnsi="Arial"/>
          <w:sz w:val="21"/>
          <w:szCs w:val="21"/>
          <w:color w:val="auto"/>
        </w:rPr>
      </w:pPr>
      <w:r>
        <w:rPr>
          <w:rFonts w:ascii="Arial" w:cs="Arial" w:eastAsia="Arial" w:hAnsi="Arial"/>
          <w:sz w:val="21"/>
          <w:szCs w:val="21"/>
          <w:color w:val="auto"/>
        </w:rPr>
        <w:t>if Bearer Securities of any series are to be redeemed and any Registered Securities of such series are not to be redeemed, and if such Bearer Securities may be exchanged for Registered Securities not subject to redemption on this Redemption Date pursuant to Section 305 or otherwise, the last date, as determined by the Company, on which such exchanges may be made,</w:t>
      </w:r>
    </w:p>
    <w:p>
      <w:pPr>
        <w:spacing w:after="0" w:line="174" w:lineRule="exact"/>
        <w:rPr>
          <w:rFonts w:ascii="Arial" w:cs="Arial" w:eastAsia="Arial" w:hAnsi="Arial"/>
          <w:sz w:val="21"/>
          <w:szCs w:val="21"/>
          <w:color w:val="auto"/>
        </w:rPr>
      </w:pPr>
    </w:p>
    <w:p>
      <w:pPr>
        <w:ind w:left="1980" w:hanging="692"/>
        <w:spacing w:after="0"/>
        <w:tabs>
          <w:tab w:leader="none" w:pos="198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CUSIP number of such Security, if any, and</w:t>
      </w:r>
    </w:p>
    <w:p>
      <w:pPr>
        <w:spacing w:after="0" w:line="206" w:lineRule="exact"/>
        <w:rPr>
          <w:rFonts w:ascii="Arial" w:cs="Arial" w:eastAsia="Arial" w:hAnsi="Arial"/>
          <w:sz w:val="22"/>
          <w:szCs w:val="22"/>
          <w:color w:val="auto"/>
        </w:rPr>
      </w:pPr>
    </w:p>
    <w:p>
      <w:pPr>
        <w:jc w:val="both"/>
        <w:ind w:left="640" w:right="200" w:firstLine="648"/>
        <w:spacing w:after="0" w:line="238" w:lineRule="auto"/>
        <w:tabs>
          <w:tab w:leader="none" w:pos="1964"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if applicable, that a Holder of Securities who desires to convert Securities for redemption must satisfy the requirements for conversion contained in such Securities, the then existing conversion price or rate, the place or places where such Securities may be surrendered for conversion, and the date and time when the option to convert shall expire.</w:t>
      </w:r>
    </w:p>
    <w:p>
      <w:pPr>
        <w:spacing w:after="0" w:line="185" w:lineRule="exact"/>
        <w:rPr>
          <w:sz w:val="20"/>
          <w:szCs w:val="20"/>
          <w:color w:val="auto"/>
        </w:rPr>
      </w:pPr>
    </w:p>
    <w:p>
      <w:pPr>
        <w:ind w:right="820" w:firstLine="648"/>
        <w:spacing w:after="0" w:line="328" w:lineRule="auto"/>
        <w:rPr>
          <w:sz w:val="20"/>
          <w:szCs w:val="20"/>
          <w:color w:val="auto"/>
        </w:rPr>
      </w:pPr>
      <w:r>
        <w:rPr>
          <w:rFonts w:ascii="Arial" w:cs="Arial" w:eastAsia="Arial" w:hAnsi="Arial"/>
          <w:sz w:val="19"/>
          <w:szCs w:val="19"/>
          <w:color w:val="auto"/>
        </w:rPr>
        <w:t>Notice of redemption of Securities to be redeemed at the election of the Company shall be given by the Company or, at the Company’s request, by the Trustee in the name and at the expense of the Company.</w:t>
      </w:r>
    </w:p>
    <w:p>
      <w:pPr>
        <w:spacing w:after="0" w:line="105"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 xml:space="preserve">SECTION 1105. </w:t>
      </w:r>
      <w:r>
        <w:rPr>
          <w:rFonts w:ascii="Arial" w:cs="Arial" w:eastAsia="Arial" w:hAnsi="Arial"/>
          <w:sz w:val="21"/>
          <w:szCs w:val="21"/>
          <w:u w:val="single" w:color="auto"/>
          <w:color w:val="auto"/>
        </w:rPr>
        <w:t>Deposit of Redemption Price</w:t>
      </w:r>
      <w:r>
        <w:rPr>
          <w:rFonts w:ascii="Arial" w:cs="Arial" w:eastAsia="Arial" w:hAnsi="Arial"/>
          <w:sz w:val="21"/>
          <w:szCs w:val="21"/>
          <w:color w:val="auto"/>
        </w:rPr>
        <w:t>. On or prior to any Redemption Date, the Company shall deposit with the Trustee or with a Paying Agent (or, if the Company is acting as its own Paying Agent, which it may not do in the case of a sinking fund payment under Article Twelve,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on the Redemption Date the Redemption Price of, and (except if the Redemption Date shall be an Interest Payment Date) accrued interest on, all the Securities or portions thereof which are to be redeemed on that date.</w:t>
      </w:r>
    </w:p>
    <w:p>
      <w:pPr>
        <w:spacing w:after="0" w:line="181" w:lineRule="exact"/>
        <w:rPr>
          <w:sz w:val="20"/>
          <w:szCs w:val="20"/>
          <w:color w:val="auto"/>
        </w:rPr>
      </w:pPr>
    </w:p>
    <w:p>
      <w:pPr>
        <w:ind w:right="100" w:firstLine="648"/>
        <w:spacing w:after="0" w:line="258" w:lineRule="auto"/>
        <w:rPr>
          <w:sz w:val="20"/>
          <w:szCs w:val="20"/>
          <w:color w:val="auto"/>
        </w:rPr>
      </w:pPr>
      <w:r>
        <w:rPr>
          <w:rFonts w:ascii="Arial" w:cs="Arial" w:eastAsia="Arial" w:hAnsi="Arial"/>
          <w:sz w:val="21"/>
          <w:szCs w:val="21"/>
          <w:color w:val="auto"/>
        </w:rPr>
        <w:t>If any Securities called for redemption are converted, any money deposited with the Trustee or with any Paying Agent or so segregated and held in trust for the redemption of such Security shall be paid to the Company upon Company Request or, if then held by the Company, shall be discharged from such trust.</w:t>
      </w:r>
    </w:p>
    <w:p>
      <w:pPr>
        <w:spacing w:after="0" w:line="167" w:lineRule="exact"/>
        <w:rPr>
          <w:sz w:val="20"/>
          <w:szCs w:val="20"/>
          <w:color w:val="auto"/>
        </w:rPr>
      </w:pPr>
    </w:p>
    <w:p>
      <w:pPr>
        <w:ind w:firstLine="648"/>
        <w:spacing w:after="0" w:line="245" w:lineRule="exact"/>
        <w:rPr>
          <w:sz w:val="20"/>
          <w:szCs w:val="20"/>
          <w:color w:val="auto"/>
        </w:rPr>
      </w:pPr>
      <w:r>
        <w:rPr>
          <w:rFonts w:ascii="Arial" w:cs="Arial" w:eastAsia="Arial" w:hAnsi="Arial"/>
          <w:sz w:val="19"/>
          <w:szCs w:val="19"/>
          <w:color w:val="auto"/>
        </w:rPr>
        <w:t xml:space="preserve">SECTION 1106. </w:t>
      </w:r>
      <w:r>
        <w:rPr>
          <w:rFonts w:ascii="Arial" w:cs="Arial" w:eastAsia="Arial" w:hAnsi="Arial"/>
          <w:sz w:val="19"/>
          <w:szCs w:val="19"/>
          <w:u w:val="single" w:color="auto"/>
          <w:color w:val="auto"/>
        </w:rPr>
        <w:t>Securities Payable on Redemption Date</w:t>
      </w:r>
      <w:r>
        <w:rPr>
          <w:rFonts w:ascii="Arial" w:cs="Arial" w:eastAsia="Arial" w:hAnsi="Arial"/>
          <w:sz w:val="19"/>
          <w:szCs w:val="19"/>
          <w:color w:val="auto"/>
        </w:rPr>
        <w:t>. Notice of redemption having been given as aforesaid, the Securities so to be redeemed shall, on the Redemption Date, become due and payable at the Redemption Price therein specified in the currency or currencies, currency unit or units or composite currency or currencies in which the Securities of such series are payable (except as otherwise specified pursuant to Section 301 for the Securities of such series) (together with accrued interest, if any, to the Redemption Date), and from and after such date (unless the Company shall default in the payment of the Redemption Price and accrued interest) such Securities shall, if the same were interest</w:t>
      </w:r>
      <w:r>
        <w:rPr>
          <w:rFonts w:ascii="MS PGothic" w:cs="MS PGothic" w:eastAsia="MS PGothic" w:hAnsi="MS PGothic"/>
          <w:sz w:val="19"/>
          <w:szCs w:val="19"/>
          <w:color w:val="auto"/>
        </w:rPr>
        <w:t>‑</w:t>
      </w:r>
      <w:r>
        <w:rPr>
          <w:rFonts w:ascii="Arial" w:cs="Arial" w:eastAsia="Arial" w:hAnsi="Arial"/>
          <w:sz w:val="19"/>
          <w:szCs w:val="19"/>
          <w:color w:val="auto"/>
        </w:rPr>
        <w:t xml:space="preserve">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20" w:name="page121"/>
    <w:bookmarkEnd w:id="120"/>
    <w:p>
      <w:pPr>
        <w:ind w:right="180"/>
        <w:spacing w:after="0" w:line="282" w:lineRule="auto"/>
        <w:rPr>
          <w:sz w:val="20"/>
          <w:szCs w:val="20"/>
          <w:color w:val="auto"/>
        </w:rPr>
      </w:pPr>
      <w:r>
        <w:rPr>
          <w:rFonts w:ascii="Arial" w:cs="Arial" w:eastAsia="Arial" w:hAnsi="Arial"/>
          <w:sz w:val="19"/>
          <w:szCs w:val="19"/>
          <w:color w:val="auto"/>
        </w:rPr>
        <w:t xml:space="preserve">by Section 301, only upon presentation and surrender of coupons for such interest;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except as otherwise provided with respect to Securities convertible into the Company’s Common Stock or Preferred Stock,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48" w:lineRule="exact"/>
        <w:rPr>
          <w:sz w:val="20"/>
          <w:szCs w:val="20"/>
          <w:color w:val="auto"/>
        </w:rPr>
      </w:pPr>
    </w:p>
    <w:p>
      <w:pPr>
        <w:ind w:right="40" w:firstLine="648"/>
        <w:spacing w:after="0" w:line="245" w:lineRule="auto"/>
        <w:rPr>
          <w:sz w:val="20"/>
          <w:szCs w:val="20"/>
          <w:color w:val="auto"/>
        </w:rPr>
      </w:pPr>
      <w:r>
        <w:rPr>
          <w:rFonts w:ascii="Arial" w:cs="Arial" w:eastAsia="Arial" w:hAnsi="Arial"/>
          <w:sz w:val="21"/>
          <w:szCs w:val="21"/>
          <w:color w:val="auto"/>
        </w:rPr>
        <w:t xml:space="preserve">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82" w:lineRule="exact"/>
        <w:rPr>
          <w:sz w:val="20"/>
          <w:szCs w:val="20"/>
          <w:color w:val="auto"/>
        </w:rPr>
      </w:pPr>
    </w:p>
    <w:p>
      <w:pPr>
        <w:ind w:right="240" w:firstLine="648"/>
        <w:spacing w:after="0"/>
        <w:rPr>
          <w:sz w:val="20"/>
          <w:szCs w:val="20"/>
          <w:color w:val="auto"/>
        </w:rPr>
      </w:pPr>
      <w:r>
        <w:rPr>
          <w:rFonts w:ascii="Arial" w:cs="Arial" w:eastAsia="Arial" w:hAnsi="Arial"/>
          <w:sz w:val="22"/>
          <w:szCs w:val="22"/>
          <w:color w:val="auto"/>
        </w:rPr>
        <w:t>If any Security called for redemption shall not be so paid upon surrender thereof for redemption, the principal (and premium or Make-Whole Amount, if any) shall, until paid, bear interest from the Redemption Date at the rate borne by the Security.</w:t>
      </w:r>
    </w:p>
    <w:p>
      <w:pPr>
        <w:spacing w:after="0" w:line="186"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 xml:space="preserve">SECTION 1107. </w:t>
      </w:r>
      <w:r>
        <w:rPr>
          <w:rFonts w:ascii="Arial" w:cs="Arial" w:eastAsia="Arial" w:hAnsi="Arial"/>
          <w:sz w:val="19"/>
          <w:szCs w:val="19"/>
          <w:u w:val="single" w:color="auto"/>
          <w:color w:val="auto"/>
        </w:rPr>
        <w:t>Securities Redeemed in Part</w:t>
      </w:r>
      <w:r>
        <w:rPr>
          <w:rFonts w:ascii="Arial" w:cs="Arial" w:eastAsia="Arial" w:hAnsi="Arial"/>
          <w:sz w:val="19"/>
          <w:szCs w:val="19"/>
          <w:color w:val="auto"/>
        </w:rPr>
        <w:t>. Any Registered Security 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 If a Global Security is so surrendered, the Company shall execute and the Trustee shall authenticate and deliver to the depository, without service charge, a new Global Security in a denomination equal to and in exchange for the unredeemed portion of the principal of the Global Security so surrendered.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TWELVE - SINKING FUNDS</w:t>
      </w:r>
    </w:p>
    <w:p>
      <w:pPr>
        <w:spacing w:after="0" w:line="206"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 xml:space="preserve">SECTION 1201. </w:t>
      </w:r>
      <w:r>
        <w:rPr>
          <w:rFonts w:ascii="Arial" w:cs="Arial" w:eastAsia="Arial" w:hAnsi="Arial"/>
          <w:sz w:val="22"/>
          <w:szCs w:val="22"/>
          <w:u w:val="single" w:color="auto"/>
          <w:color w:val="auto"/>
        </w:rPr>
        <w:t>Applicability of Article</w:t>
      </w:r>
      <w:r>
        <w:rPr>
          <w:rFonts w:ascii="Arial" w:cs="Arial" w:eastAsia="Arial" w:hAnsi="Arial"/>
          <w:sz w:val="22"/>
          <w:szCs w:val="22"/>
          <w:color w:val="auto"/>
        </w:rPr>
        <w:t>. The provisions of this Article shall be applicable to any sinking fund for the retirement of Securities of a series except as otherwise specified as contemplated by Section 301 for Securities of such series.</w:t>
      </w:r>
    </w:p>
    <w:p>
      <w:pPr>
        <w:spacing w:after="0" w:line="186" w:lineRule="exact"/>
        <w:rPr>
          <w:sz w:val="20"/>
          <w:szCs w:val="20"/>
          <w:color w:val="auto"/>
        </w:rPr>
      </w:pPr>
    </w:p>
    <w:p>
      <w:pPr>
        <w:ind w:right="520" w:firstLine="648"/>
        <w:spacing w:after="0"/>
        <w:rPr>
          <w:sz w:val="20"/>
          <w:szCs w:val="20"/>
          <w:color w:val="auto"/>
        </w:rPr>
      </w:pPr>
      <w:r>
        <w:rPr>
          <w:rFonts w:ascii="Arial" w:cs="Arial" w:eastAsia="Arial" w:hAnsi="Arial"/>
          <w:sz w:val="22"/>
          <w:szCs w:val="22"/>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121" w:name="page122"/>
    <w:bookmarkEnd w:id="121"/>
    <w:p>
      <w:pPr>
        <w:ind w:right="80"/>
        <w:spacing w:after="0" w:line="238" w:lineRule="auto"/>
        <w:rPr>
          <w:sz w:val="20"/>
          <w:szCs w:val="20"/>
          <w:color w:val="auto"/>
        </w:rPr>
      </w:pPr>
      <w:r>
        <w:rPr>
          <w:rFonts w:ascii="Arial" w:cs="Arial" w:eastAsia="Arial" w:hAnsi="Arial"/>
          <w:sz w:val="22"/>
          <w:szCs w:val="22"/>
          <w:color w:val="auto"/>
        </w:rPr>
        <w:t>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85"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 xml:space="preserve">SECTION 1202. </w:t>
      </w:r>
      <w:r>
        <w:rPr>
          <w:rFonts w:ascii="Arial" w:cs="Arial" w:eastAsia="Arial" w:hAnsi="Arial"/>
          <w:sz w:val="21"/>
          <w:szCs w:val="21"/>
          <w:u w:val="single" w:color="auto"/>
          <w:color w:val="auto"/>
        </w:rPr>
        <w:t>Satisfaction of Sinking Fund Payments with Securities</w:t>
      </w:r>
      <w:r>
        <w:rPr>
          <w:rFonts w:ascii="Arial" w:cs="Arial" w:eastAsia="Arial" w:hAnsi="Arial"/>
          <w:sz w:val="21"/>
          <w:szCs w:val="21"/>
          <w:color w:val="auto"/>
        </w:rPr>
        <w:t xml:space="preserve">. The Company may, in satisfaction of all or any part of any mandatory sinking fund payment with respect to the Securities of a series, (1) deliver Outstanding Securities of such series (other than any previously called for redemption) together in the case of any Bearer Securities of such series with all unmatured coupons appertaining thereto and (2)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or which have otherwise been acquired by the Company;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190"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SECTION 1203. </w:t>
      </w:r>
      <w:r>
        <w:rPr>
          <w:rFonts w:ascii="Arial" w:cs="Arial" w:eastAsia="Arial" w:hAnsi="Arial"/>
          <w:sz w:val="19"/>
          <w:szCs w:val="19"/>
          <w:u w:val="single" w:color="auto"/>
          <w:color w:val="auto"/>
        </w:rPr>
        <w:t>Redemption of Securities for Sinking Fund</w:t>
      </w:r>
      <w:r>
        <w:rPr>
          <w:rFonts w:ascii="Arial" w:cs="Arial" w:eastAsia="Arial" w:hAnsi="Arial"/>
          <w:sz w:val="19"/>
          <w:szCs w:val="19"/>
          <w:color w:val="auto"/>
        </w:rPr>
        <w:t>. Not less than 60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or currencies, currency unit or units or composite currency or currencies in which the Securities of such series are payable (except as otherwise specified pursuant to Section 301 for the Securities of such series)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THIRTEEN - REPAYMENT AT THE OPTION OF HOLDERS</w:t>
      </w:r>
    </w:p>
    <w:p>
      <w:pPr>
        <w:spacing w:after="0" w:line="206" w:lineRule="exact"/>
        <w:rPr>
          <w:sz w:val="20"/>
          <w:szCs w:val="20"/>
          <w:color w:val="auto"/>
        </w:rPr>
      </w:pPr>
    </w:p>
    <w:p>
      <w:pPr>
        <w:ind w:right="180" w:firstLine="648"/>
        <w:spacing w:after="0" w:line="238" w:lineRule="auto"/>
        <w:rPr>
          <w:sz w:val="20"/>
          <w:szCs w:val="20"/>
          <w:color w:val="auto"/>
        </w:rPr>
      </w:pPr>
      <w:r>
        <w:rPr>
          <w:rFonts w:ascii="Arial" w:cs="Arial" w:eastAsia="Arial" w:hAnsi="Arial"/>
          <w:sz w:val="22"/>
          <w:szCs w:val="22"/>
          <w:color w:val="auto"/>
        </w:rPr>
        <w:t xml:space="preserve">SECTION 1301. </w:t>
      </w:r>
      <w:r>
        <w:rPr>
          <w:rFonts w:ascii="Arial" w:cs="Arial" w:eastAsia="Arial" w:hAnsi="Arial"/>
          <w:sz w:val="22"/>
          <w:szCs w:val="22"/>
          <w:u w:val="single" w:color="auto"/>
          <w:color w:val="auto"/>
        </w:rPr>
        <w:t>Applicability of Article</w:t>
      </w:r>
      <w:r>
        <w:rPr>
          <w:rFonts w:ascii="Arial" w:cs="Arial" w:eastAsia="Arial" w:hAnsi="Arial"/>
          <w:sz w:val="22"/>
          <w:szCs w:val="22"/>
          <w:color w:val="auto"/>
        </w:rPr>
        <w:t>. Repayment of Securities of any series before their Stated Maturity at the option of Holders thereof shall be made in accordance with the terms of such Securities, if any, and (except as otherwise specified by the terms of such series established pursuant to Section 301) in accordance with this Article.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122" w:name="page123"/>
    <w:bookmarkEnd w:id="122"/>
    <w:p>
      <w:pPr>
        <w:ind w:right="60" w:firstLine="648"/>
        <w:spacing w:after="0" w:line="273" w:lineRule="auto"/>
        <w:rPr>
          <w:sz w:val="20"/>
          <w:szCs w:val="20"/>
          <w:color w:val="auto"/>
        </w:rPr>
      </w:pPr>
      <w:r>
        <w:rPr>
          <w:rFonts w:ascii="Arial" w:cs="Arial" w:eastAsia="Arial" w:hAnsi="Arial"/>
          <w:sz w:val="19"/>
          <w:szCs w:val="19"/>
          <w:color w:val="auto"/>
        </w:rPr>
        <w:t xml:space="preserve">SECTION 1302. </w:t>
      </w:r>
      <w:r>
        <w:rPr>
          <w:rFonts w:ascii="Arial" w:cs="Arial" w:eastAsia="Arial" w:hAnsi="Arial"/>
          <w:sz w:val="19"/>
          <w:szCs w:val="19"/>
          <w:u w:val="single" w:color="auto"/>
          <w:color w:val="auto"/>
        </w:rPr>
        <w:t>Repayment of Securities</w:t>
      </w:r>
      <w:r>
        <w:rPr>
          <w:rFonts w:ascii="Arial" w:cs="Arial" w:eastAsia="Arial" w:hAnsi="Arial"/>
          <w:sz w:val="19"/>
          <w:szCs w:val="19"/>
          <w:color w:val="auto"/>
        </w:rPr>
        <w:t>. Securities of any series subject to repayment in whole or in part at the option of the Holders thereof will, unless otherwise provided in the terms of such Securities, be repaid at a price equal to the principal amount thereof, together with interest, if any, thereon accrued to the Repayment Date specified in or pursuant to the terms of such Securities. The Company covenants that on or prior to the Repayment Date it will deposit with the Trustee or with a Paying Agent (or, if the Company is acting as its own Paying Agent,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the principal (or, if so provided by the terms of the Securities of any series, a percentage of the principal) of, and (except if the Repayment Date shall be an Interest Payment Date) accrued interest on, all the Securities or portions thereof, as the case may be, to be repaid on such date.</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 xml:space="preserve">SECTION 1303. </w:t>
      </w:r>
      <w:r>
        <w:rPr>
          <w:rFonts w:ascii="Arial" w:cs="Arial" w:eastAsia="Arial" w:hAnsi="Arial"/>
          <w:sz w:val="19"/>
          <w:szCs w:val="19"/>
          <w:u w:val="single" w:color="auto"/>
          <w:color w:val="auto"/>
        </w:rPr>
        <w:t>Exercise of Option</w:t>
      </w:r>
      <w:r>
        <w:rPr>
          <w:rFonts w:ascii="Arial" w:cs="Arial" w:eastAsia="Arial" w:hAnsi="Arial"/>
          <w:sz w:val="19"/>
          <w:szCs w:val="19"/>
          <w:color w:val="auto"/>
        </w:rPr>
        <w:t xml:space="preserve">. Securities of any series subject to repayment at the option of the Holders thereof will contain an “Option to Elect Repayment” form on the reverse of such Securities. In order for any Security to be repaid at the option of the Holder, the Trustee must receive at the Place of Payment therefor specified in the terms of such Security (or at such other place or places of which the Company shall from time to time notify the Holders of such Securities) not earlier than 60 days nor later than 30 days prior to the Repayment Date (1) the Security so providing for such repayment together with the “Option to Elect Repayment” form on the reverse thereof duly completed by the Holder (or by the Holder’s attorney duly authorized in writing) or (2) a telegram, telex, facsimile transmission or a letter from a member of a national securities exchange, or the FINRA, or a commercial bank or trust company in the United States setting forth the name of the Holder of the Security, the principal amount of the Security, the principal amount of the Security to be repaid, the CUSIP number, if any, or a description of the tenor and terms of the Security, a statement that the option to elect repayment is being exercised thereby and a guarantee that the Security to be repaid, together with the duly completed form entitled “Option to Elect Repayment” on the reverse of the Security, will be received by the Trustee not later than the fifth Business Day after the date of such telegram, telex, facsimile transmission or letter;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telegram, telex, facsimile transmission or letter shall only be effective if such Security and form duly completed are received by the Trustee by such fifth Business Day. If less than the entire principal amount of such Security is to be repaid in accordance with the terms of such Security, the principal amount of such Security to be repaid, in increments of the minimum denomination for Securities of such series,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200" w:lineRule="exact"/>
        <w:rPr>
          <w:sz w:val="20"/>
          <w:szCs w:val="20"/>
          <w:color w:val="auto"/>
        </w:rPr>
      </w:pPr>
    </w:p>
    <w:p>
      <w:pPr>
        <w:spacing w:after="0" w:line="218" w:lineRule="exact"/>
        <w:rPr>
          <w:sz w:val="20"/>
          <w:szCs w:val="20"/>
          <w:color w:val="auto"/>
        </w:rPr>
      </w:pPr>
    </w:p>
    <w:p>
      <w:pPr>
        <w:ind w:right="100" w:firstLine="648"/>
        <w:spacing w:after="0" w:line="251" w:lineRule="auto"/>
        <w:rPr>
          <w:sz w:val="20"/>
          <w:szCs w:val="20"/>
          <w:color w:val="auto"/>
        </w:rPr>
      </w:pPr>
      <w:r>
        <w:rPr>
          <w:rFonts w:ascii="Arial" w:cs="Arial" w:eastAsia="Arial" w:hAnsi="Arial"/>
          <w:sz w:val="22"/>
          <w:szCs w:val="22"/>
          <w:color w:val="auto"/>
        </w:rPr>
        <w:t xml:space="preserve">SECTION 1304. </w:t>
      </w:r>
      <w:r>
        <w:rPr>
          <w:rFonts w:ascii="Arial" w:cs="Arial" w:eastAsia="Arial" w:hAnsi="Arial"/>
          <w:sz w:val="22"/>
          <w:szCs w:val="22"/>
          <w:u w:val="single" w:color="auto"/>
          <w:color w:val="auto"/>
        </w:rPr>
        <w:t>When Securities Presented for Repayment Become Due and Payable</w:t>
      </w:r>
      <w:r>
        <w:rPr>
          <w:rFonts w:ascii="Arial" w:cs="Arial" w:eastAsia="Arial" w:hAnsi="Arial"/>
          <w:sz w:val="22"/>
          <w:szCs w:val="22"/>
          <w:color w:val="auto"/>
        </w:rPr>
        <w:t>. If Securities of any series providing for repayment at the option of the Holders thereof</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23" w:name="page124"/>
    <w:bookmarkEnd w:id="123"/>
    <w:p>
      <w:pPr>
        <w:spacing w:after="0" w:line="247" w:lineRule="exact"/>
        <w:rPr>
          <w:sz w:val="20"/>
          <w:szCs w:val="20"/>
          <w:color w:val="auto"/>
        </w:rPr>
      </w:pPr>
      <w:r>
        <w:rPr>
          <w:rFonts w:ascii="Arial" w:cs="Arial" w:eastAsia="Arial" w:hAnsi="Arial"/>
          <w:sz w:val="19"/>
          <w:szCs w:val="19"/>
          <w:color w:val="auto"/>
        </w:rPr>
        <w:t>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w:t>
      </w:r>
      <w:r>
        <w:rPr>
          <w:rFonts w:ascii="MS PGothic" w:cs="MS PGothic" w:eastAsia="MS PGothic" w:hAnsi="MS PGothic"/>
          <w:sz w:val="19"/>
          <w:szCs w:val="19"/>
          <w:color w:val="auto"/>
        </w:rPr>
        <w:t>‑</w:t>
      </w:r>
      <w:r>
        <w:rPr>
          <w:rFonts w:ascii="Arial" w:cs="Arial" w:eastAsia="Arial" w:hAnsi="Arial"/>
          <w:sz w:val="19"/>
          <w:szCs w:val="19"/>
          <w:color w:val="auto"/>
        </w:rPr>
        <w:t xml:space="preserve">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principal amount of such Security so to be repaid shall be paid by the Company, together with accrued interest, if any, to the Repayment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coupons whose Stated Maturity is on or prior to the Repayment Date shall be payable only at an office or agency located outside the United States (except as otherwise provided in Section 1002) and, unless otherwise specified pursuant to Section 301, only upon presentation and surrender of such coupons; and provided further that, in the case of Registered Securities, installments of interest, if any, whose Stated Maturity is on or prior to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200" w:lineRule="exact"/>
        <w:rPr>
          <w:sz w:val="20"/>
          <w:szCs w:val="20"/>
          <w:color w:val="auto"/>
        </w:rPr>
      </w:pPr>
    </w:p>
    <w:p>
      <w:pPr>
        <w:spacing w:after="0" w:line="205"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 xml:space="preserve">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62"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If the principal amount of any Security surrendered for repayment shall not be so repaid upon surrender thereof, such principal amount (together with interest, if any, thereon accrued to such Repayment Date) shall, until paid, bear interest from the Repayment Date at the rate of interest or Yield to Maturity (in the case of Original Issue Discount Securities) set forth in such Security.</w:t>
      </w:r>
    </w:p>
    <w:p>
      <w:pPr>
        <w:spacing w:after="0" w:line="185" w:lineRule="exact"/>
        <w:rPr>
          <w:sz w:val="20"/>
          <w:szCs w:val="20"/>
          <w:color w:val="auto"/>
        </w:rPr>
      </w:pPr>
    </w:p>
    <w:p>
      <w:pPr>
        <w:ind w:right="20" w:firstLine="648"/>
        <w:spacing w:after="0" w:line="282" w:lineRule="auto"/>
        <w:rPr>
          <w:sz w:val="20"/>
          <w:szCs w:val="20"/>
          <w:color w:val="auto"/>
        </w:rPr>
      </w:pPr>
      <w:r>
        <w:rPr>
          <w:rFonts w:ascii="Arial" w:cs="Arial" w:eastAsia="Arial" w:hAnsi="Arial"/>
          <w:sz w:val="19"/>
          <w:szCs w:val="19"/>
          <w:color w:val="auto"/>
        </w:rPr>
        <w:t xml:space="preserve">SECTION 1305. </w:t>
      </w:r>
      <w:r>
        <w:rPr>
          <w:rFonts w:ascii="Arial" w:cs="Arial" w:eastAsia="Arial" w:hAnsi="Arial"/>
          <w:sz w:val="19"/>
          <w:szCs w:val="19"/>
          <w:u w:val="single" w:color="auto"/>
          <w:color w:val="auto"/>
        </w:rPr>
        <w:t>Securities Repaid in Part</w:t>
      </w:r>
      <w:r>
        <w:rPr>
          <w:rFonts w:ascii="Arial" w:cs="Arial" w:eastAsia="Arial" w:hAnsi="Arial"/>
          <w:sz w:val="19"/>
          <w:szCs w:val="19"/>
          <w:color w:val="auto"/>
        </w:rPr>
        <w:t>. Upon surrender of any Registered Security which is to be repaid in part only, the Company shall execute and the Trustee shall authenticate and deliver to the Holder of such Security, without service charge and at the expense of the Company, a new Registered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22"/>
          <w:szCs w:val="22"/>
          <w:color w:val="auto"/>
        </w:rPr>
        <w:t>ARTICLE FOURTEEN - DEFEASANCE AND COVENANT DEFEASANCE</w:t>
      </w:r>
    </w:p>
    <w:p>
      <w:pPr>
        <w:spacing w:after="0" w:line="206" w:lineRule="exact"/>
        <w:rPr>
          <w:sz w:val="20"/>
          <w:szCs w:val="20"/>
          <w:color w:val="auto"/>
        </w:rPr>
      </w:pPr>
    </w:p>
    <w:p>
      <w:pPr>
        <w:ind w:right="140" w:firstLine="648"/>
        <w:spacing w:after="0" w:line="274" w:lineRule="auto"/>
        <w:rPr>
          <w:sz w:val="20"/>
          <w:szCs w:val="20"/>
          <w:color w:val="auto"/>
        </w:rPr>
      </w:pPr>
      <w:r>
        <w:rPr>
          <w:rFonts w:ascii="Arial" w:cs="Arial" w:eastAsia="Arial" w:hAnsi="Arial"/>
          <w:sz w:val="19"/>
          <w:szCs w:val="19"/>
          <w:color w:val="auto"/>
        </w:rPr>
        <w:t xml:space="preserve">SECTION 1401. </w:t>
      </w:r>
      <w:r>
        <w:rPr>
          <w:rFonts w:ascii="Arial" w:cs="Arial" w:eastAsia="Arial" w:hAnsi="Arial"/>
          <w:sz w:val="19"/>
          <w:szCs w:val="19"/>
          <w:u w:val="single" w:color="auto"/>
          <w:color w:val="auto"/>
        </w:rPr>
        <w:t>Applicability of Article; Company’s Option to Effect Defeasance or Covenant</w:t>
      </w:r>
      <w:r>
        <w:rPr>
          <w:rFonts w:ascii="Arial" w:cs="Arial" w:eastAsia="Arial" w:hAnsi="Arial"/>
          <w:sz w:val="19"/>
          <w:szCs w:val="19"/>
          <w:color w:val="auto"/>
        </w:rPr>
        <w:t xml:space="preserve"> </w:t>
      </w:r>
      <w:r>
        <w:rPr>
          <w:rFonts w:ascii="Arial" w:cs="Arial" w:eastAsia="Arial" w:hAnsi="Arial"/>
          <w:sz w:val="19"/>
          <w:szCs w:val="19"/>
          <w:u w:val="single" w:color="auto"/>
          <w:color w:val="auto"/>
        </w:rPr>
        <w:t>Defeasance</w:t>
      </w:r>
      <w:r>
        <w:rPr>
          <w:rFonts w:ascii="Arial" w:cs="Arial" w:eastAsia="Arial" w:hAnsi="Arial"/>
          <w:sz w:val="19"/>
          <w:szCs w:val="19"/>
          <w:color w:val="auto"/>
        </w:rPr>
        <w:t>. If, pursuant to Section 301, provision is made for either or both of (a) Defeasance of the Securities of or within a series under Section 1402 or (b) 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any coupons appertaining thereto, and the Company may at its option by Board Resolution, at any time, with respect to such Securities and any coupons appertaining thereto, elect to have Section 1402 (if applicable) or Section 1403 (if applicable) be applied to such Outstanding Securities and any coupons appertaining thereto upon compliance with the conditions set forth below in this Article.</w:t>
      </w:r>
    </w:p>
    <w:p>
      <w:pPr>
        <w:spacing w:after="0" w:line="159" w:lineRule="exact"/>
        <w:rPr>
          <w:sz w:val="20"/>
          <w:szCs w:val="20"/>
          <w:color w:val="auto"/>
        </w:rPr>
      </w:pPr>
    </w:p>
    <w:p>
      <w:pPr>
        <w:ind w:right="40" w:firstLine="648"/>
        <w:spacing w:after="0" w:line="270" w:lineRule="auto"/>
        <w:rPr>
          <w:sz w:val="20"/>
          <w:szCs w:val="20"/>
          <w:color w:val="auto"/>
        </w:rPr>
      </w:pPr>
      <w:r>
        <w:rPr>
          <w:rFonts w:ascii="Arial" w:cs="Arial" w:eastAsia="Arial" w:hAnsi="Arial"/>
          <w:sz w:val="19"/>
          <w:szCs w:val="19"/>
          <w:color w:val="auto"/>
        </w:rPr>
        <w:t xml:space="preserve">SECTION 1402. </w:t>
      </w:r>
      <w:r>
        <w:rPr>
          <w:rFonts w:ascii="Arial" w:cs="Arial" w:eastAsia="Arial" w:hAnsi="Arial"/>
          <w:sz w:val="19"/>
          <w:szCs w:val="19"/>
          <w:u w:val="single" w:color="auto"/>
          <w:color w:val="auto"/>
        </w:rPr>
        <w:t>Defeasance and Discharge</w:t>
      </w:r>
      <w:r>
        <w:rPr>
          <w:rFonts w:ascii="Arial" w:cs="Arial" w:eastAsia="Arial" w:hAnsi="Arial"/>
          <w:sz w:val="19"/>
          <w:szCs w:val="19"/>
          <w:color w:val="auto"/>
        </w:rPr>
        <w:t>. Upon the Company’s exercise of the above option applicable to this Section with respect to any Securities of or within a series, the Company shall be deemed to have been discharged from its obligations with respect to such Outstanding Securities and any coupons appertaining thereto on the date the conditions set forth in Section 1404 are satisfied (hereinafter, “Defeasance”). For this purpose, such Defeasance means that the Company shall be deemed to have paid and discharged the entire indebtedness represented by such Outstanding Securities and any coupons appertaining thereto, which shall thereafter be deemed to be “Outstanding” only for the purposes of Section 1405 and the other Sections of this Indenture referred to in clauses (A) and (B) below, and to have satisfied all of its other obligations under such Securities and any coupons appertaining thereto and this Indenture insofar as such Securities and any coupons appertaining thereto are concerned (and the Trustee, at the expense of the Company, shall execute proper instruments acknowledging the same), except for the following which shall survive until otherwise terminated or discharged hereunder: (A) the rights of Holders of such Outstanding Securities and any coupons appertaining thereto to receive, solely from the trust fund described in Section 1404 and as more fully set forth in such Section, payments in respect of the principal of (and premium or Make-Whole Amount, if any) and interest, if any, on such Securities and any coupons appertaining thereto when such payments are due, (B) the Company’s obligations with respect to such Securities under Sections 305, 306, 1002 and 1003, and the Company’s obligations under Section 606 hereof (C) the rights, powers, trusts, duties and immunities of the Trustee hereunder and (D) this Article. Subject to compliance with this Article Fourteen, the Company may exercise its option under this Section notwithstanding the prior exercise of its option under Section 1403 with respect to such Securities and any coupons appertaining thereto.</w:t>
      </w:r>
    </w:p>
    <w:p>
      <w:pPr>
        <w:spacing w:after="0" w:line="200" w:lineRule="exact"/>
        <w:rPr>
          <w:sz w:val="20"/>
          <w:szCs w:val="20"/>
          <w:color w:val="auto"/>
        </w:rPr>
      </w:pPr>
    </w:p>
    <w:p>
      <w:pPr>
        <w:spacing w:after="0" w:line="211"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 xml:space="preserve">SECTION 1403. </w:t>
      </w:r>
      <w:r>
        <w:rPr>
          <w:rFonts w:ascii="Arial" w:cs="Arial" w:eastAsia="Arial" w:hAnsi="Arial"/>
          <w:sz w:val="21"/>
          <w:szCs w:val="21"/>
          <w:u w:val="single" w:color="auto"/>
          <w:color w:val="auto"/>
        </w:rPr>
        <w:t>Covenant Defeasance</w:t>
      </w:r>
      <w:r>
        <w:rPr>
          <w:rFonts w:ascii="Arial" w:cs="Arial" w:eastAsia="Arial" w:hAnsi="Arial"/>
          <w:sz w:val="21"/>
          <w:szCs w:val="21"/>
          <w:color w:val="auto"/>
        </w:rPr>
        <w:t>. Upon the Company’s exercise of the above option applicable to this Section with respect to any Securities of or within a series, the Company shall be released from its obligations under Sections 1004 to 1009, inclusive, and, if specified pursuant to Section 301, its obligations under any other covenant contained herein or in any indenture supplemental hereto,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25" w:name="page126"/>
    <w:bookmarkEnd w:id="125"/>
    <w:p>
      <w:pPr>
        <w:ind w:right="20"/>
        <w:spacing w:after="0" w:line="274" w:lineRule="auto"/>
        <w:rPr>
          <w:sz w:val="20"/>
          <w:szCs w:val="20"/>
          <w:color w:val="auto"/>
        </w:rPr>
      </w:pPr>
      <w:r>
        <w:rPr>
          <w:rFonts w:ascii="Arial" w:cs="Arial" w:eastAsia="Arial" w:hAnsi="Arial"/>
          <w:sz w:val="19"/>
          <w:szCs w:val="19"/>
          <w:color w:val="auto"/>
        </w:rPr>
        <w:t>with Sections 1004 to 1009, inclusive, or such other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501(8) or otherwise, as the case may be, but, except as specified above, the remainder of this Indenture and such Securities and any coupons appertaining thereto shall be unaffected thereby.</w:t>
      </w:r>
    </w:p>
    <w:p>
      <w:pPr>
        <w:spacing w:after="0" w:line="159"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 xml:space="preserve">SECTION 1404. </w:t>
      </w:r>
      <w:r>
        <w:rPr>
          <w:rFonts w:ascii="Arial" w:cs="Arial" w:eastAsia="Arial" w:hAnsi="Arial"/>
          <w:sz w:val="22"/>
          <w:szCs w:val="22"/>
          <w:u w:val="single" w:color="auto"/>
          <w:color w:val="auto"/>
        </w:rPr>
        <w:t>Conditions to Defeasance or Covenant Defeasance</w:t>
      </w:r>
      <w:r>
        <w:rPr>
          <w:rFonts w:ascii="Arial" w:cs="Arial" w:eastAsia="Arial" w:hAnsi="Arial"/>
          <w:sz w:val="22"/>
          <w:szCs w:val="22"/>
          <w:color w:val="auto"/>
        </w:rPr>
        <w:t>. The following shall be the conditions to application of Section 1402 or Section 1403 to any Outstanding Securities of or within a series and any coupons appertaining thereto:</w:t>
      </w:r>
    </w:p>
    <w:p>
      <w:pPr>
        <w:spacing w:after="0" w:line="186" w:lineRule="exact"/>
        <w:rPr>
          <w:sz w:val="20"/>
          <w:szCs w:val="20"/>
          <w:color w:val="auto"/>
        </w:rPr>
      </w:pPr>
    </w:p>
    <w:p>
      <w:pPr>
        <w:ind w:firstLine="640"/>
        <w:spacing w:after="0" w:line="270" w:lineRule="auto"/>
        <w:tabs>
          <w:tab w:leader="none" w:pos="132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Company shall irrevocably have deposited or caused to be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and dedicated solely to, the benefit of the Holders of such Securities and any coupons appertaining thereto, (1) an amount in such currency, currencies or currency unit in which such Securities and any coupons appertaining thereto are then specified as payable at Stated Maturity, or (2) Government Obligations applicable to such Securities and coupons appertaining thereto (determined on the basis of the currency, currencies or currency unit in which such Securities and coupons appertaining thereto are then specified as payable at Stated Maturity) which through the scheduled payment of principal and interest in respect thereof in accordance with their terms will provide, not later than the due date of any payment of principal of (and premium or Make-Whole Amount, if any) and interest, if any, on such Securities and any coupons appertaining thereto, money in an amount, or (3) a combination thereof, in any case, in an amount, sufficient, without consideration of any reinvestment of such principal and interest,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or Make-Whole Amount,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164" w:lineRule="exact"/>
        <w:rPr>
          <w:rFonts w:ascii="Arial" w:cs="Arial" w:eastAsia="Arial" w:hAnsi="Arial"/>
          <w:sz w:val="19"/>
          <w:szCs w:val="19"/>
          <w:color w:val="auto"/>
        </w:rPr>
      </w:pPr>
    </w:p>
    <w:p>
      <w:pPr>
        <w:ind w:right="440" w:firstLine="640"/>
        <w:spacing w:after="0"/>
        <w:tabs>
          <w:tab w:leader="none" w:pos="1332" w:val="left"/>
        </w:tabs>
        <w:numPr>
          <w:ilvl w:val="0"/>
          <w:numId w:val="110"/>
        </w:numPr>
        <w:rPr>
          <w:rFonts w:ascii="Arial" w:cs="Arial" w:eastAsia="Arial" w:hAnsi="Arial"/>
          <w:sz w:val="22"/>
          <w:szCs w:val="22"/>
          <w:color w:val="auto"/>
        </w:rPr>
      </w:pPr>
      <w:r>
        <w:rPr>
          <w:rFonts w:ascii="Arial" w:cs="Arial" w:eastAsia="Arial" w:hAnsi="Arial"/>
          <w:sz w:val="22"/>
          <w:szCs w:val="22"/>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186" w:lineRule="exact"/>
        <w:rPr>
          <w:rFonts w:ascii="Arial" w:cs="Arial" w:eastAsia="Arial" w:hAnsi="Arial"/>
          <w:sz w:val="22"/>
          <w:szCs w:val="22"/>
          <w:color w:val="auto"/>
        </w:rPr>
      </w:pPr>
    </w:p>
    <w:p>
      <w:pPr>
        <w:ind w:right="480" w:firstLine="640"/>
        <w:spacing w:after="0" w:line="251" w:lineRule="auto"/>
        <w:tabs>
          <w:tab w:leader="none" w:pos="132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No Event of Default or event which with notice or lapse of time or both would become an Event of Default with respect to such Securities and any coupons appertaining thereto</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126" w:name="page127"/>
    <w:bookmarkEnd w:id="126"/>
    <w:p>
      <w:pPr>
        <w:ind w:right="120"/>
        <w:spacing w:after="0"/>
        <w:rPr>
          <w:sz w:val="20"/>
          <w:szCs w:val="20"/>
          <w:color w:val="auto"/>
        </w:rPr>
      </w:pPr>
      <w:r>
        <w:rPr>
          <w:rFonts w:ascii="Arial" w:cs="Arial" w:eastAsia="Arial" w:hAnsi="Arial"/>
          <w:sz w:val="22"/>
          <w:szCs w:val="22"/>
          <w:color w:val="auto"/>
        </w:rPr>
        <w:t>shall have occurred and be continuing on the date of such deposit or, insofar as Sections 501(6) and 501(7) are concerned, at any time during the period ending on the 91st day after the date of such deposit (it being understood that this condition shall not be deemed satisfied until the expiration of such period).</w:t>
      </w:r>
    </w:p>
    <w:p>
      <w:pPr>
        <w:spacing w:after="0" w:line="186" w:lineRule="exact"/>
        <w:rPr>
          <w:sz w:val="20"/>
          <w:szCs w:val="20"/>
          <w:color w:val="auto"/>
        </w:rPr>
      </w:pPr>
    </w:p>
    <w:p>
      <w:pPr>
        <w:ind w:firstLine="640"/>
        <w:spacing w:after="0" w:line="277" w:lineRule="auto"/>
        <w:tabs>
          <w:tab w:leader="none" w:pos="1332" w:val="left"/>
        </w:tabs>
        <w:numPr>
          <w:ilvl w:val="0"/>
          <w:numId w:val="111"/>
        </w:numPr>
        <w:rPr>
          <w:rFonts w:ascii="Arial" w:cs="Arial" w:eastAsia="Arial" w:hAnsi="Arial"/>
          <w:sz w:val="19"/>
          <w:szCs w:val="19"/>
          <w:color w:val="auto"/>
        </w:rPr>
      </w:pPr>
      <w:r>
        <w:rPr>
          <w:rFonts w:ascii="Arial" w:cs="Arial" w:eastAsia="Arial" w:hAnsi="Arial"/>
          <w:sz w:val="19"/>
          <w:szCs w:val="19"/>
          <w:color w:val="auto"/>
        </w:rPr>
        <w:t>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Outstanding Securities and any coupons appertaining thereto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52" w:lineRule="exact"/>
        <w:rPr>
          <w:rFonts w:ascii="Arial" w:cs="Arial" w:eastAsia="Arial" w:hAnsi="Arial"/>
          <w:sz w:val="19"/>
          <w:szCs w:val="19"/>
          <w:color w:val="auto"/>
        </w:rPr>
      </w:pPr>
    </w:p>
    <w:p>
      <w:pPr>
        <w:ind w:right="140" w:firstLine="640"/>
        <w:spacing w:after="0" w:line="249" w:lineRule="auto"/>
        <w:tabs>
          <w:tab w:leader="none" w:pos="132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In the case of an election under Section 1403, the Company shall have delivered to the Trustee an Opinion of Counsel to the effect that the Holders of such Outstanding Securities and any coupons appertaining thereto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78" w:lineRule="exact"/>
        <w:rPr>
          <w:rFonts w:ascii="Arial" w:cs="Arial" w:eastAsia="Arial" w:hAnsi="Arial"/>
          <w:sz w:val="21"/>
          <w:szCs w:val="21"/>
          <w:color w:val="auto"/>
        </w:rPr>
      </w:pPr>
    </w:p>
    <w:p>
      <w:pPr>
        <w:ind w:right="140" w:firstLine="640"/>
        <w:spacing w:after="0" w:line="277" w:lineRule="auto"/>
        <w:tabs>
          <w:tab w:leader="none" w:pos="1292"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 Officers’ Certificate and an Opinion of Counsel, each stating that all conditions precedent to the Defeasance under Section 1402 or the Covenant Defeasance under Section 1403 (as the case may be) have been complied with and an Opinion of Counsel to the effect that either (i) as a result of a deposit pursuant to subsection (a) above and the related exercise of the Company’s option under Section 1402 or Section 1403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spacing w:after="0" w:line="152" w:lineRule="exact"/>
        <w:rPr>
          <w:rFonts w:ascii="Arial" w:cs="Arial" w:eastAsia="Arial" w:hAnsi="Arial"/>
          <w:sz w:val="19"/>
          <w:szCs w:val="19"/>
          <w:color w:val="auto"/>
        </w:rPr>
      </w:pPr>
    </w:p>
    <w:p>
      <w:pPr>
        <w:ind w:right="20" w:firstLine="640"/>
        <w:spacing w:after="0"/>
        <w:tabs>
          <w:tab w:leader="none" w:pos="1332" w:val="left"/>
        </w:tabs>
        <w:numPr>
          <w:ilvl w:val="0"/>
          <w:numId w:val="111"/>
        </w:numPr>
        <w:rPr>
          <w:rFonts w:ascii="Arial" w:cs="Arial" w:eastAsia="Arial" w:hAnsi="Arial"/>
          <w:sz w:val="22"/>
          <w:szCs w:val="22"/>
          <w:color w:val="auto"/>
        </w:rPr>
      </w:pPr>
      <w:r>
        <w:rPr>
          <w:rFonts w:ascii="Arial" w:cs="Arial" w:eastAsia="Arial" w:hAnsi="Arial"/>
          <w:sz w:val="22"/>
          <w:szCs w:val="22"/>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186" w:lineRule="exact"/>
        <w:rPr>
          <w:rFonts w:ascii="Arial" w:cs="Arial" w:eastAsia="Arial" w:hAnsi="Arial"/>
          <w:sz w:val="22"/>
          <w:szCs w:val="22"/>
          <w:color w:val="auto"/>
        </w:rPr>
      </w:pPr>
    </w:p>
    <w:p>
      <w:pPr>
        <w:ind w:right="120" w:firstLine="640"/>
        <w:spacing w:after="0" w:line="251" w:lineRule="auto"/>
        <w:tabs>
          <w:tab w:leader="none" w:pos="1328"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payment of amounts payable to the Trustee pursuant to this Indenture shall be paid or provided for to the reasonable satisfaction of the Trustee.</w:t>
      </w:r>
    </w:p>
    <w:p>
      <w:pPr>
        <w:spacing w:after="0" w:line="173" w:lineRule="exact"/>
        <w:rPr>
          <w:sz w:val="20"/>
          <w:szCs w:val="20"/>
          <w:color w:val="auto"/>
        </w:rPr>
      </w:pPr>
    </w:p>
    <w:p>
      <w:pPr>
        <w:ind w:right="40" w:firstLine="648"/>
        <w:spacing w:after="0" w:line="279" w:lineRule="auto"/>
        <w:rPr>
          <w:sz w:val="20"/>
          <w:szCs w:val="20"/>
          <w:color w:val="auto"/>
        </w:rPr>
      </w:pPr>
      <w:r>
        <w:rPr>
          <w:rFonts w:ascii="Arial" w:cs="Arial" w:eastAsia="Arial" w:hAnsi="Arial"/>
          <w:sz w:val="19"/>
          <w:szCs w:val="19"/>
          <w:color w:val="auto"/>
        </w:rPr>
        <w:t xml:space="preserve">SECTION 1405. </w:t>
      </w:r>
      <w:r>
        <w:rPr>
          <w:rFonts w:ascii="Arial" w:cs="Arial" w:eastAsia="Arial" w:hAnsi="Arial"/>
          <w:sz w:val="19"/>
          <w:szCs w:val="19"/>
          <w:u w:val="single" w:color="auto"/>
          <w:color w:val="auto"/>
        </w:rPr>
        <w:t>Deposited Money and Government Obligations to Be Held in Trust; Other Miscellaneous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Provisions</w:t>
      </w:r>
      <w:r>
        <w:rPr>
          <w:rFonts w:ascii="Arial" w:cs="Arial" w:eastAsia="Arial" w:hAnsi="Arial"/>
          <w:sz w:val="19"/>
          <w:szCs w:val="19"/>
          <w:color w:val="auto"/>
        </w:rPr>
        <w:t>. 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1405, the “Trustee”) pursuant to Section 1404 in respect of any Outstanding Securities of any series and any coupons appertaining thereto shall be held in trust and applied by the Trustee, in accordance with the provisions of such Securities and</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361" w:right="799" w:bottom="1440" w:gutter="0" w:footer="0" w:header="0"/>
        </w:sectPr>
      </w:pPr>
    </w:p>
    <w:bookmarkStart w:id="127" w:name="page128"/>
    <w:bookmarkEnd w:id="127"/>
    <w:p>
      <w:pPr>
        <w:ind w:right="60"/>
        <w:spacing w:after="0" w:line="236" w:lineRule="auto"/>
        <w:rPr>
          <w:sz w:val="20"/>
          <w:szCs w:val="20"/>
          <w:color w:val="auto"/>
        </w:rPr>
      </w:pPr>
      <w:r>
        <w:rPr>
          <w:rFonts w:ascii="Arial" w:cs="Arial" w:eastAsia="Arial" w:hAnsi="Arial"/>
          <w:sz w:val="22"/>
          <w:szCs w:val="22"/>
          <w:color w:val="auto"/>
        </w:rPr>
        <w:t>any coupons appertaining thereto and this Indenture, to the payment, either directly or through any Paying Agent (including the Company acting as its own Paying Agent) as the Trustee may determine, to the Holders of such Securities and any coupons appertaining thereto of all sums due and to become due thereon in respect of principal (and premium or Make-Whole Amount, if any) and interest, but such money need not be segregated from other funds except to the extent required by law.</w:t>
      </w:r>
    </w:p>
    <w:p>
      <w:pPr>
        <w:spacing w:after="0" w:line="188" w:lineRule="exact"/>
        <w:rPr>
          <w:sz w:val="20"/>
          <w:szCs w:val="20"/>
          <w:color w:val="auto"/>
        </w:rPr>
      </w:pPr>
    </w:p>
    <w:p>
      <w:pPr>
        <w:ind w:right="60" w:firstLine="648"/>
        <w:spacing w:after="0" w:line="272" w:lineRule="auto"/>
        <w:rPr>
          <w:sz w:val="20"/>
          <w:szCs w:val="20"/>
          <w:color w:val="auto"/>
        </w:rPr>
      </w:pPr>
      <w:r>
        <w:rPr>
          <w:rFonts w:ascii="Arial" w:cs="Arial" w:eastAsia="Arial" w:hAnsi="Arial"/>
          <w:sz w:val="19"/>
          <w:szCs w:val="19"/>
          <w:color w:val="auto"/>
        </w:rPr>
        <w:t>Unless otherwise specified with respect to any Security pursuant to Section 301, if, after a deposit referred to in Section 1404(a) has been made, (a) the Holder of a Security in respect of which such deposit was made is entitled to, and does, elect pursuant to Section 301 or the terms of such Security to receive payment in a currency or currency unit other than that in which the deposit pursuant to Section 1404(a) has been made in respect of such Security, or (b) a Conversion Event occurs in respect of the currency or currency unit in which the deposit pursuant to Section 1404(a) has been made, the indebtedness represented by such Security and any coupons appertaining thereto shall be deemed to have been, and will be, fully discharged and satisfied through the payment of the principal of (and premium or Make-Whole Amount, if any), and interest, if any, on such Security as the same becomes due out of the proceeds yielded by converting (from time to time as specified below in the case of any such election) the amount or other property deposited in respect of such Security into the currency or currency unit in which such Security becomes payable as a result of such election or Conversion Event based on the applicable market exchange rate for such currency or currency unit in effect on the second Business Day prior to each payment date, except, with respect to a Conversion Event, for such currency or currency unit in effect (as nearly as feasible) at the time of the Conversion Event.</w:t>
      </w:r>
    </w:p>
    <w:p>
      <w:pPr>
        <w:spacing w:after="0" w:line="157"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The Company shall pay and indemnify the Trustee against any tax, fee or other charge imposed on or assessed against the Government Obligations deposited pursuant to Section 1404 or the principal and interest received in respect thereof other than any such tax, fee or other charge which by law is for the account of the Holders of such Outstanding Securities and any coupons appertaining thereto.</w:t>
      </w:r>
    </w:p>
    <w:p>
      <w:pPr>
        <w:spacing w:after="0" w:line="185" w:lineRule="exact"/>
        <w:rPr>
          <w:sz w:val="20"/>
          <w:szCs w:val="20"/>
          <w:color w:val="auto"/>
        </w:rPr>
      </w:pPr>
    </w:p>
    <w:p>
      <w:pPr>
        <w:ind w:firstLine="648"/>
        <w:spacing w:after="0" w:line="248" w:lineRule="auto"/>
        <w:rPr>
          <w:sz w:val="20"/>
          <w:szCs w:val="20"/>
          <w:color w:val="auto"/>
        </w:rPr>
      </w:pPr>
      <w:r>
        <w:rPr>
          <w:rFonts w:ascii="Arial" w:cs="Arial" w:eastAsia="Arial" w:hAnsi="Arial"/>
          <w:sz w:val="21"/>
          <w:szCs w:val="21"/>
          <w:color w:val="auto"/>
        </w:rPr>
        <w:t>Anything in this Article to the contrary notwithstanding, subject to Section 606,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FIFTEEN - MEETINGS OF HOLDERS OF SECURITIES</w:t>
      </w:r>
    </w:p>
    <w:p>
      <w:pPr>
        <w:spacing w:after="0" w:line="206"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 xml:space="preserve">SECTION 1501. </w:t>
      </w:r>
      <w:r>
        <w:rPr>
          <w:rFonts w:ascii="Arial" w:cs="Arial" w:eastAsia="Arial" w:hAnsi="Arial"/>
          <w:sz w:val="22"/>
          <w:szCs w:val="22"/>
          <w:u w:val="single" w:color="auto"/>
          <w:color w:val="auto"/>
        </w:rPr>
        <w:t>Purposes for Which Meetings May Be Called</w:t>
      </w:r>
      <w:r>
        <w:rPr>
          <w:rFonts w:ascii="Arial" w:cs="Arial" w:eastAsia="Arial" w:hAnsi="Arial"/>
          <w:sz w:val="22"/>
          <w:szCs w:val="22"/>
          <w:color w:val="auto"/>
        </w:rPr>
        <w:t>. A meeting of Holders of Securities of any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85" w:lineRule="exact"/>
        <w:rPr>
          <w:sz w:val="20"/>
          <w:szCs w:val="20"/>
          <w:color w:val="auto"/>
        </w:rPr>
      </w:pPr>
    </w:p>
    <w:p>
      <w:pPr>
        <w:ind w:left="640"/>
        <w:spacing w:after="0"/>
        <w:tabs>
          <w:tab w:leader="none" w:pos="2500" w:val="left"/>
        </w:tabs>
        <w:rPr>
          <w:sz w:val="20"/>
          <w:szCs w:val="20"/>
          <w:color w:val="auto"/>
        </w:rPr>
      </w:pPr>
      <w:r>
        <w:rPr>
          <w:rFonts w:ascii="Arial" w:cs="Arial" w:eastAsia="Arial" w:hAnsi="Arial"/>
          <w:sz w:val="22"/>
          <w:szCs w:val="22"/>
          <w:color w:val="auto"/>
        </w:rPr>
        <w:t>SECTION 1502.</w:t>
      </w:r>
      <w:r>
        <w:rPr>
          <w:sz w:val="20"/>
          <w:szCs w:val="20"/>
          <w:color w:val="auto"/>
        </w:rPr>
        <w:tab/>
      </w:r>
      <w:r>
        <w:rPr>
          <w:rFonts w:ascii="Arial" w:cs="Arial" w:eastAsia="Arial" w:hAnsi="Arial"/>
          <w:sz w:val="19"/>
          <w:szCs w:val="19"/>
          <w:u w:val="single" w:color="auto"/>
          <w:color w:val="auto"/>
        </w:rPr>
        <w:t>Call, Notice and Place of Meetings</w:t>
      </w:r>
      <w:r>
        <w:rPr>
          <w:rFonts w:ascii="Arial" w:cs="Arial" w:eastAsia="Arial" w:hAnsi="Arial"/>
          <w:sz w:val="19"/>
          <w:szCs w:val="19"/>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28" w:name="page129"/>
    <w:bookmarkEnd w:id="128"/>
    <w:p>
      <w:pPr>
        <w:ind w:right="20" w:firstLine="1288"/>
        <w:spacing w:after="0" w:line="249" w:lineRule="auto"/>
        <w:tabs>
          <w:tab w:leader="none" w:pos="1968" w:val="left"/>
        </w:tabs>
        <w:numPr>
          <w:ilvl w:val="0"/>
          <w:numId w:val="112"/>
        </w:numPr>
        <w:rPr>
          <w:rFonts w:ascii="Arial" w:cs="Arial" w:eastAsia="Arial" w:hAnsi="Arial"/>
          <w:sz w:val="21"/>
          <w:szCs w:val="21"/>
          <w:color w:val="auto"/>
        </w:rPr>
      </w:pPr>
      <w:r>
        <w:rPr>
          <w:rFonts w:ascii="Arial" w:cs="Arial" w:eastAsia="Arial" w:hAnsi="Arial"/>
          <w:sz w:val="21"/>
          <w:szCs w:val="21"/>
          <w:color w:val="auto"/>
        </w:rPr>
        <w:t>The Trustee may at any time call a meeting of Holders of Securities of any series for any purpose specified in Section 1501, to be held at such time and at such place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20 nor more than 180 days prior to the date fixed for the meeting.</w:t>
      </w:r>
    </w:p>
    <w:p>
      <w:pPr>
        <w:spacing w:after="0" w:line="178" w:lineRule="exact"/>
        <w:rPr>
          <w:rFonts w:ascii="Arial" w:cs="Arial" w:eastAsia="Arial" w:hAnsi="Arial"/>
          <w:sz w:val="21"/>
          <w:szCs w:val="21"/>
          <w:color w:val="auto"/>
        </w:rPr>
      </w:pPr>
    </w:p>
    <w:p>
      <w:pPr>
        <w:ind w:right="100" w:firstLine="1288"/>
        <w:spacing w:after="0" w:line="275" w:lineRule="auto"/>
        <w:tabs>
          <w:tab w:leader="none" w:pos="1981" w:val="left"/>
        </w:tabs>
        <w:numPr>
          <w:ilvl w:val="0"/>
          <w:numId w:val="112"/>
        </w:numPr>
        <w:rPr>
          <w:rFonts w:ascii="Arial" w:cs="Arial" w:eastAsia="Arial" w:hAnsi="Arial"/>
          <w:sz w:val="19"/>
          <w:szCs w:val="19"/>
          <w:color w:val="auto"/>
        </w:rPr>
      </w:pPr>
      <w:r>
        <w:rPr>
          <w:rFonts w:ascii="Arial" w:cs="Arial" w:eastAsia="Arial" w:hAnsi="Arial"/>
          <w:sz w:val="19"/>
          <w:szCs w:val="19"/>
          <w:color w:val="auto"/>
        </w:rPr>
        <w:t>In case at any time the Company, pursuant to a Board Resolution, or the Holders of at least 25%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of the notice of such meeting within 20 days after receipt of such request or shall not thereafter proceed to cause the meeting to be held as provided herein, then the Company or the Holders of Securities of such series in the amount above specified, as the case may be, may determine the time and the place for such meeting and may call such meeting for such purposes by giving notice thereof as provided in subsection (a) of this Section.</w:t>
      </w:r>
    </w:p>
    <w:p>
      <w:pPr>
        <w:spacing w:after="0" w:line="158"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 xml:space="preserve">SECTION 1503. </w:t>
      </w:r>
      <w:r>
        <w:rPr>
          <w:rFonts w:ascii="Arial" w:cs="Arial" w:eastAsia="Arial" w:hAnsi="Arial"/>
          <w:sz w:val="19"/>
          <w:szCs w:val="19"/>
          <w:u w:val="single" w:color="auto"/>
          <w:color w:val="auto"/>
        </w:rPr>
        <w:t>Persons Entitled to Vote at Meetings</w:t>
      </w:r>
      <w:r>
        <w:rPr>
          <w:rFonts w:ascii="Arial" w:cs="Arial" w:eastAsia="Arial" w:hAnsi="Arial"/>
          <w:sz w:val="19"/>
          <w:szCs w:val="19"/>
          <w:color w:val="auto"/>
        </w:rPr>
        <w:t>. 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51"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SECTION 1504. </w:t>
      </w:r>
      <w:r>
        <w:rPr>
          <w:rFonts w:ascii="Arial" w:cs="Arial" w:eastAsia="Arial" w:hAnsi="Arial"/>
          <w:sz w:val="19"/>
          <w:szCs w:val="19"/>
          <w:u w:val="single" w:color="auto"/>
          <w:color w:val="auto"/>
        </w:rPr>
        <w:t>Quorum; Action</w:t>
      </w:r>
      <w:r>
        <w:rPr>
          <w:rFonts w:ascii="Arial" w:cs="Arial" w:eastAsia="Arial" w:hAnsi="Arial"/>
          <w:sz w:val="19"/>
          <w:szCs w:val="19"/>
          <w:color w:val="auto"/>
        </w:rPr>
        <w:t xml:space="preserve">. The Persons entitled to vote a majority in principal amount of the Outstanding Securities of a series shall constitute a quorum for a meeting of Holders of Securities of such series;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action is to be taken at such 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after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the reconvening of any such adjourned meeting, such adjourned meeting may be further adjourned for a period of not less than 10 days; at the reconvening of any meeting adjourned or further adjourned for lack of a quorum, the Persons entitled to vote 25% in aggregate principal amount of the then Outstanding Securities shall constitute a quorum for the taking of any action set forth in the notice of the original meeting. Notice of the reconvening of any adjourned meeting shall be given as provided in Section 1502(a), except that such notice need be given only once not less than five days prior to the date on which the meeting is scheduled to be reconvened.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29" w:name="page130"/>
    <w:bookmarkEnd w:id="129"/>
    <w:p>
      <w:pPr>
        <w:ind w:firstLine="648"/>
        <w:spacing w:after="0" w:line="245" w:lineRule="auto"/>
        <w:rPr>
          <w:sz w:val="20"/>
          <w:szCs w:val="20"/>
          <w:color w:val="auto"/>
        </w:rPr>
      </w:pPr>
      <w:r>
        <w:rPr>
          <w:rFonts w:ascii="Arial" w:cs="Arial" w:eastAsia="Arial" w:hAnsi="Arial"/>
          <w:sz w:val="21"/>
          <w:szCs w:val="21"/>
          <w:color w:val="auto"/>
        </w:rPr>
        <w:t xml:space="preserve">Except as limited by the proviso to Section 902, any resolution presented to a meeting or adjourned meeting duly reconvened at which a quorum is present as aforesaid may be adopted by the affirmative vote of the Persons entitled to vote a majority in aggregate principal amount of the Outstanding Securities represented at such meeting;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85" w:lineRule="exact"/>
        <w:rPr>
          <w:sz w:val="20"/>
          <w:szCs w:val="20"/>
          <w:color w:val="auto"/>
        </w:rPr>
      </w:pPr>
    </w:p>
    <w:p>
      <w:pPr>
        <w:ind w:right="380" w:firstLine="648"/>
        <w:spacing w:after="0"/>
        <w:rPr>
          <w:sz w:val="20"/>
          <w:szCs w:val="20"/>
          <w:color w:val="auto"/>
        </w:rPr>
      </w:pPr>
      <w:r>
        <w:rPr>
          <w:rFonts w:ascii="Arial" w:cs="Arial" w:eastAsia="Arial" w:hAnsi="Arial"/>
          <w:sz w:val="22"/>
          <w:szCs w:val="22"/>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86"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color w:val="auto"/>
        </w:rPr>
        <w:t>Notwithstanding the foregoing provisions of this Section 1504, if any action is to be taken at a meeting of Holders of Securities of any series with respect to any request, demand, authorization, direction, notice, consent, waiver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188" w:lineRule="exact"/>
        <w:rPr>
          <w:sz w:val="20"/>
          <w:szCs w:val="20"/>
          <w:color w:val="auto"/>
        </w:rPr>
      </w:pPr>
    </w:p>
    <w:p>
      <w:pPr>
        <w:ind w:left="2580" w:hanging="644"/>
        <w:spacing w:after="0"/>
        <w:tabs>
          <w:tab w:leader="none" w:pos="258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there shall be no minimum quorum requirement for such meeting; and</w:t>
      </w:r>
    </w:p>
    <w:p>
      <w:pPr>
        <w:spacing w:after="0" w:line="206" w:lineRule="exact"/>
        <w:rPr>
          <w:rFonts w:ascii="Arial" w:cs="Arial" w:eastAsia="Arial" w:hAnsi="Arial"/>
          <w:sz w:val="22"/>
          <w:szCs w:val="22"/>
          <w:color w:val="auto"/>
        </w:rPr>
      </w:pPr>
    </w:p>
    <w:p>
      <w:pPr>
        <w:ind w:left="1280" w:right="20" w:firstLine="656"/>
        <w:spacing w:after="0" w:line="252" w:lineRule="auto"/>
        <w:tabs>
          <w:tab w:leader="none" w:pos="2570" w:val="left"/>
        </w:tabs>
        <w:numPr>
          <w:ilvl w:val="0"/>
          <w:numId w:val="113"/>
        </w:numPr>
        <w:rPr>
          <w:rFonts w:ascii="Arial" w:cs="Arial" w:eastAsia="Arial" w:hAnsi="Arial"/>
          <w:sz w:val="21"/>
          <w:szCs w:val="21"/>
          <w:color w:val="auto"/>
        </w:rPr>
      </w:pPr>
      <w:r>
        <w:rPr>
          <w:rFonts w:ascii="Arial" w:cs="Arial" w:eastAsia="Arial" w:hAnsi="Arial"/>
          <w:sz w:val="21"/>
          <w:szCs w:val="21"/>
          <w:color w:val="auto"/>
        </w:rPr>
        <w:t>the principal amount of the Outstanding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this Indenture.</w:t>
      </w:r>
    </w:p>
    <w:p>
      <w:pPr>
        <w:spacing w:after="0" w:line="174" w:lineRule="exact"/>
        <w:rPr>
          <w:sz w:val="20"/>
          <w:szCs w:val="20"/>
          <w:color w:val="auto"/>
        </w:rPr>
      </w:pPr>
    </w:p>
    <w:p>
      <w:pPr>
        <w:ind w:left="640"/>
        <w:spacing w:after="0"/>
        <w:tabs>
          <w:tab w:leader="none" w:pos="2500" w:val="left"/>
        </w:tabs>
        <w:rPr>
          <w:sz w:val="20"/>
          <w:szCs w:val="20"/>
          <w:color w:val="auto"/>
        </w:rPr>
      </w:pPr>
      <w:r>
        <w:rPr>
          <w:rFonts w:ascii="Arial" w:cs="Arial" w:eastAsia="Arial" w:hAnsi="Arial"/>
          <w:sz w:val="22"/>
          <w:szCs w:val="22"/>
          <w:color w:val="auto"/>
        </w:rPr>
        <w:t>SECTION 1505.</w:t>
      </w:r>
      <w:r>
        <w:rPr>
          <w:sz w:val="20"/>
          <w:szCs w:val="20"/>
          <w:color w:val="auto"/>
        </w:rPr>
        <w:tab/>
      </w:r>
      <w:r>
        <w:rPr>
          <w:rFonts w:ascii="Arial" w:cs="Arial" w:eastAsia="Arial" w:hAnsi="Arial"/>
          <w:sz w:val="19"/>
          <w:szCs w:val="19"/>
          <w:u w:val="single" w:color="auto"/>
          <w:color w:val="auto"/>
        </w:rPr>
        <w:t>Determination of Voting Rights; Conduct and Adjournment of Meetings</w:t>
      </w:r>
      <w:r>
        <w:rPr>
          <w:rFonts w:ascii="Arial" w:cs="Arial" w:eastAsia="Arial" w:hAnsi="Arial"/>
          <w:sz w:val="19"/>
          <w:szCs w:val="19"/>
          <w:color w:val="auto"/>
        </w:rPr>
        <w:t>.</w:t>
      </w:r>
    </w:p>
    <w:p>
      <w:pPr>
        <w:spacing w:after="0" w:line="206" w:lineRule="exact"/>
        <w:rPr>
          <w:sz w:val="20"/>
          <w:szCs w:val="20"/>
          <w:color w:val="auto"/>
        </w:rPr>
      </w:pPr>
    </w:p>
    <w:p>
      <w:pPr>
        <w:ind w:right="20" w:firstLine="1288"/>
        <w:spacing w:after="0" w:line="273" w:lineRule="auto"/>
        <w:tabs>
          <w:tab w:leader="none" w:pos="1968" w:val="left"/>
        </w:tabs>
        <w:numPr>
          <w:ilvl w:val="0"/>
          <w:numId w:val="114"/>
        </w:numPr>
        <w:rPr>
          <w:rFonts w:ascii="Arial" w:cs="Arial" w:eastAsia="Arial" w:hAnsi="Arial"/>
          <w:sz w:val="19"/>
          <w:szCs w:val="19"/>
          <w:color w:val="auto"/>
        </w:rPr>
      </w:pPr>
      <w:r>
        <w:rPr>
          <w:rFonts w:ascii="Arial" w:cs="Arial" w:eastAsia="Arial" w:hAnsi="Arial"/>
          <w:sz w:val="19"/>
          <w:szCs w:val="19"/>
          <w:color w:val="auto"/>
        </w:rPr>
        <w:t>Notwithstanding any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130" w:name="page131"/>
    <w:bookmarkEnd w:id="130"/>
    <w:p>
      <w:pPr>
        <w:ind w:right="160" w:firstLine="1288"/>
        <w:spacing w:after="0" w:line="248" w:lineRule="auto"/>
        <w:tabs>
          <w:tab w:leader="none" w:pos="1981"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77" w:lineRule="exact"/>
        <w:rPr>
          <w:rFonts w:ascii="Arial" w:cs="Arial" w:eastAsia="Arial" w:hAnsi="Arial"/>
          <w:sz w:val="21"/>
          <w:szCs w:val="21"/>
          <w:color w:val="auto"/>
        </w:rPr>
      </w:pPr>
    </w:p>
    <w:p>
      <w:pPr>
        <w:ind w:right="40" w:firstLine="1288"/>
        <w:spacing w:after="0" w:line="249" w:lineRule="auto"/>
        <w:tabs>
          <w:tab w:leader="none" w:pos="1968" w:val="left"/>
        </w:tabs>
        <w:numPr>
          <w:ilvl w:val="0"/>
          <w:numId w:val="115"/>
        </w:numPr>
        <w:rPr>
          <w:rFonts w:ascii="Arial" w:cs="Arial" w:eastAsia="Arial" w:hAnsi="Arial"/>
          <w:sz w:val="21"/>
          <w:szCs w:val="21"/>
          <w:color w:val="auto"/>
        </w:rPr>
      </w:pPr>
      <w:r>
        <w:rPr>
          <w:rFonts w:ascii="Arial" w:cs="Arial" w:eastAsia="Arial" w:hAnsi="Arial"/>
          <w:sz w:val="21"/>
          <w:szCs w:val="21"/>
          <w:color w:val="auto"/>
        </w:rPr>
        <w:t xml:space="preserve">At any meeting each Holder of a Security of such series or proxy shall be entitled to one vote for each $1,000 principal amount of the Outstanding Securities of such series held or represented by him;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78" w:lineRule="exact"/>
        <w:rPr>
          <w:rFonts w:ascii="Arial" w:cs="Arial" w:eastAsia="Arial" w:hAnsi="Arial"/>
          <w:sz w:val="21"/>
          <w:szCs w:val="21"/>
          <w:color w:val="auto"/>
        </w:rPr>
      </w:pPr>
    </w:p>
    <w:p>
      <w:pPr>
        <w:ind w:firstLine="1288"/>
        <w:spacing w:after="0" w:line="238" w:lineRule="auto"/>
        <w:tabs>
          <w:tab w:leader="none" w:pos="1981"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85" w:lineRule="exact"/>
        <w:rPr>
          <w:sz w:val="20"/>
          <w:szCs w:val="20"/>
          <w:color w:val="auto"/>
        </w:rPr>
      </w:pPr>
    </w:p>
    <w:p>
      <w:pPr>
        <w:ind w:right="40" w:firstLine="648"/>
        <w:spacing w:after="0" w:line="271" w:lineRule="auto"/>
        <w:rPr>
          <w:sz w:val="20"/>
          <w:szCs w:val="20"/>
          <w:color w:val="auto"/>
        </w:rPr>
      </w:pPr>
      <w:r>
        <w:rPr>
          <w:rFonts w:ascii="Arial" w:cs="Arial" w:eastAsia="Arial" w:hAnsi="Arial"/>
          <w:sz w:val="19"/>
          <w:szCs w:val="19"/>
          <w:color w:val="auto"/>
        </w:rPr>
        <w:t xml:space="preserve">SECTION 1506. </w:t>
      </w:r>
      <w:r>
        <w:rPr>
          <w:rFonts w:ascii="Arial" w:cs="Arial" w:eastAsia="Arial" w:hAnsi="Arial"/>
          <w:sz w:val="19"/>
          <w:szCs w:val="19"/>
          <w:u w:val="single" w:color="auto"/>
          <w:color w:val="auto"/>
        </w:rPr>
        <w:t>Counting Votes and Recording Action of Meetings</w:t>
      </w:r>
      <w:r>
        <w:rPr>
          <w:rFonts w:ascii="Arial" w:cs="Arial" w:eastAsia="Arial" w:hAnsi="Arial"/>
          <w:sz w:val="19"/>
          <w:szCs w:val="19"/>
          <w:color w:val="auto"/>
        </w:rPr>
        <w:t>. 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SIXTEEN - CONVERSION OF SECURITIES</w:t>
      </w:r>
    </w:p>
    <w:p>
      <w:pPr>
        <w:spacing w:after="0" w:line="206" w:lineRule="exact"/>
        <w:rPr>
          <w:sz w:val="20"/>
          <w:szCs w:val="20"/>
          <w:color w:val="auto"/>
        </w:rPr>
      </w:pPr>
    </w:p>
    <w:p>
      <w:pPr>
        <w:ind w:right="100" w:firstLine="648"/>
        <w:spacing w:after="0" w:line="279" w:lineRule="auto"/>
        <w:rPr>
          <w:sz w:val="20"/>
          <w:szCs w:val="20"/>
          <w:color w:val="auto"/>
        </w:rPr>
      </w:pPr>
      <w:r>
        <w:rPr>
          <w:rFonts w:ascii="Arial" w:cs="Arial" w:eastAsia="Arial" w:hAnsi="Arial"/>
          <w:sz w:val="19"/>
          <w:szCs w:val="19"/>
          <w:color w:val="auto"/>
        </w:rPr>
        <w:t xml:space="preserve">SECTION 1601. </w:t>
      </w:r>
      <w:r>
        <w:rPr>
          <w:rFonts w:ascii="Arial" w:cs="Arial" w:eastAsia="Arial" w:hAnsi="Arial"/>
          <w:sz w:val="19"/>
          <w:szCs w:val="19"/>
          <w:u w:val="single" w:color="auto"/>
          <w:color w:val="auto"/>
        </w:rPr>
        <w:t>Applicability of Article; Conversion Privilege and Conversion Price</w:t>
      </w:r>
      <w:r>
        <w:rPr>
          <w:rFonts w:ascii="Arial" w:cs="Arial" w:eastAsia="Arial" w:hAnsi="Arial"/>
          <w:sz w:val="19"/>
          <w:szCs w:val="19"/>
          <w:color w:val="auto"/>
        </w:rPr>
        <w:t>. Securities of any series which are convertible shall be convertible in accordance with their terms and (except as otherwise specified as contemplated by Section 301 for Securities of any series) in accordance with this Article Sixteen. Subject to and upon compliance with the provisions of this Article Sixteen, at any time during the period specified in the Securities, at the option of the Holder thereof, any Security or any portion of the principal amount thereof which is $1,000 or an integral multiple of $1,000 may be converted at the principal amount thereof, or of</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131" w:name="page132"/>
    <w:bookmarkEnd w:id="131"/>
    <w:p>
      <w:pPr>
        <w:ind w:right="60"/>
        <w:spacing w:after="0" w:line="279" w:lineRule="auto"/>
        <w:rPr>
          <w:sz w:val="20"/>
          <w:szCs w:val="20"/>
          <w:color w:val="auto"/>
        </w:rPr>
      </w:pPr>
      <w:r>
        <w:rPr>
          <w:rFonts w:ascii="Arial" w:cs="Arial" w:eastAsia="Arial" w:hAnsi="Arial"/>
          <w:sz w:val="19"/>
          <w:szCs w:val="19"/>
          <w:color w:val="auto"/>
        </w:rPr>
        <w:t>such portion thereof, into fully paid and nonassessable shares (calculated as to each conversion to the nearest 1/100 of a share) of Common Stock of the Company, at the Conversion Price, determined as hereinafter provided, in effect at the time of conversion. In case a Security or portion thereof is called for redemption, such conversion right in respect of the Security or portion so called shall expire at the close of business on the Business Day immediately preceding the Redemption Date, unless the Company defaults in making the payment due upon redemption, in which case such conversion right shall terminate on the date such default is cured.</w:t>
      </w:r>
    </w:p>
    <w:p>
      <w:pPr>
        <w:spacing w:after="0" w:line="151" w:lineRule="exact"/>
        <w:rPr>
          <w:sz w:val="20"/>
          <w:szCs w:val="20"/>
          <w:color w:val="auto"/>
        </w:rPr>
      </w:pPr>
    </w:p>
    <w:p>
      <w:pPr>
        <w:ind w:right="140" w:firstLine="648"/>
        <w:spacing w:after="0"/>
        <w:rPr>
          <w:sz w:val="20"/>
          <w:szCs w:val="20"/>
          <w:color w:val="auto"/>
        </w:rPr>
      </w:pPr>
      <w:r>
        <w:rPr>
          <w:rFonts w:ascii="Arial" w:cs="Arial" w:eastAsia="Arial" w:hAnsi="Arial"/>
          <w:sz w:val="22"/>
          <w:szCs w:val="22"/>
          <w:color w:val="auto"/>
        </w:rPr>
        <w:t>The price at which shares of Common Stock shall be delivered upon conversion (herein called the “Conversion Price”) of Securities of any series shall be specified in such Securities. The Conversion Price shall be adjusted in certain instances as provided in Section 1604.</w:t>
      </w:r>
    </w:p>
    <w:p>
      <w:pPr>
        <w:spacing w:after="0" w:line="186"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 xml:space="preserve">In case the Company shall, by dividend or otherwise, declare or make a distribution on its Common Stock referred to in paragraph (4) of Section 1604, the Holder of each Security, upon the conversion thereof pursuant to this Article Sixteen subsequent to the close of business on the date fixed for the determination of stockholders entitled to receive such distribution and prior to the effectiveness of the Conversion Price adjustment in respect of such distribution pursuant to paragraph (4) of Section 1604, shall be entitled to receive for each share of Common Stock into which such Security is converted, the portion of the evidence of indebtedness, shares of Capital Stock or assets so distributed applicable to one share of Common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at the election of the Company (whose election shall be evidenced by a Board Resolution filed with the Trustee) with respect to all Holders so converting, the Company may, in lieu of distributing to such Holder any portion of such distribution not consisting of cash or securities of the Company, pay such Holder an amount in cash equal to the fair market value thereof (as determined in good faith by the Board of Directors, whose determination shall be conclusive and described in a Board Resolution filed with the Trustee). If any conversion of a Security entitled to the benefits described in the immediately preceding sentence occurs prior to the payment date for a distribution to holders of Common Stock which the Holder of the Security so converted is entitled to receive in accordance with the immediately preceding sentence, the Company may elect (such election to be evidenced by a Board Resolution filed with the Trustee) to distribute to such Holder a due bill for the evidences of indebtedness, shares of Capital Stock or assets to which such Holder is so entitled, provided that such due bill (i) meets any applicable requirements of the principal over-the-counter market or national securities exchange or other market on which the Common Stock is then traded, and (ii) requires payment or delivery of such evidences of indebtedness or assets no later than the date of payment or delivery thereof to holders of Common Stock receiving such distribution.</w:t>
      </w:r>
    </w:p>
    <w:p>
      <w:pPr>
        <w:spacing w:after="0" w:line="165" w:lineRule="exact"/>
        <w:rPr>
          <w:sz w:val="20"/>
          <w:szCs w:val="20"/>
          <w:color w:val="auto"/>
        </w:rPr>
      </w:pPr>
    </w:p>
    <w:p>
      <w:pPr>
        <w:ind w:firstLine="648"/>
        <w:spacing w:after="0" w:line="233" w:lineRule="auto"/>
        <w:rPr>
          <w:sz w:val="20"/>
          <w:szCs w:val="20"/>
          <w:color w:val="auto"/>
        </w:rPr>
      </w:pPr>
      <w:r>
        <w:rPr>
          <w:rFonts w:ascii="Arial" w:cs="Arial" w:eastAsia="Arial" w:hAnsi="Arial"/>
          <w:sz w:val="22"/>
          <w:szCs w:val="22"/>
          <w:color w:val="auto"/>
        </w:rPr>
        <w:t xml:space="preserve">SECTION 1602. </w:t>
      </w:r>
      <w:r>
        <w:rPr>
          <w:rFonts w:ascii="Arial" w:cs="Arial" w:eastAsia="Arial" w:hAnsi="Arial"/>
          <w:sz w:val="22"/>
          <w:szCs w:val="22"/>
          <w:u w:val="single" w:color="auto"/>
          <w:color w:val="auto"/>
        </w:rPr>
        <w:t>Exercise of Conversion Privilege</w:t>
      </w:r>
      <w:r>
        <w:rPr>
          <w:rFonts w:ascii="Arial" w:cs="Arial" w:eastAsia="Arial" w:hAnsi="Arial"/>
          <w:sz w:val="22"/>
          <w:szCs w:val="22"/>
          <w:color w:val="auto"/>
        </w:rPr>
        <w:t>. In order to exercise the conversion privilege, the Holder of any Security to be converted shall surrender such Security, duly endorsed or assigned to the Company or in blank, at any office or agency maintained by the Company pursuant to Section 1002, accompanied by written notice to the Company at such office or agency that the Holder elects to convert such Security or, if less than the entire principal amount thereof is to be converted, the portion thereof to be converted and shall comply with any additional requirements set forth in such Security. Securities surrendered for conversion during the period from the close of business on any Regular Record Date next preceding any Interest Payment Date to the opening of business on such Interest Payment Date shall (except for Securities the Maturity of which is prior to such Interest Payment Date) be accompanied by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132" w:name="page133"/>
    <w:bookmarkEnd w:id="132"/>
    <w:p>
      <w:pPr>
        <w:ind w:right="120"/>
        <w:spacing w:after="0" w:line="282" w:lineRule="auto"/>
        <w:rPr>
          <w:sz w:val="20"/>
          <w:szCs w:val="20"/>
          <w:color w:val="auto"/>
        </w:rPr>
      </w:pPr>
      <w:r>
        <w:rPr>
          <w:rFonts w:ascii="Arial" w:cs="Arial" w:eastAsia="Arial" w:hAnsi="Arial"/>
          <w:sz w:val="19"/>
          <w:szCs w:val="19"/>
          <w:color w:val="auto"/>
        </w:rPr>
        <w:t>payment in funds acceptable to the Company of an amount equal to the interest payable on such Interest Payment Date on the principal amount of Securities being surrendered for conversion and such interest shall be paid on such Interest Payment Date as provided in Section 307. Except as provided in the preceding sentence, no payment or adjustment shall be made upon any conversion on account of any interest accrued on the Securities surrendered for conversion or on account of any dividends on the Common Stock issued upon conversion.</w:t>
      </w:r>
    </w:p>
    <w:p>
      <w:pPr>
        <w:spacing w:after="0" w:line="148"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The Company’s delivery to the Holder of the fixed number of shares of the Common Stock of the Company (and any cash in lieu of any fractional share of Common Stock) into which the Security is convertible shall be deemed to satisfy the Company’s obligation to pay the principal amount of the Security and all accrued interest and original issue discount that has not previously been paid. The shares of Common Stock of the Company so delivered shall be treated as issued first in payment of accrued interest and original issue discount and then in payment of principal. Thus, accrued interest and original issue discount shall be treated as paid, rather than canceled, extinguished or forfeited.</w:t>
      </w:r>
    </w:p>
    <w:p>
      <w:pPr>
        <w:spacing w:after="0" w:line="151"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Securities shall be deemed to have been converted immediately prior to the close of business on the day of surrender of such Securities for conversion in accordance with the foregoing provisions, and at such time the rights of the Holders of such Securities as Holders shall cease, and the Person or Persons entitled to receive the Common Stock issuable upon conversion shall be treated for all purposes as the record holder or holders of such Common Stock at such time. As promptly as practicable on or after the conversion date, the Company shall issue and shall deliver at such office or agency a certificate or certificates for the number of full shares of Common Stock issuable upon conversion, together with payment in lieu of any fraction of a share, as provided in Section 1603.</w:t>
      </w:r>
    </w:p>
    <w:p>
      <w:pPr>
        <w:spacing w:after="0" w:line="153"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color w:val="auto"/>
        </w:rPr>
        <w:t>In the case of any Security which is converted in part only, as promptly as practicable on or after the conversion date the Company shall execute and the Trustee shall authenticate and make available for delivery to the Holder thereof (or the Depositary in the case of a Global Security), at the expense of the Company, a new Security or Securities, of authorized denominations in aggregate principal amount equal to the unconverted portion of the principal amount of such Security.</w:t>
      </w:r>
    </w:p>
    <w:p>
      <w:pPr>
        <w:spacing w:after="0" w:line="188"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 xml:space="preserve">SECTION 1603. </w:t>
      </w:r>
      <w:r>
        <w:rPr>
          <w:rFonts w:ascii="Arial" w:cs="Arial" w:eastAsia="Arial" w:hAnsi="Arial"/>
          <w:sz w:val="19"/>
          <w:szCs w:val="19"/>
          <w:u w:val="single" w:color="auto"/>
          <w:color w:val="auto"/>
        </w:rPr>
        <w:t>Fractions of Shares</w:t>
      </w:r>
      <w:r>
        <w:rPr>
          <w:rFonts w:ascii="Arial" w:cs="Arial" w:eastAsia="Arial" w:hAnsi="Arial"/>
          <w:sz w:val="19"/>
          <w:szCs w:val="19"/>
          <w:color w:val="auto"/>
        </w:rPr>
        <w:t>. No fractional shares of Common Stock shall be issued upon conversion of Securities. If more than one Security shall be surrendered for conversion at one time by the same Holder, the number of full shares of Common Stock which shall be issuable upon conversion thereof shall be computed on the basis of the aggregate principal amount of the Securities (or specified portions thereof) so surrendered. Instead of any fractional share of Common Stock which would otherwise be issuable upon conversion of any Security or Securities (or specified portions thereof), the Company shall pay a cash adjustment (rounded to the nearest cent) in respect of such fraction in an amount equal to the same fraction of the Closing Price per share of the Common Stock on the day of conversion (or, if such day is not a Trading Day, on the Trading Day immediately preceding such day).</w:t>
      </w:r>
    </w:p>
    <w:p>
      <w:pPr>
        <w:spacing w:after="0" w:line="158" w:lineRule="exact"/>
        <w:rPr>
          <w:sz w:val="20"/>
          <w:szCs w:val="20"/>
          <w:color w:val="auto"/>
        </w:rPr>
      </w:pPr>
    </w:p>
    <w:p>
      <w:pPr>
        <w:ind w:right="420" w:firstLine="648"/>
        <w:spacing w:after="0" w:line="251" w:lineRule="auto"/>
        <w:rPr>
          <w:sz w:val="20"/>
          <w:szCs w:val="20"/>
          <w:color w:val="auto"/>
        </w:rPr>
      </w:pPr>
      <w:r>
        <w:rPr>
          <w:rFonts w:ascii="Arial" w:cs="Arial" w:eastAsia="Arial" w:hAnsi="Arial"/>
          <w:sz w:val="22"/>
          <w:szCs w:val="22"/>
          <w:color w:val="auto"/>
        </w:rPr>
        <w:t xml:space="preserve">SECTION 1604. </w:t>
      </w:r>
      <w:r>
        <w:rPr>
          <w:rFonts w:ascii="Arial" w:cs="Arial" w:eastAsia="Arial" w:hAnsi="Arial"/>
          <w:sz w:val="22"/>
          <w:szCs w:val="22"/>
          <w:u w:val="single" w:color="auto"/>
          <w:color w:val="auto"/>
        </w:rPr>
        <w:t>Adjustment of Conversion Price</w:t>
      </w:r>
      <w:r>
        <w:rPr>
          <w:rFonts w:ascii="Arial" w:cs="Arial" w:eastAsia="Arial" w:hAnsi="Arial"/>
          <w:sz w:val="22"/>
          <w:szCs w:val="22"/>
          <w:color w:val="auto"/>
        </w:rPr>
        <w:t>. The Conversion Price shall be subject to adjustment from time to time as follows: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33" w:name="page134"/>
    <w:bookmarkEnd w:id="133"/>
    <w:p>
      <w:pPr>
        <w:ind w:right="40" w:firstLine="648"/>
        <w:spacing w:after="0" w:line="244" w:lineRule="auto"/>
        <w:tabs>
          <w:tab w:leader="none" w:pos="1332" w:val="left"/>
        </w:tabs>
        <w:numPr>
          <w:ilvl w:val="0"/>
          <w:numId w:val="116"/>
        </w:numPr>
        <w:rPr>
          <w:rFonts w:ascii="Arial" w:cs="Arial" w:eastAsia="Arial" w:hAnsi="Arial"/>
          <w:sz w:val="21"/>
          <w:szCs w:val="21"/>
          <w:color w:val="auto"/>
        </w:rPr>
      </w:pPr>
      <w:r>
        <w:rPr>
          <w:rFonts w:ascii="Arial" w:cs="Arial" w:eastAsia="Arial" w:hAnsi="Arial"/>
          <w:sz w:val="21"/>
          <w:szCs w:val="21"/>
          <w:color w:val="auto"/>
        </w:rPr>
        <w:t>If the Company pays or makes a dividend or other distribution (a) on its Common Stock exclusively in Common Stock or (b) on any other class of Capital Stock of the Company, which dividend or distribution includes Common Stock of the Company, the Conversion Price in effect at the opening of business on the day following the date fixed for the determination of stockholders entitled to receive such dividend or other distribution (the “Dividend Record Date”) shall be reduced by multiplying such Conversion Price by a fraction of which the numerator shall be the number of shares of Common Stock of the Company outstanding at the close of business on the Dividend Record Date and the denominator shall be the sum of such number of shares and the total number of shares constituting such dividend or other distribution. Such reduction shall become effective immediately after the opening of business on the day following the date fixed for such determination. For the purposes of this paragraph (1), the number of shares of Common Stock of the Company at any time outstanding shall not include shares held in the treasury of the Company, but shall include shares issuable in respect of scrip certificates issued in lieu of fractions of shares of Common Stock. The Company shall not pay any dividend or make any distribution on shares of Common Stock held in the treasury of the Company.</w:t>
      </w:r>
    </w:p>
    <w:p>
      <w:pPr>
        <w:spacing w:after="0" w:line="182" w:lineRule="exact"/>
        <w:rPr>
          <w:rFonts w:ascii="Arial" w:cs="Arial" w:eastAsia="Arial" w:hAnsi="Arial"/>
          <w:sz w:val="21"/>
          <w:szCs w:val="21"/>
          <w:color w:val="auto"/>
        </w:rPr>
      </w:pPr>
    </w:p>
    <w:p>
      <w:pPr>
        <w:ind w:right="100" w:firstLine="648"/>
        <w:spacing w:after="0" w:line="272" w:lineRule="auto"/>
        <w:tabs>
          <w:tab w:leader="none" w:pos="1332" w:val="left"/>
        </w:tabs>
        <w:numPr>
          <w:ilvl w:val="0"/>
          <w:numId w:val="116"/>
        </w:numPr>
        <w:rPr>
          <w:rFonts w:ascii="Arial" w:cs="Arial" w:eastAsia="Arial" w:hAnsi="Arial"/>
          <w:sz w:val="19"/>
          <w:szCs w:val="19"/>
          <w:color w:val="auto"/>
        </w:rPr>
      </w:pPr>
      <w:r>
        <w:rPr>
          <w:rFonts w:ascii="Arial" w:cs="Arial" w:eastAsia="Arial" w:hAnsi="Arial"/>
          <w:sz w:val="19"/>
          <w:szCs w:val="19"/>
          <w:color w:val="auto"/>
        </w:rPr>
        <w:t>Subject to paragraph (6) of this Section, if the Company pays or makes a dividend or other distribution on its Common Stock consisting exclusively of Short Term Rights (as defined below), or otherwise issues Short Term Rights to all holders of its Common Stock, the Conversion Price in effect at the opening of business on the day following the record date for the determination of holders of Common Stock entitled to receive such Short Term Rights (the “Rights Record Date”) shall be reduced by multiplying such Conversion Price by a fraction of which the numerator shall be the number of shares of Common Stock of the Company outstanding at the close of business on the Rights Record Date plus the number of shares of Common Stock of the Company which the aggregate of the offering price of the total number of shares of Common Stock so offered for subscription or purchase would purchase at such current market price and the denominator shall be the number of shares of Common Stock of the Company outstanding at the close of business on the Rights Record Date plus the number of shares of Common Stock so offered for subscription or purchase. Such reduction shall become effective immediately after the opening of business on the day following the Rights</w:t>
      </w:r>
    </w:p>
    <w:p>
      <w:pPr>
        <w:spacing w:after="0" w:line="162"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Record Date. For the purposes of this paragraph (2), the number of shares of Common Stock of the Company at any time outstanding shall not include shares held in the treasury of the Company, but shall include shares issuable in respect of scrip certificates issued in lieu of fractions of shares of Common Stock of the Company. The Company shall not issue any rights, options or warrants in respect of shares of its Common Stock held in the treasury of the Company. When used in this Section 1604, the term “Short Term Rights” shall mean rights, warrants or options entitling the holders thereof (for a period commencing no earlier than the Rights Record Date and expiring not more than 45 days after the Rights Record Date) to subscribe for or purchase shares of Common Stock of the Company at a price per share less than the current market price per share (determined as provided in paragraph (7) of this Section 1604) of the Common Stock of the Company on the Rights Record Date.</w:t>
      </w:r>
    </w:p>
    <w:p>
      <w:pPr>
        <w:spacing w:after="0" w:line="182" w:lineRule="exact"/>
        <w:rPr>
          <w:sz w:val="20"/>
          <w:szCs w:val="20"/>
          <w:color w:val="auto"/>
        </w:rPr>
      </w:pPr>
    </w:p>
    <w:p>
      <w:pPr>
        <w:ind w:right="120" w:firstLine="648"/>
        <w:spacing w:after="0" w:line="251" w:lineRule="auto"/>
        <w:tabs>
          <w:tab w:leader="none" w:pos="1332"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In case outstanding shares of Common Stock of the Company shall be subdivided into a greater number of shares of Common Stock, the Conversion Price in</w:t>
      </w:r>
    </w:p>
    <w:p>
      <w:pPr>
        <w:spacing w:after="0" w:line="389"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76200</wp:posOffset>
            </wp:positionV>
            <wp:extent cx="661225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00" w:top="361" w:right="779" w:bottom="1440" w:gutter="0" w:footer="0" w:header="0"/>
        </w:sectPr>
      </w:pPr>
    </w:p>
    <w:bookmarkStart w:id="134" w:name="page135"/>
    <w:bookmarkEnd w:id="134"/>
    <w:p>
      <w:pPr>
        <w:ind w:right="80"/>
        <w:spacing w:after="0" w:line="234" w:lineRule="auto"/>
        <w:rPr>
          <w:sz w:val="20"/>
          <w:szCs w:val="20"/>
          <w:color w:val="auto"/>
        </w:rPr>
      </w:pPr>
      <w:r>
        <w:rPr>
          <w:rFonts w:ascii="Arial" w:cs="Arial" w:eastAsia="Arial" w:hAnsi="Arial"/>
          <w:sz w:val="22"/>
          <w:szCs w:val="22"/>
          <w:color w:val="auto"/>
        </w:rPr>
        <w:t>effect at the opening of business on the day following the day upon which such subdivision becomes effective shall be proportionately reduced, and, conversely, in case outstanding shares of Common Stock of the Company shall be combined into a smaller number of shares of Common Stock, the Conversion Price in effect at the opening of business on the day following the day upon which such combination becomes effective shall be proportionately increased, such reduction or increase, as the case may be, to become effective immediately after the opening of business on the day following the day upon which such subdivision or combination becomes effective.</w:t>
      </w:r>
    </w:p>
    <w:p>
      <w:pPr>
        <w:spacing w:after="0" w:line="191" w:lineRule="exact"/>
        <w:rPr>
          <w:sz w:val="20"/>
          <w:szCs w:val="20"/>
          <w:color w:val="auto"/>
        </w:rPr>
      </w:pPr>
    </w:p>
    <w:p>
      <w:pPr>
        <w:ind w:right="20" w:firstLine="648"/>
        <w:spacing w:after="0" w:line="273" w:lineRule="auto"/>
        <w:tabs>
          <w:tab w:leader="none" w:pos="1333" w:val="left"/>
        </w:tabs>
        <w:numPr>
          <w:ilvl w:val="1"/>
          <w:numId w:val="118"/>
        </w:numPr>
        <w:rPr>
          <w:rFonts w:ascii="Arial" w:cs="Arial" w:eastAsia="Arial" w:hAnsi="Arial"/>
          <w:sz w:val="19"/>
          <w:szCs w:val="19"/>
          <w:color w:val="auto"/>
        </w:rPr>
      </w:pPr>
      <w:r>
        <w:rPr>
          <w:rFonts w:ascii="Arial" w:cs="Arial" w:eastAsia="Arial" w:hAnsi="Arial"/>
          <w:sz w:val="19"/>
          <w:szCs w:val="19"/>
          <w:color w:val="auto"/>
        </w:rPr>
        <w:t>Subject to the last sentence of this paragraph (4) of this Section, if the Company, by dividend or otherwise, (a) distributes to all holders of its Common Stock evidences of its indebtedness, shares of any class of Capital Stock of the Company or other assets (other than cash dividends out of current or retained earnings), or</w:t>
      </w:r>
    </w:p>
    <w:p>
      <w:pPr>
        <w:spacing w:after="0" w:line="1" w:lineRule="exact"/>
        <w:rPr>
          <w:rFonts w:ascii="Arial" w:cs="Arial" w:eastAsia="Arial" w:hAnsi="Arial"/>
          <w:sz w:val="19"/>
          <w:szCs w:val="19"/>
          <w:color w:val="auto"/>
        </w:rPr>
      </w:pPr>
    </w:p>
    <w:p>
      <w:pPr>
        <w:ind w:right="60"/>
        <w:spacing w:after="0" w:line="269" w:lineRule="auto"/>
        <w:tabs>
          <w:tab w:leader="none" w:pos="306" w:val="left"/>
        </w:tabs>
        <w:numPr>
          <w:ilvl w:val="0"/>
          <w:numId w:val="119"/>
        </w:numPr>
        <w:rPr>
          <w:rFonts w:ascii="Arial" w:cs="Arial" w:eastAsia="Arial" w:hAnsi="Arial"/>
          <w:sz w:val="19"/>
          <w:szCs w:val="19"/>
          <w:color w:val="auto"/>
        </w:rPr>
      </w:pPr>
      <w:r>
        <w:rPr>
          <w:rFonts w:ascii="Arial" w:cs="Arial" w:eastAsia="Arial" w:hAnsi="Arial"/>
          <w:sz w:val="19"/>
          <w:szCs w:val="19"/>
          <w:color w:val="auto"/>
        </w:rPr>
        <w:t>distributes to substantially all holders of Common Stock rights or warrants to subscribe for securities (other than Short Term Rights to which paragraph (2) of this Section 1604 applies), the Conversion Price shall be reduced by multiplying such Conversion Price by a fraction of which the numerator shall be the current market price per share (determined as provided in paragraph (7) of this Section 1604) of the Common Stock of the Company on the Reference Date (as defined below) less the fair market value (as determined in good faith by the Board of Directors, whose determination shall be conclusive and described in a Board Resolution filed with the Trustee), on the Reference Date, of the portion of the evidences of indebtedness and other assets so distributed or of such subscription rights or warrants applicable to one share of Common Stock (collectively, the “Market Value of the Distribution”) and the denominator shall be such current market price per share of the Common Stock of the Company. Such reduction shall become effective immediately prior to the opening of business on the day (the “Reference Date”) following the later of (a) the date fixed for the payment of such distribution and (b) the date 20 days after notice relating to such distribution is required to be given pursuant to Section 1606(a). If the Board of Directors determines the fair market value of any distribution for purposes of this paragraph (4) by reference to the actual or when issued trading market for any securities comprising such distribution, it must in doing so consider the prices in such market over the same period used in computing the current market price per share pursuant to paragraph (7) of this</w:t>
      </w:r>
    </w:p>
    <w:p>
      <w:pPr>
        <w:spacing w:after="0" w:line="169"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Section 1604. In the event that, with respect to any distribution to which this paragraph (4) of Section 1604 would otherwise apply, the Market Value of the Distribution is greater than the current market price per share of the Common Stock (such distribution being referred to herein as an “Unadjusted Distribution”), then the adjustment provided by this paragraph (4) shall not be made and in lieu thereof the provisions of Section 1611 shall apply with respect to such Unadjusted Distribution.</w:t>
      </w:r>
    </w:p>
    <w:p>
      <w:pPr>
        <w:spacing w:after="0" w:line="179" w:lineRule="exact"/>
        <w:rPr>
          <w:sz w:val="20"/>
          <w:szCs w:val="20"/>
          <w:color w:val="auto"/>
        </w:rPr>
      </w:pPr>
    </w:p>
    <w:p>
      <w:pPr>
        <w:ind w:firstLine="648"/>
        <w:spacing w:after="0" w:line="248" w:lineRule="auto"/>
        <w:tabs>
          <w:tab w:leader="none" w:pos="1333"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Company may, but shall not be required to, make such reductions in the Conversion Price, in addition to those required by paragraphs (1), (2), (3), and (4) of this Section 1604, as it considers to be advisable in order that any event treated for federal income tax purposes as a dividend of stock or stock rights shall not be taxable to the recipients. In addition, the Company, from time to time, may decrease the Conversion Price by any amount and for any reason, temporarily or otherwise, including situations where the Board of Directors determines such decrease to be fair and</w:t>
      </w:r>
    </w:p>
    <w:p>
      <w:pPr>
        <w:spacing w:after="0" w:line="39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76200</wp:posOffset>
            </wp:positionV>
            <wp:extent cx="661225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60"/>
          </w:cols>
          <w:pgMar w:left="1400" w:top="361" w:right="739" w:bottom="1440" w:gutter="0" w:footer="0" w:header="0"/>
        </w:sectPr>
      </w:pPr>
    </w:p>
    <w:bookmarkStart w:id="135" w:name="page136"/>
    <w:bookmarkEnd w:id="135"/>
    <w:p>
      <w:pPr>
        <w:spacing w:after="0"/>
        <w:rPr>
          <w:sz w:val="20"/>
          <w:szCs w:val="20"/>
          <w:color w:val="auto"/>
        </w:rPr>
      </w:pPr>
      <w:r>
        <w:rPr>
          <w:rFonts w:ascii="Arial" w:cs="Arial" w:eastAsia="Arial" w:hAnsi="Arial"/>
          <w:sz w:val="21"/>
          <w:szCs w:val="21"/>
          <w:color w:val="auto"/>
        </w:rPr>
        <w:t>appropriate with respect to transactions in which holders of Common Stock have the right to participate.</w:t>
      </w:r>
    </w:p>
    <w:p>
      <w:pPr>
        <w:spacing w:after="0" w:line="218" w:lineRule="exact"/>
        <w:rPr>
          <w:sz w:val="20"/>
          <w:szCs w:val="20"/>
          <w:color w:val="auto"/>
        </w:rPr>
      </w:pPr>
    </w:p>
    <w:p>
      <w:pPr>
        <w:ind w:right="20" w:firstLine="648"/>
        <w:spacing w:after="0" w:line="271" w:lineRule="auto"/>
        <w:tabs>
          <w:tab w:leader="none" w:pos="1332" w:val="left"/>
        </w:tabs>
        <w:numPr>
          <w:ilvl w:val="0"/>
          <w:numId w:val="121"/>
        </w:numPr>
        <w:rPr>
          <w:rFonts w:ascii="Arial" w:cs="Arial" w:eastAsia="Arial" w:hAnsi="Arial"/>
          <w:sz w:val="19"/>
          <w:szCs w:val="19"/>
          <w:color w:val="auto"/>
        </w:rPr>
      </w:pPr>
      <w:r>
        <w:rPr>
          <w:rFonts w:ascii="Arial" w:cs="Arial" w:eastAsia="Arial" w:hAnsi="Arial"/>
          <w:sz w:val="19"/>
          <w:szCs w:val="19"/>
          <w:color w:val="auto"/>
        </w:rPr>
        <w:t>Rights or warrants issued or distributed by the Company to all holders of its Common Stock entitling the holders thereof to subscribe for or purchase shares of Common Stock or Preferred Stock, which rights or warrants (i) are deemed to be transferred with such shares of Common Stock, (ii) are not exercisable and (iii) are also issued or distributed in respect of future issuances of Common Stock, in each case in clauses (i) through (iii) until the occurrence of a specified event or events (“Trigger Events”), shall for purposes of this Section 1604 not be deemed issued or distributed until the occurrence of the earliest Trigger Event. Each share of Common Stock issued upon conversion of Securities pursuant to this Article Sixteen shall be entitled to receive the appropriate number of Common Stock purchase rights (the “Rights”), if any, and the certificates representing the Common Stock issued upon conversion shall bear such legends, if any. Notwithstanding anything to the contrary in this Article Sixteen, there shall not be any adjustment to the Conversion Price as a result of (i) the distribution of separate certificates representing the Rights; (ii) the occurrence of certain events entitling holders of Rights to receive, upon exercise thereof, Common Stock or other securities of the Company or other securities of another corporation; or (iii) the exercise of such Rights. No adjustment in the Conversion Price need be made for rights to purchase or the sale of Common Stock pursuant to a Company plan providing for reinvestment of dividends or interest.</w:t>
      </w:r>
    </w:p>
    <w:p>
      <w:pPr>
        <w:spacing w:after="0" w:line="161" w:lineRule="exact"/>
        <w:rPr>
          <w:rFonts w:ascii="Arial" w:cs="Arial" w:eastAsia="Arial" w:hAnsi="Arial"/>
          <w:sz w:val="19"/>
          <w:szCs w:val="19"/>
          <w:color w:val="auto"/>
        </w:rPr>
      </w:pPr>
    </w:p>
    <w:p>
      <w:pPr>
        <w:ind w:right="120" w:firstLine="648"/>
        <w:spacing w:after="0" w:line="287" w:lineRule="auto"/>
        <w:tabs>
          <w:tab w:leader="none" w:pos="1332" w:val="left"/>
        </w:tabs>
        <w:numPr>
          <w:ilvl w:val="0"/>
          <w:numId w:val="121"/>
        </w:numPr>
        <w:rPr>
          <w:rFonts w:ascii="Arial" w:cs="Arial" w:eastAsia="Arial" w:hAnsi="Arial"/>
          <w:sz w:val="19"/>
          <w:szCs w:val="19"/>
          <w:color w:val="auto"/>
        </w:rPr>
      </w:pPr>
      <w:r>
        <w:rPr>
          <w:rFonts w:ascii="Arial" w:cs="Arial" w:eastAsia="Arial" w:hAnsi="Arial"/>
          <w:sz w:val="19"/>
          <w:szCs w:val="19"/>
          <w:color w:val="auto"/>
        </w:rPr>
        <w:t>For the purpose of any computation under paragraph (2), (4) or (5) of this Section 1604, the “current market price” per share of Common Stock of the Company on any date shall be deemed to be the average of the daily Closing Prices for the 15 consecutive Trading Days selected by the Company commencing not more than 30 Trading Days before, and ending not later than, the date in question.</w:t>
      </w:r>
    </w:p>
    <w:p>
      <w:pPr>
        <w:spacing w:after="0" w:line="143" w:lineRule="exact"/>
        <w:rPr>
          <w:rFonts w:ascii="Arial" w:cs="Arial" w:eastAsia="Arial" w:hAnsi="Arial"/>
          <w:sz w:val="19"/>
          <w:szCs w:val="19"/>
          <w:color w:val="auto"/>
        </w:rPr>
      </w:pPr>
    </w:p>
    <w:p>
      <w:pPr>
        <w:ind w:firstLine="648"/>
        <w:spacing w:after="0" w:line="282" w:lineRule="auto"/>
        <w:tabs>
          <w:tab w:leader="none" w:pos="1332"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No adjustment in the Conversion Price shall be required unless such adjustment would require an increase or decrease of at least 1% in the Conversion Price;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adjustments which by reason of this paragraph (8) are not required to be made shall be carried forward and taken into account in any subsequent adjustment. All calculations under this Article Sixteen shall be made to the nearest cent or to the nearest one-hundredth of a share of Common Stock, as the case may be.</w:t>
      </w:r>
    </w:p>
    <w:p>
      <w:pPr>
        <w:spacing w:after="0" w:line="147" w:lineRule="exact"/>
        <w:rPr>
          <w:rFonts w:ascii="Arial" w:cs="Arial" w:eastAsia="Arial" w:hAnsi="Arial"/>
          <w:sz w:val="19"/>
          <w:szCs w:val="19"/>
          <w:color w:val="auto"/>
        </w:rPr>
      </w:pPr>
    </w:p>
    <w:p>
      <w:pPr>
        <w:ind w:right="280" w:firstLine="648"/>
        <w:spacing w:after="0" w:line="234" w:lineRule="auto"/>
        <w:tabs>
          <w:tab w:leader="none" w:pos="1332"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Anything herein to the contrary notwithstanding, in the event the Company shall declare any dividend or distribution requiring an adjustment in the Conversion Price hereunder and shall, thereafter and before the payment of such dividend or distribution to stockholders, legally abandon its plan to pay such dividend or distribution, the Conversion Price then in effect hereunder, if changed to reflect such dividend or distribution, shall upon the legal abandonment of such plan be changed to the Conversion Price which would have been in effect at the time of such abandonment (after giving effect to all other adjustments not so legally abandoned pursuant to the provisions of this Article Sixteen) had such dividend or distribution never been declared.</w:t>
      </w:r>
    </w:p>
    <w:p>
      <w:pPr>
        <w:spacing w:after="0" w:line="187" w:lineRule="exact"/>
        <w:rPr>
          <w:rFonts w:ascii="Arial" w:cs="Arial" w:eastAsia="Arial" w:hAnsi="Arial"/>
          <w:sz w:val="22"/>
          <w:szCs w:val="22"/>
          <w:color w:val="auto"/>
        </w:rPr>
      </w:pPr>
    </w:p>
    <w:p>
      <w:pPr>
        <w:jc w:val="both"/>
        <w:ind w:firstLine="648"/>
        <w:spacing w:after="0"/>
        <w:tabs>
          <w:tab w:leader="none" w:pos="1332" w:val="left"/>
        </w:tabs>
        <w:numPr>
          <w:ilvl w:val="0"/>
          <w:numId w:val="121"/>
        </w:numPr>
        <w:rPr>
          <w:rFonts w:ascii="Arial" w:cs="Arial" w:eastAsia="Arial" w:hAnsi="Arial"/>
          <w:sz w:val="22"/>
          <w:szCs w:val="22"/>
          <w:color w:val="auto"/>
        </w:rPr>
      </w:pPr>
      <w:r>
        <w:rPr>
          <w:rFonts w:ascii="Arial" w:cs="Arial" w:eastAsia="Arial" w:hAnsi="Arial"/>
          <w:sz w:val="22"/>
          <w:szCs w:val="22"/>
          <w:color w:val="auto"/>
        </w:rPr>
        <w:t>Notwithstanding any other provision of this Section 1604, no adjustment to the Conversion Price shall reduce the Conversion Price below the then par value per share of the Common Stock of the Company, and any such purported adjustment shall</w:t>
      </w:r>
    </w:p>
    <w:p>
      <w:pPr>
        <w:spacing w:after="0" w:line="200" w:lineRule="exact"/>
        <w:rPr>
          <w:sz w:val="20"/>
          <w:szCs w:val="20"/>
          <w:color w:val="auto"/>
        </w:rPr>
      </w:pPr>
    </w:p>
    <w:p>
      <w:pPr>
        <w:spacing w:after="0" w:line="20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76200</wp:posOffset>
            </wp:positionV>
            <wp:extent cx="661225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40"/>
          </w:cols>
          <w:pgMar w:left="1400" w:top="361" w:right="759" w:bottom="1440" w:gutter="0" w:footer="0" w:header="0"/>
        </w:sectPr>
      </w:pPr>
    </w:p>
    <w:bookmarkStart w:id="136" w:name="page137"/>
    <w:bookmarkEnd w:id="136"/>
    <w:p>
      <w:pPr>
        <w:ind w:left="640" w:right="220"/>
        <w:spacing w:after="0" w:line="297" w:lineRule="auto"/>
        <w:rPr>
          <w:sz w:val="20"/>
          <w:szCs w:val="20"/>
          <w:color w:val="auto"/>
        </w:rPr>
      </w:pPr>
      <w:r>
        <w:rPr>
          <w:rFonts w:ascii="Arial" w:cs="Arial" w:eastAsia="Arial" w:hAnsi="Arial"/>
          <w:sz w:val="19"/>
          <w:szCs w:val="19"/>
          <w:color w:val="auto"/>
        </w:rPr>
        <w:t>instead reduce the Conversion Price to such par value. Notwithstanding the foregoing sentence, the Company hereby covenants that it will from time to time take all such action as may be required to assure that the par value per share of the Common Stock is at all times equal to or less than the Conversion Price.</w:t>
      </w:r>
    </w:p>
    <w:p>
      <w:pPr>
        <w:spacing w:after="0" w:line="134" w:lineRule="exact"/>
        <w:rPr>
          <w:sz w:val="20"/>
          <w:szCs w:val="20"/>
          <w:color w:val="auto"/>
        </w:rPr>
      </w:pPr>
    </w:p>
    <w:p>
      <w:pPr>
        <w:ind w:left="640" w:right="40" w:firstLine="648"/>
        <w:spacing w:after="0" w:line="272" w:lineRule="auto"/>
        <w:tabs>
          <w:tab w:leader="none" w:pos="1964" w:val="left"/>
        </w:tabs>
        <w:numPr>
          <w:ilvl w:val="0"/>
          <w:numId w:val="122"/>
        </w:numPr>
        <w:rPr>
          <w:rFonts w:ascii="Arial" w:cs="Arial" w:eastAsia="Arial" w:hAnsi="Arial"/>
          <w:sz w:val="19"/>
          <w:szCs w:val="19"/>
          <w:color w:val="auto"/>
        </w:rPr>
      </w:pPr>
      <w:r>
        <w:rPr>
          <w:rFonts w:ascii="Arial" w:cs="Arial" w:eastAsia="Arial" w:hAnsi="Arial"/>
          <w:sz w:val="19"/>
          <w:szCs w:val="19"/>
          <w:color w:val="auto"/>
        </w:rPr>
        <w:t>In the event that this Article Sixteen requires adjustments to the Conversion Price under more than one of paragraphs (1), (2), (3) or (4) of this Section 1604, and the record or effective dates for the transaction giving rise to such adjustments shall occur on the same date, then such adjustments shall be made by applying (to the extent they are applicable), first, the provisions of paragraph (3) of this Section 1604, second, the provisions of paragraph (1) of this Section 1604, third, the provisions of paragraph (4) of this Section 1604 and, fourth, the provisions of paragraph (2) of this Section 1604. Anything herein to the contrary notwithstanding, no single event shall require or result in duplicative adjustments in the Conversion Price pursuant to this Section 1604. After an adjustment to the Conversion Price under this Article Sixteen, any subsequent event requiring an adjustment under this Article Sixteen shall cause an adjustment to the Conversion Price as so adjusted. If, after an adjustment, a Holder of a Security upon conversion of such Security receives shares of two or more classes of Capital Stock of the Company, the Conversion Price shall thereafter be subject to adjustment upon the occurrence of an action taken with respect to any such class of Capital Stock as is contemplated by this Article Sixteen with respect to the Common Stock in this Article Sixteen.</w:t>
      </w:r>
    </w:p>
    <w:p>
      <w:pPr>
        <w:spacing w:after="0" w:line="157"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 xml:space="preserve">SECTION 1605. </w:t>
      </w:r>
      <w:r>
        <w:rPr>
          <w:rFonts w:ascii="Arial" w:cs="Arial" w:eastAsia="Arial" w:hAnsi="Arial"/>
          <w:sz w:val="22"/>
          <w:szCs w:val="22"/>
          <w:u w:val="single" w:color="auto"/>
          <w:color w:val="auto"/>
        </w:rPr>
        <w:t>Notice of Adjustments of Conversion Price</w:t>
      </w:r>
      <w:r>
        <w:rPr>
          <w:rFonts w:ascii="Arial" w:cs="Arial" w:eastAsia="Arial" w:hAnsi="Arial"/>
          <w:sz w:val="22"/>
          <w:szCs w:val="22"/>
          <w:color w:val="auto"/>
        </w:rPr>
        <w:t>. Whenever the Conversion Price is adjusted as herein provided:</w:t>
      </w:r>
    </w:p>
    <w:p>
      <w:pPr>
        <w:spacing w:after="0" w:line="173" w:lineRule="exact"/>
        <w:rPr>
          <w:sz w:val="20"/>
          <w:szCs w:val="20"/>
          <w:color w:val="auto"/>
        </w:rPr>
      </w:pPr>
    </w:p>
    <w:p>
      <w:pPr>
        <w:ind w:left="640" w:right="120" w:firstLine="648"/>
        <w:spacing w:after="0" w:line="236" w:lineRule="auto"/>
        <w:tabs>
          <w:tab w:leader="none" w:pos="1972"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Company shall compute the adjusted Conversion Price in accordance with Section 1604 or Section 1611 and shall prepare an Officer’s Certificate setting forth the adjusted Conversion Price and showing in reasonable detail the facts upon which such adjustment is based, and such certificate shall forthwith be filed (with a copy to the Trustee) at each office or agency maintained for the purpose of conversion of any Securities pursuant to Section 1002; and</w:t>
      </w:r>
    </w:p>
    <w:p>
      <w:pPr>
        <w:spacing w:after="0" w:line="187" w:lineRule="exact"/>
        <w:rPr>
          <w:rFonts w:ascii="Arial" w:cs="Arial" w:eastAsia="Arial" w:hAnsi="Arial"/>
          <w:sz w:val="22"/>
          <w:szCs w:val="22"/>
          <w:color w:val="auto"/>
        </w:rPr>
      </w:pPr>
    </w:p>
    <w:p>
      <w:pPr>
        <w:ind w:left="640" w:right="140" w:firstLine="648"/>
        <w:spacing w:after="0" w:line="297" w:lineRule="auto"/>
        <w:tabs>
          <w:tab w:leader="none" w:pos="1972" w:val="left"/>
        </w:tabs>
        <w:numPr>
          <w:ilvl w:val="0"/>
          <w:numId w:val="123"/>
        </w:numPr>
        <w:rPr>
          <w:rFonts w:ascii="Arial" w:cs="Arial" w:eastAsia="Arial" w:hAnsi="Arial"/>
          <w:sz w:val="19"/>
          <w:szCs w:val="19"/>
          <w:color w:val="auto"/>
        </w:rPr>
      </w:pPr>
      <w:r>
        <w:rPr>
          <w:rFonts w:ascii="Arial" w:cs="Arial" w:eastAsia="Arial" w:hAnsi="Arial"/>
          <w:sz w:val="19"/>
          <w:szCs w:val="19"/>
          <w:color w:val="auto"/>
        </w:rPr>
        <w:t>a notice stating that the Conversion Price has been adjusted and setting forth the adjusted Conversion Price shall forthwith be required, and as soon as practicable after it is required, such notice shall be mailed by the Company to all Holders at their last addresses as they shall appear in the Security Register.</w:t>
      </w:r>
    </w:p>
    <w:p>
      <w:pPr>
        <w:spacing w:after="0" w:line="134" w:lineRule="exact"/>
        <w:rPr>
          <w:sz w:val="20"/>
          <w:szCs w:val="20"/>
          <w:color w:val="auto"/>
        </w:rPr>
      </w:pPr>
    </w:p>
    <w:p>
      <w:pPr>
        <w:ind w:left="640"/>
        <w:spacing w:after="0"/>
        <w:tabs>
          <w:tab w:leader="none" w:pos="2500" w:val="left"/>
        </w:tabs>
        <w:rPr>
          <w:sz w:val="20"/>
          <w:szCs w:val="20"/>
          <w:color w:val="auto"/>
        </w:rPr>
      </w:pPr>
      <w:r>
        <w:rPr>
          <w:rFonts w:ascii="Arial" w:cs="Arial" w:eastAsia="Arial" w:hAnsi="Arial"/>
          <w:sz w:val="22"/>
          <w:szCs w:val="22"/>
          <w:color w:val="auto"/>
        </w:rPr>
        <w:t>SECTION 1606.</w:t>
      </w:r>
      <w:r>
        <w:rPr>
          <w:sz w:val="20"/>
          <w:szCs w:val="20"/>
          <w:color w:val="auto"/>
        </w:rPr>
        <w:tab/>
      </w:r>
      <w:r>
        <w:rPr>
          <w:rFonts w:ascii="Arial" w:cs="Arial" w:eastAsia="Arial" w:hAnsi="Arial"/>
          <w:sz w:val="19"/>
          <w:szCs w:val="19"/>
          <w:u w:val="single" w:color="auto"/>
          <w:color w:val="auto"/>
        </w:rPr>
        <w:t>Notice of Certain Corporate Action</w:t>
      </w:r>
      <w:r>
        <w:rPr>
          <w:rFonts w:ascii="Arial" w:cs="Arial" w:eastAsia="Arial" w:hAnsi="Arial"/>
          <w:sz w:val="19"/>
          <w:szCs w:val="19"/>
          <w:color w:val="auto"/>
        </w:rPr>
        <w:t>. In case:</w:t>
      </w:r>
    </w:p>
    <w:p>
      <w:pPr>
        <w:spacing w:after="0" w:line="206" w:lineRule="exact"/>
        <w:rPr>
          <w:sz w:val="20"/>
          <w:szCs w:val="20"/>
          <w:color w:val="auto"/>
        </w:rPr>
      </w:pPr>
    </w:p>
    <w:p>
      <w:pPr>
        <w:ind w:left="640" w:right="60" w:firstLine="648"/>
        <w:spacing w:after="0" w:line="251" w:lineRule="auto"/>
        <w:tabs>
          <w:tab w:leader="none" w:pos="1972"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Company shall take any action that would require a Conversion Price adjustment pursuant to Section 1604 or Section 1611; or</w:t>
      </w:r>
    </w:p>
    <w:p>
      <w:pPr>
        <w:spacing w:after="0" w:line="173" w:lineRule="exact"/>
        <w:rPr>
          <w:rFonts w:ascii="Arial" w:cs="Arial" w:eastAsia="Arial" w:hAnsi="Arial"/>
          <w:sz w:val="22"/>
          <w:szCs w:val="22"/>
          <w:color w:val="auto"/>
        </w:rPr>
      </w:pPr>
    </w:p>
    <w:p>
      <w:pPr>
        <w:ind w:left="640" w:right="520" w:firstLine="648"/>
        <w:spacing w:after="0" w:line="287" w:lineRule="auto"/>
        <w:tabs>
          <w:tab w:leader="none" w:pos="1972"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there shall occur any reclassification of the Common Stock of the Company (other than a subdivision or combination of its outstanding shares of Common Stock), or any consolidation or merger to which the Company is a party, or the sale, transfer or lease of all or substantially all of the assets of the Company and for which approval of any stockholders of the Company is required; or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37" w:name="page138"/>
    <w:bookmarkEnd w:id="137"/>
    <w:p>
      <w:pPr>
        <w:ind w:left="640" w:firstLine="648"/>
        <w:spacing w:after="0" w:line="272" w:lineRule="auto"/>
        <w:tabs>
          <w:tab w:leader="none" w:pos="1972"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there shall occur the voluntary or involuntary dissolution, liquidation or winding up of the Company, then the Company shall cause to be filed at each office or agency maintained for the purpose of conversion of Securities pursuant to Section 1002, and shall cause to be mailed to all Holders at their last addresses as they shall appear in the Security Register, at least 10 days prior to the applicable record, effective or expiration date hereinafter specified, a notice stating (x) the date on which a record is to be taken for the purpose of any dividend, distribution or granting of rights, warrants or options, or, if a record is not to be taken, the date as of which the holders of Common Stock of record to be entitled to such dividend, distribution, rights, options or warrants are to be determined, or (y) the date on which such reclassification, consolidation, merger, sale, transfer, dissolution, liquidation or winding up is expected to become effective, and, if applicable, the date as of which it is expected that holders of Common Stock of record shall be entitled to exchange their shares of Common Stock for securities, cash or other property deliverable upon such reclassification, consolidation, merger, sale, transfer, dissolution, liquidation or winding up.</w:t>
      </w:r>
    </w:p>
    <w:p>
      <w:pPr>
        <w:spacing w:after="0" w:line="162" w:lineRule="exact"/>
        <w:rPr>
          <w:sz w:val="20"/>
          <w:szCs w:val="20"/>
          <w:color w:val="auto"/>
        </w:rPr>
      </w:pPr>
    </w:p>
    <w:p>
      <w:pPr>
        <w:jc w:val="both"/>
        <w:ind w:right="260" w:firstLine="648"/>
        <w:spacing w:after="0" w:line="238" w:lineRule="auto"/>
        <w:rPr>
          <w:sz w:val="20"/>
          <w:szCs w:val="20"/>
          <w:color w:val="auto"/>
        </w:rPr>
      </w:pPr>
      <w:r>
        <w:rPr>
          <w:rFonts w:ascii="Arial" w:cs="Arial" w:eastAsia="Arial" w:hAnsi="Arial"/>
          <w:sz w:val="22"/>
          <w:szCs w:val="22"/>
          <w:color w:val="auto"/>
        </w:rPr>
        <w:t xml:space="preserve">SECTION 1607. </w:t>
      </w:r>
      <w:r>
        <w:rPr>
          <w:rFonts w:ascii="Arial" w:cs="Arial" w:eastAsia="Arial" w:hAnsi="Arial"/>
          <w:sz w:val="22"/>
          <w:szCs w:val="22"/>
          <w:u w:val="single" w:color="auto"/>
          <w:color w:val="auto"/>
        </w:rPr>
        <w:t>Company to Reserve Common Stock</w:t>
      </w:r>
      <w:r>
        <w:rPr>
          <w:rFonts w:ascii="Arial" w:cs="Arial" w:eastAsia="Arial" w:hAnsi="Arial"/>
          <w:sz w:val="22"/>
          <w:szCs w:val="22"/>
          <w:color w:val="auto"/>
        </w:rPr>
        <w:t>. The Company shall at all times reserve and keep available, free from preemptive rights, out of its authorized but unissued Common Stock, for the purpose of effecting the conversion of Securities, a number of shares of Common Stock for the conversion of all outstanding Securities of any series which is convertible into Common Stock.</w:t>
      </w:r>
    </w:p>
    <w:p>
      <w:pPr>
        <w:spacing w:after="0" w:line="185" w:lineRule="exact"/>
        <w:rPr>
          <w:sz w:val="20"/>
          <w:szCs w:val="20"/>
          <w:color w:val="auto"/>
        </w:rPr>
      </w:pPr>
    </w:p>
    <w:p>
      <w:pPr>
        <w:ind w:right="60" w:firstLine="648"/>
        <w:spacing w:after="0" w:line="279" w:lineRule="auto"/>
        <w:rPr>
          <w:sz w:val="20"/>
          <w:szCs w:val="20"/>
          <w:color w:val="auto"/>
        </w:rPr>
      </w:pPr>
      <w:r>
        <w:rPr>
          <w:rFonts w:ascii="Arial" w:cs="Arial" w:eastAsia="Arial" w:hAnsi="Arial"/>
          <w:sz w:val="19"/>
          <w:szCs w:val="19"/>
          <w:color w:val="auto"/>
        </w:rPr>
        <w:t xml:space="preserve">SECTION 1608. </w:t>
      </w:r>
      <w:r>
        <w:rPr>
          <w:rFonts w:ascii="Arial" w:cs="Arial" w:eastAsia="Arial" w:hAnsi="Arial"/>
          <w:sz w:val="19"/>
          <w:szCs w:val="19"/>
          <w:u w:val="single" w:color="auto"/>
          <w:color w:val="auto"/>
        </w:rPr>
        <w:t>Taxes on Conversion</w:t>
      </w:r>
      <w:r>
        <w:rPr>
          <w:rFonts w:ascii="Arial" w:cs="Arial" w:eastAsia="Arial" w:hAnsi="Arial"/>
          <w:sz w:val="19"/>
          <w:szCs w:val="19"/>
          <w:color w:val="auto"/>
        </w:rPr>
        <w:t>. The Company will pay any and all taxes that may be payable in respect of the issue or delivery of shares of Common Stock on conversion of Securities pursuant hereto. The Company shall not, however, be required to pay any tax which may be payable in respect of any transfer involved in the issue and delivery of shares of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51"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 xml:space="preserve">SECTION 1609. </w:t>
      </w:r>
      <w:r>
        <w:rPr>
          <w:rFonts w:ascii="Arial" w:cs="Arial" w:eastAsia="Arial" w:hAnsi="Arial"/>
          <w:sz w:val="22"/>
          <w:szCs w:val="22"/>
          <w:u w:val="single" w:color="auto"/>
          <w:color w:val="auto"/>
        </w:rPr>
        <w:t>Covenants as to Common Stock</w:t>
      </w:r>
      <w:r>
        <w:rPr>
          <w:rFonts w:ascii="Arial" w:cs="Arial" w:eastAsia="Arial" w:hAnsi="Arial"/>
          <w:sz w:val="22"/>
          <w:szCs w:val="22"/>
          <w:color w:val="auto"/>
        </w:rPr>
        <w:t>. The Company covenants that all shares of Common Stock which may be issued upon conversion of Securities will upon issue be duly and validly issued, fully paid and nonassessable, free of preemptive or any similar rights, and, except as provided in Section 1608, the Company will pay all taxes, liens and charges with respect to the issue thereof.</w:t>
      </w:r>
    </w:p>
    <w:p>
      <w:pPr>
        <w:spacing w:after="0" w:line="185" w:lineRule="exact"/>
        <w:rPr>
          <w:sz w:val="20"/>
          <w:szCs w:val="20"/>
          <w:color w:val="auto"/>
        </w:rPr>
      </w:pPr>
    </w:p>
    <w:p>
      <w:pPr>
        <w:ind w:right="240" w:firstLine="648"/>
        <w:spacing w:after="0" w:line="252" w:lineRule="auto"/>
        <w:rPr>
          <w:sz w:val="20"/>
          <w:szCs w:val="20"/>
          <w:color w:val="auto"/>
        </w:rPr>
      </w:pPr>
      <w:r>
        <w:rPr>
          <w:rFonts w:ascii="Arial" w:cs="Arial" w:eastAsia="Arial" w:hAnsi="Arial"/>
          <w:sz w:val="21"/>
          <w:szCs w:val="21"/>
          <w:color w:val="auto"/>
        </w:rPr>
        <w:t>The Company will endeavor promptly to comply with all Federal and state securities laws regulating the offer and delivery of shares of Common Stock upon conversion of Securities, if any, and will list or cause to have quoted such shares of Common Stock on each national securities exchange or in the over-the-counter market or such other market on which the Common Stock is then listed or quoted.</w:t>
      </w:r>
    </w:p>
    <w:p>
      <w:pPr>
        <w:spacing w:after="0" w:line="174"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 xml:space="preserve">SECTION 1610. </w:t>
      </w:r>
      <w:r>
        <w:rPr>
          <w:rFonts w:ascii="Arial" w:cs="Arial" w:eastAsia="Arial" w:hAnsi="Arial"/>
          <w:sz w:val="22"/>
          <w:szCs w:val="22"/>
          <w:u w:val="single" w:color="auto"/>
          <w:color w:val="auto"/>
        </w:rPr>
        <w:t>Cancellation of Converted Securities</w:t>
      </w:r>
      <w:r>
        <w:rPr>
          <w:rFonts w:ascii="Arial" w:cs="Arial" w:eastAsia="Arial" w:hAnsi="Arial"/>
          <w:sz w:val="22"/>
          <w:szCs w:val="22"/>
          <w:color w:val="auto"/>
        </w:rPr>
        <w:t>. All Securities delivered for conversion shall be delivered to the Trustee to be cancelled by or at the direction of the Trustee, which shall dispose of the same as provided in Section 309.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61" w:right="759" w:bottom="1440" w:gutter="0" w:footer="0" w:header="0"/>
        </w:sectPr>
      </w:pPr>
    </w:p>
    <w:bookmarkStart w:id="138" w:name="page139"/>
    <w:bookmarkEnd w:id="138"/>
    <w:p>
      <w:pPr>
        <w:ind w:firstLine="648"/>
        <w:spacing w:after="0" w:line="270" w:lineRule="auto"/>
        <w:rPr>
          <w:sz w:val="20"/>
          <w:szCs w:val="20"/>
          <w:color w:val="auto"/>
        </w:rPr>
      </w:pPr>
      <w:r>
        <w:rPr>
          <w:rFonts w:ascii="Arial" w:cs="Arial" w:eastAsia="Arial" w:hAnsi="Arial"/>
          <w:sz w:val="19"/>
          <w:szCs w:val="19"/>
          <w:color w:val="auto"/>
        </w:rPr>
        <w:t xml:space="preserve">SECTION 1611. </w:t>
      </w:r>
      <w:r>
        <w:rPr>
          <w:rFonts w:ascii="Arial" w:cs="Arial" w:eastAsia="Arial" w:hAnsi="Arial"/>
          <w:sz w:val="19"/>
          <w:szCs w:val="19"/>
          <w:u w:val="single" w:color="auto"/>
          <w:color w:val="auto"/>
        </w:rPr>
        <w:t>Provisions in Case of Consolidation, Merger or Sale of Assets; Special Distributions</w:t>
      </w:r>
      <w:r>
        <w:rPr>
          <w:rFonts w:ascii="Arial" w:cs="Arial" w:eastAsia="Arial" w:hAnsi="Arial"/>
          <w:sz w:val="19"/>
          <w:szCs w:val="19"/>
          <w:color w:val="auto"/>
        </w:rPr>
        <w:t>. If any of the following shall occur, namely: (i) any reclassification or change of outstanding shares of Common Stock issuable upon conversion of Securities (other than a change in par value, or from par value to no par value, or from no par value to par value, or as a result of a subdivision or combination), (ii) any consolidation or merger to which the Company is a party other than a merger in which the Company is the continuing corporation and which does not result in any reclassification of, or change (other than a change in name, or par value, or from par value to no par value, or from no par value to par value or as a result of a subdivision or combination) in, outstanding shares of Common Stock or (iii) any sale or conveyance of all or substantially all of the property or business of the Company as an entirety, then the Person formed by such consolidation or resulting from such merger or which acquires such properties or assets, as the case may be, shall as a condition precedent to such transaction execute and deliver to the Trustee a supplemental indenture providing that the Holder of each Security then outstanding shall have the right thereafter, during the period such Security shall be convertible as specified in Section 1601, to convert such Security only into the kind and amount of securities, cash and other property receivable, if any, upon such consolidation, merger, sale, transfer or lease by a holder of the number of shares of Common Stock of the Company into which such Security might have been converted immediately prior to such consolidation, merger, sale, transfer or lease; provided that the kind and amount of securities, cash and other property so receivable shall be determined on the basis of the following assumptions. The holder of Common Stock referred to in the foregoing sentence:</w:t>
      </w:r>
    </w:p>
    <w:p>
      <w:pPr>
        <w:spacing w:after="0" w:line="170" w:lineRule="exact"/>
        <w:rPr>
          <w:sz w:val="20"/>
          <w:szCs w:val="20"/>
          <w:color w:val="auto"/>
        </w:rPr>
      </w:pPr>
    </w:p>
    <w:p>
      <w:pPr>
        <w:jc w:val="both"/>
        <w:ind w:left="640" w:right="80" w:firstLine="648"/>
        <w:spacing w:after="0" w:line="273" w:lineRule="auto"/>
        <w:tabs>
          <w:tab w:leader="none" w:pos="1972" w:val="left"/>
        </w:tabs>
        <w:numPr>
          <w:ilvl w:val="1"/>
          <w:numId w:val="126"/>
        </w:numPr>
        <w:rPr>
          <w:rFonts w:ascii="Arial" w:cs="Arial" w:eastAsia="Arial" w:hAnsi="Arial"/>
          <w:sz w:val="19"/>
          <w:szCs w:val="19"/>
          <w:color w:val="auto"/>
        </w:rPr>
      </w:pPr>
      <w:r>
        <w:rPr>
          <w:rFonts w:ascii="Arial" w:cs="Arial" w:eastAsia="Arial" w:hAnsi="Arial"/>
          <w:sz w:val="19"/>
          <w:szCs w:val="19"/>
          <w:color w:val="auto"/>
        </w:rPr>
        <w:t>is not (a) a Person with which the Company consolidated, (b) a Person into which the Company merged or which merged into the Company, or (c) a Person to which such sale, transfer or lease was made (any Person described in the foregoing clauses (a), (b), or (c), hereinafter referred to as a “Constituent Person”), or</w:t>
      </w:r>
    </w:p>
    <w:p>
      <w:pPr>
        <w:spacing w:after="0" w:line="1" w:lineRule="exact"/>
        <w:rPr>
          <w:rFonts w:ascii="Arial" w:cs="Arial" w:eastAsia="Arial" w:hAnsi="Arial"/>
          <w:sz w:val="19"/>
          <w:szCs w:val="19"/>
          <w:color w:val="auto"/>
        </w:rPr>
      </w:pPr>
    </w:p>
    <w:p>
      <w:pPr>
        <w:ind w:left="940" w:hanging="300"/>
        <w:spacing w:after="0"/>
        <w:tabs>
          <w:tab w:leader="none" w:pos="94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an Affiliate of a Constituent Person; and</w:t>
      </w:r>
    </w:p>
    <w:p>
      <w:pPr>
        <w:spacing w:after="0" w:line="188" w:lineRule="exact"/>
        <w:rPr>
          <w:rFonts w:ascii="Arial" w:cs="Arial" w:eastAsia="Arial" w:hAnsi="Arial"/>
          <w:sz w:val="22"/>
          <w:szCs w:val="22"/>
          <w:color w:val="auto"/>
        </w:rPr>
      </w:pPr>
    </w:p>
    <w:p>
      <w:pPr>
        <w:ind w:left="640" w:right="100" w:firstLine="648"/>
        <w:spacing w:after="0" w:line="277" w:lineRule="auto"/>
        <w:tabs>
          <w:tab w:leader="none" w:pos="1972" w:val="left"/>
        </w:tabs>
        <w:numPr>
          <w:ilvl w:val="1"/>
          <w:numId w:val="127"/>
        </w:numPr>
        <w:rPr>
          <w:rFonts w:ascii="Arial" w:cs="Arial" w:eastAsia="Arial" w:hAnsi="Arial"/>
          <w:sz w:val="19"/>
          <w:szCs w:val="19"/>
          <w:color w:val="auto"/>
        </w:rPr>
      </w:pPr>
      <w:r>
        <w:rPr>
          <w:rFonts w:ascii="Arial" w:cs="Arial" w:eastAsia="Arial" w:hAnsi="Arial"/>
          <w:sz w:val="19"/>
          <w:szCs w:val="19"/>
          <w:color w:val="auto"/>
        </w:rPr>
        <w:t>failed to exercise his rights of election, if any, as to the kind or amount of securities, cash and other property receivable upon such consolidation, merger, sale, transfer or lease (provided that if the kind or amount of securities, cash and other property receivable upon such consolidation, merger, sale transfer or lease is not the same for each share of Common Stock of the Company in respect of which such rights of election shall not have been exercised, then for the purpose of this Section 1611 the kind and amount of securities, cash and other property receivable upon such consolidation, merger, sale, transfer or lease shall be deemed to be the kind and amount so receivable per share by a plurality of such shares of Common Stock).</w:t>
      </w:r>
    </w:p>
    <w:p>
      <w:pPr>
        <w:spacing w:after="0" w:line="153" w:lineRule="exact"/>
        <w:rPr>
          <w:sz w:val="20"/>
          <w:szCs w:val="20"/>
          <w:color w:val="auto"/>
        </w:rPr>
      </w:pPr>
    </w:p>
    <w:p>
      <w:pPr>
        <w:ind w:right="40" w:firstLine="648"/>
        <w:spacing w:after="0" w:line="245" w:lineRule="auto"/>
        <w:rPr>
          <w:sz w:val="20"/>
          <w:szCs w:val="20"/>
          <w:color w:val="auto"/>
        </w:rPr>
      </w:pPr>
      <w:r>
        <w:rPr>
          <w:rFonts w:ascii="Arial" w:cs="Arial" w:eastAsia="Arial" w:hAnsi="Arial"/>
          <w:sz w:val="21"/>
          <w:szCs w:val="21"/>
          <w:color w:val="auto"/>
        </w:rPr>
        <w:t>Such supplemental indenture shall provide for adjustments which, for events subsequent to the effective date of such supplemental indenture, shall be as nearly equivalent as may be practicable to the adjustments provided for in this Article Sixteen. If, in the case of any such consolidation, merger, sale transfer or lease the stock or other securities and property (including cash) receivable thereupon by a holder of Common Stock includes shares of stock or other securities and property of a corporation other than the successor or purchasing corporation, as the case may be, in such consolidation, merger, sale, transfer or lease then such supplemental indenture shall also be executed by such other corporation and shall contain such additional provisions to protect the interests of the Holders of the Securities as the Board of Directors of the Company shall reasonably consider necessary by reason of the foregoing. The above provisions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20"/>
          </w:cols>
          <w:pgMar w:left="760" w:top="361" w:right="819" w:bottom="1440" w:gutter="0" w:footer="0" w:header="0"/>
        </w:sectPr>
      </w:pPr>
    </w:p>
    <w:bookmarkStart w:id="139" w:name="page140"/>
    <w:bookmarkEnd w:id="139"/>
    <w:p>
      <w:pPr>
        <w:spacing w:after="0"/>
        <w:rPr>
          <w:sz w:val="20"/>
          <w:szCs w:val="20"/>
          <w:color w:val="auto"/>
        </w:rPr>
      </w:pPr>
      <w:r>
        <w:rPr>
          <w:rFonts w:ascii="Arial" w:cs="Arial" w:eastAsia="Arial" w:hAnsi="Arial"/>
          <w:sz w:val="22"/>
          <w:szCs w:val="22"/>
          <w:color w:val="auto"/>
        </w:rPr>
        <w:t>of this Section 1611 shall similarly apply to successive consolidations, mergers, sales, transfers or leases.</w:t>
      </w:r>
    </w:p>
    <w:p>
      <w:pPr>
        <w:spacing w:after="0" w:line="206"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In the event the Company shall execute a supplemental indenture pursuant to this Section 1611, the Company shall promptly file with the Trustee an Officers’ Certificate briefly stating the reasons therefor, the kind or amount of shares of stock or securities or property (including cash) receivable by Holders of the Securities upon the conversion of their Securities after any such reclassification, change, consolidation, merger, sale, transfer or lease and any adjustment to be made with respect thereto.</w:t>
      </w:r>
    </w:p>
    <w:p>
      <w:pPr>
        <w:spacing w:after="0" w:line="188"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If the Company makes a distribution to all holders of its Common Stock that constitutes an Unadjusted Distribution pursuant to the last sentence of paragraph (4) of Section 1604, then, from and after the record date for determining the holders of Common Stock entitled to receive such distribution (the “Distribution Record Date”), a Holder of a Security who converts such Security in accordance with the provisions of this Indenture shall, upon conversion, be entitled to receive, in addition to the shares of Common Stock into which the Security is convertible, the kind and amount of evidences of indebtedness, shares of Capital Stock, or other assets or subscription rights or warrants, as the case may be, comprising the distribution that such Holder would have received if such Holder had converted the Security immediately prior to the Distribution Record Date.</w:t>
      </w:r>
    </w:p>
    <w:p>
      <w:pPr>
        <w:spacing w:after="0" w:line="158"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 xml:space="preserve">SECTION 1612. </w:t>
      </w:r>
      <w:r>
        <w:rPr>
          <w:rFonts w:ascii="Arial" w:cs="Arial" w:eastAsia="Arial" w:hAnsi="Arial"/>
          <w:sz w:val="19"/>
          <w:szCs w:val="19"/>
          <w:u w:val="single" w:color="auto"/>
          <w:color w:val="auto"/>
        </w:rPr>
        <w:t>Trustee Adjustment Disclaimer; Company Determination Final</w:t>
      </w:r>
      <w:r>
        <w:rPr>
          <w:rFonts w:ascii="Arial" w:cs="Arial" w:eastAsia="Arial" w:hAnsi="Arial"/>
          <w:sz w:val="19"/>
          <w:szCs w:val="19"/>
          <w:color w:val="auto"/>
        </w:rPr>
        <w:t>. The Trustee has no duty to determine when an adjustment under this Article Sixteen should be made, how it should be made or what it should be. The Trustee has no duty to determine whether a supplemental indenture under Section 1611 need be entered into or whether any provisions of any supplemental indenture are correct. The Trustee shall not be accountable for and makes no representation as to the validity or value of any securities or assets issued upon conversion of Securities. The Trustee shall not be responsible for the Company’s failure to comply with this Article Sixteen. Any determination that the Company or the Board of Directors must make pursuant to this Article Sixteen is conclusive, absent manifest error.</w:t>
      </w:r>
    </w:p>
    <w:p>
      <w:pPr>
        <w:spacing w:after="0" w:line="153" w:lineRule="exact"/>
        <w:rPr>
          <w:sz w:val="20"/>
          <w:szCs w:val="20"/>
          <w:color w:val="auto"/>
        </w:rPr>
      </w:pPr>
    </w:p>
    <w:p>
      <w:pPr>
        <w:ind w:right="120" w:firstLine="648"/>
        <w:spacing w:after="0" w:line="249" w:lineRule="auto"/>
        <w:rPr>
          <w:sz w:val="20"/>
          <w:szCs w:val="20"/>
          <w:color w:val="auto"/>
        </w:rPr>
      </w:pPr>
      <w:r>
        <w:rPr>
          <w:rFonts w:ascii="Arial" w:cs="Arial" w:eastAsia="Arial" w:hAnsi="Arial"/>
          <w:sz w:val="21"/>
          <w:szCs w:val="21"/>
          <w:color w:val="auto"/>
        </w:rPr>
        <w:t xml:space="preserve">SECTION 1613. </w:t>
      </w:r>
      <w:r>
        <w:rPr>
          <w:rFonts w:ascii="Arial" w:cs="Arial" w:eastAsia="Arial" w:hAnsi="Arial"/>
          <w:sz w:val="21"/>
          <w:szCs w:val="21"/>
          <w:u w:val="single" w:color="auto"/>
          <w:color w:val="auto"/>
        </w:rPr>
        <w:t>When No Adjustment Required</w:t>
      </w:r>
      <w:r>
        <w:rPr>
          <w:rFonts w:ascii="Arial" w:cs="Arial" w:eastAsia="Arial" w:hAnsi="Arial"/>
          <w:sz w:val="21"/>
          <w:szCs w:val="21"/>
          <w:color w:val="auto"/>
        </w:rPr>
        <w:t>. Except as expressly set forth in Section 1604, no adjustment in the Conversion Price shall be made because the Company issues, in exchange for cash, property or services, shares of its Common Stock, or any securities convertible into or exchangeable for shares of its Common Stock, or securities (including warrants, rights and options) carrying the right to subscribe for or purchase shares of its Common Stock or such convertible or exchangeable securities.</w:t>
      </w:r>
    </w:p>
    <w:p>
      <w:pPr>
        <w:spacing w:after="0" w:line="179" w:lineRule="exact"/>
        <w:rPr>
          <w:sz w:val="20"/>
          <w:szCs w:val="20"/>
          <w:color w:val="auto"/>
        </w:rPr>
      </w:pPr>
    </w:p>
    <w:p>
      <w:pPr>
        <w:jc w:val="both"/>
        <w:ind w:left="640" w:right="60" w:firstLine="648"/>
        <w:spacing w:after="0" w:line="236" w:lineRule="auto"/>
        <w:tabs>
          <w:tab w:leader="none" w:pos="1972" w:val="left"/>
        </w:tabs>
        <w:numPr>
          <w:ilvl w:val="0"/>
          <w:numId w:val="128"/>
        </w:numPr>
        <w:rPr>
          <w:rFonts w:ascii="Arial" w:cs="Arial" w:eastAsia="Arial" w:hAnsi="Arial"/>
          <w:sz w:val="22"/>
          <w:szCs w:val="22"/>
          <w:color w:val="auto"/>
        </w:rPr>
      </w:pPr>
      <w:r>
        <w:rPr>
          <w:rFonts w:ascii="Arial" w:cs="Arial" w:eastAsia="Arial" w:hAnsi="Arial"/>
          <w:sz w:val="22"/>
          <w:szCs w:val="22"/>
          <w:color w:val="auto"/>
        </w:rPr>
        <w:t>Notwithstanding anything herein to the contrary, no adjustment in the Conversion Price shall be made pursuant to Section 1604 in respect of any dividend or distribution if the Holders may participate therein (on a basis to be determined in good faith by the Board of Directors) and receive the same consideration they would have received if they had converted the Securities immediately prior to the record date with respect to such dividend or distribution.</w:t>
      </w:r>
    </w:p>
    <w:p>
      <w:pPr>
        <w:spacing w:after="0" w:line="188" w:lineRule="exact"/>
        <w:rPr>
          <w:sz w:val="20"/>
          <w:szCs w:val="20"/>
          <w:color w:val="auto"/>
        </w:rPr>
      </w:pPr>
    </w:p>
    <w:p>
      <w:pPr>
        <w:jc w:val="both"/>
        <w:ind w:right="140" w:firstLine="648"/>
        <w:spacing w:after="0"/>
        <w:rPr>
          <w:sz w:val="20"/>
          <w:szCs w:val="20"/>
          <w:color w:val="auto"/>
        </w:rPr>
      </w:pPr>
      <w:r>
        <w:rPr>
          <w:rFonts w:ascii="Arial" w:cs="Arial" w:eastAsia="Arial" w:hAnsi="Arial"/>
          <w:sz w:val="22"/>
          <w:szCs w:val="22"/>
          <w:color w:val="auto"/>
        </w:rPr>
        <w:t xml:space="preserve">SECTION 1614. </w:t>
      </w:r>
      <w:r>
        <w:rPr>
          <w:rFonts w:ascii="Arial" w:cs="Arial" w:eastAsia="Arial" w:hAnsi="Arial"/>
          <w:sz w:val="22"/>
          <w:szCs w:val="22"/>
          <w:u w:val="single" w:color="auto"/>
          <w:color w:val="auto"/>
        </w:rPr>
        <w:t>Equivalent Adjustments</w:t>
      </w:r>
      <w:r>
        <w:rPr>
          <w:rFonts w:ascii="Arial" w:cs="Arial" w:eastAsia="Arial" w:hAnsi="Arial"/>
          <w:sz w:val="22"/>
          <w:szCs w:val="22"/>
          <w:color w:val="auto"/>
        </w:rPr>
        <w:t>. In the event that, as a result of an adjustment made pursuant to Section 1604 above, the holder of any Security thereafter surrendered for conversion shall become entitled to receive any shares of Capital Stock of the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20"/>
          </w:cols>
          <w:pgMar w:left="760" w:top="361" w:right="819" w:bottom="1440" w:gutter="0" w:footer="0" w:header="0"/>
        </w:sectPr>
      </w:pPr>
    </w:p>
    <w:bookmarkStart w:id="140" w:name="page141"/>
    <w:bookmarkEnd w:id="140"/>
    <w:p>
      <w:pPr>
        <w:ind w:firstLine="648"/>
        <w:spacing w:after="0" w:line="297" w:lineRule="auto"/>
        <w:rPr>
          <w:sz w:val="20"/>
          <w:szCs w:val="20"/>
          <w:color w:val="auto"/>
        </w:rPr>
      </w:pPr>
      <w:r>
        <w:rPr>
          <w:rFonts w:ascii="Arial" w:cs="Arial" w:eastAsia="Arial" w:hAnsi="Arial"/>
          <w:sz w:val="19"/>
          <w:szCs w:val="19"/>
          <w:color w:val="auto"/>
        </w:rPr>
        <w:t>Company other than shares of its Common Stock, thereafter the Conversion Price of such other shares so receivable upon conversion of any Securities shall be subject to adjustment from time to time in a manner and on terms as nearly equivalent as practicable to the provisions with respect to Common Stock contained in this Article Sixteen.</w:t>
      </w: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00"/>
          </w:cols>
          <w:pgMar w:left="760" w:top="361" w:right="839" w:bottom="1440" w:gutter="0" w:footer="0" w:header="0"/>
        </w:sectPr>
      </w:pPr>
    </w:p>
    <w:bookmarkStart w:id="141" w:name="page142"/>
    <w:bookmarkEnd w:id="141"/>
    <w:p>
      <w:pPr>
        <w:jc w:val="center"/>
        <w:ind w:right="-339"/>
        <w:spacing w:after="0"/>
        <w:rPr>
          <w:sz w:val="20"/>
          <w:szCs w:val="20"/>
          <w:color w:val="auto"/>
        </w:rPr>
      </w:pPr>
      <w:r>
        <w:rPr>
          <w:rFonts w:ascii="Arial" w:cs="Arial" w:eastAsia="Arial" w:hAnsi="Arial"/>
          <w:sz w:val="22"/>
          <w:szCs w:val="22"/>
          <w:color w:val="auto"/>
        </w:rPr>
        <w:t>SIGNATURES</w:t>
      </w:r>
    </w:p>
    <w:p>
      <w:pPr>
        <w:spacing w:after="0" w:line="206"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IN WITNESS WHEREOF, the parties hereto have caused this Indenture to be duly executed all as of the day and year first above written.</w:t>
      </w:r>
    </w:p>
    <w:p>
      <w:pPr>
        <w:spacing w:after="0" w:line="187"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BLUEPRINT MEDICINES</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CORPORATION</w:t>
      </w:r>
    </w:p>
    <w:p>
      <w:pPr>
        <w:spacing w:after="0" w:line="200" w:lineRule="exact"/>
        <w:rPr>
          <w:sz w:val="20"/>
          <w:szCs w:val="20"/>
          <w:color w:val="auto"/>
        </w:rPr>
      </w:pPr>
    </w:p>
    <w:p>
      <w:pPr>
        <w:spacing w:after="0" w:line="25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3731260</wp:posOffset>
            </wp:positionH>
            <wp:positionV relativeFrom="paragraph">
              <wp:posOffset>-158115</wp:posOffset>
            </wp:positionV>
            <wp:extent cx="28644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[________________],</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5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3731260</wp:posOffset>
            </wp:positionH>
            <wp:positionV relativeFrom="paragraph">
              <wp:posOffset>-158115</wp:posOffset>
            </wp:positionV>
            <wp:extent cx="286448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060"/>
          </w:cols>
          <w:pgMar w:left="760" w:top="361" w:right="1079" w:bottom="1440" w:gutter="0" w:footer="0" w:header="0"/>
        </w:sectPr>
      </w:pPr>
    </w:p>
    <w:bookmarkStart w:id="142" w:name="page143"/>
    <w:bookmarkEnd w:id="142"/>
    <w:p>
      <w:pPr>
        <w:jc w:val="center"/>
        <w:ind w:right="20"/>
        <w:spacing w:after="0"/>
        <w:rPr>
          <w:sz w:val="20"/>
          <w:szCs w:val="20"/>
          <w:color w:val="auto"/>
        </w:rPr>
      </w:pPr>
      <w:r>
        <w:rPr>
          <w:rFonts w:ascii="Arial" w:cs="Arial" w:eastAsia="Arial" w:hAnsi="Arial"/>
          <w:sz w:val="22"/>
          <w:szCs w:val="22"/>
          <w:color w:val="auto"/>
        </w:rPr>
        <w:t>EXHIBIT A</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FORM OF REDEEMABLE OR NON-REDEEMABLE SENIOR SECURITY</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[Face of Security]</w:t>
      </w:r>
    </w:p>
    <w:p>
      <w:pPr>
        <w:spacing w:after="0" w:line="206"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[If the Holder of this Security (as indicated below) is The Depository Trust Company (“DTC”) or a nominee of DTC, this Security is a Global Security and the following two legends apply:</w:t>
      </w:r>
    </w:p>
    <w:p>
      <w:pPr>
        <w:spacing w:after="0" w:line="167" w:lineRule="exact"/>
        <w:rPr>
          <w:sz w:val="20"/>
          <w:szCs w:val="20"/>
          <w:color w:val="auto"/>
        </w:rPr>
      </w:pPr>
    </w:p>
    <w:p>
      <w:pPr>
        <w:ind w:right="60"/>
        <w:spacing w:after="0" w:line="248" w:lineRule="auto"/>
        <w:rPr>
          <w:sz w:val="20"/>
          <w:szCs w:val="20"/>
          <w:color w:val="auto"/>
        </w:rPr>
      </w:pPr>
      <w:r>
        <w:rPr>
          <w:rFonts w:ascii="Arial" w:cs="Arial" w:eastAsia="Arial" w:hAnsi="Arial"/>
          <w:sz w:val="21"/>
          <w:szCs w:val="21"/>
          <w:b w:val="1"/>
          <w:bCs w:val="1"/>
          <w:color w:val="auto"/>
        </w:rPr>
        <w:t>Unless this Security is presented by an authorized representative of The Depository Trust Company a New York corporation (“DTC”) to the Company or its agent for registration of transfer, conversion, exchange or payment, and such Security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1" w:lineRule="exact"/>
        <w:rPr>
          <w:sz w:val="20"/>
          <w:szCs w:val="20"/>
          <w:color w:val="auto"/>
        </w:rPr>
      </w:pPr>
    </w:p>
    <w:p>
      <w:pPr>
        <w:ind w:right="60"/>
        <w:spacing w:after="0" w:line="301" w:lineRule="auto"/>
        <w:rPr>
          <w:sz w:val="20"/>
          <w:szCs w:val="20"/>
          <w:color w:val="auto"/>
        </w:rPr>
      </w:pPr>
      <w:r>
        <w:rPr>
          <w:rFonts w:ascii="Arial" w:cs="Arial" w:eastAsia="Arial" w:hAnsi="Arial"/>
          <w:sz w:val="19"/>
          <w:szCs w:val="19"/>
          <w:b w:val="1"/>
          <w:bCs w:val="1"/>
          <w:color w:val="auto"/>
        </w:rPr>
        <w:t>Unless and until this Security is exchanged in whole or in part for Securities in certificated form, this Security may not be transferred except as a whole by DTC to a nominee thereof or by a nominee thereof to DTC or another nominee of DTC or by DTC or any such nominee to a successor of DTC or a nominee of such successor.</w:t>
      </w:r>
      <w:r>
        <w:rPr>
          <w:rFonts w:ascii="Arial" w:cs="Arial" w:eastAsia="Arial" w:hAnsi="Arial"/>
          <w:sz w:val="19"/>
          <w:szCs w:val="19"/>
          <w:color w:val="auto"/>
        </w:rPr>
        <w:t>]</w:t>
      </w:r>
    </w:p>
    <w:p>
      <w:pPr>
        <w:spacing w:after="0" w:line="129" w:lineRule="exact"/>
        <w:rPr>
          <w:sz w:val="20"/>
          <w:szCs w:val="20"/>
          <w:color w:val="auto"/>
        </w:rPr>
      </w:pPr>
    </w:p>
    <w:p>
      <w:pPr>
        <w:jc w:val="both"/>
        <w:ind w:right="360"/>
        <w:spacing w:after="0" w:line="249"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If this Security is an Original Issue Discount Security,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FOR PURPOSES OF SECTION 1273 and 1275 OF THE UNITED STATES INTERNAL REVENUE CODE, THE AMOUNT OF ORIGINAL ISSUE DISCOUNT ON THIS SECURITY IS ___% OF ITS PRINCIPAL AMOUNT, THE ISSUE DATE IS __________, 20__, AND THE</w:t>
      </w:r>
    </w:p>
    <w:p>
      <w:pPr>
        <w:spacing w:after="0" w:line="2"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YIELD TO MATURITY IS ___%. THE METHOD USED TO DETERMINE THE AMOUNT OF ORIGINAL ISSUE DISCOUNT APPLICABLE TO THE SHORT ACCRUAL PERIOD OF __________, 20__ TO __________, 20__, IS ___% OF THE PRINCIPAL AMOUNT OF THIS SECURITY.]</w:t>
      </w:r>
    </w:p>
    <w:p>
      <w:pPr>
        <w:spacing w:after="0" w:line="18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BLUEPRINT MEDICINES CORPORATION</w:t>
      </w:r>
    </w:p>
    <w:p>
      <w:pPr>
        <w:spacing w:after="0" w:line="206"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[Designation of Series]</w:t>
      </w:r>
    </w:p>
    <w:p>
      <w:pPr>
        <w:sectPr>
          <w:pgSz w:w="11900" w:h="16838" w:orient="portrait"/>
          <w:cols w:equalWidth="0" w:num="1">
            <w:col w:w="10400"/>
          </w:cols>
          <w:pgMar w:left="760" w:top="361" w:right="7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No. 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$__________</w:t>
      </w:r>
    </w:p>
    <w:p>
      <w:pPr>
        <w:spacing w:after="0" w:line="200" w:lineRule="exact"/>
        <w:rPr>
          <w:sz w:val="20"/>
          <w:szCs w:val="20"/>
          <w:color w:val="auto"/>
        </w:rPr>
      </w:pPr>
    </w:p>
    <w:p>
      <w:pPr>
        <w:sectPr>
          <w:pgSz w:w="11900" w:h="16838" w:orient="portrait"/>
          <w:cols w:equalWidth="0" w:num="2">
            <w:col w:w="8480" w:space="720"/>
            <w:col w:w="1200"/>
          </w:cols>
          <w:pgMar w:left="760" w:top="361" w:right="7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CUSIP No. __________</w:t>
      </w:r>
    </w:p>
    <w:p>
      <w:pPr>
        <w:spacing w:after="0" w:line="206" w:lineRule="exact"/>
        <w:rPr>
          <w:sz w:val="20"/>
          <w:szCs w:val="20"/>
          <w:color w:val="auto"/>
        </w:rPr>
      </w:pPr>
    </w:p>
    <w:p>
      <w:pPr>
        <w:ind w:right="200"/>
        <w:spacing w:after="0" w:line="273" w:lineRule="auto"/>
        <w:rPr>
          <w:sz w:val="20"/>
          <w:szCs w:val="20"/>
          <w:color w:val="auto"/>
        </w:rPr>
      </w:pPr>
      <w:r>
        <w:rPr>
          <w:rFonts w:ascii="Arial" w:cs="Arial" w:eastAsia="Arial" w:hAnsi="Arial"/>
          <w:sz w:val="19"/>
          <w:szCs w:val="19"/>
          <w:color w:val="auto"/>
        </w:rPr>
        <w:t>BLUEPRINT MEDICINES CORPORATION, a Delaware corporation (herein referred to as the “Company,” which term includes any successor corporation under the Indenture referred to on the reverse hereof), for value received, hereby promises to pay to __________ or registered assigns the principal sum of __________ Dollars on __________</w:t>
      </w:r>
    </w:p>
    <w:p>
      <w:pPr>
        <w:spacing w:after="0" w:line="2" w:lineRule="exact"/>
        <w:rPr>
          <w:sz w:val="20"/>
          <w:szCs w:val="20"/>
          <w:color w:val="auto"/>
        </w:rPr>
      </w:pPr>
    </w:p>
    <w:p>
      <w:pPr>
        <w:ind w:right="140"/>
        <w:spacing w:after="0" w:line="256" w:lineRule="auto"/>
        <w:rPr>
          <w:sz w:val="20"/>
          <w:szCs w:val="20"/>
          <w:color w:val="auto"/>
        </w:rPr>
      </w:pPr>
      <w:r>
        <w:rPr>
          <w:rFonts w:ascii="Arial" w:cs="Arial" w:eastAsia="Arial" w:hAnsi="Arial"/>
          <w:sz w:val="21"/>
          <w:szCs w:val="21"/>
          <w:color w:val="auto"/>
        </w:rPr>
        <w:t xml:space="preserve">(the “Stated Maturity Date”) [or </w:t>
      </w:r>
      <w:r>
        <w:rPr>
          <w:rFonts w:ascii="Arial" w:cs="Arial" w:eastAsia="Arial" w:hAnsi="Arial"/>
          <w:sz w:val="21"/>
          <w:szCs w:val="21"/>
          <w:u w:val="single" w:color="auto"/>
          <w:color w:val="auto"/>
        </w:rPr>
        <w:t>insert date fixed for earlier redemption</w:t>
      </w:r>
      <w:r>
        <w:rPr>
          <w:rFonts w:ascii="Arial" w:cs="Arial" w:eastAsia="Arial" w:hAnsi="Arial"/>
          <w:sz w:val="21"/>
          <w:szCs w:val="21"/>
          <w:color w:val="auto"/>
        </w:rPr>
        <w:t xml:space="preserve"> (the “Redemption Date,” and together with the Stated Maturity Date with respect to principal repayable on such date, the “Maturity Date.”)]</w:t>
      </w:r>
    </w:p>
    <w:p>
      <w:pPr>
        <w:spacing w:after="0" w:line="169" w:lineRule="exact"/>
        <w:rPr>
          <w:sz w:val="20"/>
          <w:szCs w:val="20"/>
          <w:color w:val="auto"/>
        </w:rPr>
      </w:pPr>
    </w:p>
    <w:p>
      <w:pPr>
        <w:spacing w:after="0" w:line="219"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If the Security is to bear interest prior to Maturity,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and to pay interest thereon from __________ or from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most recent Interest Payment Date to which interest has been paid 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type w:val="continuous"/>
        </w:sectPr>
      </w:pPr>
    </w:p>
    <w:bookmarkStart w:id="143" w:name="page144"/>
    <w:bookmarkEnd w:id="143"/>
    <w:p>
      <w:pPr>
        <w:spacing w:after="0" w:line="219" w:lineRule="exact"/>
        <w:rPr>
          <w:sz w:val="20"/>
          <w:szCs w:val="20"/>
          <w:color w:val="auto"/>
        </w:rPr>
      </w:pPr>
      <w:r>
        <w:rPr>
          <w:rFonts w:ascii="Arial" w:cs="Arial" w:eastAsia="Arial" w:hAnsi="Arial"/>
          <w:sz w:val="19"/>
          <w:szCs w:val="19"/>
          <w:color w:val="auto"/>
        </w:rPr>
        <w:t>duly provided for, semi</w:t>
      </w:r>
      <w:r>
        <w:rPr>
          <w:rFonts w:ascii="MS PGothic" w:cs="MS PGothic" w:eastAsia="MS PGothic" w:hAnsi="MS PGothic"/>
          <w:sz w:val="19"/>
          <w:szCs w:val="19"/>
          <w:color w:val="auto"/>
        </w:rPr>
        <w:t>‑</w:t>
      </w:r>
      <w:r>
        <w:rPr>
          <w:rFonts w:ascii="Arial" w:cs="Arial" w:eastAsia="Arial" w:hAnsi="Arial"/>
          <w:sz w:val="19"/>
          <w:szCs w:val="19"/>
          <w:color w:val="auto"/>
        </w:rPr>
        <w:t>annually on __________ and __________ in each year (each, an “Interest Payment Date”),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commencing __________, at the rate of ___% per annum, until the principal hereof is paid or duly provided for. The</w:t>
      </w:r>
    </w:p>
    <w:p>
      <w:pPr>
        <w:spacing w:after="0" w:line="25"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interest so payable, and punctually paid or duly provided for, on any Interest Payment Date will, as provided in such Indenture, be paid to the Holder in whose name this Security (or one or more Predecessor Securities) is registered at the close of business on the Regular Record Date for such interest, which shall be the __________ or __________ (whether</w:t>
      </w:r>
    </w:p>
    <w:p>
      <w:pPr>
        <w:spacing w:after="0" w:line="244" w:lineRule="exact"/>
        <w:rPr>
          <w:sz w:val="20"/>
          <w:szCs w:val="20"/>
          <w:color w:val="auto"/>
        </w:rPr>
      </w:pPr>
      <w:r>
        <w:rPr>
          <w:rFonts w:ascii="Arial" w:cs="Arial" w:eastAsia="Arial" w:hAnsi="Arial"/>
          <w:sz w:val="19"/>
          <w:szCs w:val="19"/>
          <w:color w:val="auto"/>
        </w:rPr>
        <w:t xml:space="preserve">or not a Business Day), as the case may be, next preceding such Interest Payment Date [at the office or agency of the Company maintained for such purpose;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interest may be paid, at the Company’s option, by mailing a check to such Holder at its registered address or by transfer of funds to an account maintained by such Holder within the United States]. Any such interest not so punctually paid or duly provided for shall forthwith cease to be payable to the Holder on such Regular Record Date, and may be paid to the Holder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may be paid at any time in any other lawful manner not inconsistent with the requirements of any over-the-counter market or securities exchange on which the Securities of this series may be quoted or listed, and upon such notice as may be required by such market or exchange, all as more fully provided in the Indenture. Interest will be computed on the basis of a 360</w:t>
      </w:r>
      <w:r>
        <w:rPr>
          <w:rFonts w:ascii="MS PGothic" w:cs="MS PGothic" w:eastAsia="MS PGothic" w:hAnsi="MS PGothic"/>
          <w:sz w:val="19"/>
          <w:szCs w:val="19"/>
          <w:color w:val="auto"/>
        </w:rPr>
        <w:t>‑</w:t>
      </w:r>
      <w:r>
        <w:rPr>
          <w:rFonts w:ascii="Arial" w:cs="Arial" w:eastAsia="Arial" w:hAnsi="Arial"/>
          <w:sz w:val="19"/>
          <w:szCs w:val="19"/>
          <w:color w:val="auto"/>
        </w:rPr>
        <w:t>day year of twelve 30</w:t>
      </w:r>
      <w:r>
        <w:rPr>
          <w:rFonts w:ascii="MS PGothic" w:cs="MS PGothic" w:eastAsia="MS PGothic" w:hAnsi="MS PGothic"/>
          <w:sz w:val="19"/>
          <w:szCs w:val="19"/>
          <w:color w:val="auto"/>
        </w:rPr>
        <w:t>‑</w:t>
      </w:r>
      <w:r>
        <w:rPr>
          <w:rFonts w:ascii="Arial" w:cs="Arial" w:eastAsia="Arial" w:hAnsi="Arial"/>
          <w:sz w:val="19"/>
          <w:szCs w:val="19"/>
          <w:color w:val="auto"/>
        </w:rPr>
        <w:t>day months.]</w:t>
      </w:r>
    </w:p>
    <w:p>
      <w:pPr>
        <w:spacing w:after="0" w:line="188" w:lineRule="exact"/>
        <w:rPr>
          <w:sz w:val="20"/>
          <w:szCs w:val="20"/>
          <w:color w:val="auto"/>
        </w:rPr>
      </w:pPr>
    </w:p>
    <w:p>
      <w:pPr>
        <w:spacing w:after="0" w:line="246"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If the Security is not to bear interest prior to Maturity,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The principal of this Security shall not bear interest except in the case of a default in payment of principal upon acceleration, upon redemption or at the [Stated] Maturity Date and in such case the overdue principal of this Security shall bear interest at the rate of ___%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 Any such interest on any overdue principal that is not so paid on demand shall bear interest at the rate of ___% per annum (to the extent that the payment of such interest shall be legally enforceable), which shall accrue from the date of such demand for payment to the date payment of such interest has been made or duly provided for, and such interest shall also be payable on demand.]</w:t>
      </w:r>
    </w:p>
    <w:p>
      <w:pPr>
        <w:spacing w:after="0" w:line="192"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The principal of this Security payable on the Stated Maturity Date [or the principal of, premium or Make-Whole Amount, if any, and, if the Redemption Date is not an Interest Payment Date, interest on this Security payable on the Redemption Date] will be paid against presentation of this Security at the office or agency of the Company maintained for that purpose in __________, in such coin or currency of the United States of America as at the time of payment is legal tender for the payment of public and private debts.</w:t>
      </w:r>
    </w:p>
    <w:p>
      <w:pPr>
        <w:spacing w:after="0" w:line="179"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Interest payable on this Security on any Interest Payment Date and on the [Stated] Maturity Date [or Redemption Date, as the case may be,] will include interest accrued from and including the next preceding Interest Payment Date in respect of which interest has been paid or duly provided for (or from and including __________, if no interest has</w:t>
      </w:r>
    </w:p>
    <w:p>
      <w:pPr>
        <w:spacing w:after="0" w:line="2"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been paid on this Security) to but excluding such Interest Payment Date or the [Stated] Maturity Date [or Redemption Date, as the case may be.] If any Interest Payment Date or the [Stated] Maturity Date or [Redemption Date] falls on a day that is not a Business Day, as defined below, principal, premium or Make-Whole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144" w:name="page145"/>
    <w:bookmarkEnd w:id="144"/>
    <w:p>
      <w:pPr>
        <w:spacing w:after="0" w:line="271" w:lineRule="auto"/>
        <w:rPr>
          <w:sz w:val="20"/>
          <w:szCs w:val="20"/>
          <w:color w:val="auto"/>
        </w:rPr>
      </w:pPr>
      <w:r>
        <w:rPr>
          <w:rFonts w:ascii="Arial" w:cs="Arial" w:eastAsia="Arial" w:hAnsi="Arial"/>
          <w:sz w:val="19"/>
          <w:szCs w:val="19"/>
          <w:color w:val="auto"/>
        </w:rPr>
        <w:t>Amount, if any, and/or interest payable with respect to such Interest Payment Date or [Stated] Maturity Date [or Redemption Date, as the case may be,] will be paid on the next succeeding Business Day with the same force and effect as if it were paid on the date such payment was due, and no interest shall accrue on the amount so payable for the period from and after such Interest Payment Date or [Stated] Maturity Date [or Redemption Date, as the case may</w:t>
      </w:r>
    </w:p>
    <w:p>
      <w:pPr>
        <w:spacing w:after="0" w:line="4" w:lineRule="exact"/>
        <w:rPr>
          <w:sz w:val="20"/>
          <w:szCs w:val="20"/>
          <w:color w:val="auto"/>
        </w:rPr>
      </w:pPr>
    </w:p>
    <w:p>
      <w:pPr>
        <w:ind w:right="80"/>
        <w:spacing w:after="0" w:line="308" w:lineRule="auto"/>
        <w:rPr>
          <w:sz w:val="20"/>
          <w:szCs w:val="20"/>
          <w:color w:val="auto"/>
        </w:rPr>
      </w:pPr>
      <w:r>
        <w:rPr>
          <w:rFonts w:ascii="Arial" w:cs="Arial" w:eastAsia="Arial" w:hAnsi="Arial"/>
          <w:sz w:val="19"/>
          <w:szCs w:val="19"/>
          <w:color w:val="auto"/>
        </w:rPr>
        <w:t>be.] “Business Day” means any day, other than a Saturday or Sunday, that is neither a legal holiday nor a day on which banking institutions in The City of New York are required or authorized by law, regulation or executive order to close.</w:t>
      </w:r>
    </w:p>
    <w:p>
      <w:pPr>
        <w:spacing w:after="0" w:line="123" w:lineRule="exact"/>
        <w:rPr>
          <w:sz w:val="20"/>
          <w:szCs w:val="20"/>
          <w:color w:val="auto"/>
        </w:rPr>
      </w:pPr>
    </w:p>
    <w:p>
      <w:pPr>
        <w:ind w:right="160"/>
        <w:spacing w:after="0" w:line="259"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If this Security is a Global Security, insert</w:t>
      </w:r>
      <w:r>
        <w:rPr>
          <w:rFonts w:ascii="Arial" w:cs="Arial" w:eastAsia="Arial" w:hAnsi="Arial"/>
          <w:sz w:val="21"/>
          <w:szCs w:val="21"/>
          <w:color w:val="auto"/>
        </w:rPr>
        <w:t xml:space="preserve"> </w:t>
      </w:r>
      <w:r>
        <w:rPr>
          <w:rFonts w:ascii="MS PGothic" w:cs="MS PGothic" w:eastAsia="MS PGothic" w:hAnsi="MS PGothic"/>
          <w:sz w:val="21"/>
          <w:szCs w:val="21"/>
          <w:color w:val="auto"/>
        </w:rPr>
        <w:t>‑‑</w:t>
      </w:r>
      <w:r>
        <w:rPr>
          <w:rFonts w:ascii="Arial" w:cs="Arial" w:eastAsia="Arial" w:hAnsi="Arial"/>
          <w:sz w:val="21"/>
          <w:szCs w:val="21"/>
          <w:color w:val="auto"/>
        </w:rPr>
        <w:t xml:space="preserve"> All payments of principal, premium or Make-Whole Amount, if any, and interest in respect of this Security will be made by the Company in immediately available funds.]</w:t>
      </w:r>
    </w:p>
    <w:p>
      <w:pPr>
        <w:spacing w:after="0" w:line="185" w:lineRule="exact"/>
        <w:rPr>
          <w:sz w:val="20"/>
          <w:szCs w:val="20"/>
          <w:color w:val="auto"/>
        </w:rPr>
      </w:pPr>
    </w:p>
    <w:p>
      <w:pPr>
        <w:ind w:right="740"/>
        <w:spacing w:after="0" w:line="251" w:lineRule="auto"/>
        <w:rPr>
          <w:sz w:val="20"/>
          <w:szCs w:val="20"/>
          <w:color w:val="auto"/>
        </w:rPr>
      </w:pPr>
      <w:r>
        <w:rPr>
          <w:rFonts w:ascii="Arial" w:cs="Arial" w:eastAsia="Arial" w:hAnsi="Arial"/>
          <w:sz w:val="22"/>
          <w:szCs w:val="22"/>
          <w:color w:val="auto"/>
        </w:rPr>
        <w:t>Reference is hereby made to the further provisions of this Security set forth on the reverse hereof, which further provisions shall for all purposes have the same effect as if set forth at this place.</w:t>
      </w:r>
    </w:p>
    <w:p>
      <w:pPr>
        <w:spacing w:after="0" w:line="173" w:lineRule="exact"/>
        <w:rPr>
          <w:sz w:val="20"/>
          <w:szCs w:val="20"/>
          <w:color w:val="auto"/>
        </w:rPr>
      </w:pPr>
    </w:p>
    <w:p>
      <w:pPr>
        <w:ind w:right="60"/>
        <w:spacing w:after="0"/>
        <w:rPr>
          <w:sz w:val="20"/>
          <w:szCs w:val="20"/>
          <w:color w:val="auto"/>
        </w:rPr>
      </w:pPr>
      <w:r>
        <w:rPr>
          <w:rFonts w:ascii="Arial" w:cs="Arial" w:eastAsia="Arial" w:hAnsi="Arial"/>
          <w:sz w:val="22"/>
          <w:szCs w:val="22"/>
          <w:color w:val="auto"/>
        </w:rPr>
        <w:t>Unless the Certificate of Authentication hereon has been executed by the Trustee by manual signature of one of its authorized signatories, this Security shall not be entitled to any benefit under the Indenture, or be valid or obligatory for any purpose.</w:t>
      </w:r>
    </w:p>
    <w:p>
      <w:pPr>
        <w:spacing w:after="0" w:line="186"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IN WITNESS WHEREOF, the Company has caused this instrument to be duly executed under its facsimile corporate seal.</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BLUEPRINT MEDICINES</w:t>
      </w:r>
    </w:p>
    <w:p>
      <w:pPr>
        <w:spacing w:after="0" w:line="8"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CORPORATION</w:t>
      </w:r>
    </w:p>
    <w:p>
      <w:pPr>
        <w:spacing w:after="0" w:line="200" w:lineRule="exact"/>
        <w:rPr>
          <w:sz w:val="20"/>
          <w:szCs w:val="20"/>
          <w:color w:val="auto"/>
        </w:rPr>
      </w:pPr>
    </w:p>
    <w:p>
      <w:pPr>
        <w:spacing w:after="0" w:line="258"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7620</wp:posOffset>
            </wp:positionV>
            <wp:extent cx="29070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22"/>
          <w:szCs w:val="22"/>
          <w:color w:val="auto"/>
        </w:rPr>
        <w:t>Name:</w:t>
      </w:r>
    </w:p>
    <w:p>
      <w:pPr>
        <w:ind w:left="582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329311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22"/>
          <w:szCs w:val="22"/>
          <w:color w:val="auto"/>
        </w:rPr>
        <w:t>[Reverse of Security]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BLUEPRINT MEDICINES CORPORATION</w:t>
      </w:r>
    </w:p>
    <w:p>
      <w:pPr>
        <w:spacing w:after="0" w:line="206" w:lineRule="exact"/>
        <w:rPr>
          <w:sz w:val="20"/>
          <w:szCs w:val="20"/>
          <w:color w:val="auto"/>
        </w:rPr>
      </w:pPr>
    </w:p>
    <w:p>
      <w:pPr>
        <w:ind w:left="20" w:right="120"/>
        <w:spacing w:after="0" w:line="251" w:lineRule="auto"/>
        <w:rPr>
          <w:sz w:val="20"/>
          <w:szCs w:val="20"/>
          <w:color w:val="auto"/>
        </w:rPr>
      </w:pPr>
      <w:r>
        <w:rPr>
          <w:rFonts w:ascii="Arial" w:cs="Arial" w:eastAsia="Arial" w:hAnsi="Arial"/>
          <w:sz w:val="22"/>
          <w:szCs w:val="22"/>
          <w:color w:val="auto"/>
        </w:rPr>
        <w:t>This Security is one of a duly authorized issue of securities of the Company (herein called the “Securities”), issued and to be issued in one or more series under an</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9"/>
          <w:szCs w:val="19"/>
          <w:color w:val="auto"/>
        </w:rPr>
        <w:t>Indenture, dated as of __________, 20__ (herein called the “Indenture”) between the Company and [___________], as</w:t>
      </w:r>
    </w:p>
    <w:p>
      <w:pPr>
        <w:spacing w:after="0" w:line="43" w:lineRule="exact"/>
        <w:rPr>
          <w:sz w:val="20"/>
          <w:szCs w:val="20"/>
          <w:color w:val="auto"/>
        </w:rPr>
      </w:pPr>
    </w:p>
    <w:p>
      <w:pPr>
        <w:ind w:left="20" w:right="120"/>
        <w:spacing w:after="0" w:line="244" w:lineRule="exact"/>
        <w:rPr>
          <w:sz w:val="20"/>
          <w:szCs w:val="20"/>
          <w:color w:val="auto"/>
        </w:rPr>
      </w:pPr>
      <w:r>
        <w:rPr>
          <w:rFonts w:ascii="Arial" w:cs="Arial" w:eastAsia="Arial" w:hAnsi="Arial"/>
          <w:sz w:val="19"/>
          <w:szCs w:val="19"/>
          <w:color w:val="auto"/>
        </w:rPr>
        <w:t>Trustee (herein called the “Trustee,” which term includes any successor trustee under the Indenture with respect to the series of which this Security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duly authorized series of Securities designated on the face hereof (collectively, the “Securities”), [</w:t>
      </w:r>
      <w:r>
        <w:rPr>
          <w:rFonts w:ascii="Arial" w:cs="Arial" w:eastAsia="Arial" w:hAnsi="Arial"/>
          <w:sz w:val="19"/>
          <w:szCs w:val="19"/>
          <w:u w:val="single" w:color="auto"/>
          <w:color w:val="auto"/>
        </w:rPr>
        <w:t>if applicable,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and the aggregate principal amount of the Securities to be issued under such series is limited to $__________ (except for Securities authenticated and delivered upon transfer of,</w:t>
      </w:r>
    </w:p>
    <w:p>
      <w:pPr>
        <w:ind w:left="20" w:right="380"/>
        <w:spacing w:after="0" w:line="237" w:lineRule="auto"/>
        <w:rPr>
          <w:sz w:val="20"/>
          <w:szCs w:val="20"/>
          <w:color w:val="auto"/>
        </w:rPr>
      </w:pPr>
      <w:r>
        <w:rPr>
          <w:rFonts w:ascii="Arial" w:cs="Arial" w:eastAsia="Arial" w:hAnsi="Arial"/>
          <w:sz w:val="22"/>
          <w:szCs w:val="22"/>
          <w:color w:val="auto"/>
        </w:rPr>
        <w:t>or in exchange for, or in lieu of other Securities).] All terms used in this Security which are defined in the Indenture shall have the meanings assigned to them in the Indenture.</w:t>
      </w:r>
    </w:p>
    <w:p>
      <w:pPr>
        <w:spacing w:after="0" w:line="185" w:lineRule="exact"/>
        <w:rPr>
          <w:sz w:val="20"/>
          <w:szCs w:val="20"/>
          <w:color w:val="auto"/>
        </w:rPr>
      </w:pPr>
    </w:p>
    <w:p>
      <w:pPr>
        <w:ind w:left="20" w:right="200"/>
        <w:spacing w:after="0" w:line="328" w:lineRule="auto"/>
        <w:rPr>
          <w:sz w:val="20"/>
          <w:szCs w:val="20"/>
          <w:color w:val="auto"/>
        </w:rPr>
      </w:pPr>
      <w:r>
        <w:rPr>
          <w:rFonts w:ascii="Arial" w:cs="Arial" w:eastAsia="Arial" w:hAnsi="Arial"/>
          <w:sz w:val="19"/>
          <w:szCs w:val="19"/>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05" w:lineRule="exact"/>
        <w:rPr>
          <w:sz w:val="20"/>
          <w:szCs w:val="20"/>
          <w:color w:val="auto"/>
        </w:rPr>
      </w:pPr>
    </w:p>
    <w:p>
      <w:pPr>
        <w:ind w:left="2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If applicable, insert</w:t>
      </w:r>
      <w:r>
        <w:rPr>
          <w:rFonts w:ascii="Arial" w:cs="Arial" w:eastAsia="Arial" w:hAnsi="Arial"/>
          <w:sz w:val="22"/>
          <w:szCs w:val="22"/>
          <w:color w:val="auto"/>
        </w:rPr>
        <w:t xml:space="preserve"> </w:t>
      </w:r>
      <w:r>
        <w:rPr>
          <w:rFonts w:ascii="MS PGothic" w:cs="MS PGothic" w:eastAsia="MS PGothic" w:hAnsi="MS PGothic"/>
          <w:sz w:val="22"/>
          <w:szCs w:val="22"/>
          <w:color w:val="auto"/>
        </w:rPr>
        <w:t>‑‑</w:t>
      </w:r>
      <w:r>
        <w:rPr>
          <w:rFonts w:ascii="Arial" w:cs="Arial" w:eastAsia="Arial" w:hAnsi="Arial"/>
          <w:sz w:val="22"/>
          <w:szCs w:val="22"/>
          <w:color w:val="auto"/>
        </w:rPr>
        <w:t xml:space="preserve"> The Securities may not be redeemed prior to the Stated Maturity Date.]</w:t>
      </w:r>
    </w:p>
    <w:p>
      <w:pPr>
        <w:spacing w:after="0" w:line="206" w:lineRule="exact"/>
        <w:rPr>
          <w:sz w:val="20"/>
          <w:szCs w:val="20"/>
          <w:color w:val="auto"/>
        </w:rPr>
      </w:pPr>
    </w:p>
    <w:p>
      <w:pPr>
        <w:ind w:left="20"/>
        <w:spacing w:after="0" w:line="219"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If applicable,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The Securities are subject to redemption [ (l) </w:t>
      </w:r>
      <w:r>
        <w:rPr>
          <w:rFonts w:ascii="Arial" w:cs="Arial" w:eastAsia="Arial" w:hAnsi="Arial"/>
          <w:sz w:val="19"/>
          <w:szCs w:val="19"/>
          <w:u w:val="single" w:color="auto"/>
          <w:color w:val="auto"/>
        </w:rPr>
        <w:t>(If applicable,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on __________ in any year</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9"/>
          <w:szCs w:val="19"/>
          <w:color w:val="auto"/>
        </w:rPr>
        <w:t>commencing with the year __________ and ending with the year __________ through operation of the sinking fund for</w:t>
      </w:r>
    </w:p>
    <w:p>
      <w:pPr>
        <w:spacing w:after="0" w:line="25" w:lineRule="exact"/>
        <w:rPr>
          <w:sz w:val="20"/>
          <w:szCs w:val="20"/>
          <w:color w:val="auto"/>
        </w:rPr>
      </w:pPr>
    </w:p>
    <w:p>
      <w:pPr>
        <w:ind w:left="20" w:right="340"/>
        <w:spacing w:after="0" w:line="247" w:lineRule="exact"/>
        <w:rPr>
          <w:sz w:val="20"/>
          <w:szCs w:val="20"/>
          <w:color w:val="auto"/>
        </w:rPr>
      </w:pPr>
      <w:r>
        <w:rPr>
          <w:rFonts w:ascii="Arial" w:cs="Arial" w:eastAsia="Arial" w:hAnsi="Arial"/>
          <w:sz w:val="22"/>
          <w:szCs w:val="22"/>
          <w:color w:val="auto"/>
        </w:rPr>
        <w:t>this series at a Redemption Price equal to 100% of the principal amount, and (2) ] [</w:t>
      </w:r>
      <w:r>
        <w:rPr>
          <w:rFonts w:ascii="Arial" w:cs="Arial" w:eastAsia="Arial" w:hAnsi="Arial"/>
          <w:sz w:val="22"/>
          <w:szCs w:val="22"/>
          <w:u w:val="single" w:color="auto"/>
          <w:color w:val="auto"/>
        </w:rPr>
        <w:t>If applicable, insert</w:t>
      </w:r>
      <w:r>
        <w:rPr>
          <w:rFonts w:ascii="Arial" w:cs="Arial" w:eastAsia="Arial" w:hAnsi="Arial"/>
          <w:sz w:val="22"/>
          <w:szCs w:val="22"/>
          <w:color w:val="auto"/>
        </w:rPr>
        <w:t xml:space="preserve"> </w:t>
      </w:r>
      <w:r>
        <w:rPr>
          <w:rFonts w:ascii="MS PGothic" w:cs="MS PGothic" w:eastAsia="MS PGothic" w:hAnsi="MS PGothic"/>
          <w:sz w:val="22"/>
          <w:szCs w:val="22"/>
          <w:color w:val="auto"/>
        </w:rPr>
        <w:t>‑‑</w:t>
      </w:r>
      <w:r>
        <w:rPr>
          <w:rFonts w:ascii="Arial" w:cs="Arial" w:eastAsia="Arial" w:hAnsi="Arial"/>
          <w:sz w:val="22"/>
          <w:szCs w:val="22"/>
          <w:color w:val="auto"/>
        </w:rPr>
        <w:t xml:space="preserve"> at any time [on or after __________], as a whole or in part, at the election of the Company, at the following Redemption Prices (expressed as percentages of the principal amount):</w:t>
      </w:r>
    </w:p>
    <w:p>
      <w:pPr>
        <w:spacing w:after="0" w:line="187" w:lineRule="exact"/>
        <w:rPr>
          <w:sz w:val="20"/>
          <w:szCs w:val="20"/>
          <w:color w:val="auto"/>
        </w:rPr>
      </w:pPr>
    </w:p>
    <w:p>
      <w:pPr>
        <w:ind w:left="20"/>
        <w:spacing w:after="0" w:line="219" w:lineRule="exact"/>
        <w:rPr>
          <w:sz w:val="20"/>
          <w:szCs w:val="20"/>
          <w:color w:val="auto"/>
        </w:rPr>
      </w:pPr>
      <w:r>
        <w:rPr>
          <w:rFonts w:ascii="Arial" w:cs="Arial" w:eastAsia="Arial" w:hAnsi="Arial"/>
          <w:sz w:val="19"/>
          <w:szCs w:val="19"/>
          <w:color w:val="auto"/>
        </w:rPr>
        <w:t>If redeemed on or before __________, ___% and if redeemed during the 12</w:t>
      </w:r>
      <w:r>
        <w:rPr>
          <w:rFonts w:ascii="MS PGothic" w:cs="MS PGothic" w:eastAsia="MS PGothic" w:hAnsi="MS PGothic"/>
          <w:sz w:val="19"/>
          <w:szCs w:val="19"/>
          <w:color w:val="auto"/>
        </w:rPr>
        <w:t>‑</w:t>
      </w:r>
      <w:r>
        <w:rPr>
          <w:rFonts w:ascii="Arial" w:cs="Arial" w:eastAsia="Arial" w:hAnsi="Arial"/>
          <w:sz w:val="19"/>
          <w:szCs w:val="19"/>
          <w:color w:val="auto"/>
        </w:rPr>
        <w:t>month period beginning __________ of the</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22"/>
          <w:szCs w:val="22"/>
          <w:color w:val="auto"/>
        </w:rPr>
        <w:t>years indicated at the Redemption Prices indicated below.</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146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Year</w:t>
            </w:r>
          </w:p>
        </w:tc>
        <w:tc>
          <w:tcPr>
            <w:tcW w:w="37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Redemption Price</w:t>
            </w:r>
          </w:p>
        </w:tc>
        <w:tc>
          <w:tcPr>
            <w:tcW w:w="13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Year</w:t>
            </w:r>
          </w:p>
        </w:tc>
        <w:tc>
          <w:tcPr>
            <w:tcW w:w="38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Redemption Price</w:t>
            </w:r>
          </w:p>
        </w:tc>
      </w:tr>
      <w:tr>
        <w:trPr>
          <w:trHeight w:val="185"/>
        </w:trPr>
        <w:tc>
          <w:tcPr>
            <w:tcW w:w="1460" w:type="dxa"/>
            <w:vAlign w:val="bottom"/>
            <w:tcBorders>
              <w:left w:val="single" w:sz="8" w:color="auto"/>
              <w:bottom w:val="single" w:sz="8" w:color="auto"/>
              <w:right w:val="single" w:sz="8" w:color="auto"/>
            </w:tcBorders>
          </w:tcPr>
          <w:p>
            <w:pPr>
              <w:spacing w:after="0"/>
              <w:rPr>
                <w:sz w:val="16"/>
                <w:szCs w:val="16"/>
                <w:color w:val="auto"/>
              </w:rPr>
            </w:pPr>
          </w:p>
        </w:tc>
        <w:tc>
          <w:tcPr>
            <w:tcW w:w="378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spacing w:after="0"/>
              <w:rPr>
                <w:sz w:val="16"/>
                <w:szCs w:val="16"/>
                <w:color w:val="auto"/>
              </w:rPr>
            </w:pPr>
          </w:p>
        </w:tc>
      </w:tr>
      <w:tr>
        <w:trPr>
          <w:trHeight w:val="453"/>
        </w:trPr>
        <w:tc>
          <w:tcPr>
            <w:tcW w:w="1460" w:type="dxa"/>
            <w:vAlign w:val="bottom"/>
            <w:tcBorders>
              <w:left w:val="single" w:sz="8" w:color="auto"/>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3880" w:type="dxa"/>
            <w:vAlign w:val="bottom"/>
            <w:tcBorders>
              <w:bottom w:val="single" w:sz="8" w:color="auto"/>
              <w:right w:val="single" w:sz="8" w:color="auto"/>
            </w:tcBorders>
          </w:tcPr>
          <w:p>
            <w:pPr>
              <w:spacing w:after="0"/>
              <w:rPr>
                <w:sz w:val="24"/>
                <w:szCs w:val="24"/>
                <w:color w:val="auto"/>
              </w:rPr>
            </w:pPr>
          </w:p>
        </w:tc>
      </w:tr>
    </w:tbl>
    <w:p>
      <w:pPr>
        <w:spacing w:after="0" w:line="195" w:lineRule="exact"/>
        <w:rPr>
          <w:sz w:val="20"/>
          <w:szCs w:val="20"/>
          <w:color w:val="auto"/>
        </w:rPr>
      </w:pPr>
    </w:p>
    <w:p>
      <w:pPr>
        <w:ind w:left="20" w:right="40"/>
        <w:spacing w:after="0" w:line="249" w:lineRule="exact"/>
        <w:rPr>
          <w:sz w:val="20"/>
          <w:szCs w:val="20"/>
          <w:color w:val="auto"/>
        </w:rPr>
      </w:pPr>
      <w:r>
        <w:rPr>
          <w:rFonts w:ascii="Arial" w:cs="Arial" w:eastAsia="Arial" w:hAnsi="Arial"/>
          <w:sz w:val="22"/>
          <w:szCs w:val="22"/>
          <w:color w:val="auto"/>
        </w:rPr>
        <w:t>and thereafter at a Redemption Price equal to ___% of the principal amount, together in the case of any such redemption [</w:t>
      </w:r>
      <w:r>
        <w:rPr>
          <w:rFonts w:ascii="Arial" w:cs="Arial" w:eastAsia="Arial" w:hAnsi="Arial"/>
          <w:sz w:val="22"/>
          <w:szCs w:val="22"/>
          <w:u w:val="single" w:color="auto"/>
          <w:color w:val="auto"/>
        </w:rPr>
        <w:t>If applicable, insert</w:t>
      </w:r>
      <w:r>
        <w:rPr>
          <w:rFonts w:ascii="Arial" w:cs="Arial" w:eastAsia="Arial" w:hAnsi="Arial"/>
          <w:sz w:val="22"/>
          <w:szCs w:val="22"/>
          <w:color w:val="auto"/>
        </w:rPr>
        <w:t xml:space="preserve"> </w:t>
      </w:r>
      <w:r>
        <w:rPr>
          <w:rFonts w:ascii="MS PGothic" w:cs="MS PGothic" w:eastAsia="MS PGothic" w:hAnsi="MS PGothic"/>
          <w:sz w:val="22"/>
          <w:szCs w:val="22"/>
          <w:color w:val="auto"/>
        </w:rPr>
        <w:t>‑‑</w:t>
      </w:r>
      <w:r>
        <w:rPr>
          <w:rFonts w:ascii="Arial" w:cs="Arial" w:eastAsia="Arial" w:hAnsi="Arial"/>
          <w:sz w:val="22"/>
          <w:szCs w:val="22"/>
          <w:color w:val="auto"/>
        </w:rPr>
        <w:t xml:space="preserve"> (whether through operation of the sinking fund or otherwise)] with accrued interest to the Redemption Date; </w:t>
      </w:r>
      <w:r>
        <w:rPr>
          <w:rFonts w:ascii="Arial" w:cs="Arial" w:eastAsia="Arial" w:hAnsi="Arial"/>
          <w:sz w:val="22"/>
          <w:szCs w:val="22"/>
          <w:u w:val="single" w:color="auto"/>
          <w:color w:val="auto"/>
        </w:rPr>
        <w:t>provided, however</w:t>
      </w:r>
      <w:r>
        <w:rPr>
          <w:rFonts w:ascii="Arial" w:cs="Arial" w:eastAsia="Arial" w:hAnsi="Arial"/>
          <w:sz w:val="22"/>
          <w:szCs w:val="22"/>
          <w:color w:val="auto"/>
        </w:rPr>
        <w:t>, that installments of interest on this Security whose Stated Maturity is on or prior to such Redemption Date will be payable to the Holder of this Security, or one or more Predecessor Securities, of record at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61225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61" w:right="739" w:bottom="1440" w:gutter="0" w:footer="0" w:header="0"/>
        </w:sectPr>
      </w:pPr>
    </w:p>
    <w:bookmarkStart w:id="146" w:name="page147"/>
    <w:bookmarkEnd w:id="146"/>
    <w:p>
      <w:pPr>
        <w:ind w:left="20"/>
        <w:spacing w:after="0"/>
        <w:rPr>
          <w:sz w:val="20"/>
          <w:szCs w:val="20"/>
          <w:color w:val="auto"/>
        </w:rPr>
      </w:pPr>
      <w:r>
        <w:rPr>
          <w:rFonts w:ascii="Arial" w:cs="Arial" w:eastAsia="Arial" w:hAnsi="Arial"/>
          <w:sz w:val="21"/>
          <w:szCs w:val="21"/>
          <w:color w:val="auto"/>
        </w:rPr>
        <w:t>close of business on the relevant Record Dates referred to on the face hereof, all as provided in the Indenture.]</w:t>
      </w:r>
    </w:p>
    <w:p>
      <w:pPr>
        <w:spacing w:after="0" w:line="218" w:lineRule="exact"/>
        <w:rPr>
          <w:sz w:val="20"/>
          <w:szCs w:val="20"/>
          <w:color w:val="auto"/>
        </w:rPr>
      </w:pPr>
    </w:p>
    <w:p>
      <w:pPr>
        <w:ind w:left="660"/>
        <w:spacing w:after="0" w:line="219"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If applicable,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The Securities are subject to redemption (1) on __________ in any year commencing</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9"/>
          <w:szCs w:val="19"/>
          <w:color w:val="auto"/>
        </w:rPr>
        <w:t>with the year __________ and ending with the year __________ through operation of the sinking fund for this series at</w:t>
      </w:r>
    </w:p>
    <w:p>
      <w:pPr>
        <w:spacing w:after="0" w:line="25" w:lineRule="exact"/>
        <w:rPr>
          <w:sz w:val="20"/>
          <w:szCs w:val="20"/>
          <w:color w:val="auto"/>
        </w:rPr>
      </w:pPr>
    </w:p>
    <w:p>
      <w:pPr>
        <w:ind w:left="20" w:right="160"/>
        <w:spacing w:after="0" w:line="267" w:lineRule="auto"/>
        <w:rPr>
          <w:sz w:val="20"/>
          <w:szCs w:val="20"/>
          <w:color w:val="auto"/>
        </w:rPr>
      </w:pPr>
      <w:r>
        <w:rPr>
          <w:rFonts w:ascii="Arial" w:cs="Arial" w:eastAsia="Arial" w:hAnsi="Arial"/>
          <w:sz w:val="19"/>
          <w:szCs w:val="19"/>
          <w:color w:val="auto"/>
        </w:rPr>
        <w:t>the Redemption Prices for redemption through operation of the sinking fund (expressed as percentages of the principal amount) set forth in the table below, and (2) at any time [on or after __________], as a whole or in part, at the election</w:t>
      </w:r>
    </w:p>
    <w:p>
      <w:pPr>
        <w:ind w:left="20" w:right="80"/>
        <w:spacing w:after="0" w:line="247" w:lineRule="exact"/>
        <w:rPr>
          <w:sz w:val="20"/>
          <w:szCs w:val="20"/>
          <w:color w:val="auto"/>
        </w:rPr>
      </w:pPr>
      <w:r>
        <w:rPr>
          <w:rFonts w:ascii="Arial" w:cs="Arial" w:eastAsia="Arial" w:hAnsi="Arial"/>
          <w:sz w:val="22"/>
          <w:szCs w:val="22"/>
          <w:color w:val="auto"/>
        </w:rPr>
        <w:t>of the Company, at the Redemption Prices for redemption otherwise than through operation of the sinking fund (expressed as percentages of the principal amount) set forth in the table below: If redeemed during the 12</w:t>
      </w:r>
      <w:r>
        <w:rPr>
          <w:rFonts w:ascii="MS PGothic" w:cs="MS PGothic" w:eastAsia="MS PGothic" w:hAnsi="MS PGothic"/>
          <w:sz w:val="22"/>
          <w:szCs w:val="22"/>
          <w:color w:val="auto"/>
        </w:rPr>
        <w:t>‑</w:t>
      </w:r>
      <w:r>
        <w:rPr>
          <w:rFonts w:ascii="Arial" w:cs="Arial" w:eastAsia="Arial" w:hAnsi="Arial"/>
          <w:sz w:val="22"/>
          <w:szCs w:val="22"/>
          <w:color w:val="auto"/>
        </w:rPr>
        <w:t>month period beginning __________ of the years indicated,</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1560" w:type="dxa"/>
            <w:vAlign w:val="bottom"/>
            <w:tcBorders>
              <w:top w:val="single" w:sz="8" w:color="auto"/>
              <w:left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54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660" w:type="dxa"/>
            <w:vAlign w:val="bottom"/>
            <w:tcBorders>
              <w:top w:val="single" w:sz="8" w:color="auto"/>
              <w:right w:val="single" w:sz="8" w:color="auto"/>
            </w:tcBorders>
          </w:tcPr>
          <w:p>
            <w:pPr>
              <w:spacing w:after="0"/>
              <w:rPr>
                <w:sz w:val="20"/>
                <w:szCs w:val="20"/>
                <w:color w:val="auto"/>
              </w:rPr>
            </w:pPr>
          </w:p>
        </w:tc>
        <w:tc>
          <w:tcPr>
            <w:tcW w:w="3460" w:type="dxa"/>
            <w:vAlign w:val="bottom"/>
            <w:tcBorders>
              <w:top w:val="single" w:sz="8" w:color="auto"/>
              <w:right w:val="single" w:sz="8" w:color="auto"/>
            </w:tcBorders>
            <w:gridSpan w:val="3"/>
          </w:tcPr>
          <w:p>
            <w:pPr>
              <w:jc w:val="center"/>
              <w:spacing w:after="0" w:line="236" w:lineRule="exact"/>
              <w:rPr>
                <w:sz w:val="20"/>
                <w:szCs w:val="20"/>
                <w:color w:val="auto"/>
              </w:rPr>
            </w:pPr>
            <w:r>
              <w:rPr>
                <w:rFonts w:ascii="Arial" w:cs="Arial" w:eastAsia="Arial" w:hAnsi="Arial"/>
                <w:sz w:val="22"/>
                <w:szCs w:val="22"/>
                <w:color w:val="auto"/>
                <w:w w:val="89"/>
              </w:rPr>
              <w:t>Redemption Price for Redemption</w:t>
            </w:r>
          </w:p>
        </w:tc>
      </w:tr>
      <w:tr>
        <w:trPr>
          <w:trHeight w:val="243"/>
        </w:trPr>
        <w:tc>
          <w:tcPr>
            <w:tcW w:w="1560" w:type="dxa"/>
            <w:vAlign w:val="bottom"/>
            <w:tcBorders>
              <w:lef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gridSpan w:val="2"/>
          </w:tcPr>
          <w:p>
            <w:pPr>
              <w:jc w:val="center"/>
              <w:spacing w:after="0" w:line="243" w:lineRule="exact"/>
              <w:rPr>
                <w:sz w:val="20"/>
                <w:szCs w:val="20"/>
                <w:color w:val="auto"/>
              </w:rPr>
            </w:pPr>
            <w:r>
              <w:rPr>
                <w:rFonts w:ascii="Arial" w:cs="Arial" w:eastAsia="Arial" w:hAnsi="Arial"/>
                <w:sz w:val="22"/>
                <w:szCs w:val="22"/>
                <w:color w:val="auto"/>
                <w:w w:val="89"/>
              </w:rPr>
              <w:t>Redemption Price for Redemption</w:t>
            </w:r>
          </w:p>
        </w:tc>
        <w:tc>
          <w:tcPr>
            <w:tcW w:w="3460" w:type="dxa"/>
            <w:vAlign w:val="bottom"/>
            <w:tcBorders>
              <w:right w:val="single" w:sz="8" w:color="auto"/>
            </w:tcBorders>
            <w:gridSpan w:val="3"/>
          </w:tcPr>
          <w:p>
            <w:pPr>
              <w:jc w:val="center"/>
              <w:spacing w:after="0" w:line="243" w:lineRule="exact"/>
              <w:rPr>
                <w:sz w:val="20"/>
                <w:szCs w:val="20"/>
                <w:color w:val="auto"/>
              </w:rPr>
            </w:pPr>
            <w:r>
              <w:rPr>
                <w:rFonts w:ascii="Arial" w:cs="Arial" w:eastAsia="Arial" w:hAnsi="Arial"/>
                <w:sz w:val="22"/>
                <w:szCs w:val="22"/>
                <w:color w:val="auto"/>
                <w:w w:val="90"/>
              </w:rPr>
              <w:t>Otherwise Than Through Operation of</w:t>
            </w:r>
          </w:p>
        </w:tc>
      </w:tr>
      <w:tr>
        <w:trPr>
          <w:trHeight w:val="224"/>
        </w:trPr>
        <w:tc>
          <w:tcPr>
            <w:tcW w:w="3500" w:type="dxa"/>
            <w:vAlign w:val="bottom"/>
            <w:tcBorders>
              <w:left w:val="single" w:sz="8" w:color="auto"/>
              <w:right w:val="single" w:sz="8" w:color="auto"/>
            </w:tcBorders>
            <w:gridSpan w:val="3"/>
          </w:tcPr>
          <w:p>
            <w:pPr>
              <w:ind w:left="1560"/>
              <w:spacing w:after="0" w:line="224" w:lineRule="exact"/>
              <w:rPr>
                <w:sz w:val="20"/>
                <w:szCs w:val="20"/>
                <w:color w:val="auto"/>
              </w:rPr>
            </w:pPr>
            <w:r>
              <w:rPr>
                <w:rFonts w:ascii="Arial" w:cs="Arial" w:eastAsia="Arial" w:hAnsi="Arial"/>
                <w:sz w:val="22"/>
                <w:szCs w:val="22"/>
                <w:color w:val="auto"/>
              </w:rPr>
              <w:t>Year</w:t>
            </w:r>
          </w:p>
        </w:tc>
        <w:tc>
          <w:tcPr>
            <w:tcW w:w="3460" w:type="dxa"/>
            <w:vAlign w:val="bottom"/>
            <w:tcBorders>
              <w:right w:val="single" w:sz="8" w:color="auto"/>
            </w:tcBorders>
            <w:gridSpan w:val="2"/>
          </w:tcPr>
          <w:p>
            <w:pPr>
              <w:jc w:val="center"/>
              <w:ind w:right="20"/>
              <w:spacing w:after="0" w:line="224" w:lineRule="exact"/>
              <w:rPr>
                <w:sz w:val="20"/>
                <w:szCs w:val="20"/>
                <w:color w:val="auto"/>
              </w:rPr>
            </w:pPr>
            <w:r>
              <w:rPr>
                <w:rFonts w:ascii="Arial" w:cs="Arial" w:eastAsia="Arial" w:hAnsi="Arial"/>
                <w:sz w:val="22"/>
                <w:szCs w:val="22"/>
                <w:color w:val="auto"/>
                <w:w w:val="90"/>
              </w:rPr>
              <w:t>Through Operation of the Sinking Fund</w:t>
            </w:r>
          </w:p>
        </w:tc>
        <w:tc>
          <w:tcPr>
            <w:tcW w:w="3460" w:type="dxa"/>
            <w:vAlign w:val="bottom"/>
            <w:tcBorders>
              <w:right w:val="single" w:sz="8" w:color="auto"/>
            </w:tcBorders>
            <w:gridSpan w:val="3"/>
          </w:tcPr>
          <w:p>
            <w:pPr>
              <w:jc w:val="center"/>
              <w:spacing w:after="0" w:line="224" w:lineRule="exact"/>
              <w:rPr>
                <w:sz w:val="20"/>
                <w:szCs w:val="20"/>
                <w:color w:val="auto"/>
              </w:rPr>
            </w:pPr>
            <w:r>
              <w:rPr>
                <w:rFonts w:ascii="Arial" w:cs="Arial" w:eastAsia="Arial" w:hAnsi="Arial"/>
                <w:sz w:val="22"/>
                <w:szCs w:val="22"/>
                <w:color w:val="auto"/>
                <w:w w:val="90"/>
              </w:rPr>
              <w:t>the Sinking Fund</w:t>
            </w:r>
          </w:p>
        </w:tc>
      </w:tr>
      <w:tr>
        <w:trPr>
          <w:trHeight w:val="237"/>
        </w:trPr>
        <w:tc>
          <w:tcPr>
            <w:tcW w:w="1560" w:type="dxa"/>
            <w:vAlign w:val="bottom"/>
            <w:tcBorders>
              <w:left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60" w:type="dxa"/>
            <w:vAlign w:val="bottom"/>
            <w:tcBorders>
              <w:top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453"/>
        </w:trPr>
        <w:tc>
          <w:tcPr>
            <w:tcW w:w="156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r>
    </w:tbl>
    <w:p>
      <w:pPr>
        <w:spacing w:after="0" w:line="195" w:lineRule="exact"/>
        <w:rPr>
          <w:sz w:val="20"/>
          <w:szCs w:val="20"/>
          <w:color w:val="auto"/>
        </w:rPr>
      </w:pPr>
    </w:p>
    <w:p>
      <w:pPr>
        <w:ind w:left="20" w:right="80"/>
        <w:spacing w:after="0" w:line="282" w:lineRule="auto"/>
        <w:rPr>
          <w:sz w:val="20"/>
          <w:szCs w:val="20"/>
          <w:color w:val="auto"/>
        </w:rPr>
      </w:pPr>
      <w:r>
        <w:rPr>
          <w:rFonts w:ascii="Arial" w:cs="Arial" w:eastAsia="Arial" w:hAnsi="Arial"/>
          <w:sz w:val="19"/>
          <w:szCs w:val="19"/>
          <w:color w:val="auto"/>
        </w:rPr>
        <w:t xml:space="preserve">and thereafter at a Redemption Price equal to ___% of the principal amount, together in the case of any such redemption (whether through operation of the sinking fund or otherwise) with accrued interest to the Redemption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48" w:lineRule="exact"/>
        <w:rPr>
          <w:sz w:val="20"/>
          <w:szCs w:val="20"/>
          <w:color w:val="auto"/>
        </w:rPr>
      </w:pPr>
    </w:p>
    <w:p>
      <w:pPr>
        <w:ind w:left="660"/>
        <w:spacing w:after="0" w:line="219"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If applicable,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Notwithstanding the foregoing, the Company may not, prior to __________, redeem any</w:t>
      </w:r>
    </w:p>
    <w:p>
      <w:pPr>
        <w:spacing w:after="0" w:line="43" w:lineRule="exact"/>
        <w:rPr>
          <w:sz w:val="20"/>
          <w:szCs w:val="20"/>
          <w:color w:val="auto"/>
        </w:rPr>
      </w:pPr>
    </w:p>
    <w:p>
      <w:pPr>
        <w:ind w:left="20" w:right="220"/>
        <w:spacing w:after="0" w:line="287" w:lineRule="auto"/>
        <w:rPr>
          <w:sz w:val="20"/>
          <w:szCs w:val="20"/>
          <w:color w:val="auto"/>
        </w:rPr>
      </w:pPr>
      <w:r>
        <w:rPr>
          <w:rFonts w:ascii="Arial" w:cs="Arial" w:eastAsia="Arial" w:hAnsi="Arial"/>
          <w:sz w:val="19"/>
          <w:szCs w:val="19"/>
          <w:color w:val="auto"/>
        </w:rPr>
        <w:t>Securities as contemplated by [Clause (2) of] the preceding paragraph as a part of, or in anticipation of, any refunding operation by the application, directly or indirectly, of moneys borrowed having an interest cost to the Company (calculated in accordance with generally accepted financial practice) of less than ___% per annum.]</w:t>
      </w:r>
    </w:p>
    <w:p>
      <w:pPr>
        <w:spacing w:after="0" w:line="144" w:lineRule="exact"/>
        <w:rPr>
          <w:sz w:val="20"/>
          <w:szCs w:val="20"/>
          <w:color w:val="auto"/>
        </w:rPr>
      </w:pPr>
    </w:p>
    <w:p>
      <w:pPr>
        <w:ind w:left="660"/>
        <w:spacing w:after="0" w:line="219"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If applicable,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The sinking fund for the Securities provides for the redemption on __________ in each</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9"/>
          <w:szCs w:val="19"/>
          <w:color w:val="auto"/>
        </w:rPr>
        <w:t>year, beginning with the year __________ and ending with the year __________, of [not less than] $__________]</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21"/>
          <w:szCs w:val="21"/>
          <w:color w:val="auto"/>
        </w:rPr>
        <w:t>[(“mandatory sinking fund”) and not more than $__________] aggregate principal amount of the Securities. [The</w:t>
      </w:r>
    </w:p>
    <w:p>
      <w:pPr>
        <w:spacing w:after="0" w:line="2" w:lineRule="exact"/>
        <w:rPr>
          <w:sz w:val="20"/>
          <w:szCs w:val="20"/>
          <w:color w:val="auto"/>
        </w:rPr>
      </w:pPr>
    </w:p>
    <w:p>
      <w:pPr>
        <w:jc w:val="both"/>
        <w:ind w:left="20" w:right="240"/>
        <w:spacing w:after="0" w:line="234" w:lineRule="auto"/>
        <w:rPr>
          <w:sz w:val="20"/>
          <w:szCs w:val="20"/>
          <w:color w:val="auto"/>
        </w:rPr>
      </w:pPr>
      <w:r>
        <w:rPr>
          <w:rFonts w:ascii="Arial" w:cs="Arial" w:eastAsia="Arial" w:hAnsi="Arial"/>
          <w:sz w:val="22"/>
          <w:szCs w:val="22"/>
          <w:color w:val="auto"/>
        </w:rPr>
        <w:t>Securities acquired or redeemed by the Company otherwise than through [mandatory] sinking fund payments may be credited against subsequent [mandatory] sinking fund payments otherwise required to be made in the [</w:t>
      </w:r>
      <w:r>
        <w:rPr>
          <w:rFonts w:ascii="Arial" w:cs="Arial" w:eastAsia="Arial" w:hAnsi="Arial"/>
          <w:sz w:val="22"/>
          <w:szCs w:val="22"/>
          <w:u w:val="single" w:color="auto"/>
          <w:color w:val="auto"/>
        </w:rPr>
        <w:t>describe order</w:t>
      </w:r>
      <w:r>
        <w:rPr>
          <w:rFonts w:ascii="Arial" w:cs="Arial" w:eastAsia="Arial" w:hAnsi="Arial"/>
          <w:sz w:val="22"/>
          <w:szCs w:val="22"/>
          <w:color w:val="auto"/>
        </w:rPr>
        <w:t>] order in which they become due.]]</w:t>
      </w:r>
    </w:p>
    <w:p>
      <w:pPr>
        <w:spacing w:after="0" w:line="187" w:lineRule="exact"/>
        <w:rPr>
          <w:sz w:val="20"/>
          <w:szCs w:val="20"/>
          <w:color w:val="auto"/>
        </w:rPr>
      </w:pPr>
    </w:p>
    <w:p>
      <w:pPr>
        <w:ind w:left="20" w:right="480" w:firstLine="648"/>
        <w:spacing w:after="0" w:line="251" w:lineRule="auto"/>
        <w:rPr>
          <w:sz w:val="20"/>
          <w:szCs w:val="20"/>
          <w:color w:val="auto"/>
        </w:rPr>
      </w:pPr>
      <w:r>
        <w:rPr>
          <w:rFonts w:ascii="Arial" w:cs="Arial" w:eastAsia="Arial" w:hAnsi="Arial"/>
          <w:sz w:val="22"/>
          <w:szCs w:val="22"/>
          <w:color w:val="auto"/>
        </w:rPr>
        <w:t>Notice of redemption will be given by mail to Holders of Securities, not less than 30 nor more than 60 days prior to the Redemption Date, all as provided in the Indenture.</w:t>
      </w:r>
    </w:p>
    <w:p>
      <w:pPr>
        <w:spacing w:after="0" w:line="173" w:lineRule="exact"/>
        <w:rPr>
          <w:sz w:val="20"/>
          <w:szCs w:val="20"/>
          <w:color w:val="auto"/>
        </w:rPr>
      </w:pPr>
    </w:p>
    <w:p>
      <w:pPr>
        <w:ind w:left="20" w:right="120" w:firstLine="648"/>
        <w:spacing w:after="0" w:line="251" w:lineRule="auto"/>
        <w:rPr>
          <w:sz w:val="20"/>
          <w:szCs w:val="20"/>
          <w:color w:val="auto"/>
        </w:rPr>
      </w:pPr>
      <w:r>
        <w:rPr>
          <w:rFonts w:ascii="Arial" w:cs="Arial" w:eastAsia="Arial" w:hAnsi="Arial"/>
          <w:sz w:val="22"/>
          <w:szCs w:val="22"/>
          <w:color w:val="auto"/>
        </w:rPr>
        <w:t>In the event of redemption of this Security in part only, a new Security or Securities for the unredeemed portion hereof shall be issued in the name of the Holder hereof upon the cancellation hereof.</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61225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61" w:right="739" w:bottom="1440" w:gutter="0" w:footer="0" w:header="0"/>
        </w:sectPr>
      </w:pPr>
    </w:p>
    <w:bookmarkStart w:id="147" w:name="page148"/>
    <w:bookmarkEnd w:id="147"/>
    <w:p>
      <w:pPr>
        <w:ind w:right="280" w:firstLine="648"/>
        <w:spacing w:after="0" w:line="251" w:lineRule="auto"/>
        <w:rPr>
          <w:sz w:val="20"/>
          <w:szCs w:val="20"/>
          <w:color w:val="auto"/>
        </w:rPr>
      </w:pPr>
      <w:r>
        <w:rPr>
          <w:rFonts w:ascii="Arial" w:cs="Arial" w:eastAsia="Arial" w:hAnsi="Arial"/>
          <w:sz w:val="22"/>
          <w:szCs w:val="22"/>
          <w:color w:val="auto"/>
        </w:rPr>
        <w:t>[If applicable, insert conversion provisions set forth in any Board Resolution or indenture supplemental to the Indenture.]</w:t>
      </w:r>
    </w:p>
    <w:p>
      <w:pPr>
        <w:spacing w:after="0" w:line="173"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Security shall be conclusive and binding upon such Holder and upon all future Holders of this Security and other Securities issued upon the registration of transfer hereof or conversion or in exchange herefor or in lieu hereof, whether or not notation of such consent or waiver is made upon this Security.</w:t>
      </w:r>
    </w:p>
    <w:p>
      <w:pPr>
        <w:spacing w:after="0" w:line="185"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No reference herein to the Indenture and no provision of this Security or of the Indenture shall alter or impair the obligation of the Company, which is absolute and unconditional, to pay the principal of (and premium or Make-Whole Amount, if any) and interest on this Security at the times, places and rate, and in the coin or currency, herein prescribed.</w:t>
      </w:r>
    </w:p>
    <w:p>
      <w:pPr>
        <w:spacing w:after="0" w:line="134" w:lineRule="exact"/>
        <w:rPr>
          <w:sz w:val="20"/>
          <w:szCs w:val="20"/>
          <w:color w:val="auto"/>
        </w:rPr>
      </w:pPr>
    </w:p>
    <w:p>
      <w:pPr>
        <w:ind w:right="60" w:firstLine="648"/>
        <w:spacing w:after="0" w:line="277" w:lineRule="auto"/>
        <w:rPr>
          <w:sz w:val="20"/>
          <w:szCs w:val="20"/>
          <w:color w:val="auto"/>
        </w:rPr>
      </w:pPr>
      <w:r>
        <w:rPr>
          <w:rFonts w:ascii="Arial" w:cs="Arial" w:eastAsia="Arial" w:hAnsi="Arial"/>
          <w:sz w:val="19"/>
          <w:szCs w:val="19"/>
          <w:color w:val="auto"/>
        </w:rPr>
        <w:t>As provided in the Indenture and subject to certain limitations therein [and herein] set forth, the transfer of this Security is registrable in the Security Register of the Company upon surrender of this Security for registration of transfer at the office or agency of the Company in any place where the principal of (and premium or Make-Whole Amount, if any) and interest on this Security are payable, duly endorsed by, or accompanied by a written instrument of transfer in form satisfactory to the Company and the Security Registrar duly executed by, the Holder hereof or by his attorney duly authorized in writing, and thereupon one or more new Securities, of authorized denominations and for the same aggregate principal amount, will be issued to the designated transferee or transferees.</w:t>
      </w:r>
    </w:p>
    <w:p>
      <w:pPr>
        <w:spacing w:after="0" w:line="153" w:lineRule="exact"/>
        <w:rPr>
          <w:sz w:val="20"/>
          <w:szCs w:val="20"/>
          <w:color w:val="auto"/>
        </w:rPr>
      </w:pPr>
    </w:p>
    <w:p>
      <w:pPr>
        <w:ind w:right="300" w:firstLine="648"/>
        <w:spacing w:after="0" w:line="297" w:lineRule="auto"/>
        <w:rPr>
          <w:sz w:val="20"/>
          <w:szCs w:val="20"/>
          <w:color w:val="auto"/>
        </w:rPr>
      </w:pPr>
      <w:r>
        <w:rPr>
          <w:rFonts w:ascii="Arial" w:cs="Arial" w:eastAsia="Arial" w:hAnsi="Arial"/>
          <w:sz w:val="19"/>
          <w:szCs w:val="19"/>
          <w:color w:val="auto"/>
        </w:rPr>
        <w:t>As provided in the Indenture and subject to certain limitations therein [and herein] set forth, this Security is exchangeable for a like aggregate principal amount of Securities of different authorized denominations but otherwise having the same terms and conditions, as requested by the Holder hereof surrendering the same.</w:t>
      </w:r>
    </w:p>
    <w:p>
      <w:pPr>
        <w:spacing w:after="0" w:line="134" w:lineRule="exact"/>
        <w:rPr>
          <w:sz w:val="20"/>
          <w:szCs w:val="20"/>
          <w:color w:val="auto"/>
        </w:rPr>
      </w:pPr>
    </w:p>
    <w:p>
      <w:pPr>
        <w:ind w:right="840" w:firstLine="648"/>
        <w:spacing w:after="0" w:line="251" w:lineRule="auto"/>
        <w:rPr>
          <w:sz w:val="20"/>
          <w:szCs w:val="20"/>
          <w:color w:val="auto"/>
        </w:rPr>
      </w:pPr>
      <w:r>
        <w:rPr>
          <w:rFonts w:ascii="Arial" w:cs="Arial" w:eastAsia="Arial" w:hAnsi="Arial"/>
          <w:sz w:val="22"/>
          <w:szCs w:val="22"/>
          <w:color w:val="auto"/>
        </w:rPr>
        <w:t>The Securities of this series are issuable only in registered form [without coupons] in denominations of $__________ and any integral multiple thereof.</w:t>
      </w:r>
    </w:p>
    <w:p>
      <w:pPr>
        <w:spacing w:after="0" w:line="173"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No service charge shall be made for any such registration of transfer or conversion or exchange, but the Company may require payment of a sum sufficient to cover any tax or other governmental charge payable in connection therewith,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148" w:name="page149"/>
    <w:bookmarkEnd w:id="148"/>
    <w:p>
      <w:pPr>
        <w:ind w:right="120" w:firstLine="648"/>
        <w:spacing w:after="0" w:line="238" w:lineRule="auto"/>
        <w:rPr>
          <w:sz w:val="20"/>
          <w:szCs w:val="20"/>
          <w:color w:val="auto"/>
        </w:rPr>
      </w:pPr>
      <w:r>
        <w:rPr>
          <w:rFonts w:ascii="Arial" w:cs="Arial" w:eastAsia="Arial" w:hAnsi="Arial"/>
          <w:sz w:val="22"/>
          <w:szCs w:val="22"/>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5"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No recourse shall be had for the payment of the principal of or premium or Make-Whole Amount, if any, or the interest on this Security, or for any claim based hereon, or otherwise in respect hereof, or based on or in respect of the Indenture or any indenture supplemental thereto, against any past, present or future stockholder, employee, officer or director, as such, of the Company or of any successor, either directly or through the Company or any successor,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91" w:lineRule="exact"/>
        <w:rPr>
          <w:sz w:val="20"/>
          <w:szCs w:val="20"/>
          <w:color w:val="auto"/>
        </w:rPr>
      </w:pPr>
    </w:p>
    <w:p>
      <w:pPr>
        <w:ind w:right="80" w:firstLine="648"/>
        <w:spacing w:after="0" w:line="251" w:lineRule="auto"/>
        <w:rPr>
          <w:sz w:val="20"/>
          <w:szCs w:val="20"/>
          <w:color w:val="auto"/>
        </w:rPr>
      </w:pPr>
      <w:r>
        <w:rPr>
          <w:rFonts w:ascii="Arial" w:cs="Arial" w:eastAsia="Arial" w:hAnsi="Arial"/>
          <w:sz w:val="22"/>
          <w:szCs w:val="22"/>
          <w:color w:val="auto"/>
        </w:rPr>
        <w:t>The Indenture and the Securities shall be governed by and construed in accordance with the laws of the State of New York applicable to agreements made and to be performed entirely in such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361" w:right="779" w:bottom="1440" w:gutter="0" w:footer="0" w:header="0"/>
        </w:sectPr>
      </w:pPr>
    </w:p>
    <w:bookmarkStart w:id="149" w:name="page150"/>
    <w:bookmarkEnd w:id="149"/>
    <w:p>
      <w:pPr>
        <w:ind w:left="4669"/>
        <w:spacing w:after="0"/>
        <w:rPr>
          <w:sz w:val="20"/>
          <w:szCs w:val="20"/>
          <w:color w:val="auto"/>
        </w:rPr>
      </w:pPr>
      <w:r>
        <w:rPr>
          <w:rFonts w:ascii="Arial" w:cs="Arial" w:eastAsia="Arial" w:hAnsi="Arial"/>
          <w:sz w:val="22"/>
          <w:szCs w:val="22"/>
          <w:color w:val="auto"/>
        </w:rPr>
        <w:t>EXHIBIT B</w:t>
      </w:r>
    </w:p>
    <w:p>
      <w:pPr>
        <w:spacing w:after="0" w:line="206" w:lineRule="exact"/>
        <w:rPr>
          <w:sz w:val="20"/>
          <w:szCs w:val="20"/>
          <w:color w:val="auto"/>
        </w:rPr>
      </w:pPr>
    </w:p>
    <w:p>
      <w:pPr>
        <w:ind w:left="3849"/>
        <w:spacing w:after="0"/>
        <w:rPr>
          <w:sz w:val="20"/>
          <w:szCs w:val="20"/>
          <w:color w:val="auto"/>
        </w:rPr>
      </w:pPr>
      <w:r>
        <w:rPr>
          <w:rFonts w:ascii="Arial" w:cs="Arial" w:eastAsia="Arial" w:hAnsi="Arial"/>
          <w:sz w:val="22"/>
          <w:szCs w:val="22"/>
          <w:color w:val="auto"/>
        </w:rPr>
        <w:t>FORMS OF CERTIFICATION</w:t>
      </w:r>
    </w:p>
    <w:p>
      <w:pPr>
        <w:spacing w:after="0" w:line="206" w:lineRule="exact"/>
        <w:rPr>
          <w:sz w:val="20"/>
          <w:szCs w:val="20"/>
          <w:color w:val="auto"/>
        </w:rPr>
      </w:pPr>
    </w:p>
    <w:p>
      <w:pPr>
        <w:ind w:left="4589"/>
        <w:spacing w:after="0" w:line="253" w:lineRule="exact"/>
        <w:rPr>
          <w:sz w:val="20"/>
          <w:szCs w:val="20"/>
          <w:color w:val="auto"/>
        </w:rPr>
      </w:pPr>
      <w:r>
        <w:rPr>
          <w:rFonts w:ascii="Arial" w:cs="Arial" w:eastAsia="Arial" w:hAnsi="Arial"/>
          <w:sz w:val="22"/>
          <w:szCs w:val="22"/>
          <w:color w:val="auto"/>
        </w:rPr>
        <w:t>EXHIBIT B</w:t>
      </w:r>
      <w:r>
        <w:rPr>
          <w:rFonts w:ascii="MS PGothic" w:cs="MS PGothic" w:eastAsia="MS PGothic" w:hAnsi="MS PGothic"/>
          <w:sz w:val="22"/>
          <w:szCs w:val="22"/>
          <w:color w:val="auto"/>
        </w:rPr>
        <w:t>‑</w:t>
      </w:r>
      <w:r>
        <w:rPr>
          <w:rFonts w:ascii="Arial" w:cs="Arial" w:eastAsia="Arial" w:hAnsi="Arial"/>
          <w:sz w:val="22"/>
          <w:szCs w:val="22"/>
          <w:color w:val="auto"/>
        </w:rPr>
        <w:t>1</w:t>
      </w:r>
    </w:p>
    <w:p>
      <w:pPr>
        <w:spacing w:after="0" w:line="206" w:lineRule="exact"/>
        <w:rPr>
          <w:sz w:val="20"/>
          <w:szCs w:val="20"/>
          <w:color w:val="auto"/>
        </w:rPr>
      </w:pPr>
    </w:p>
    <w:p>
      <w:pPr>
        <w:ind w:left="169"/>
        <w:spacing w:after="0"/>
        <w:rPr>
          <w:sz w:val="20"/>
          <w:szCs w:val="20"/>
          <w:color w:val="auto"/>
        </w:rPr>
      </w:pPr>
      <w:r>
        <w:rPr>
          <w:rFonts w:ascii="Arial" w:cs="Arial" w:eastAsia="Arial" w:hAnsi="Arial"/>
          <w:sz w:val="19"/>
          <w:szCs w:val="19"/>
          <w:color w:val="auto"/>
        </w:rPr>
        <w:t>FORM OF CERTIFICATE TO BE GIVEN BY PERSON ENTITLED TO RECEIVE BEARER SECURITY OR TO</w:t>
      </w:r>
    </w:p>
    <w:p>
      <w:pPr>
        <w:spacing w:after="0" w:line="43" w:lineRule="exact"/>
        <w:rPr>
          <w:sz w:val="20"/>
          <w:szCs w:val="20"/>
          <w:color w:val="auto"/>
        </w:rPr>
      </w:pPr>
    </w:p>
    <w:p>
      <w:pPr>
        <w:ind w:left="2089"/>
        <w:spacing w:after="0"/>
        <w:rPr>
          <w:sz w:val="20"/>
          <w:szCs w:val="20"/>
          <w:color w:val="auto"/>
        </w:rPr>
      </w:pPr>
      <w:r>
        <w:rPr>
          <w:rFonts w:ascii="Arial" w:cs="Arial" w:eastAsia="Arial" w:hAnsi="Arial"/>
          <w:sz w:val="22"/>
          <w:szCs w:val="22"/>
          <w:color w:val="auto"/>
        </w:rPr>
        <w:t>OBTAIN INTEREST PAYABLE PRIOR TO THE EXCHANGE DATE</w:t>
      </w:r>
    </w:p>
    <w:p>
      <w:pPr>
        <w:spacing w:after="0" w:line="188" w:lineRule="exact"/>
        <w:rPr>
          <w:sz w:val="20"/>
          <w:szCs w:val="20"/>
          <w:color w:val="auto"/>
        </w:rPr>
      </w:pPr>
    </w:p>
    <w:p>
      <w:pPr>
        <w:ind w:left="4529"/>
        <w:spacing w:after="0"/>
        <w:rPr>
          <w:sz w:val="20"/>
          <w:szCs w:val="20"/>
          <w:color w:val="auto"/>
        </w:rPr>
      </w:pPr>
      <w:r>
        <w:rPr>
          <w:rFonts w:ascii="Arial" w:cs="Arial" w:eastAsia="Arial" w:hAnsi="Arial"/>
          <w:sz w:val="22"/>
          <w:szCs w:val="22"/>
          <w:color w:val="auto"/>
        </w:rPr>
        <w:t>CERTIFICATE</w:t>
      </w:r>
    </w:p>
    <w:p>
      <w:pPr>
        <w:spacing w:after="0" w:line="206" w:lineRule="exact"/>
        <w:rPr>
          <w:sz w:val="20"/>
          <w:szCs w:val="20"/>
          <w:color w:val="auto"/>
        </w:rPr>
      </w:pPr>
    </w:p>
    <w:p>
      <w:pPr>
        <w:ind w:left="649"/>
        <w:spacing w:after="0"/>
        <w:rPr>
          <w:sz w:val="20"/>
          <w:szCs w:val="20"/>
          <w:color w:val="auto"/>
        </w:rPr>
      </w:pPr>
      <w:r>
        <w:rPr>
          <w:rFonts w:ascii="Arial" w:cs="Arial" w:eastAsia="Arial" w:hAnsi="Arial"/>
          <w:sz w:val="22"/>
          <w:szCs w:val="22"/>
          <w:color w:val="auto"/>
        </w:rPr>
        <w:t>[Insert title or sufficient description of Securities to be delivered]</w:t>
      </w:r>
    </w:p>
    <w:p>
      <w:pPr>
        <w:spacing w:after="0" w:line="206" w:lineRule="exact"/>
        <w:rPr>
          <w:sz w:val="20"/>
          <w:szCs w:val="20"/>
          <w:color w:val="auto"/>
        </w:rPr>
      </w:pPr>
    </w:p>
    <w:p>
      <w:pPr>
        <w:ind w:left="9" w:firstLine="648"/>
        <w:spacing w:after="0" w:line="247" w:lineRule="exact"/>
        <w:rPr>
          <w:sz w:val="20"/>
          <w:szCs w:val="20"/>
          <w:color w:val="auto"/>
        </w:rPr>
      </w:pPr>
      <w:r>
        <w:rPr>
          <w:rFonts w:ascii="Arial" w:cs="Arial" w:eastAsia="Arial" w:hAnsi="Arial"/>
          <w:sz w:val="19"/>
          <w:szCs w:val="19"/>
          <w:color w:val="auto"/>
        </w:rPr>
        <w:t>This is to certify that, as of the date hereof, and except as set forth below, the above</w:t>
      </w:r>
      <w:r>
        <w:rPr>
          <w:rFonts w:ascii="MS PGothic" w:cs="MS PGothic" w:eastAsia="MS PGothic" w:hAnsi="MS PGothic"/>
          <w:sz w:val="19"/>
          <w:szCs w:val="19"/>
          <w:color w:val="auto"/>
        </w:rPr>
        <w:t>‑</w:t>
      </w:r>
      <w:r>
        <w:rPr>
          <w:rFonts w:ascii="Arial" w:cs="Arial" w:eastAsia="Arial" w:hAnsi="Arial"/>
          <w:sz w:val="19"/>
          <w:szCs w:val="19"/>
          <w:color w:val="auto"/>
        </w:rPr>
        <w:t>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w:t>
      </w:r>
    </w:p>
    <w:p>
      <w:pPr>
        <w:spacing w:after="0" w:line="4" w:lineRule="exact"/>
        <w:rPr>
          <w:sz w:val="20"/>
          <w:szCs w:val="20"/>
          <w:color w:val="auto"/>
        </w:rPr>
      </w:pPr>
    </w:p>
    <w:p>
      <w:pPr>
        <w:ind w:left="9" w:right="80" w:hanging="9"/>
        <w:spacing w:after="0" w:line="246" w:lineRule="exact"/>
        <w:tabs>
          <w:tab w:leader="none" w:pos="302" w:val="left"/>
        </w:tabs>
        <w:numPr>
          <w:ilvl w:val="0"/>
          <w:numId w:val="129"/>
        </w:numPr>
        <w:rPr>
          <w:rFonts w:ascii="Arial" w:cs="Arial" w:eastAsia="Arial" w:hAnsi="Arial"/>
          <w:sz w:val="19"/>
          <w:szCs w:val="19"/>
          <w:color w:val="auto"/>
        </w:rPr>
      </w:pPr>
      <w:r>
        <w:rPr>
          <w:rFonts w:ascii="Arial" w:cs="Arial" w:eastAsia="Arial" w:hAnsi="Arial"/>
          <w:sz w:val="19"/>
          <w:szCs w:val="19"/>
          <w:color w:val="auto"/>
        </w:rPr>
        <w:t>foreign branches of United States financial institutions (financial institutions, as defined in United States Treasury Regulations Section 2.165</w:t>
      </w:r>
      <w:r>
        <w:rPr>
          <w:rFonts w:ascii="MS PGothic" w:cs="MS PGothic" w:eastAsia="MS PGothic" w:hAnsi="MS PGothic"/>
          <w:sz w:val="19"/>
          <w:szCs w:val="19"/>
          <w:color w:val="auto"/>
        </w:rPr>
        <w:t>‑</w:t>
      </w:r>
      <w:r>
        <w:rPr>
          <w:rFonts w:ascii="Arial" w:cs="Arial" w:eastAsia="Arial" w:hAnsi="Arial"/>
          <w:sz w:val="19"/>
          <w:szCs w:val="19"/>
          <w:color w:val="auto"/>
        </w:rPr>
        <w:t>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Blueprint Medicines Corporation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Regulations Section 1.163</w:t>
      </w:r>
      <w:r>
        <w:rPr>
          <w:rFonts w:ascii="MS PGothic" w:cs="MS PGothic" w:eastAsia="MS PGothic" w:hAnsi="MS PGothic"/>
          <w:sz w:val="19"/>
          <w:szCs w:val="19"/>
          <w:color w:val="auto"/>
        </w:rPr>
        <w:t>‑</w:t>
      </w:r>
      <w:r>
        <w:rPr>
          <w:rFonts w:ascii="Arial" w:cs="Arial" w:eastAsia="Arial" w:hAnsi="Arial"/>
          <w:sz w:val="19"/>
          <w:szCs w:val="19"/>
          <w:color w:val="auto"/>
        </w:rPr>
        <w:t>5(c)(2) (i)(D)(7)),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200" w:lineRule="exact"/>
        <w:rPr>
          <w:sz w:val="20"/>
          <w:szCs w:val="20"/>
          <w:color w:val="auto"/>
        </w:rPr>
      </w:pPr>
    </w:p>
    <w:p>
      <w:pPr>
        <w:spacing w:after="0" w:line="209" w:lineRule="exact"/>
        <w:rPr>
          <w:sz w:val="20"/>
          <w:szCs w:val="20"/>
          <w:color w:val="auto"/>
        </w:rPr>
      </w:pPr>
    </w:p>
    <w:p>
      <w:pPr>
        <w:ind w:left="9" w:right="240" w:firstLine="648"/>
        <w:spacing w:after="0"/>
        <w:rPr>
          <w:sz w:val="20"/>
          <w:szCs w:val="20"/>
          <w:color w:val="auto"/>
        </w:rPr>
      </w:pPr>
      <w:r>
        <w:rPr>
          <w:rFonts w:ascii="Arial" w:cs="Arial" w:eastAsia="Arial" w:hAnsi="Arial"/>
          <w:sz w:val="22"/>
          <w:szCs w:val="22"/>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86" w:lineRule="exact"/>
        <w:rPr>
          <w:sz w:val="20"/>
          <w:szCs w:val="20"/>
          <w:color w:val="auto"/>
        </w:rPr>
      </w:pPr>
    </w:p>
    <w:p>
      <w:pPr>
        <w:ind w:left="9" w:right="60" w:firstLine="648"/>
        <w:spacing w:after="0" w:line="251" w:lineRule="exact"/>
        <w:rPr>
          <w:sz w:val="20"/>
          <w:szCs w:val="20"/>
          <w:color w:val="auto"/>
        </w:rPr>
      </w:pPr>
      <w:r>
        <w:rPr>
          <w:rFonts w:ascii="Arial" w:cs="Arial" w:eastAsia="Arial" w:hAnsi="Arial"/>
          <w:sz w:val="21"/>
          <w:szCs w:val="21"/>
          <w:color w:val="auto"/>
        </w:rPr>
        <w:t>We undertake to advise you promptly by tested telex or by telecopy on or prior to the date on which you intend to submit your certification relating to the above</w:t>
      </w:r>
      <w:r>
        <w:rPr>
          <w:rFonts w:ascii="MS PGothic" w:cs="MS PGothic" w:eastAsia="MS PGothic" w:hAnsi="MS PGothic"/>
          <w:sz w:val="21"/>
          <w:szCs w:val="21"/>
          <w:color w:val="auto"/>
        </w:rPr>
        <w:t>‑</w:t>
      </w:r>
      <w:r>
        <w:rPr>
          <w:rFonts w:ascii="Arial" w:cs="Arial" w:eastAsia="Arial" w:hAnsi="Arial"/>
          <w:sz w:val="21"/>
          <w:szCs w:val="21"/>
          <w:color w:val="auto"/>
        </w:rPr>
        <w:t>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86" w:lineRule="exact"/>
        <w:rPr>
          <w:sz w:val="20"/>
          <w:szCs w:val="20"/>
          <w:color w:val="auto"/>
        </w:rPr>
      </w:pPr>
    </w:p>
    <w:p>
      <w:pPr>
        <w:ind w:left="9" w:right="300" w:firstLine="648"/>
        <w:spacing w:after="0" w:line="253" w:lineRule="exact"/>
        <w:rPr>
          <w:sz w:val="20"/>
          <w:szCs w:val="20"/>
          <w:color w:val="auto"/>
        </w:rPr>
      </w:pPr>
      <w:r>
        <w:rPr>
          <w:rFonts w:ascii="Arial" w:cs="Arial" w:eastAsia="Arial" w:hAnsi="Arial"/>
          <w:sz w:val="22"/>
          <w:szCs w:val="22"/>
          <w:color w:val="auto"/>
        </w:rPr>
        <w:t>This certificate excepts and does not relate to [U.S.$] of such interest in the above</w:t>
      </w:r>
      <w:r>
        <w:rPr>
          <w:rFonts w:ascii="MS PGothic" w:cs="MS PGothic" w:eastAsia="MS PGothic" w:hAnsi="MS PGothic"/>
          <w:sz w:val="22"/>
          <w:szCs w:val="22"/>
          <w:color w:val="auto"/>
        </w:rPr>
        <w:t>‑</w:t>
      </w:r>
      <w:r>
        <w:rPr>
          <w:rFonts w:ascii="Arial" w:cs="Arial" w:eastAsia="Arial" w:hAnsi="Arial"/>
          <w:sz w:val="22"/>
          <w:szCs w:val="22"/>
          <w:color w:val="auto"/>
        </w:rPr>
        <w:t>captioned Securities in respect of which we are not able to certify and as to which we understand an exchange for an interest in a permanent Global Security or an exchange for and</w:t>
      </w:r>
    </w:p>
    <w:p>
      <w:pPr>
        <w:spacing w:after="0" w:line="200" w:lineRule="exact"/>
        <w:rPr>
          <w:sz w:val="20"/>
          <w:szCs w:val="20"/>
          <w:color w:val="auto"/>
        </w:rPr>
      </w:pPr>
    </w:p>
    <w:p>
      <w:pPr>
        <w:spacing w:after="0" w:line="203" w:lineRule="exact"/>
        <w:rPr>
          <w:sz w:val="20"/>
          <w:szCs w:val="20"/>
          <w:color w:val="auto"/>
        </w:rPr>
      </w:pPr>
    </w:p>
    <w:p>
      <w:pPr>
        <w:jc w:val="center"/>
        <w:ind w:right="-28"/>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61225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9"/>
          </w:cols>
          <w:pgMar w:left="751" w:top="361" w:right="779" w:bottom="1440" w:gutter="0" w:footer="0" w:header="0"/>
        </w:sectPr>
      </w:pPr>
    </w:p>
    <w:bookmarkStart w:id="150" w:name="page151"/>
    <w:bookmarkEnd w:id="150"/>
    <w:p>
      <w:pPr>
        <w:spacing w:after="0"/>
        <w:rPr>
          <w:sz w:val="20"/>
          <w:szCs w:val="20"/>
          <w:color w:val="auto"/>
        </w:rPr>
      </w:pPr>
      <w:r>
        <w:rPr>
          <w:rFonts w:ascii="Arial" w:cs="Arial" w:eastAsia="Arial" w:hAnsi="Arial"/>
          <w:sz w:val="21"/>
          <w:szCs w:val="21"/>
          <w:color w:val="auto"/>
        </w:rPr>
        <w:t>delivery of definitive Securities (or, if relevant, collection of any interest) cannot be made until we do so certify.</w:t>
      </w:r>
    </w:p>
    <w:p>
      <w:pPr>
        <w:spacing w:after="0" w:line="218"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[To be dated no earlier than the 15th day prior to (i) the Exchange Date or (ii) the relevant Interest Payment Date occurring prior to the Exchange Date, as applicable]</w:t>
      </w:r>
    </w:p>
    <w:p>
      <w:pPr>
        <w:spacing w:after="0" w:line="173"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[Name of Person Making Certification]</w:t>
      </w:r>
    </w:p>
    <w:p>
      <w:pPr>
        <w:spacing w:after="0" w:line="200" w:lineRule="exact"/>
        <w:rPr>
          <w:sz w:val="20"/>
          <w:szCs w:val="20"/>
          <w:color w:val="auto"/>
        </w:rPr>
      </w:pPr>
    </w:p>
    <w:p>
      <w:pPr>
        <w:spacing w:after="0" w:line="290"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3190875</wp:posOffset>
            </wp:positionH>
            <wp:positionV relativeFrom="paragraph">
              <wp:posOffset>-154940</wp:posOffset>
            </wp:positionV>
            <wp:extent cx="34048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5020"/>
        <w:spacing w:after="0" w:line="238" w:lineRule="auto"/>
        <w:rPr>
          <w:sz w:val="20"/>
          <w:szCs w:val="20"/>
          <w:color w:val="auto"/>
        </w:rPr>
      </w:pPr>
      <w:r>
        <w:rPr>
          <w:rFonts w:ascii="Arial" w:cs="Arial" w:eastAsia="Arial" w:hAnsi="Arial"/>
          <w:sz w:val="22"/>
          <w:szCs w:val="22"/>
          <w:color w:val="auto"/>
        </w:rPr>
        <w:t>Name:</w:t>
      </w:r>
    </w:p>
    <w:p>
      <w:pPr>
        <w:jc w:val="center"/>
        <w:ind w:right="-119"/>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151" w:name="page152"/>
    <w:bookmarkEnd w:id="151"/>
    <w:p>
      <w:pPr>
        <w:ind w:left="4580"/>
        <w:spacing w:after="0" w:line="253" w:lineRule="exact"/>
        <w:rPr>
          <w:sz w:val="20"/>
          <w:szCs w:val="20"/>
          <w:color w:val="auto"/>
        </w:rPr>
      </w:pPr>
      <w:r>
        <w:rPr>
          <w:rFonts w:ascii="Arial" w:cs="Arial" w:eastAsia="Arial" w:hAnsi="Arial"/>
          <w:sz w:val="22"/>
          <w:szCs w:val="22"/>
          <w:color w:val="auto"/>
        </w:rPr>
        <w:t>EXHIBIT B</w:t>
      </w:r>
      <w:r>
        <w:rPr>
          <w:rFonts w:ascii="MS PGothic" w:cs="MS PGothic" w:eastAsia="MS PGothic" w:hAnsi="MS PGothic"/>
          <w:sz w:val="22"/>
          <w:szCs w:val="22"/>
          <w:color w:val="auto"/>
        </w:rPr>
        <w:t>‑</w:t>
      </w:r>
      <w:r>
        <w:rPr>
          <w:rFonts w:ascii="Arial" w:cs="Arial" w:eastAsia="Arial" w:hAnsi="Arial"/>
          <w:sz w:val="22"/>
          <w:szCs w:val="22"/>
          <w:color w:val="auto"/>
        </w:rPr>
        <w:t>2</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FORM OF CERTIFICATE TO BE GIVEN BY EUROCLEAR AND CLEARSTREAM S.A. IN CONNECTION WITH</w:t>
      </w:r>
    </w:p>
    <w:p>
      <w:pPr>
        <w:spacing w:after="0" w:line="43" w:lineRule="exact"/>
        <w:rPr>
          <w:sz w:val="20"/>
          <w:szCs w:val="20"/>
          <w:color w:val="auto"/>
        </w:rPr>
      </w:pPr>
    </w:p>
    <w:p>
      <w:pPr>
        <w:jc w:val="center"/>
        <w:spacing w:after="0" w:line="237" w:lineRule="auto"/>
        <w:rPr>
          <w:sz w:val="20"/>
          <w:szCs w:val="20"/>
          <w:color w:val="auto"/>
        </w:rPr>
      </w:pPr>
      <w:r>
        <w:rPr>
          <w:rFonts w:ascii="Arial" w:cs="Arial" w:eastAsia="Arial" w:hAnsi="Arial"/>
          <w:sz w:val="22"/>
          <w:szCs w:val="22"/>
          <w:color w:val="auto"/>
        </w:rPr>
        <w:t>THE EXCHANGE OF A PORTION OF A TEMPORARY GLOBAL SECURITY OR TO OBTAIN INTEREST PAYABLE PRIOR TO THE EXCHANGE DATE</w:t>
      </w:r>
    </w:p>
    <w:p>
      <w:pPr>
        <w:spacing w:after="0" w:line="185"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CERTIFICATE</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[Insert title or sufficient description of Securities to be delivered]</w:t>
      </w:r>
    </w:p>
    <w:p>
      <w:pPr>
        <w:spacing w:after="0" w:line="206" w:lineRule="exact"/>
        <w:rPr>
          <w:sz w:val="20"/>
          <w:szCs w:val="20"/>
          <w:color w:val="auto"/>
        </w:rPr>
      </w:pPr>
    </w:p>
    <w:p>
      <w:pPr>
        <w:ind w:firstLine="648"/>
        <w:spacing w:after="0" w:line="244" w:lineRule="exact"/>
        <w:rPr>
          <w:sz w:val="20"/>
          <w:szCs w:val="20"/>
          <w:color w:val="auto"/>
        </w:rPr>
      </w:pPr>
      <w:r>
        <w:rPr>
          <w:rFonts w:ascii="Arial" w:cs="Arial" w:eastAsia="Arial" w:hAnsi="Arial"/>
          <w:sz w:val="19"/>
          <w:szCs w:val="19"/>
          <w:color w:val="auto"/>
        </w:rPr>
        <w:t>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 principal amount of the above</w:t>
      </w:r>
      <w:r>
        <w:rPr>
          <w:rFonts w:ascii="MS PGothic" w:cs="MS PGothic" w:eastAsia="MS PGothic" w:hAnsi="MS PGothic"/>
          <w:sz w:val="19"/>
          <w:szCs w:val="19"/>
          <w:color w:val="auto"/>
        </w:rPr>
        <w:t>‑</w:t>
      </w:r>
      <w:r>
        <w:rPr>
          <w:rFonts w:ascii="Arial" w:cs="Arial" w:eastAsia="Arial" w:hAnsi="Arial"/>
          <w:sz w:val="19"/>
          <w:szCs w:val="19"/>
          <w:color w:val="auto"/>
        </w:rPr>
        <w:t>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(financial institutions, as defined in U.S. Treasury Regulations Section 1.165</w:t>
      </w:r>
      <w:r>
        <w:rPr>
          <w:rFonts w:ascii="MS PGothic" w:cs="MS PGothic" w:eastAsia="MS PGothic" w:hAnsi="MS PGothic"/>
          <w:sz w:val="19"/>
          <w:szCs w:val="19"/>
          <w:color w:val="auto"/>
        </w:rPr>
        <w:t>‑</w:t>
      </w:r>
      <w:r>
        <w:rPr>
          <w:rFonts w:ascii="Arial" w:cs="Arial" w:eastAsia="Arial" w:hAnsi="Arial"/>
          <w:sz w:val="19"/>
          <w:szCs w:val="19"/>
          <w:color w:val="auto"/>
        </w:rPr>
        <w:t>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Blueprint Medicines Corporation or its agent that such financial institution will comply with the requirements of Section 165(j)(3)(A), (B) or (C) of the Internal Revenue Code of 1986, as amended, and the regulations thereunder), or (iii) is owned by United States or foreign financial institution(s) for purposes of resale during the restricted period (as defined in United States Treasury Regulations Section 1.163</w:t>
      </w:r>
      <w:r>
        <w:rPr>
          <w:rFonts w:ascii="MS PGothic" w:cs="MS PGothic" w:eastAsia="MS PGothic" w:hAnsi="MS PGothic"/>
          <w:sz w:val="19"/>
          <w:szCs w:val="19"/>
          <w:color w:val="auto"/>
        </w:rPr>
        <w:t>‑</w:t>
      </w:r>
      <w:r>
        <w:rPr>
          <w:rFonts w:ascii="Arial" w:cs="Arial" w:eastAsia="Arial" w:hAnsi="Arial"/>
          <w:sz w:val="19"/>
          <w:szCs w:val="19"/>
          <w:color w:val="auto"/>
        </w:rPr>
        <w:t>5(c)(2)(i)(D)(7)),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200" w:lineRule="exact"/>
        <w:rPr>
          <w:sz w:val="20"/>
          <w:szCs w:val="20"/>
          <w:color w:val="auto"/>
        </w:rPr>
      </w:pPr>
    </w:p>
    <w:p>
      <w:pPr>
        <w:ind w:right="280" w:firstLine="648"/>
        <w:spacing w:after="0"/>
        <w:rPr>
          <w:sz w:val="20"/>
          <w:szCs w:val="20"/>
          <w:color w:val="auto"/>
        </w:rPr>
      </w:pPr>
      <w:r>
        <w:rPr>
          <w:rFonts w:ascii="Arial" w:cs="Arial" w:eastAsia="Arial" w:hAnsi="Arial"/>
          <w:sz w:val="22"/>
          <w:szCs w:val="22"/>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86" w:lineRule="exact"/>
        <w:rPr>
          <w:sz w:val="20"/>
          <w:szCs w:val="20"/>
          <w:color w:val="auto"/>
        </w:rPr>
      </w:pPr>
    </w:p>
    <w:p>
      <w:pPr>
        <w:ind w:right="140" w:firstLine="648"/>
        <w:spacing w:after="0" w:line="248" w:lineRule="exact"/>
        <w:rPr>
          <w:sz w:val="20"/>
          <w:szCs w:val="20"/>
          <w:color w:val="auto"/>
        </w:rPr>
      </w:pPr>
      <w:r>
        <w:rPr>
          <w:rFonts w:ascii="Arial" w:cs="Arial" w:eastAsia="Arial" w:hAnsi="Arial"/>
          <w:sz w:val="21"/>
          <w:szCs w:val="21"/>
          <w:color w:val="auto"/>
        </w:rPr>
        <w:t>We further certify that (i) we are not making available herewith for exchange (or, if relevant, collection of any interest) any portion of the temporary Global Security representing the above</w:t>
      </w:r>
      <w:r>
        <w:rPr>
          <w:rFonts w:ascii="MS PGothic" w:cs="MS PGothic" w:eastAsia="MS PGothic" w:hAnsi="MS PGothic"/>
          <w:sz w:val="21"/>
          <w:szCs w:val="21"/>
          <w:color w:val="auto"/>
        </w:rPr>
        <w:t>‑</w:t>
      </w:r>
      <w:r>
        <w:rPr>
          <w:rFonts w:ascii="Arial" w:cs="Arial" w:eastAsia="Arial" w:hAnsi="Arial"/>
          <w:sz w:val="21"/>
          <w:szCs w:val="21"/>
          <w:color w:val="auto"/>
        </w:rPr>
        <w:t>captioned Securities excepted in the above</w:t>
      </w:r>
      <w:r>
        <w:rPr>
          <w:rFonts w:ascii="MS PGothic" w:cs="MS PGothic" w:eastAsia="MS PGothic" w:hAnsi="MS PGothic"/>
          <w:sz w:val="21"/>
          <w:szCs w:val="21"/>
          <w:color w:val="auto"/>
        </w:rPr>
        <w:t>‑</w:t>
      </w:r>
      <w:r>
        <w:rPr>
          <w:rFonts w:ascii="Arial" w:cs="Arial" w:eastAsia="Arial" w:hAnsi="Arial"/>
          <w:sz w:val="21"/>
          <w:szCs w:val="21"/>
          <w:color w:val="auto"/>
        </w:rPr>
        <w:t>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90"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We understand that this certification is required in connection with certain tax legislation in the United States. If administrative or legal proceedings are commenced or threatened in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1" w:right="739" w:bottom="1440" w:gutter="0" w:footer="0" w:header="0"/>
        </w:sectPr>
      </w:pPr>
    </w:p>
    <w:bookmarkStart w:id="152" w:name="page153"/>
    <w:bookmarkEnd w:id="152"/>
    <w:p>
      <w:pPr>
        <w:spacing w:after="0" w:line="251" w:lineRule="auto"/>
        <w:rPr>
          <w:sz w:val="20"/>
          <w:szCs w:val="20"/>
          <w:color w:val="auto"/>
        </w:rPr>
      </w:pPr>
      <w:r>
        <w:rPr>
          <w:rFonts w:ascii="Arial" w:cs="Arial" w:eastAsia="Arial" w:hAnsi="Arial"/>
          <w:sz w:val="22"/>
          <w:szCs w:val="22"/>
          <w:color w:val="auto"/>
        </w:rPr>
        <w:t>connection with which this certificate is or would be relevant, we irrevocably authorize you to produce this certificate or a copy thereof to any interested party in such proceedings.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right="280" w:firstLine="648"/>
        <w:spacing w:after="0" w:line="251" w:lineRule="auto"/>
        <w:rPr>
          <w:sz w:val="20"/>
          <w:szCs w:val="20"/>
          <w:color w:val="auto"/>
        </w:rPr>
      </w:pPr>
      <w:r>
        <w:rPr>
          <w:rFonts w:ascii="Arial" w:cs="Arial" w:eastAsia="Arial" w:hAnsi="Arial"/>
          <w:sz w:val="22"/>
          <w:szCs w:val="22"/>
          <w:color w:val="auto"/>
        </w:rPr>
        <w:t>[To be dated no earlier than the Exchange Date or the relevant Interest Payment Date occurring prior to the Exchange Date, as applicable]</w:t>
      </w:r>
    </w:p>
    <w:p>
      <w:pPr>
        <w:spacing w:after="0" w:line="173" w:lineRule="exact"/>
        <w:rPr>
          <w:sz w:val="20"/>
          <w:szCs w:val="20"/>
          <w:color w:val="auto"/>
        </w:rPr>
      </w:pPr>
    </w:p>
    <w:p>
      <w:pPr>
        <w:ind w:right="660" w:firstLine="648"/>
        <w:spacing w:after="0" w:line="251" w:lineRule="auto"/>
        <w:rPr>
          <w:sz w:val="20"/>
          <w:szCs w:val="20"/>
          <w:color w:val="auto"/>
        </w:rPr>
      </w:pPr>
      <w:r>
        <w:rPr>
          <w:rFonts w:ascii="Arial" w:cs="Arial" w:eastAsia="Arial" w:hAnsi="Arial"/>
          <w:sz w:val="22"/>
          <w:szCs w:val="22"/>
          <w:color w:val="auto"/>
        </w:rPr>
        <w:t>[Morgan Guaranty Trust Company of New York, Brussels Office, as Operator of the Euroclear System Clearstream Banking Luxembourg]</w:t>
      </w:r>
    </w:p>
    <w:p>
      <w:pPr>
        <w:spacing w:after="0" w:line="173"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w:t>
      </w:r>
    </w:p>
    <w:p>
      <w:pPr>
        <w:ind w:left="520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3516630</wp:posOffset>
            </wp:positionH>
            <wp:positionV relativeFrom="paragraph">
              <wp:posOffset>-151130</wp:posOffset>
            </wp:positionV>
            <wp:extent cx="30784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60"/>
          </w:cols>
          <w:pgMar w:left="760" w:top="361" w:right="979" w:bottom="1440" w:gutter="0" w:footer="0" w:header="0"/>
        </w:sectPr>
      </w:pPr>
    </w:p>
    <w:bookmarkStart w:id="153" w:name="page154"/>
    <w:bookmarkEnd w:id="153"/>
    <w:p>
      <w:pPr>
        <w:jc w:val="right"/>
        <w:ind w:right="139"/>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BLUEPRINT MEDICINES CORPORATION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w:t>
      </w:r>
    </w:p>
    <w:p>
      <w:pPr>
        <w:spacing w:after="0" w:line="206"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[_______________]</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Trustee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Indenture</w:t>
      </w:r>
    </w:p>
    <w:p>
      <w:pPr>
        <w:spacing w:after="0" w:line="206"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Dated as of __________, 20__</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744855</wp:posOffset>
            </wp:positionV>
            <wp:extent cx="554863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75"/>
        </w:trPr>
        <w:tc>
          <w:tcPr>
            <w:tcW w:w="2000" w:type="dxa"/>
            <w:vAlign w:val="bottom"/>
          </w:tcPr>
          <w:p>
            <w:pPr>
              <w:spacing w:after="0"/>
              <w:rPr>
                <w:sz w:val="23"/>
                <w:szCs w:val="23"/>
                <w:color w:val="auto"/>
              </w:rPr>
            </w:pPr>
          </w:p>
        </w:tc>
        <w:tc>
          <w:tcPr>
            <w:tcW w:w="6400" w:type="dxa"/>
            <w:vAlign w:val="bottom"/>
          </w:tcPr>
          <w:p>
            <w:pPr>
              <w:ind w:left="1440"/>
              <w:spacing w:after="0"/>
              <w:rPr>
                <w:sz w:val="20"/>
                <w:szCs w:val="20"/>
                <w:color w:val="auto"/>
              </w:rPr>
            </w:pPr>
            <w:r>
              <w:rPr>
                <w:rFonts w:ascii="Arial" w:cs="Arial" w:eastAsia="Arial" w:hAnsi="Arial"/>
                <w:sz w:val="22"/>
                <w:szCs w:val="22"/>
                <w:color w:val="auto"/>
              </w:rPr>
              <w:t>TABLE OF CONTENTS</w:t>
            </w: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409"/>
        </w:trPr>
        <w:tc>
          <w:tcPr>
            <w:tcW w:w="20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r>
      <w:tr>
        <w:trPr>
          <w:trHeight w:val="485"/>
        </w:trPr>
        <w:tc>
          <w:tcPr>
            <w:tcW w:w="8400" w:type="dxa"/>
            <w:vAlign w:val="bottom"/>
            <w:gridSpan w:val="2"/>
          </w:tcPr>
          <w:p>
            <w:pPr>
              <w:spacing w:after="0"/>
              <w:rPr>
                <w:sz w:val="20"/>
                <w:szCs w:val="20"/>
                <w:color w:val="auto"/>
              </w:rPr>
            </w:pPr>
            <w:r>
              <w:rPr>
                <w:rFonts w:ascii="Arial" w:cs="Arial" w:eastAsia="Arial" w:hAnsi="Arial"/>
                <w:sz w:val="22"/>
                <w:szCs w:val="22"/>
                <w:color w:val="auto"/>
              </w:rPr>
              <w:t>ARTICLE ONE - DEFINITIONS AND OTHER PROVISIONS OF GENERAL</w:t>
            </w:r>
          </w:p>
        </w:tc>
        <w:tc>
          <w:tcPr>
            <w:tcW w:w="660" w:type="dxa"/>
            <w:vAlign w:val="bottom"/>
            <w:gridSpan w:val="2"/>
          </w:tcPr>
          <w:p>
            <w:pPr>
              <w:jc w:val="right"/>
              <w:spacing w:after="0"/>
              <w:rPr>
                <w:sz w:val="20"/>
                <w:szCs w:val="20"/>
                <w:color w:val="auto"/>
              </w:rPr>
            </w:pPr>
            <w:r>
              <w:rPr>
                <w:rFonts w:ascii="Arial" w:cs="Arial" w:eastAsia="Arial" w:hAnsi="Arial"/>
                <w:sz w:val="22"/>
                <w:szCs w:val="22"/>
                <w:color w:val="auto"/>
              </w:rPr>
              <w:t>2</w:t>
            </w:r>
          </w:p>
        </w:tc>
      </w:tr>
      <w:tr>
        <w:trPr>
          <w:trHeight w:val="243"/>
        </w:trPr>
        <w:tc>
          <w:tcPr>
            <w:tcW w:w="2000" w:type="dxa"/>
            <w:vAlign w:val="bottom"/>
          </w:tcPr>
          <w:p>
            <w:pPr>
              <w:spacing w:after="0" w:line="243" w:lineRule="exact"/>
              <w:rPr>
                <w:sz w:val="20"/>
                <w:szCs w:val="20"/>
                <w:color w:val="auto"/>
              </w:rPr>
            </w:pPr>
            <w:r>
              <w:rPr>
                <w:rFonts w:ascii="Arial" w:cs="Arial" w:eastAsia="Arial" w:hAnsi="Arial"/>
                <w:sz w:val="22"/>
                <w:szCs w:val="22"/>
                <w:color w:val="auto"/>
              </w:rPr>
              <w:t>APPLICATION</w:t>
            </w:r>
          </w:p>
        </w:tc>
        <w:tc>
          <w:tcPr>
            <w:tcW w:w="6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101.</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Definitions</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102.</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Compliance Certificates and Opinions</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103.</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Form of Documents Delivered to Trustee</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104.</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Acts of Holders</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13</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105.</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Notices, etc., to Trustee and Company</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106.</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Notice to Holders; Waiver</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107.</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Counterparts; Effect of Headings and Table of Contents</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108.</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Successors and Assigns</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109.</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Severability Clause</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110.</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Benefits of Indenture</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111.</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Governing Law</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112.</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Legal Holidays</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113.</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w w:val="96"/>
              </w:rPr>
              <w:t>Limited Liability; Immunity of Stockholders, Directors, Officers and</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2000" w:type="dxa"/>
            <w:vAlign w:val="bottom"/>
          </w:tcPr>
          <w:p>
            <w:pPr>
              <w:spacing w:after="0"/>
              <w:rPr>
                <w:sz w:val="21"/>
                <w:szCs w:val="21"/>
                <w:color w:val="auto"/>
              </w:rPr>
            </w:pP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Agents of the Company</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75"/>
        </w:trPr>
        <w:tc>
          <w:tcPr>
            <w:tcW w:w="2000" w:type="dxa"/>
            <w:vAlign w:val="bottom"/>
          </w:tcPr>
          <w:p>
            <w:pPr>
              <w:ind w:left="460"/>
              <w:spacing w:after="0"/>
              <w:rPr>
                <w:sz w:val="20"/>
                <w:szCs w:val="20"/>
                <w:color w:val="auto"/>
              </w:rPr>
            </w:pPr>
            <w:r>
              <w:rPr>
                <w:rFonts w:ascii="Arial" w:cs="Arial" w:eastAsia="Arial" w:hAnsi="Arial"/>
                <w:sz w:val="22"/>
                <w:szCs w:val="22"/>
                <w:color w:val="auto"/>
              </w:rPr>
              <w:t>SECTION 114.</w:t>
            </w:r>
          </w:p>
        </w:tc>
        <w:tc>
          <w:tcPr>
            <w:tcW w:w="6400" w:type="dxa"/>
            <w:vAlign w:val="bottom"/>
          </w:tcPr>
          <w:p>
            <w:pPr>
              <w:ind w:left="200"/>
              <w:spacing w:after="0"/>
              <w:rPr>
                <w:sz w:val="20"/>
                <w:szCs w:val="20"/>
                <w:color w:val="auto"/>
              </w:rPr>
            </w:pPr>
            <w:r>
              <w:rPr>
                <w:rFonts w:ascii="Arial" w:cs="Arial" w:eastAsia="Arial" w:hAnsi="Arial"/>
                <w:sz w:val="22"/>
                <w:szCs w:val="22"/>
                <w:color w:val="auto"/>
              </w:rPr>
              <w:t>Conflict with Trust Indenture Act</w:t>
            </w:r>
          </w:p>
        </w:tc>
        <w:tc>
          <w:tcPr>
            <w:tcW w:w="660" w:type="dxa"/>
            <w:vAlign w:val="bottom"/>
            <w:gridSpan w:val="2"/>
          </w:tcPr>
          <w:p>
            <w:pPr>
              <w:jc w:val="right"/>
              <w:spacing w:after="0"/>
              <w:rPr>
                <w:sz w:val="20"/>
                <w:szCs w:val="20"/>
                <w:color w:val="auto"/>
              </w:rPr>
            </w:pPr>
            <w:r>
              <w:rPr>
                <w:rFonts w:ascii="Arial" w:cs="Arial" w:eastAsia="Arial" w:hAnsi="Arial"/>
                <w:sz w:val="22"/>
                <w:szCs w:val="22"/>
                <w:color w:val="auto"/>
              </w:rPr>
              <w:t>17</w:t>
            </w:r>
          </w:p>
        </w:tc>
      </w:tr>
      <w:tr>
        <w:trPr>
          <w:trHeight w:val="455"/>
        </w:trPr>
        <w:tc>
          <w:tcPr>
            <w:tcW w:w="8400" w:type="dxa"/>
            <w:vAlign w:val="bottom"/>
            <w:gridSpan w:val="2"/>
          </w:tcPr>
          <w:p>
            <w:pPr>
              <w:spacing w:after="0"/>
              <w:rPr>
                <w:sz w:val="20"/>
                <w:szCs w:val="20"/>
                <w:color w:val="auto"/>
              </w:rPr>
            </w:pPr>
            <w:r>
              <w:rPr>
                <w:rFonts w:ascii="Arial" w:cs="Arial" w:eastAsia="Arial" w:hAnsi="Arial"/>
                <w:sz w:val="22"/>
                <w:szCs w:val="22"/>
                <w:color w:val="auto"/>
              </w:rPr>
              <w:t>ARTICLE TWO - SECURITIES FORMS</w:t>
            </w:r>
          </w:p>
        </w:tc>
        <w:tc>
          <w:tcPr>
            <w:tcW w:w="660" w:type="dxa"/>
            <w:vAlign w:val="bottom"/>
            <w:gridSpan w:val="2"/>
          </w:tcPr>
          <w:p>
            <w:pPr>
              <w:jc w:val="right"/>
              <w:spacing w:after="0"/>
              <w:rPr>
                <w:sz w:val="20"/>
                <w:szCs w:val="20"/>
                <w:color w:val="auto"/>
              </w:rPr>
            </w:pPr>
            <w:r>
              <w:rPr>
                <w:rFonts w:ascii="Arial" w:cs="Arial" w:eastAsia="Arial" w:hAnsi="Arial"/>
                <w:sz w:val="22"/>
                <w:szCs w:val="22"/>
                <w:color w:val="auto"/>
              </w:rPr>
              <w:t>17</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201.</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Forms of Securities</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202.</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Form of Trustee’s Certificate of Authentication</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75"/>
        </w:trPr>
        <w:tc>
          <w:tcPr>
            <w:tcW w:w="2000" w:type="dxa"/>
            <w:vAlign w:val="bottom"/>
          </w:tcPr>
          <w:p>
            <w:pPr>
              <w:ind w:left="460"/>
              <w:spacing w:after="0"/>
              <w:rPr>
                <w:sz w:val="20"/>
                <w:szCs w:val="20"/>
                <w:color w:val="auto"/>
              </w:rPr>
            </w:pPr>
            <w:r>
              <w:rPr>
                <w:rFonts w:ascii="Arial" w:cs="Arial" w:eastAsia="Arial" w:hAnsi="Arial"/>
                <w:sz w:val="22"/>
                <w:szCs w:val="22"/>
                <w:color w:val="auto"/>
              </w:rPr>
              <w:t>SECTION 203.</w:t>
            </w:r>
          </w:p>
        </w:tc>
        <w:tc>
          <w:tcPr>
            <w:tcW w:w="6400" w:type="dxa"/>
            <w:vAlign w:val="bottom"/>
          </w:tcPr>
          <w:p>
            <w:pPr>
              <w:ind w:left="200"/>
              <w:spacing w:after="0"/>
              <w:rPr>
                <w:sz w:val="20"/>
                <w:szCs w:val="20"/>
                <w:color w:val="auto"/>
              </w:rPr>
            </w:pPr>
            <w:r>
              <w:rPr>
                <w:rFonts w:ascii="Arial" w:cs="Arial" w:eastAsia="Arial" w:hAnsi="Arial"/>
                <w:sz w:val="22"/>
                <w:szCs w:val="22"/>
                <w:color w:val="auto"/>
              </w:rPr>
              <w:t>Securities Issuable in Global Form</w:t>
            </w:r>
          </w:p>
        </w:tc>
        <w:tc>
          <w:tcPr>
            <w:tcW w:w="660" w:type="dxa"/>
            <w:vAlign w:val="bottom"/>
            <w:gridSpan w:val="2"/>
          </w:tcPr>
          <w:p>
            <w:pPr>
              <w:jc w:val="right"/>
              <w:spacing w:after="0"/>
              <w:rPr>
                <w:sz w:val="20"/>
                <w:szCs w:val="20"/>
                <w:color w:val="auto"/>
              </w:rPr>
            </w:pPr>
            <w:r>
              <w:rPr>
                <w:rFonts w:ascii="Arial" w:cs="Arial" w:eastAsia="Arial" w:hAnsi="Arial"/>
                <w:sz w:val="22"/>
                <w:szCs w:val="22"/>
                <w:color w:val="auto"/>
              </w:rPr>
              <w:t>18</w:t>
            </w:r>
          </w:p>
        </w:tc>
      </w:tr>
      <w:tr>
        <w:trPr>
          <w:trHeight w:val="455"/>
        </w:trPr>
        <w:tc>
          <w:tcPr>
            <w:tcW w:w="8400" w:type="dxa"/>
            <w:vAlign w:val="bottom"/>
            <w:gridSpan w:val="2"/>
          </w:tcPr>
          <w:p>
            <w:pPr>
              <w:spacing w:after="0"/>
              <w:rPr>
                <w:sz w:val="20"/>
                <w:szCs w:val="20"/>
                <w:color w:val="auto"/>
              </w:rPr>
            </w:pPr>
            <w:r>
              <w:rPr>
                <w:rFonts w:ascii="Arial" w:cs="Arial" w:eastAsia="Arial" w:hAnsi="Arial"/>
                <w:sz w:val="22"/>
                <w:szCs w:val="22"/>
                <w:color w:val="auto"/>
              </w:rPr>
              <w:t>ARTICLE THREE - THE SECURITIES</w:t>
            </w:r>
          </w:p>
        </w:tc>
        <w:tc>
          <w:tcPr>
            <w:tcW w:w="660" w:type="dxa"/>
            <w:vAlign w:val="bottom"/>
            <w:gridSpan w:val="2"/>
          </w:tcPr>
          <w:p>
            <w:pPr>
              <w:jc w:val="right"/>
              <w:spacing w:after="0"/>
              <w:rPr>
                <w:sz w:val="20"/>
                <w:szCs w:val="20"/>
                <w:color w:val="auto"/>
              </w:rPr>
            </w:pPr>
            <w:r>
              <w:rPr>
                <w:rFonts w:ascii="Arial" w:cs="Arial" w:eastAsia="Arial" w:hAnsi="Arial"/>
                <w:sz w:val="22"/>
                <w:szCs w:val="22"/>
                <w:color w:val="auto"/>
              </w:rPr>
              <w:t>19</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301.</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Amount Unlimited; Issuable in Series</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302.</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Denominations</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303.</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Execution, Authentication, Delivery and Dating</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304.</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Temporary Securities</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305.</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w w:val="98"/>
              </w:rPr>
              <w:t>Registration, Registration of Transfer, Conversion and Exchange</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306.</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Mutilated, Destroyed, Lost and Stolen Securities</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307.</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Payment of Interest; Interest Rights Preserved</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308.</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Persons Deemed Owners</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309.</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Cancellation</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310.</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Computation of Interest</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75"/>
        </w:trPr>
        <w:tc>
          <w:tcPr>
            <w:tcW w:w="2000" w:type="dxa"/>
            <w:vAlign w:val="bottom"/>
          </w:tcPr>
          <w:p>
            <w:pPr>
              <w:ind w:left="460"/>
              <w:spacing w:after="0"/>
              <w:rPr>
                <w:sz w:val="20"/>
                <w:szCs w:val="20"/>
                <w:color w:val="auto"/>
              </w:rPr>
            </w:pPr>
            <w:r>
              <w:rPr>
                <w:rFonts w:ascii="Arial" w:cs="Arial" w:eastAsia="Arial" w:hAnsi="Arial"/>
                <w:sz w:val="22"/>
                <w:szCs w:val="22"/>
                <w:color w:val="auto"/>
              </w:rPr>
              <w:t>SECTION 311.</w:t>
            </w:r>
          </w:p>
        </w:tc>
        <w:tc>
          <w:tcPr>
            <w:tcW w:w="6400" w:type="dxa"/>
            <w:vAlign w:val="bottom"/>
          </w:tcPr>
          <w:p>
            <w:pPr>
              <w:ind w:left="200"/>
              <w:spacing w:after="0"/>
              <w:rPr>
                <w:sz w:val="20"/>
                <w:szCs w:val="20"/>
                <w:color w:val="auto"/>
              </w:rPr>
            </w:pPr>
            <w:r>
              <w:rPr>
                <w:rFonts w:ascii="Arial" w:cs="Arial" w:eastAsia="Arial" w:hAnsi="Arial"/>
                <w:sz w:val="22"/>
                <w:szCs w:val="22"/>
                <w:color w:val="auto"/>
              </w:rPr>
              <w:t>CUSIP Numbers</w:t>
            </w:r>
          </w:p>
        </w:tc>
        <w:tc>
          <w:tcPr>
            <w:tcW w:w="660" w:type="dxa"/>
            <w:vAlign w:val="bottom"/>
            <w:gridSpan w:val="2"/>
          </w:tcPr>
          <w:p>
            <w:pPr>
              <w:jc w:val="right"/>
              <w:spacing w:after="0"/>
              <w:rPr>
                <w:sz w:val="20"/>
                <w:szCs w:val="20"/>
                <w:color w:val="auto"/>
              </w:rPr>
            </w:pPr>
            <w:r>
              <w:rPr>
                <w:rFonts w:ascii="Arial" w:cs="Arial" w:eastAsia="Arial" w:hAnsi="Arial"/>
                <w:sz w:val="22"/>
                <w:szCs w:val="22"/>
                <w:color w:val="auto"/>
              </w:rPr>
              <w:t>34</w:t>
            </w:r>
          </w:p>
        </w:tc>
      </w:tr>
      <w:tr>
        <w:trPr>
          <w:trHeight w:val="455"/>
        </w:trPr>
        <w:tc>
          <w:tcPr>
            <w:tcW w:w="8400" w:type="dxa"/>
            <w:vAlign w:val="bottom"/>
            <w:gridSpan w:val="2"/>
          </w:tcPr>
          <w:p>
            <w:pPr>
              <w:spacing w:after="0"/>
              <w:rPr>
                <w:sz w:val="20"/>
                <w:szCs w:val="20"/>
                <w:color w:val="auto"/>
              </w:rPr>
            </w:pPr>
            <w:r>
              <w:rPr>
                <w:rFonts w:ascii="Arial" w:cs="Arial" w:eastAsia="Arial" w:hAnsi="Arial"/>
                <w:sz w:val="22"/>
                <w:szCs w:val="22"/>
                <w:color w:val="auto"/>
              </w:rPr>
              <w:t>ARTICLE FOUR - SATISFACTION AND DISCHARGE</w:t>
            </w:r>
          </w:p>
        </w:tc>
        <w:tc>
          <w:tcPr>
            <w:tcW w:w="660" w:type="dxa"/>
            <w:vAlign w:val="bottom"/>
            <w:gridSpan w:val="2"/>
          </w:tcPr>
          <w:p>
            <w:pPr>
              <w:jc w:val="right"/>
              <w:spacing w:after="0"/>
              <w:rPr>
                <w:sz w:val="20"/>
                <w:szCs w:val="20"/>
                <w:color w:val="auto"/>
              </w:rPr>
            </w:pPr>
            <w:r>
              <w:rPr>
                <w:rFonts w:ascii="Arial" w:cs="Arial" w:eastAsia="Arial" w:hAnsi="Arial"/>
                <w:sz w:val="22"/>
                <w:szCs w:val="22"/>
                <w:color w:val="auto"/>
              </w:rPr>
              <w:t>35</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401.</w:t>
            </w:r>
          </w:p>
        </w:tc>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rPr>
              <w:t>Satisfaction and Discharge of Indenture</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75"/>
        </w:trPr>
        <w:tc>
          <w:tcPr>
            <w:tcW w:w="2000" w:type="dxa"/>
            <w:vAlign w:val="bottom"/>
          </w:tcPr>
          <w:p>
            <w:pPr>
              <w:ind w:left="460"/>
              <w:spacing w:after="0"/>
              <w:rPr>
                <w:sz w:val="20"/>
                <w:szCs w:val="20"/>
                <w:color w:val="auto"/>
              </w:rPr>
            </w:pPr>
            <w:r>
              <w:rPr>
                <w:rFonts w:ascii="Arial" w:cs="Arial" w:eastAsia="Arial" w:hAnsi="Arial"/>
                <w:sz w:val="22"/>
                <w:szCs w:val="22"/>
                <w:color w:val="auto"/>
              </w:rPr>
              <w:t>SECTION 402.</w:t>
            </w:r>
          </w:p>
        </w:tc>
        <w:tc>
          <w:tcPr>
            <w:tcW w:w="6400" w:type="dxa"/>
            <w:vAlign w:val="bottom"/>
          </w:tcPr>
          <w:p>
            <w:pPr>
              <w:ind w:left="200"/>
              <w:spacing w:after="0"/>
              <w:rPr>
                <w:sz w:val="20"/>
                <w:szCs w:val="20"/>
                <w:color w:val="auto"/>
              </w:rPr>
            </w:pPr>
            <w:r>
              <w:rPr>
                <w:rFonts w:ascii="Arial" w:cs="Arial" w:eastAsia="Arial" w:hAnsi="Arial"/>
                <w:sz w:val="22"/>
                <w:szCs w:val="22"/>
                <w:color w:val="auto"/>
              </w:rPr>
              <w:t>Application of Trust Funds</w:t>
            </w:r>
          </w:p>
        </w:tc>
        <w:tc>
          <w:tcPr>
            <w:tcW w:w="660" w:type="dxa"/>
            <w:vAlign w:val="bottom"/>
            <w:gridSpan w:val="2"/>
          </w:tcPr>
          <w:p>
            <w:pPr>
              <w:jc w:val="right"/>
              <w:spacing w:after="0"/>
              <w:rPr>
                <w:sz w:val="20"/>
                <w:szCs w:val="20"/>
                <w:color w:val="auto"/>
              </w:rPr>
            </w:pPr>
            <w:r>
              <w:rPr>
                <w:rFonts w:ascii="Arial" w:cs="Arial" w:eastAsia="Arial" w:hAnsi="Arial"/>
                <w:sz w:val="22"/>
                <w:szCs w:val="22"/>
                <w:color w:val="auto"/>
              </w:rPr>
              <w:t>36</w:t>
            </w:r>
          </w:p>
        </w:tc>
      </w:tr>
      <w:tr>
        <w:trPr>
          <w:trHeight w:val="455"/>
        </w:trPr>
        <w:tc>
          <w:tcPr>
            <w:tcW w:w="8400" w:type="dxa"/>
            <w:vAlign w:val="bottom"/>
            <w:gridSpan w:val="2"/>
          </w:tcPr>
          <w:p>
            <w:pPr>
              <w:spacing w:after="0"/>
              <w:rPr>
                <w:sz w:val="20"/>
                <w:szCs w:val="20"/>
                <w:color w:val="auto"/>
              </w:rPr>
            </w:pPr>
            <w:r>
              <w:rPr>
                <w:rFonts w:ascii="Arial" w:cs="Arial" w:eastAsia="Arial" w:hAnsi="Arial"/>
                <w:sz w:val="22"/>
                <w:szCs w:val="22"/>
                <w:color w:val="auto"/>
              </w:rPr>
              <w:t>ARTICLE FIVE – REMEDIES</w:t>
            </w:r>
          </w:p>
        </w:tc>
        <w:tc>
          <w:tcPr>
            <w:tcW w:w="660" w:type="dxa"/>
            <w:vAlign w:val="bottom"/>
            <w:gridSpan w:val="2"/>
          </w:tcPr>
          <w:p>
            <w:pPr>
              <w:jc w:val="right"/>
              <w:spacing w:after="0"/>
              <w:rPr>
                <w:sz w:val="20"/>
                <w:szCs w:val="20"/>
                <w:color w:val="auto"/>
              </w:rPr>
            </w:pPr>
            <w:r>
              <w:rPr>
                <w:rFonts w:ascii="Arial" w:cs="Arial" w:eastAsia="Arial" w:hAnsi="Arial"/>
                <w:sz w:val="22"/>
                <w:szCs w:val="22"/>
                <w:color w:val="auto"/>
              </w:rPr>
              <w:t>36</w:t>
            </w:r>
          </w:p>
        </w:tc>
      </w:tr>
      <w:tr>
        <w:trPr>
          <w:trHeight w:val="275"/>
        </w:trPr>
        <w:tc>
          <w:tcPr>
            <w:tcW w:w="2000" w:type="dxa"/>
            <w:vAlign w:val="bottom"/>
          </w:tcPr>
          <w:p>
            <w:pPr>
              <w:ind w:left="460"/>
              <w:spacing w:after="0"/>
              <w:rPr>
                <w:sz w:val="20"/>
                <w:szCs w:val="20"/>
                <w:color w:val="auto"/>
              </w:rPr>
            </w:pPr>
            <w:r>
              <w:rPr>
                <w:rFonts w:ascii="Arial" w:cs="Arial" w:eastAsia="Arial" w:hAnsi="Arial"/>
                <w:sz w:val="22"/>
                <w:szCs w:val="22"/>
                <w:color w:val="auto"/>
              </w:rPr>
              <w:t>SECTION 501.</w:t>
            </w:r>
          </w:p>
        </w:tc>
        <w:tc>
          <w:tcPr>
            <w:tcW w:w="6400" w:type="dxa"/>
            <w:vAlign w:val="bottom"/>
          </w:tcPr>
          <w:p>
            <w:pPr>
              <w:ind w:left="200"/>
              <w:spacing w:after="0"/>
              <w:rPr>
                <w:sz w:val="20"/>
                <w:szCs w:val="20"/>
                <w:color w:val="auto"/>
              </w:rPr>
            </w:pPr>
            <w:r>
              <w:rPr>
                <w:rFonts w:ascii="Arial" w:cs="Arial" w:eastAsia="Arial" w:hAnsi="Arial"/>
                <w:sz w:val="22"/>
                <w:szCs w:val="22"/>
                <w:color w:val="auto"/>
              </w:rPr>
              <w:t>Events of Default</w:t>
            </w:r>
          </w:p>
        </w:tc>
        <w:tc>
          <w:tcPr>
            <w:tcW w:w="660" w:type="dxa"/>
            <w:vAlign w:val="bottom"/>
            <w:gridSpan w:val="2"/>
          </w:tcPr>
          <w:p>
            <w:pPr>
              <w:jc w:val="right"/>
              <w:spacing w:after="0"/>
              <w:rPr>
                <w:sz w:val="20"/>
                <w:szCs w:val="20"/>
                <w:color w:val="auto"/>
              </w:rPr>
            </w:pPr>
            <w:r>
              <w:rPr>
                <w:rFonts w:ascii="Arial" w:cs="Arial" w:eastAsia="Arial" w:hAnsi="Arial"/>
                <w:sz w:val="22"/>
                <w:szCs w:val="22"/>
                <w:color w:val="auto"/>
              </w:rPr>
              <w:t>36</w:t>
            </w:r>
          </w:p>
        </w:tc>
      </w:tr>
      <w:tr>
        <w:trPr>
          <w:trHeight w:val="486"/>
        </w:trPr>
        <w:tc>
          <w:tcPr>
            <w:tcW w:w="2000" w:type="dxa"/>
            <w:vAlign w:val="bottom"/>
          </w:tcPr>
          <w:p>
            <w:pPr>
              <w:ind w:left="460"/>
              <w:spacing w:after="0"/>
              <w:rPr>
                <w:sz w:val="20"/>
                <w:szCs w:val="20"/>
                <w:color w:val="auto"/>
              </w:rPr>
            </w:pPr>
            <w:r>
              <w:rPr>
                <w:rFonts w:ascii="Arial" w:cs="Arial" w:eastAsia="Arial" w:hAnsi="Arial"/>
                <w:sz w:val="22"/>
                <w:szCs w:val="22"/>
                <w:color w:val="auto"/>
              </w:rPr>
              <w:t>SECTION 502.</w:t>
            </w:r>
          </w:p>
        </w:tc>
        <w:tc>
          <w:tcPr>
            <w:tcW w:w="6400" w:type="dxa"/>
            <w:vAlign w:val="bottom"/>
          </w:tcPr>
          <w:p>
            <w:pPr>
              <w:ind w:left="200"/>
              <w:spacing w:after="0"/>
              <w:rPr>
                <w:sz w:val="20"/>
                <w:szCs w:val="20"/>
                <w:color w:val="auto"/>
              </w:rPr>
            </w:pPr>
            <w:r>
              <w:rPr>
                <w:rFonts w:ascii="Arial" w:cs="Arial" w:eastAsia="Arial" w:hAnsi="Arial"/>
                <w:sz w:val="22"/>
                <w:szCs w:val="22"/>
                <w:color w:val="auto"/>
              </w:rPr>
              <w:t>Acceleration of Maturity; Rescission and Annulment</w:t>
            </w:r>
          </w:p>
        </w:tc>
        <w:tc>
          <w:tcPr>
            <w:tcW w:w="660" w:type="dxa"/>
            <w:vAlign w:val="bottom"/>
            <w:gridSpan w:val="2"/>
          </w:tcPr>
          <w:p>
            <w:pPr>
              <w:jc w:val="right"/>
              <w:spacing w:after="0"/>
              <w:rPr>
                <w:sz w:val="20"/>
                <w:szCs w:val="20"/>
                <w:color w:val="auto"/>
              </w:rPr>
            </w:pPr>
            <w:r>
              <w:rPr>
                <w:rFonts w:ascii="Arial" w:cs="Arial" w:eastAsia="Arial" w:hAnsi="Arial"/>
                <w:sz w:val="22"/>
                <w:szCs w:val="22"/>
                <w:color w:val="auto"/>
              </w:rPr>
              <w:t>38</w:t>
            </w:r>
          </w:p>
        </w:tc>
      </w:tr>
      <w:tr>
        <w:trPr>
          <w:trHeight w:val="675"/>
        </w:trPr>
        <w:tc>
          <w:tcPr>
            <w:tcW w:w="2000" w:type="dxa"/>
            <w:vAlign w:val="bottom"/>
          </w:tcPr>
          <w:p>
            <w:pPr>
              <w:spacing w:after="0"/>
              <w:rPr>
                <w:sz w:val="24"/>
                <w:szCs w:val="24"/>
                <w:color w:val="auto"/>
              </w:rPr>
            </w:pPr>
          </w:p>
        </w:tc>
        <w:tc>
          <w:tcPr>
            <w:tcW w:w="6400" w:type="dxa"/>
            <w:vAlign w:val="bottom"/>
          </w:tcPr>
          <w:p>
            <w:pPr>
              <w:ind w:left="2500"/>
              <w:spacing w:after="0"/>
              <w:rPr>
                <w:sz w:val="20"/>
                <w:szCs w:val="20"/>
                <w:color w:val="auto"/>
              </w:rPr>
            </w:pPr>
            <w:r>
              <w:rPr>
                <w:rFonts w:ascii="Arial" w:cs="Arial" w:eastAsia="Arial" w:hAnsi="Arial"/>
                <w:sz w:val="22"/>
                <w:szCs w:val="22"/>
                <w:color w:val="auto"/>
              </w:rPr>
              <w:t>i</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9"/>
        </w:trPr>
        <w:tc>
          <w:tcPr>
            <w:tcW w:w="2000" w:type="dxa"/>
            <w:vAlign w:val="bottom"/>
            <w:tcBorders>
              <w:bottom w:val="single" w:sz="8" w:color="auto"/>
            </w:tcBorders>
          </w:tcPr>
          <w:p>
            <w:pPr>
              <w:spacing w:after="0"/>
              <w:rPr>
                <w:sz w:val="10"/>
                <w:szCs w:val="10"/>
                <w:color w:val="auto"/>
              </w:rPr>
            </w:pPr>
          </w:p>
        </w:tc>
        <w:tc>
          <w:tcPr>
            <w:tcW w:w="64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r>
    </w:tbl>
    <w:p>
      <w:pPr>
        <w:sectPr>
          <w:pgSz w:w="11900" w:h="16838" w:orient="portrait"/>
          <w:cols w:equalWidth="0" w:num="1">
            <w:col w:w="9060"/>
          </w:cols>
          <w:pgMar w:left="1420" w:top="361" w:right="1419" w:bottom="1440" w:gutter="0" w:footer="0" w:header="0"/>
        </w:sectPr>
      </w:pPr>
    </w:p>
    <w:bookmarkStart w:id="155" w:name="page156"/>
    <w:bookmarkEnd w:id="1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420" w:type="dxa"/>
            <w:vAlign w:val="bottom"/>
            <w:gridSpan w:val="2"/>
          </w:tcPr>
          <w:p>
            <w:pPr>
              <w:ind w:left="460"/>
              <w:spacing w:after="0"/>
              <w:rPr>
                <w:sz w:val="20"/>
                <w:szCs w:val="20"/>
                <w:color w:val="auto"/>
              </w:rPr>
            </w:pPr>
            <w:r>
              <w:rPr>
                <w:rFonts w:ascii="Arial" w:cs="Arial" w:eastAsia="Arial" w:hAnsi="Arial"/>
                <w:sz w:val="22"/>
                <w:szCs w:val="22"/>
                <w:color w:val="auto"/>
                <w:w w:val="88"/>
              </w:rPr>
              <w:t>SECTION 503.Collection of Indebtedness and Suits for Enforcement by Trustee</w:t>
            </w:r>
          </w:p>
        </w:tc>
        <w:tc>
          <w:tcPr>
            <w:tcW w:w="60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90"/>
              </w:rPr>
              <w:t>SECTION 504.Trustee May File Proofs of Claim</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8"/>
              </w:rPr>
              <w:t>SECTION 505.Trustee May Enforce Claims Without Possession of Securities or</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2000" w:type="dxa"/>
            <w:vAlign w:val="bottom"/>
          </w:tcPr>
          <w:p>
            <w:pPr>
              <w:spacing w:after="0"/>
              <w:rPr>
                <w:sz w:val="21"/>
                <w:szCs w:val="21"/>
                <w:color w:val="auto"/>
              </w:rPr>
            </w:pPr>
          </w:p>
        </w:tc>
        <w:tc>
          <w:tcPr>
            <w:tcW w:w="6420" w:type="dxa"/>
            <w:vAlign w:val="bottom"/>
          </w:tcPr>
          <w:p>
            <w:pPr>
              <w:ind w:left="200"/>
              <w:spacing w:after="0" w:line="243" w:lineRule="exact"/>
              <w:rPr>
                <w:sz w:val="20"/>
                <w:szCs w:val="20"/>
                <w:color w:val="auto"/>
              </w:rPr>
            </w:pPr>
            <w:r>
              <w:rPr>
                <w:rFonts w:ascii="Arial" w:cs="Arial" w:eastAsia="Arial" w:hAnsi="Arial"/>
                <w:sz w:val="22"/>
                <w:szCs w:val="22"/>
                <w:color w:val="auto"/>
              </w:rPr>
              <w:t>Coupons</w:t>
            </w:r>
          </w:p>
        </w:tc>
        <w:tc>
          <w:tcPr>
            <w:tcW w:w="600" w:type="dxa"/>
            <w:vAlign w:val="bottom"/>
          </w:tcPr>
          <w:p>
            <w:pPr>
              <w:spacing w:after="0"/>
              <w:rPr>
                <w:sz w:val="21"/>
                <w:szCs w:val="21"/>
                <w:color w:val="auto"/>
              </w:rPr>
            </w:pP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92"/>
              </w:rPr>
              <w:t>SECTION 506.Application of Money Collected</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507.</w:t>
            </w:r>
          </w:p>
        </w:tc>
        <w:tc>
          <w:tcPr>
            <w:tcW w:w="6420" w:type="dxa"/>
            <w:vAlign w:val="bottom"/>
          </w:tcPr>
          <w:p>
            <w:pPr>
              <w:ind w:left="200"/>
              <w:spacing w:after="0" w:line="243" w:lineRule="exact"/>
              <w:rPr>
                <w:sz w:val="20"/>
                <w:szCs w:val="20"/>
                <w:color w:val="auto"/>
              </w:rPr>
            </w:pPr>
            <w:r>
              <w:rPr>
                <w:rFonts w:ascii="Arial" w:cs="Arial" w:eastAsia="Arial" w:hAnsi="Arial"/>
                <w:sz w:val="22"/>
                <w:szCs w:val="22"/>
                <w:color w:val="auto"/>
              </w:rPr>
              <w:t>Limitation on Suits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91"/>
              </w:rPr>
              <w:t>SECTION 508.Unconditional Right of Holders to Receive Principal, Premium or</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2000" w:type="dxa"/>
            <w:vAlign w:val="bottom"/>
          </w:tcPr>
          <w:p>
            <w:pPr>
              <w:spacing w:after="0"/>
              <w:rPr>
                <w:sz w:val="21"/>
                <w:szCs w:val="21"/>
                <w:color w:val="auto"/>
              </w:rPr>
            </w:pPr>
          </w:p>
        </w:tc>
        <w:tc>
          <w:tcPr>
            <w:tcW w:w="6420" w:type="dxa"/>
            <w:vAlign w:val="bottom"/>
          </w:tcPr>
          <w:p>
            <w:pPr>
              <w:ind w:left="200"/>
              <w:spacing w:after="0" w:line="243" w:lineRule="exact"/>
              <w:rPr>
                <w:sz w:val="20"/>
                <w:szCs w:val="20"/>
                <w:color w:val="auto"/>
              </w:rPr>
            </w:pPr>
            <w:r>
              <w:rPr>
                <w:rFonts w:ascii="Arial" w:cs="Arial" w:eastAsia="Arial" w:hAnsi="Arial"/>
                <w:sz w:val="22"/>
                <w:szCs w:val="22"/>
                <w:color w:val="auto"/>
              </w:rPr>
              <w:t>Make-Whole Amount, if any, and Interest</w:t>
            </w:r>
          </w:p>
        </w:tc>
        <w:tc>
          <w:tcPr>
            <w:tcW w:w="600" w:type="dxa"/>
            <w:vAlign w:val="bottom"/>
          </w:tcPr>
          <w:p>
            <w:pPr>
              <w:spacing w:after="0"/>
              <w:rPr>
                <w:sz w:val="21"/>
                <w:szCs w:val="21"/>
                <w:color w:val="auto"/>
              </w:rPr>
            </w:pP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8"/>
              </w:rPr>
              <w:t>SECTION 509.Restoration of Rights and Remedies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8"/>
              </w:rPr>
              <w:t>SECTION 510.Rights and Remedies Cumulative</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511.</w:t>
            </w:r>
          </w:p>
        </w:tc>
        <w:tc>
          <w:tcPr>
            <w:tcW w:w="6420" w:type="dxa"/>
            <w:vAlign w:val="bottom"/>
          </w:tcPr>
          <w:p>
            <w:pPr>
              <w:ind w:left="200"/>
              <w:spacing w:after="0" w:line="243" w:lineRule="exact"/>
              <w:rPr>
                <w:sz w:val="20"/>
                <w:szCs w:val="20"/>
                <w:color w:val="auto"/>
              </w:rPr>
            </w:pPr>
            <w:r>
              <w:rPr>
                <w:rFonts w:ascii="Arial" w:cs="Arial" w:eastAsia="Arial" w:hAnsi="Arial"/>
                <w:sz w:val="22"/>
                <w:szCs w:val="22"/>
                <w:color w:val="auto"/>
              </w:rPr>
              <w:t>Delay or Omission Not Waiver</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90"/>
              </w:rPr>
              <w:t>SECTION 512.Control by Holders of Securities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8"/>
              </w:rPr>
              <w:t>SECTION 513.Waiver of Past Defaults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9"/>
              </w:rPr>
              <w:t>SECTION 514.Waiver of Usury, Stay or Extension Laws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75"/>
        </w:trPr>
        <w:tc>
          <w:tcPr>
            <w:tcW w:w="8420" w:type="dxa"/>
            <w:vAlign w:val="bottom"/>
            <w:gridSpan w:val="2"/>
          </w:tcPr>
          <w:p>
            <w:pPr>
              <w:ind w:left="460"/>
              <w:spacing w:after="0"/>
              <w:rPr>
                <w:sz w:val="20"/>
                <w:szCs w:val="20"/>
                <w:color w:val="auto"/>
              </w:rPr>
            </w:pPr>
            <w:r>
              <w:rPr>
                <w:rFonts w:ascii="Arial" w:cs="Arial" w:eastAsia="Arial" w:hAnsi="Arial"/>
                <w:sz w:val="22"/>
                <w:szCs w:val="22"/>
                <w:color w:val="auto"/>
                <w:w w:val="90"/>
              </w:rPr>
              <w:t>SECTION 515.Undertaking for Costs</w:t>
            </w:r>
          </w:p>
        </w:tc>
        <w:tc>
          <w:tcPr>
            <w:tcW w:w="60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455"/>
        </w:trPr>
        <w:tc>
          <w:tcPr>
            <w:tcW w:w="8420" w:type="dxa"/>
            <w:vAlign w:val="bottom"/>
            <w:gridSpan w:val="2"/>
          </w:tcPr>
          <w:p>
            <w:pPr>
              <w:spacing w:after="0"/>
              <w:rPr>
                <w:sz w:val="20"/>
                <w:szCs w:val="20"/>
                <w:color w:val="auto"/>
              </w:rPr>
            </w:pPr>
            <w:r>
              <w:rPr>
                <w:rFonts w:ascii="Arial" w:cs="Arial" w:eastAsia="Arial" w:hAnsi="Arial"/>
                <w:sz w:val="22"/>
                <w:szCs w:val="22"/>
                <w:color w:val="auto"/>
              </w:rPr>
              <w:t>ARTICLE SIX - THE TRUSTEE</w:t>
            </w:r>
          </w:p>
        </w:tc>
        <w:tc>
          <w:tcPr>
            <w:tcW w:w="60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601.</w:t>
            </w:r>
          </w:p>
        </w:tc>
        <w:tc>
          <w:tcPr>
            <w:tcW w:w="6420" w:type="dxa"/>
            <w:vAlign w:val="bottom"/>
          </w:tcPr>
          <w:p>
            <w:pPr>
              <w:ind w:left="200"/>
              <w:spacing w:after="0" w:line="243" w:lineRule="exact"/>
              <w:rPr>
                <w:sz w:val="20"/>
                <w:szCs w:val="20"/>
                <w:color w:val="auto"/>
              </w:rPr>
            </w:pPr>
            <w:r>
              <w:rPr>
                <w:rFonts w:ascii="Arial" w:cs="Arial" w:eastAsia="Arial" w:hAnsi="Arial"/>
                <w:sz w:val="22"/>
                <w:szCs w:val="22"/>
                <w:color w:val="auto"/>
              </w:rPr>
              <w:t>Notice of Defaults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9"/>
              </w:rPr>
              <w:t>SECTION 602.Certain Rights of Trustee</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8"/>
              </w:rPr>
              <w:t>SECTION 603.Not Responsible for Recitals or Issuance of Securities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90"/>
              </w:rPr>
              <w:t>SECTION 604.May Hold Securities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91"/>
              </w:rPr>
              <w:t>SECTION 605.Money Held in Trust</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7"/>
              </w:rPr>
              <w:t>SECTION 606.Compensation and Reimbursement</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91"/>
              </w:rPr>
              <w:t>SECTION 607.Corporate Trustee Required; Eligibility; Conflicting Interests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9"/>
              </w:rPr>
              <w:t>SECTION 608.Resignation and Removal; Appointment of Successor</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8"/>
              </w:rPr>
              <w:t>SECTION 609.Acceptance of Appointment by Successor</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8"/>
              </w:rPr>
              <w:t>SECTION 610.Merger, Conversion, Consolidation or Succession to Business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611.</w:t>
            </w:r>
          </w:p>
        </w:tc>
        <w:tc>
          <w:tcPr>
            <w:tcW w:w="6420" w:type="dxa"/>
            <w:vAlign w:val="bottom"/>
          </w:tcPr>
          <w:p>
            <w:pPr>
              <w:ind w:left="200"/>
              <w:spacing w:after="0" w:line="243" w:lineRule="exact"/>
              <w:rPr>
                <w:sz w:val="20"/>
                <w:szCs w:val="20"/>
                <w:color w:val="auto"/>
              </w:rPr>
            </w:pPr>
            <w:r>
              <w:rPr>
                <w:rFonts w:ascii="Arial" w:cs="Arial" w:eastAsia="Arial" w:hAnsi="Arial"/>
                <w:sz w:val="22"/>
                <w:szCs w:val="22"/>
                <w:color w:val="auto"/>
              </w:rPr>
              <w:t>Appointment of Authenticating Agent</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75"/>
        </w:trPr>
        <w:tc>
          <w:tcPr>
            <w:tcW w:w="8420" w:type="dxa"/>
            <w:vAlign w:val="bottom"/>
            <w:gridSpan w:val="2"/>
          </w:tcPr>
          <w:p>
            <w:pPr>
              <w:ind w:left="460"/>
              <w:spacing w:after="0"/>
              <w:rPr>
                <w:sz w:val="20"/>
                <w:szCs w:val="20"/>
                <w:color w:val="auto"/>
              </w:rPr>
            </w:pPr>
            <w:r>
              <w:rPr>
                <w:rFonts w:ascii="Arial" w:cs="Arial" w:eastAsia="Arial" w:hAnsi="Arial"/>
                <w:sz w:val="22"/>
                <w:szCs w:val="22"/>
                <w:color w:val="auto"/>
                <w:w w:val="89"/>
              </w:rPr>
              <w:t>SECTION 612.Certain Duties and Responsibilities of the Trustee</w:t>
            </w:r>
          </w:p>
        </w:tc>
        <w:tc>
          <w:tcPr>
            <w:tcW w:w="60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455"/>
        </w:trPr>
        <w:tc>
          <w:tcPr>
            <w:tcW w:w="8420" w:type="dxa"/>
            <w:vAlign w:val="bottom"/>
            <w:gridSpan w:val="2"/>
          </w:tcPr>
          <w:p>
            <w:pPr>
              <w:spacing w:after="0"/>
              <w:rPr>
                <w:sz w:val="20"/>
                <w:szCs w:val="20"/>
                <w:color w:val="auto"/>
              </w:rPr>
            </w:pPr>
            <w:r>
              <w:rPr>
                <w:rFonts w:ascii="Arial" w:cs="Arial" w:eastAsia="Arial" w:hAnsi="Arial"/>
                <w:sz w:val="22"/>
                <w:szCs w:val="22"/>
                <w:color w:val="auto"/>
                <w:w w:val="98"/>
              </w:rPr>
              <w:t>ARTICLE SEVEN - HOLDERS’ LISTS AND REPORTS BY TRUSTEE AND COMPANY</w:t>
            </w:r>
          </w:p>
        </w:tc>
        <w:tc>
          <w:tcPr>
            <w:tcW w:w="60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8"/>
              </w:rPr>
              <w:t>SECTION 701.Disclosure of Names and Addresses of Holders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702.</w:t>
            </w:r>
          </w:p>
        </w:tc>
        <w:tc>
          <w:tcPr>
            <w:tcW w:w="6420" w:type="dxa"/>
            <w:vAlign w:val="bottom"/>
          </w:tcPr>
          <w:p>
            <w:pPr>
              <w:ind w:left="200"/>
              <w:spacing w:after="0" w:line="243" w:lineRule="exact"/>
              <w:rPr>
                <w:sz w:val="20"/>
                <w:szCs w:val="20"/>
                <w:color w:val="auto"/>
              </w:rPr>
            </w:pPr>
            <w:r>
              <w:rPr>
                <w:rFonts w:ascii="Arial" w:cs="Arial" w:eastAsia="Arial" w:hAnsi="Arial"/>
                <w:sz w:val="22"/>
                <w:szCs w:val="22"/>
                <w:color w:val="auto"/>
              </w:rPr>
              <w:t>Reports by Trustee</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8"/>
              </w:rPr>
              <w:t>SECTION 703.Reports by Company</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75"/>
        </w:trPr>
        <w:tc>
          <w:tcPr>
            <w:tcW w:w="8420" w:type="dxa"/>
            <w:vAlign w:val="bottom"/>
            <w:gridSpan w:val="2"/>
          </w:tcPr>
          <w:p>
            <w:pPr>
              <w:ind w:left="460"/>
              <w:spacing w:after="0"/>
              <w:rPr>
                <w:sz w:val="20"/>
                <w:szCs w:val="20"/>
                <w:color w:val="auto"/>
              </w:rPr>
            </w:pPr>
            <w:r>
              <w:rPr>
                <w:rFonts w:ascii="Arial" w:cs="Arial" w:eastAsia="Arial" w:hAnsi="Arial"/>
                <w:sz w:val="22"/>
                <w:szCs w:val="22"/>
                <w:color w:val="auto"/>
                <w:w w:val="87"/>
              </w:rPr>
              <w:t>SECTION 704.Company to Furnish Trustee Names and Addresses of Holders</w:t>
            </w:r>
          </w:p>
        </w:tc>
        <w:tc>
          <w:tcPr>
            <w:tcW w:w="60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455"/>
        </w:trPr>
        <w:tc>
          <w:tcPr>
            <w:tcW w:w="8420" w:type="dxa"/>
            <w:vAlign w:val="bottom"/>
            <w:gridSpan w:val="2"/>
          </w:tcPr>
          <w:p>
            <w:pPr>
              <w:spacing w:after="0"/>
              <w:rPr>
                <w:sz w:val="20"/>
                <w:szCs w:val="20"/>
                <w:color w:val="auto"/>
              </w:rPr>
            </w:pPr>
            <w:r>
              <w:rPr>
                <w:rFonts w:ascii="Arial" w:cs="Arial" w:eastAsia="Arial" w:hAnsi="Arial"/>
                <w:sz w:val="22"/>
                <w:szCs w:val="22"/>
                <w:color w:val="auto"/>
              </w:rPr>
              <w:t>ARTICLE EIGHT - CONSOLIDATION, MERGER, SALE, LEASE OR CONVEYANCE</w:t>
            </w:r>
          </w:p>
        </w:tc>
        <w:tc>
          <w:tcPr>
            <w:tcW w:w="60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43"/>
        </w:trPr>
        <w:tc>
          <w:tcPr>
            <w:tcW w:w="2000" w:type="dxa"/>
            <w:vAlign w:val="bottom"/>
          </w:tcPr>
          <w:p>
            <w:pPr>
              <w:ind w:left="460"/>
              <w:spacing w:after="0" w:line="243" w:lineRule="exact"/>
              <w:rPr>
                <w:sz w:val="20"/>
                <w:szCs w:val="20"/>
                <w:color w:val="auto"/>
              </w:rPr>
            </w:pPr>
            <w:r>
              <w:rPr>
                <w:rFonts w:ascii="Arial" w:cs="Arial" w:eastAsia="Arial" w:hAnsi="Arial"/>
                <w:sz w:val="22"/>
                <w:szCs w:val="22"/>
                <w:color w:val="auto"/>
              </w:rPr>
              <w:t>SECTION 801.</w:t>
            </w:r>
          </w:p>
        </w:tc>
        <w:tc>
          <w:tcPr>
            <w:tcW w:w="6420" w:type="dxa"/>
            <w:vAlign w:val="bottom"/>
          </w:tcPr>
          <w:p>
            <w:pPr>
              <w:ind w:left="200"/>
              <w:spacing w:after="0" w:line="243" w:lineRule="exact"/>
              <w:rPr>
                <w:sz w:val="20"/>
                <w:szCs w:val="20"/>
                <w:color w:val="auto"/>
              </w:rPr>
            </w:pPr>
            <w:r>
              <w:rPr>
                <w:rFonts w:ascii="Arial" w:cs="Arial" w:eastAsia="Arial" w:hAnsi="Arial"/>
                <w:sz w:val="22"/>
                <w:szCs w:val="22"/>
                <w:color w:val="auto"/>
                <w:w w:val="98"/>
              </w:rPr>
              <w:t>Consolidations and Mergers of Company and Sales, Leases and</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43"/>
        </w:trPr>
        <w:tc>
          <w:tcPr>
            <w:tcW w:w="2000" w:type="dxa"/>
            <w:vAlign w:val="bottom"/>
          </w:tcPr>
          <w:p>
            <w:pPr>
              <w:spacing w:after="0"/>
              <w:rPr>
                <w:sz w:val="21"/>
                <w:szCs w:val="21"/>
                <w:color w:val="auto"/>
              </w:rPr>
            </w:pPr>
          </w:p>
        </w:tc>
        <w:tc>
          <w:tcPr>
            <w:tcW w:w="6420" w:type="dxa"/>
            <w:vAlign w:val="bottom"/>
          </w:tcPr>
          <w:p>
            <w:pPr>
              <w:ind w:left="200"/>
              <w:spacing w:after="0" w:line="243" w:lineRule="exact"/>
              <w:rPr>
                <w:sz w:val="20"/>
                <w:szCs w:val="20"/>
                <w:color w:val="auto"/>
              </w:rPr>
            </w:pPr>
            <w:r>
              <w:rPr>
                <w:rFonts w:ascii="Arial" w:cs="Arial" w:eastAsia="Arial" w:hAnsi="Arial"/>
                <w:sz w:val="22"/>
                <w:szCs w:val="22"/>
                <w:color w:val="auto"/>
              </w:rPr>
              <w:t>Conveyances Permitted Subject to Certain Conditions</w:t>
            </w:r>
          </w:p>
        </w:tc>
        <w:tc>
          <w:tcPr>
            <w:tcW w:w="600" w:type="dxa"/>
            <w:vAlign w:val="bottom"/>
          </w:tcPr>
          <w:p>
            <w:pPr>
              <w:spacing w:after="0"/>
              <w:rPr>
                <w:sz w:val="21"/>
                <w:szCs w:val="21"/>
                <w:color w:val="auto"/>
              </w:rPr>
            </w:pP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8"/>
              </w:rPr>
              <w:t>SECTION 802.Rights and Duties of Successor Corporation</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75"/>
        </w:trPr>
        <w:tc>
          <w:tcPr>
            <w:tcW w:w="8420" w:type="dxa"/>
            <w:vAlign w:val="bottom"/>
            <w:gridSpan w:val="2"/>
          </w:tcPr>
          <w:p>
            <w:pPr>
              <w:ind w:left="460"/>
              <w:spacing w:after="0"/>
              <w:rPr>
                <w:sz w:val="20"/>
                <w:szCs w:val="20"/>
                <w:color w:val="auto"/>
              </w:rPr>
            </w:pPr>
            <w:r>
              <w:rPr>
                <w:rFonts w:ascii="Arial" w:cs="Arial" w:eastAsia="Arial" w:hAnsi="Arial"/>
                <w:sz w:val="22"/>
                <w:szCs w:val="22"/>
                <w:color w:val="auto"/>
                <w:w w:val="91"/>
              </w:rPr>
              <w:t>SECTION 803.Officers’ Certificate and Opinion of Counsel</w:t>
            </w:r>
          </w:p>
        </w:tc>
        <w:tc>
          <w:tcPr>
            <w:tcW w:w="60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455"/>
        </w:trPr>
        <w:tc>
          <w:tcPr>
            <w:tcW w:w="8420" w:type="dxa"/>
            <w:vAlign w:val="bottom"/>
            <w:gridSpan w:val="2"/>
          </w:tcPr>
          <w:p>
            <w:pPr>
              <w:spacing w:after="0"/>
              <w:rPr>
                <w:sz w:val="20"/>
                <w:szCs w:val="20"/>
                <w:color w:val="auto"/>
              </w:rPr>
            </w:pPr>
            <w:r>
              <w:rPr>
                <w:rFonts w:ascii="Arial" w:cs="Arial" w:eastAsia="Arial" w:hAnsi="Arial"/>
                <w:sz w:val="22"/>
                <w:szCs w:val="22"/>
                <w:color w:val="auto"/>
              </w:rPr>
              <w:t>ARTICLE NINE - SUPPLEMENTAL INDENTURES</w:t>
            </w:r>
          </w:p>
        </w:tc>
        <w:tc>
          <w:tcPr>
            <w:tcW w:w="60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9"/>
              </w:rPr>
              <w:t>SECTION 901.Supplemental Indentures Without Consent of Holders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55</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9"/>
              </w:rPr>
              <w:t>SECTION 902.Supplemental Indentures with Consent of Holders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56</w:t>
            </w:r>
          </w:p>
        </w:tc>
      </w:tr>
      <w:tr>
        <w:trPr>
          <w:trHeight w:val="243"/>
        </w:trPr>
        <w:tc>
          <w:tcPr>
            <w:tcW w:w="84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8"/>
              </w:rPr>
              <w:t>SECTION 903.Execution of Supplemental Indentures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75"/>
        </w:trPr>
        <w:tc>
          <w:tcPr>
            <w:tcW w:w="8420" w:type="dxa"/>
            <w:vAlign w:val="bottom"/>
            <w:gridSpan w:val="2"/>
          </w:tcPr>
          <w:p>
            <w:pPr>
              <w:ind w:left="460"/>
              <w:spacing w:after="0"/>
              <w:rPr>
                <w:sz w:val="20"/>
                <w:szCs w:val="20"/>
                <w:color w:val="auto"/>
              </w:rPr>
            </w:pPr>
            <w:r>
              <w:rPr>
                <w:rFonts w:ascii="Arial" w:cs="Arial" w:eastAsia="Arial" w:hAnsi="Arial"/>
                <w:sz w:val="22"/>
                <w:szCs w:val="22"/>
                <w:color w:val="auto"/>
                <w:w w:val="89"/>
              </w:rPr>
              <w:t>SECTION 904.Effect of Supplemental Indentures</w:t>
            </w:r>
          </w:p>
        </w:tc>
        <w:tc>
          <w:tcPr>
            <w:tcW w:w="600" w:type="dxa"/>
            <w:vAlign w:val="bottom"/>
          </w:tcPr>
          <w:p>
            <w:pPr>
              <w:jc w:val="right"/>
              <w:spacing w:after="0"/>
              <w:rPr>
                <w:sz w:val="20"/>
                <w:szCs w:val="20"/>
                <w:color w:val="auto"/>
              </w:rPr>
            </w:pPr>
            <w:r>
              <w:rPr>
                <w:rFonts w:ascii="Arial" w:cs="Arial" w:eastAsia="Arial" w:hAnsi="Arial"/>
                <w:sz w:val="22"/>
                <w:szCs w:val="22"/>
                <w:color w:val="auto"/>
              </w:rPr>
              <w:t>57</w:t>
            </w:r>
          </w:p>
        </w:tc>
      </w:tr>
    </w:tbl>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53"/>
        </w:trPr>
        <w:tc>
          <w:tcPr>
            <w:tcW w:w="2040" w:type="dxa"/>
            <w:vAlign w:val="bottom"/>
          </w:tcPr>
          <w:p>
            <w:pPr>
              <w:ind w:left="460"/>
              <w:spacing w:after="0"/>
              <w:rPr>
                <w:sz w:val="20"/>
                <w:szCs w:val="20"/>
                <w:color w:val="auto"/>
              </w:rPr>
            </w:pPr>
            <w:r>
              <w:rPr>
                <w:rFonts w:ascii="Arial" w:cs="Arial" w:eastAsia="Arial" w:hAnsi="Arial"/>
                <w:sz w:val="22"/>
                <w:szCs w:val="22"/>
                <w:color w:val="auto"/>
              </w:rPr>
              <w:t>SECTION 905.</w:t>
            </w:r>
          </w:p>
        </w:tc>
        <w:tc>
          <w:tcPr>
            <w:tcW w:w="6420" w:type="dxa"/>
            <w:vAlign w:val="bottom"/>
          </w:tcPr>
          <w:p>
            <w:pPr>
              <w:ind w:left="160"/>
              <w:spacing w:after="0"/>
              <w:rPr>
                <w:sz w:val="20"/>
                <w:szCs w:val="20"/>
                <w:color w:val="auto"/>
              </w:rPr>
            </w:pPr>
            <w:r>
              <w:rPr>
                <w:rFonts w:ascii="Arial" w:cs="Arial" w:eastAsia="Arial" w:hAnsi="Arial"/>
                <w:sz w:val="22"/>
                <w:szCs w:val="22"/>
                <w:color w:val="auto"/>
              </w:rPr>
              <w:t>Conformity with Trust Indenture Act</w:t>
            </w:r>
          </w:p>
        </w:tc>
        <w:tc>
          <w:tcPr>
            <w:tcW w:w="56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275"/>
        </w:trPr>
        <w:tc>
          <w:tcPr>
            <w:tcW w:w="2040" w:type="dxa"/>
            <w:vAlign w:val="bottom"/>
          </w:tcPr>
          <w:p>
            <w:pPr>
              <w:ind w:left="460"/>
              <w:spacing w:after="0"/>
              <w:rPr>
                <w:sz w:val="20"/>
                <w:szCs w:val="20"/>
                <w:color w:val="auto"/>
              </w:rPr>
            </w:pPr>
            <w:r>
              <w:rPr>
                <w:rFonts w:ascii="Arial" w:cs="Arial" w:eastAsia="Arial" w:hAnsi="Arial"/>
                <w:sz w:val="22"/>
                <w:szCs w:val="22"/>
                <w:color w:val="auto"/>
              </w:rPr>
              <w:t>SECTION 906.</w:t>
            </w:r>
          </w:p>
        </w:tc>
        <w:tc>
          <w:tcPr>
            <w:tcW w:w="6420" w:type="dxa"/>
            <w:vAlign w:val="bottom"/>
          </w:tcPr>
          <w:p>
            <w:pPr>
              <w:ind w:left="160"/>
              <w:spacing w:after="0"/>
              <w:rPr>
                <w:sz w:val="20"/>
                <w:szCs w:val="20"/>
                <w:color w:val="auto"/>
              </w:rPr>
            </w:pPr>
            <w:r>
              <w:rPr>
                <w:rFonts w:ascii="Arial" w:cs="Arial" w:eastAsia="Arial" w:hAnsi="Arial"/>
                <w:sz w:val="22"/>
                <w:szCs w:val="22"/>
                <w:color w:val="auto"/>
              </w:rPr>
              <w:t>Reference in Securities to Supplemental Indentures</w:t>
            </w:r>
          </w:p>
        </w:tc>
        <w:tc>
          <w:tcPr>
            <w:tcW w:w="56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455"/>
        </w:trPr>
        <w:tc>
          <w:tcPr>
            <w:tcW w:w="8460" w:type="dxa"/>
            <w:vAlign w:val="bottom"/>
            <w:gridSpan w:val="2"/>
          </w:tcPr>
          <w:p>
            <w:pPr>
              <w:spacing w:after="0"/>
              <w:rPr>
                <w:sz w:val="20"/>
                <w:szCs w:val="20"/>
                <w:color w:val="auto"/>
              </w:rPr>
            </w:pPr>
            <w:r>
              <w:rPr>
                <w:rFonts w:ascii="Arial" w:cs="Arial" w:eastAsia="Arial" w:hAnsi="Arial"/>
                <w:sz w:val="22"/>
                <w:szCs w:val="22"/>
                <w:color w:val="auto"/>
              </w:rPr>
              <w:t>ARTICLE TEN – COVENANTS</w:t>
            </w:r>
          </w:p>
        </w:tc>
        <w:tc>
          <w:tcPr>
            <w:tcW w:w="56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1001.</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w w:val="95"/>
              </w:rPr>
              <w:t>Payment of Principal, Premium or Make-Whole Amount, if any; and</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2040" w:type="dxa"/>
            <w:vAlign w:val="bottom"/>
          </w:tcPr>
          <w:p>
            <w:pPr>
              <w:spacing w:after="0"/>
              <w:rPr>
                <w:sz w:val="21"/>
                <w:szCs w:val="21"/>
                <w:color w:val="auto"/>
              </w:rPr>
            </w:pP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Interest</w:t>
            </w:r>
          </w:p>
        </w:tc>
        <w:tc>
          <w:tcPr>
            <w:tcW w:w="560" w:type="dxa"/>
            <w:vAlign w:val="bottom"/>
          </w:tcPr>
          <w:p>
            <w:pPr>
              <w:spacing w:after="0"/>
              <w:rPr>
                <w:sz w:val="21"/>
                <w:szCs w:val="21"/>
                <w:color w:val="auto"/>
              </w:rPr>
            </w:pP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1002.</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Maintenance of Office or Agency</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1003.</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Money for Securities Payments to Be Held in Trust</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59</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1004.</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Existence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1005.</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Maintenance of Properties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1006.</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Insurance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1007.</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Payment of Taxes and Other Claims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1008.</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Statement as to Compliance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75"/>
        </w:trPr>
        <w:tc>
          <w:tcPr>
            <w:tcW w:w="2040" w:type="dxa"/>
            <w:vAlign w:val="bottom"/>
          </w:tcPr>
          <w:p>
            <w:pPr>
              <w:ind w:left="460"/>
              <w:spacing w:after="0"/>
              <w:rPr>
                <w:sz w:val="20"/>
                <w:szCs w:val="20"/>
                <w:color w:val="auto"/>
              </w:rPr>
            </w:pPr>
            <w:r>
              <w:rPr>
                <w:rFonts w:ascii="Arial" w:cs="Arial" w:eastAsia="Arial" w:hAnsi="Arial"/>
                <w:sz w:val="22"/>
                <w:szCs w:val="22"/>
                <w:color w:val="auto"/>
                <w:w w:val="98"/>
              </w:rPr>
              <w:t>SECTION 1009.</w:t>
            </w:r>
          </w:p>
        </w:tc>
        <w:tc>
          <w:tcPr>
            <w:tcW w:w="6420" w:type="dxa"/>
            <w:vAlign w:val="bottom"/>
          </w:tcPr>
          <w:p>
            <w:pPr>
              <w:ind w:left="160"/>
              <w:spacing w:after="0"/>
              <w:rPr>
                <w:sz w:val="20"/>
                <w:szCs w:val="20"/>
                <w:color w:val="auto"/>
              </w:rPr>
            </w:pPr>
            <w:r>
              <w:rPr>
                <w:rFonts w:ascii="Arial" w:cs="Arial" w:eastAsia="Arial" w:hAnsi="Arial"/>
                <w:sz w:val="22"/>
                <w:szCs w:val="22"/>
                <w:color w:val="auto"/>
              </w:rPr>
              <w:t>Waiver of Certain Covenants</w:t>
            </w:r>
          </w:p>
        </w:tc>
        <w:tc>
          <w:tcPr>
            <w:tcW w:w="56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455"/>
        </w:trPr>
        <w:tc>
          <w:tcPr>
            <w:tcW w:w="8460" w:type="dxa"/>
            <w:vAlign w:val="bottom"/>
            <w:gridSpan w:val="2"/>
          </w:tcPr>
          <w:p>
            <w:pPr>
              <w:spacing w:after="0"/>
              <w:rPr>
                <w:sz w:val="20"/>
                <w:szCs w:val="20"/>
                <w:color w:val="auto"/>
              </w:rPr>
            </w:pPr>
            <w:r>
              <w:rPr>
                <w:rFonts w:ascii="Arial" w:cs="Arial" w:eastAsia="Arial" w:hAnsi="Arial"/>
                <w:sz w:val="22"/>
                <w:szCs w:val="22"/>
                <w:color w:val="auto"/>
              </w:rPr>
              <w:t>ARTICLE ELEVEN - REDEMPTION OF SECURITIES</w:t>
            </w:r>
          </w:p>
        </w:tc>
        <w:tc>
          <w:tcPr>
            <w:tcW w:w="56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1101.</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Applicability of Article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1102.</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Election to Redeem; Notice to Trustee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1103.</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Selection by Trustee of Securities to Be Redeemed</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1104.</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Notice of Redemption</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1105.</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Deposit of Redemption Price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1106.</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Securities Payable on Redemption Date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75"/>
        </w:trPr>
        <w:tc>
          <w:tcPr>
            <w:tcW w:w="2040" w:type="dxa"/>
            <w:vAlign w:val="bottom"/>
          </w:tcPr>
          <w:p>
            <w:pPr>
              <w:ind w:left="460"/>
              <w:spacing w:after="0"/>
              <w:rPr>
                <w:sz w:val="20"/>
                <w:szCs w:val="20"/>
                <w:color w:val="auto"/>
              </w:rPr>
            </w:pPr>
            <w:r>
              <w:rPr>
                <w:rFonts w:ascii="Arial" w:cs="Arial" w:eastAsia="Arial" w:hAnsi="Arial"/>
                <w:sz w:val="22"/>
                <w:szCs w:val="22"/>
                <w:color w:val="auto"/>
                <w:w w:val="98"/>
              </w:rPr>
              <w:t>SECTION 1107.</w:t>
            </w:r>
          </w:p>
        </w:tc>
        <w:tc>
          <w:tcPr>
            <w:tcW w:w="6420" w:type="dxa"/>
            <w:vAlign w:val="bottom"/>
          </w:tcPr>
          <w:p>
            <w:pPr>
              <w:ind w:left="160"/>
              <w:spacing w:after="0"/>
              <w:rPr>
                <w:sz w:val="20"/>
                <w:szCs w:val="20"/>
                <w:color w:val="auto"/>
              </w:rPr>
            </w:pPr>
            <w:r>
              <w:rPr>
                <w:rFonts w:ascii="Arial" w:cs="Arial" w:eastAsia="Arial" w:hAnsi="Arial"/>
                <w:sz w:val="22"/>
                <w:szCs w:val="22"/>
                <w:color w:val="auto"/>
              </w:rPr>
              <w:t>Securities Redeemed in Part</w:t>
            </w:r>
          </w:p>
        </w:tc>
        <w:tc>
          <w:tcPr>
            <w:tcW w:w="5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455"/>
        </w:trPr>
        <w:tc>
          <w:tcPr>
            <w:tcW w:w="8460" w:type="dxa"/>
            <w:vAlign w:val="bottom"/>
            <w:gridSpan w:val="2"/>
          </w:tcPr>
          <w:p>
            <w:pPr>
              <w:spacing w:after="0"/>
              <w:rPr>
                <w:sz w:val="20"/>
                <w:szCs w:val="20"/>
                <w:color w:val="auto"/>
              </w:rPr>
            </w:pPr>
            <w:r>
              <w:rPr>
                <w:rFonts w:ascii="Arial" w:cs="Arial" w:eastAsia="Arial" w:hAnsi="Arial"/>
                <w:sz w:val="22"/>
                <w:szCs w:val="22"/>
                <w:color w:val="auto"/>
              </w:rPr>
              <w:t>ARTICLE TWELVE - SINKING FUNDS</w:t>
            </w:r>
          </w:p>
        </w:tc>
        <w:tc>
          <w:tcPr>
            <w:tcW w:w="5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1201.</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Applicability of Article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1202.</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Satisfaction of Sinking Fund Payments with Securities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75"/>
        </w:trPr>
        <w:tc>
          <w:tcPr>
            <w:tcW w:w="2040" w:type="dxa"/>
            <w:vAlign w:val="bottom"/>
          </w:tcPr>
          <w:p>
            <w:pPr>
              <w:ind w:left="460"/>
              <w:spacing w:after="0"/>
              <w:rPr>
                <w:sz w:val="20"/>
                <w:szCs w:val="20"/>
                <w:color w:val="auto"/>
              </w:rPr>
            </w:pPr>
            <w:r>
              <w:rPr>
                <w:rFonts w:ascii="Arial" w:cs="Arial" w:eastAsia="Arial" w:hAnsi="Arial"/>
                <w:sz w:val="22"/>
                <w:szCs w:val="22"/>
                <w:color w:val="auto"/>
                <w:w w:val="98"/>
              </w:rPr>
              <w:t>SECTION 1203.</w:t>
            </w:r>
          </w:p>
        </w:tc>
        <w:tc>
          <w:tcPr>
            <w:tcW w:w="6420" w:type="dxa"/>
            <w:vAlign w:val="bottom"/>
          </w:tcPr>
          <w:p>
            <w:pPr>
              <w:ind w:left="160"/>
              <w:spacing w:after="0"/>
              <w:rPr>
                <w:sz w:val="20"/>
                <w:szCs w:val="20"/>
                <w:color w:val="auto"/>
              </w:rPr>
            </w:pPr>
            <w:r>
              <w:rPr>
                <w:rFonts w:ascii="Arial" w:cs="Arial" w:eastAsia="Arial" w:hAnsi="Arial"/>
                <w:sz w:val="22"/>
                <w:szCs w:val="22"/>
                <w:color w:val="auto"/>
              </w:rPr>
              <w:t>Redemption of Securities for Sinking Fund</w:t>
            </w:r>
          </w:p>
        </w:tc>
        <w:tc>
          <w:tcPr>
            <w:tcW w:w="56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455"/>
        </w:trPr>
        <w:tc>
          <w:tcPr>
            <w:tcW w:w="8460" w:type="dxa"/>
            <w:vAlign w:val="bottom"/>
            <w:gridSpan w:val="2"/>
          </w:tcPr>
          <w:p>
            <w:pPr>
              <w:spacing w:after="0"/>
              <w:rPr>
                <w:sz w:val="20"/>
                <w:szCs w:val="20"/>
                <w:color w:val="auto"/>
              </w:rPr>
            </w:pPr>
            <w:r>
              <w:rPr>
                <w:rFonts w:ascii="Arial" w:cs="Arial" w:eastAsia="Arial" w:hAnsi="Arial"/>
                <w:sz w:val="22"/>
                <w:szCs w:val="22"/>
                <w:color w:val="auto"/>
              </w:rPr>
              <w:t>ARTICLE THIRTEEN - REPAYMENT AT THE OPTION OF HOLDERS</w:t>
            </w:r>
          </w:p>
        </w:tc>
        <w:tc>
          <w:tcPr>
            <w:tcW w:w="56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1301.</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Applicability of Article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1302.</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Repayment of Securities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1303.</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Exercise of Option</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1304.</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w w:val="91"/>
              </w:rPr>
              <w:t>When Securities Presented for Repayment Become Due and Payable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r>
      <w:tr>
        <w:trPr>
          <w:trHeight w:val="275"/>
        </w:trPr>
        <w:tc>
          <w:tcPr>
            <w:tcW w:w="2040" w:type="dxa"/>
            <w:vAlign w:val="bottom"/>
          </w:tcPr>
          <w:p>
            <w:pPr>
              <w:ind w:left="460"/>
              <w:spacing w:after="0"/>
              <w:rPr>
                <w:sz w:val="20"/>
                <w:szCs w:val="20"/>
                <w:color w:val="auto"/>
              </w:rPr>
            </w:pPr>
            <w:r>
              <w:rPr>
                <w:rFonts w:ascii="Arial" w:cs="Arial" w:eastAsia="Arial" w:hAnsi="Arial"/>
                <w:sz w:val="22"/>
                <w:szCs w:val="22"/>
                <w:color w:val="auto"/>
                <w:w w:val="98"/>
              </w:rPr>
              <w:t>SECTION 1305.</w:t>
            </w:r>
          </w:p>
        </w:tc>
        <w:tc>
          <w:tcPr>
            <w:tcW w:w="6420" w:type="dxa"/>
            <w:vAlign w:val="bottom"/>
          </w:tcPr>
          <w:p>
            <w:pPr>
              <w:ind w:left="160"/>
              <w:spacing w:after="0"/>
              <w:rPr>
                <w:sz w:val="20"/>
                <w:szCs w:val="20"/>
                <w:color w:val="auto"/>
              </w:rPr>
            </w:pPr>
            <w:r>
              <w:rPr>
                <w:rFonts w:ascii="Arial" w:cs="Arial" w:eastAsia="Arial" w:hAnsi="Arial"/>
                <w:sz w:val="22"/>
                <w:szCs w:val="22"/>
                <w:color w:val="auto"/>
              </w:rPr>
              <w:t>Securities Repaid in Part</w:t>
            </w:r>
          </w:p>
        </w:tc>
        <w:tc>
          <w:tcPr>
            <w:tcW w:w="56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455"/>
        </w:trPr>
        <w:tc>
          <w:tcPr>
            <w:tcW w:w="8460" w:type="dxa"/>
            <w:vAlign w:val="bottom"/>
            <w:gridSpan w:val="2"/>
          </w:tcPr>
          <w:p>
            <w:pPr>
              <w:spacing w:after="0"/>
              <w:rPr>
                <w:sz w:val="20"/>
                <w:szCs w:val="20"/>
                <w:color w:val="auto"/>
              </w:rPr>
            </w:pPr>
            <w:r>
              <w:rPr>
                <w:rFonts w:ascii="Arial" w:cs="Arial" w:eastAsia="Arial" w:hAnsi="Arial"/>
                <w:sz w:val="22"/>
                <w:szCs w:val="22"/>
                <w:color w:val="auto"/>
              </w:rPr>
              <w:t>ARTICLE FOURTEEN - DEFEASANCE AND COVENANT DEFEASANCE</w:t>
            </w:r>
          </w:p>
        </w:tc>
        <w:tc>
          <w:tcPr>
            <w:tcW w:w="56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1401.</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w w:val="97"/>
              </w:rPr>
              <w:t>Applicability of Article; Company’s Option to Effect Defeasance or</w:t>
            </w:r>
          </w:p>
        </w:tc>
        <w:tc>
          <w:tcPr>
            <w:tcW w:w="560" w:type="dxa"/>
            <w:vAlign w:val="bottom"/>
          </w:tcPr>
          <w:p>
            <w:pPr>
              <w:spacing w:after="0"/>
              <w:rPr>
                <w:sz w:val="21"/>
                <w:szCs w:val="21"/>
                <w:color w:val="auto"/>
              </w:rPr>
            </w:pPr>
          </w:p>
        </w:tc>
      </w:tr>
      <w:tr>
        <w:trPr>
          <w:trHeight w:val="243"/>
        </w:trPr>
        <w:tc>
          <w:tcPr>
            <w:tcW w:w="2040" w:type="dxa"/>
            <w:vAlign w:val="bottom"/>
          </w:tcPr>
          <w:p>
            <w:pPr>
              <w:spacing w:after="0"/>
              <w:rPr>
                <w:sz w:val="21"/>
                <w:szCs w:val="21"/>
                <w:color w:val="auto"/>
              </w:rPr>
            </w:pP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Covenant Defeasance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1402.</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Defeasance and Discharge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1403.</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Covenant Defeasance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1404.</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rPr>
              <w:t>Conditions to Defeasance or Covenant Defeasance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1405.</w:t>
            </w:r>
          </w:p>
        </w:tc>
        <w:tc>
          <w:tcPr>
            <w:tcW w:w="6420" w:type="dxa"/>
            <w:vAlign w:val="bottom"/>
          </w:tcPr>
          <w:p>
            <w:pPr>
              <w:ind w:left="160"/>
              <w:spacing w:after="0" w:line="243" w:lineRule="exact"/>
              <w:rPr>
                <w:sz w:val="20"/>
                <w:szCs w:val="20"/>
                <w:color w:val="auto"/>
              </w:rPr>
            </w:pPr>
            <w:r>
              <w:rPr>
                <w:rFonts w:ascii="Arial" w:cs="Arial" w:eastAsia="Arial" w:hAnsi="Arial"/>
                <w:sz w:val="22"/>
                <w:szCs w:val="22"/>
                <w:color w:val="auto"/>
                <w:w w:val="95"/>
              </w:rPr>
              <w:t>Deposited Money and Government Obligations to Be Held in Trust;</w:t>
            </w:r>
          </w:p>
        </w:tc>
        <w:tc>
          <w:tcPr>
            <w:tcW w:w="560" w:type="dxa"/>
            <w:vAlign w:val="bottom"/>
          </w:tcPr>
          <w:p>
            <w:pPr>
              <w:spacing w:after="0"/>
              <w:rPr>
                <w:sz w:val="21"/>
                <w:szCs w:val="21"/>
                <w:color w:val="auto"/>
              </w:rPr>
            </w:pPr>
          </w:p>
        </w:tc>
      </w:tr>
      <w:tr>
        <w:trPr>
          <w:trHeight w:val="275"/>
        </w:trPr>
        <w:tc>
          <w:tcPr>
            <w:tcW w:w="2040" w:type="dxa"/>
            <w:vAlign w:val="bottom"/>
          </w:tcPr>
          <w:p>
            <w:pPr>
              <w:spacing w:after="0"/>
              <w:rPr>
                <w:sz w:val="23"/>
                <w:szCs w:val="23"/>
                <w:color w:val="auto"/>
              </w:rPr>
            </w:pPr>
          </w:p>
        </w:tc>
        <w:tc>
          <w:tcPr>
            <w:tcW w:w="6420" w:type="dxa"/>
            <w:vAlign w:val="bottom"/>
          </w:tcPr>
          <w:p>
            <w:pPr>
              <w:ind w:left="160"/>
              <w:spacing w:after="0"/>
              <w:rPr>
                <w:sz w:val="20"/>
                <w:szCs w:val="20"/>
                <w:color w:val="auto"/>
              </w:rPr>
            </w:pPr>
            <w:r>
              <w:rPr>
                <w:rFonts w:ascii="Arial" w:cs="Arial" w:eastAsia="Arial" w:hAnsi="Arial"/>
                <w:sz w:val="22"/>
                <w:szCs w:val="22"/>
                <w:color w:val="auto"/>
              </w:rPr>
              <w:t>Other Miscellaneous Provisions</w:t>
            </w:r>
          </w:p>
        </w:tc>
        <w:tc>
          <w:tcPr>
            <w:tcW w:w="56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455"/>
        </w:trPr>
        <w:tc>
          <w:tcPr>
            <w:tcW w:w="8460" w:type="dxa"/>
            <w:vAlign w:val="bottom"/>
            <w:gridSpan w:val="2"/>
          </w:tcPr>
          <w:p>
            <w:pPr>
              <w:spacing w:after="0"/>
              <w:rPr>
                <w:sz w:val="20"/>
                <w:szCs w:val="20"/>
                <w:color w:val="auto"/>
              </w:rPr>
            </w:pPr>
            <w:r>
              <w:rPr>
                <w:rFonts w:ascii="Arial" w:cs="Arial" w:eastAsia="Arial" w:hAnsi="Arial"/>
                <w:sz w:val="22"/>
                <w:szCs w:val="22"/>
                <w:color w:val="auto"/>
              </w:rPr>
              <w:t>ARTICLE FIFTEEN - MEETINGS OF HOLDERS OF SECURITIES</w:t>
            </w:r>
          </w:p>
        </w:tc>
        <w:tc>
          <w:tcPr>
            <w:tcW w:w="56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275"/>
        </w:trPr>
        <w:tc>
          <w:tcPr>
            <w:tcW w:w="2040" w:type="dxa"/>
            <w:vAlign w:val="bottom"/>
          </w:tcPr>
          <w:p>
            <w:pPr>
              <w:ind w:left="460"/>
              <w:spacing w:after="0"/>
              <w:rPr>
                <w:sz w:val="20"/>
                <w:szCs w:val="20"/>
                <w:color w:val="auto"/>
              </w:rPr>
            </w:pPr>
            <w:r>
              <w:rPr>
                <w:rFonts w:ascii="Arial" w:cs="Arial" w:eastAsia="Arial" w:hAnsi="Arial"/>
                <w:sz w:val="22"/>
                <w:szCs w:val="22"/>
                <w:color w:val="auto"/>
                <w:w w:val="98"/>
              </w:rPr>
              <w:t>SECTION 1501.</w:t>
            </w:r>
          </w:p>
        </w:tc>
        <w:tc>
          <w:tcPr>
            <w:tcW w:w="6420" w:type="dxa"/>
            <w:vAlign w:val="bottom"/>
          </w:tcPr>
          <w:p>
            <w:pPr>
              <w:ind w:left="160"/>
              <w:spacing w:after="0"/>
              <w:rPr>
                <w:sz w:val="20"/>
                <w:szCs w:val="20"/>
                <w:color w:val="auto"/>
              </w:rPr>
            </w:pPr>
            <w:r>
              <w:rPr>
                <w:rFonts w:ascii="Arial" w:cs="Arial" w:eastAsia="Arial" w:hAnsi="Arial"/>
                <w:sz w:val="22"/>
                <w:szCs w:val="22"/>
                <w:color w:val="auto"/>
              </w:rPr>
              <w:t>Purposes for Which Meetings May Be Called</w:t>
            </w:r>
          </w:p>
        </w:tc>
        <w:tc>
          <w:tcPr>
            <w:tcW w:w="560" w:type="dxa"/>
            <w:vAlign w:val="bottom"/>
          </w:tcPr>
          <w:p>
            <w:pPr>
              <w:jc w:val="right"/>
              <w:spacing w:after="0"/>
              <w:rPr>
                <w:sz w:val="20"/>
                <w:szCs w:val="20"/>
                <w:color w:val="auto"/>
              </w:rPr>
            </w:pPr>
            <w:r>
              <w:rPr>
                <w:rFonts w:ascii="Arial" w:cs="Arial" w:eastAsia="Arial" w:hAnsi="Arial"/>
                <w:sz w:val="22"/>
                <w:szCs w:val="22"/>
                <w:color w:val="auto"/>
              </w:rPr>
              <w:t>72</w:t>
            </w:r>
          </w:p>
        </w:tc>
      </w:tr>
    </w:tbl>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53"/>
        </w:trPr>
        <w:tc>
          <w:tcPr>
            <w:tcW w:w="8440" w:type="dxa"/>
            <w:vAlign w:val="bottom"/>
            <w:gridSpan w:val="2"/>
          </w:tcPr>
          <w:p>
            <w:pPr>
              <w:ind w:left="460"/>
              <w:spacing w:after="0"/>
              <w:rPr>
                <w:sz w:val="20"/>
                <w:szCs w:val="20"/>
                <w:color w:val="auto"/>
              </w:rPr>
            </w:pPr>
            <w:r>
              <w:rPr>
                <w:rFonts w:ascii="Arial" w:cs="Arial" w:eastAsia="Arial" w:hAnsi="Arial"/>
                <w:sz w:val="22"/>
                <w:szCs w:val="22"/>
                <w:color w:val="auto"/>
              </w:rPr>
              <w:t>SECTION 1502.   Call, Notice and Place of Meetings</w:t>
            </w:r>
          </w:p>
        </w:tc>
        <w:tc>
          <w:tcPr>
            <w:tcW w:w="58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1503.   Persons Entitled to Vote at Meetings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72</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1504.</w:t>
            </w:r>
          </w:p>
        </w:tc>
        <w:tc>
          <w:tcPr>
            <w:tcW w:w="6400" w:type="dxa"/>
            <w:vAlign w:val="bottom"/>
          </w:tcPr>
          <w:p>
            <w:pPr>
              <w:ind w:left="160"/>
              <w:spacing w:after="0" w:line="243" w:lineRule="exact"/>
              <w:rPr>
                <w:sz w:val="20"/>
                <w:szCs w:val="20"/>
                <w:color w:val="auto"/>
              </w:rPr>
            </w:pPr>
            <w:r>
              <w:rPr>
                <w:rFonts w:ascii="Arial" w:cs="Arial" w:eastAsia="Arial" w:hAnsi="Arial"/>
                <w:sz w:val="22"/>
                <w:szCs w:val="22"/>
                <w:color w:val="auto"/>
              </w:rPr>
              <w:t>Quorum; Action</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73</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1505.</w:t>
            </w:r>
          </w:p>
        </w:tc>
        <w:tc>
          <w:tcPr>
            <w:tcW w:w="6400" w:type="dxa"/>
            <w:vAlign w:val="bottom"/>
          </w:tcPr>
          <w:p>
            <w:pPr>
              <w:ind w:left="160"/>
              <w:spacing w:after="0" w:line="243" w:lineRule="exact"/>
              <w:rPr>
                <w:sz w:val="20"/>
                <w:szCs w:val="20"/>
                <w:color w:val="auto"/>
              </w:rPr>
            </w:pPr>
            <w:r>
              <w:rPr>
                <w:rFonts w:ascii="Arial" w:cs="Arial" w:eastAsia="Arial" w:hAnsi="Arial"/>
                <w:sz w:val="22"/>
                <w:szCs w:val="22"/>
                <w:color w:val="auto"/>
              </w:rPr>
              <w:t>Determination of Voting Rights; Conduct and Adjournment of</w:t>
            </w:r>
          </w:p>
        </w:tc>
        <w:tc>
          <w:tcPr>
            <w:tcW w:w="580" w:type="dxa"/>
            <w:vAlign w:val="bottom"/>
          </w:tcPr>
          <w:p>
            <w:pPr>
              <w:spacing w:after="0"/>
              <w:rPr>
                <w:sz w:val="21"/>
                <w:szCs w:val="21"/>
                <w:color w:val="auto"/>
              </w:rPr>
            </w:pPr>
          </w:p>
        </w:tc>
      </w:tr>
      <w:tr>
        <w:trPr>
          <w:trHeight w:val="243"/>
        </w:trPr>
        <w:tc>
          <w:tcPr>
            <w:tcW w:w="2040" w:type="dxa"/>
            <w:vAlign w:val="bottom"/>
          </w:tcPr>
          <w:p>
            <w:pPr>
              <w:spacing w:after="0"/>
              <w:rPr>
                <w:sz w:val="21"/>
                <w:szCs w:val="21"/>
                <w:color w:val="auto"/>
              </w:rPr>
            </w:pPr>
          </w:p>
        </w:tc>
        <w:tc>
          <w:tcPr>
            <w:tcW w:w="6400" w:type="dxa"/>
            <w:vAlign w:val="bottom"/>
          </w:tcPr>
          <w:p>
            <w:pPr>
              <w:ind w:left="160"/>
              <w:spacing w:after="0" w:line="243" w:lineRule="exact"/>
              <w:rPr>
                <w:sz w:val="20"/>
                <w:szCs w:val="20"/>
                <w:color w:val="auto"/>
              </w:rPr>
            </w:pPr>
            <w:r>
              <w:rPr>
                <w:rFonts w:ascii="Arial" w:cs="Arial" w:eastAsia="Arial" w:hAnsi="Arial"/>
                <w:sz w:val="22"/>
                <w:szCs w:val="22"/>
                <w:color w:val="auto"/>
              </w:rPr>
              <w:t>Meetings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75"/>
        </w:trPr>
        <w:tc>
          <w:tcPr>
            <w:tcW w:w="8440" w:type="dxa"/>
            <w:vAlign w:val="bottom"/>
            <w:gridSpan w:val="2"/>
          </w:tcPr>
          <w:p>
            <w:pPr>
              <w:ind w:left="460"/>
              <w:spacing w:after="0"/>
              <w:rPr>
                <w:sz w:val="20"/>
                <w:szCs w:val="20"/>
                <w:color w:val="auto"/>
              </w:rPr>
            </w:pPr>
            <w:r>
              <w:rPr>
                <w:rFonts w:ascii="Arial" w:cs="Arial" w:eastAsia="Arial" w:hAnsi="Arial"/>
                <w:sz w:val="22"/>
                <w:szCs w:val="22"/>
                <w:color w:val="auto"/>
              </w:rPr>
              <w:t>SECTION 1506.   Counting Votes and Recording Action of Meetings</w:t>
            </w:r>
          </w:p>
        </w:tc>
        <w:tc>
          <w:tcPr>
            <w:tcW w:w="58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455"/>
        </w:trPr>
        <w:tc>
          <w:tcPr>
            <w:tcW w:w="8440" w:type="dxa"/>
            <w:vAlign w:val="bottom"/>
            <w:gridSpan w:val="2"/>
          </w:tcPr>
          <w:p>
            <w:pPr>
              <w:spacing w:after="0"/>
              <w:rPr>
                <w:sz w:val="20"/>
                <w:szCs w:val="20"/>
                <w:color w:val="auto"/>
              </w:rPr>
            </w:pPr>
            <w:r>
              <w:rPr>
                <w:rFonts w:ascii="Arial" w:cs="Arial" w:eastAsia="Arial" w:hAnsi="Arial"/>
                <w:sz w:val="22"/>
                <w:szCs w:val="22"/>
                <w:color w:val="auto"/>
              </w:rPr>
              <w:t>ARTICLE SIXTEEN - SUBORDINATION OF SECURITIES</w:t>
            </w:r>
          </w:p>
        </w:tc>
        <w:tc>
          <w:tcPr>
            <w:tcW w:w="58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1601.   Agreement to Subordinate</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1602.   Payment Over of Proceeds upon Dissolution, Etc</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1603.   No Payment When Senior Indebtedness in Default</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1604.   Reliance by Senior Indebtedness on Subordination Provisions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77</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1605.   Subrogation to Rights of Holders of Senior Indebtedness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77</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1606.   Provisions Solely to Define Relative Rights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78</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1607.   Trustee to Effectuate Subordination</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78</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1608.   No Waiver of Subordination Provisions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78</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1609.</w:t>
            </w:r>
          </w:p>
        </w:tc>
        <w:tc>
          <w:tcPr>
            <w:tcW w:w="6400" w:type="dxa"/>
            <w:vAlign w:val="bottom"/>
          </w:tcPr>
          <w:p>
            <w:pPr>
              <w:ind w:left="160"/>
              <w:spacing w:after="0" w:line="243" w:lineRule="exact"/>
              <w:rPr>
                <w:sz w:val="20"/>
                <w:szCs w:val="20"/>
                <w:color w:val="auto"/>
              </w:rPr>
            </w:pPr>
            <w:r>
              <w:rPr>
                <w:rFonts w:ascii="Arial" w:cs="Arial" w:eastAsia="Arial" w:hAnsi="Arial"/>
                <w:sz w:val="22"/>
                <w:szCs w:val="22"/>
                <w:color w:val="auto"/>
              </w:rPr>
              <w:t>Notice to Trustee</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1610.   Reliance on Judicial Order or Certificate of Liquidating Agent</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1611.   Trustee Not Fiduciary for Holders of Senior Indebtedness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1612.</w:t>
            </w:r>
          </w:p>
        </w:tc>
        <w:tc>
          <w:tcPr>
            <w:tcW w:w="6400" w:type="dxa"/>
            <w:vAlign w:val="bottom"/>
          </w:tcPr>
          <w:p>
            <w:pPr>
              <w:ind w:left="160"/>
              <w:spacing w:after="0" w:line="243" w:lineRule="exact"/>
              <w:rPr>
                <w:sz w:val="20"/>
                <w:szCs w:val="20"/>
                <w:color w:val="auto"/>
              </w:rPr>
            </w:pPr>
            <w:r>
              <w:rPr>
                <w:rFonts w:ascii="Arial" w:cs="Arial" w:eastAsia="Arial" w:hAnsi="Arial"/>
                <w:sz w:val="22"/>
                <w:szCs w:val="22"/>
                <w:color w:val="auto"/>
                <w:w w:val="94"/>
              </w:rPr>
              <w:t>Rights of Trustee as Holder of Senior Indebtedness; Preservation of</w:t>
            </w:r>
          </w:p>
        </w:tc>
        <w:tc>
          <w:tcPr>
            <w:tcW w:w="580" w:type="dxa"/>
            <w:vAlign w:val="bottom"/>
          </w:tcPr>
          <w:p>
            <w:pPr>
              <w:spacing w:after="0"/>
              <w:rPr>
                <w:sz w:val="21"/>
                <w:szCs w:val="21"/>
                <w:color w:val="auto"/>
              </w:rPr>
            </w:pPr>
          </w:p>
        </w:tc>
      </w:tr>
      <w:tr>
        <w:trPr>
          <w:trHeight w:val="243"/>
        </w:trPr>
        <w:tc>
          <w:tcPr>
            <w:tcW w:w="2040" w:type="dxa"/>
            <w:vAlign w:val="bottom"/>
          </w:tcPr>
          <w:p>
            <w:pPr>
              <w:spacing w:after="0"/>
              <w:rPr>
                <w:sz w:val="21"/>
                <w:szCs w:val="21"/>
                <w:color w:val="auto"/>
              </w:rPr>
            </w:pPr>
          </w:p>
        </w:tc>
        <w:tc>
          <w:tcPr>
            <w:tcW w:w="6400" w:type="dxa"/>
            <w:vAlign w:val="bottom"/>
          </w:tcPr>
          <w:p>
            <w:pPr>
              <w:ind w:left="160"/>
              <w:spacing w:after="0" w:line="243" w:lineRule="exact"/>
              <w:rPr>
                <w:sz w:val="20"/>
                <w:szCs w:val="20"/>
                <w:color w:val="auto"/>
              </w:rPr>
            </w:pPr>
            <w:r>
              <w:rPr>
                <w:rFonts w:ascii="Arial" w:cs="Arial" w:eastAsia="Arial" w:hAnsi="Arial"/>
                <w:sz w:val="22"/>
                <w:szCs w:val="22"/>
                <w:color w:val="auto"/>
              </w:rPr>
              <w:t>Trustee’s Rights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75"/>
        </w:trPr>
        <w:tc>
          <w:tcPr>
            <w:tcW w:w="8440" w:type="dxa"/>
            <w:vAlign w:val="bottom"/>
            <w:gridSpan w:val="2"/>
          </w:tcPr>
          <w:p>
            <w:pPr>
              <w:ind w:left="460"/>
              <w:spacing w:after="0"/>
              <w:rPr>
                <w:sz w:val="20"/>
                <w:szCs w:val="20"/>
                <w:color w:val="auto"/>
              </w:rPr>
            </w:pPr>
            <w:r>
              <w:rPr>
                <w:rFonts w:ascii="Arial" w:cs="Arial" w:eastAsia="Arial" w:hAnsi="Arial"/>
                <w:sz w:val="22"/>
                <w:szCs w:val="22"/>
                <w:color w:val="auto"/>
              </w:rPr>
              <w:t>SECTION 1613.   Article Applicable to Paying Agents</w:t>
            </w:r>
          </w:p>
        </w:tc>
        <w:tc>
          <w:tcPr>
            <w:tcW w:w="58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455"/>
        </w:trPr>
        <w:tc>
          <w:tcPr>
            <w:tcW w:w="8440" w:type="dxa"/>
            <w:vAlign w:val="bottom"/>
            <w:gridSpan w:val="2"/>
          </w:tcPr>
          <w:p>
            <w:pPr>
              <w:spacing w:after="0"/>
              <w:rPr>
                <w:sz w:val="20"/>
                <w:szCs w:val="20"/>
                <w:color w:val="auto"/>
              </w:rPr>
            </w:pPr>
            <w:r>
              <w:rPr>
                <w:rFonts w:ascii="Arial" w:cs="Arial" w:eastAsia="Arial" w:hAnsi="Arial"/>
                <w:sz w:val="22"/>
                <w:szCs w:val="22"/>
                <w:color w:val="auto"/>
              </w:rPr>
              <w:t>ARTICLE SEVENTEEN - CONVERSION OF SECURITIES</w:t>
            </w:r>
          </w:p>
        </w:tc>
        <w:tc>
          <w:tcPr>
            <w:tcW w:w="58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97"/>
              </w:rPr>
              <w:t>SECTION 1701.   Applicability of Article; Conversion Privilege and Conversion Price</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1702.   Exercise of Conversion Privilege</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1703.</w:t>
            </w:r>
          </w:p>
        </w:tc>
        <w:tc>
          <w:tcPr>
            <w:tcW w:w="6400" w:type="dxa"/>
            <w:vAlign w:val="bottom"/>
          </w:tcPr>
          <w:p>
            <w:pPr>
              <w:ind w:left="160"/>
              <w:spacing w:after="0" w:line="243" w:lineRule="exact"/>
              <w:rPr>
                <w:sz w:val="20"/>
                <w:szCs w:val="20"/>
                <w:color w:val="auto"/>
              </w:rPr>
            </w:pPr>
            <w:r>
              <w:rPr>
                <w:rFonts w:ascii="Arial" w:cs="Arial" w:eastAsia="Arial" w:hAnsi="Arial"/>
                <w:sz w:val="22"/>
                <w:szCs w:val="22"/>
                <w:color w:val="auto"/>
              </w:rPr>
              <w:t>Fractions of Shares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82</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1704.   Adjustment of Conversion Price</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82</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1705.   Notice of Adjustments of Conversion Price</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1706.   Notice of Certain Corporate Action</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1707.   Company to Reserve Common Stock</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87</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1708.   Taxes on Conversion</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87</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1709.   Covenants as to Common Stock</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87</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1710.   Cancellation of Converted Securities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87</w:t>
            </w:r>
          </w:p>
        </w:tc>
      </w:tr>
      <w:tr>
        <w:trPr>
          <w:trHeight w:val="243"/>
        </w:trPr>
        <w:tc>
          <w:tcPr>
            <w:tcW w:w="2040" w:type="dxa"/>
            <w:vAlign w:val="bottom"/>
          </w:tcPr>
          <w:p>
            <w:pPr>
              <w:ind w:left="460"/>
              <w:spacing w:after="0" w:line="243" w:lineRule="exact"/>
              <w:rPr>
                <w:sz w:val="20"/>
                <w:szCs w:val="20"/>
                <w:color w:val="auto"/>
              </w:rPr>
            </w:pPr>
            <w:r>
              <w:rPr>
                <w:rFonts w:ascii="Arial" w:cs="Arial" w:eastAsia="Arial" w:hAnsi="Arial"/>
                <w:sz w:val="22"/>
                <w:szCs w:val="22"/>
                <w:color w:val="auto"/>
                <w:w w:val="98"/>
              </w:rPr>
              <w:t>SECTION 1711.</w:t>
            </w:r>
          </w:p>
        </w:tc>
        <w:tc>
          <w:tcPr>
            <w:tcW w:w="6400" w:type="dxa"/>
            <w:vAlign w:val="bottom"/>
          </w:tcPr>
          <w:p>
            <w:pPr>
              <w:ind w:left="160"/>
              <w:spacing w:after="0" w:line="243" w:lineRule="exact"/>
              <w:rPr>
                <w:sz w:val="20"/>
                <w:szCs w:val="20"/>
                <w:color w:val="auto"/>
              </w:rPr>
            </w:pPr>
            <w:r>
              <w:rPr>
                <w:rFonts w:ascii="Arial" w:cs="Arial" w:eastAsia="Arial" w:hAnsi="Arial"/>
                <w:sz w:val="22"/>
                <w:szCs w:val="22"/>
                <w:color w:val="auto"/>
              </w:rPr>
              <w:t>Provisions in Case of Consolidation, Merger or Sale of Assets;</w:t>
            </w:r>
          </w:p>
        </w:tc>
        <w:tc>
          <w:tcPr>
            <w:tcW w:w="580" w:type="dxa"/>
            <w:vAlign w:val="bottom"/>
          </w:tcPr>
          <w:p>
            <w:pPr>
              <w:spacing w:after="0"/>
              <w:rPr>
                <w:sz w:val="21"/>
                <w:szCs w:val="21"/>
                <w:color w:val="auto"/>
              </w:rPr>
            </w:pPr>
          </w:p>
        </w:tc>
      </w:tr>
      <w:tr>
        <w:trPr>
          <w:trHeight w:val="243"/>
        </w:trPr>
        <w:tc>
          <w:tcPr>
            <w:tcW w:w="2040" w:type="dxa"/>
            <w:vAlign w:val="bottom"/>
          </w:tcPr>
          <w:p>
            <w:pPr>
              <w:spacing w:after="0"/>
              <w:rPr>
                <w:sz w:val="21"/>
                <w:szCs w:val="21"/>
                <w:color w:val="auto"/>
              </w:rPr>
            </w:pPr>
          </w:p>
        </w:tc>
        <w:tc>
          <w:tcPr>
            <w:tcW w:w="6400" w:type="dxa"/>
            <w:vAlign w:val="bottom"/>
          </w:tcPr>
          <w:p>
            <w:pPr>
              <w:ind w:left="160"/>
              <w:spacing w:after="0" w:line="243" w:lineRule="exact"/>
              <w:rPr>
                <w:sz w:val="20"/>
                <w:szCs w:val="20"/>
                <w:color w:val="auto"/>
              </w:rPr>
            </w:pPr>
            <w:r>
              <w:rPr>
                <w:rFonts w:ascii="Arial" w:cs="Arial" w:eastAsia="Arial" w:hAnsi="Arial"/>
                <w:sz w:val="22"/>
                <w:szCs w:val="22"/>
                <w:color w:val="auto"/>
              </w:rPr>
              <w:t>Special Distributions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87</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1712.   Trustee Adjustment Disclaimer; Company Determination Final</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43"/>
        </w:trPr>
        <w:tc>
          <w:tcPr>
            <w:tcW w:w="84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SECTION 1713.   When No Adjustment Required</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75"/>
        </w:trPr>
        <w:tc>
          <w:tcPr>
            <w:tcW w:w="2040" w:type="dxa"/>
            <w:vAlign w:val="bottom"/>
          </w:tcPr>
          <w:p>
            <w:pPr>
              <w:ind w:left="460"/>
              <w:spacing w:after="0"/>
              <w:rPr>
                <w:sz w:val="20"/>
                <w:szCs w:val="20"/>
                <w:color w:val="auto"/>
              </w:rPr>
            </w:pPr>
            <w:r>
              <w:rPr>
                <w:rFonts w:ascii="Arial" w:cs="Arial" w:eastAsia="Arial" w:hAnsi="Arial"/>
                <w:sz w:val="22"/>
                <w:szCs w:val="22"/>
                <w:color w:val="auto"/>
                <w:w w:val="98"/>
              </w:rPr>
              <w:t>SECTION 1714.</w:t>
            </w:r>
          </w:p>
        </w:tc>
        <w:tc>
          <w:tcPr>
            <w:tcW w:w="6400" w:type="dxa"/>
            <w:vAlign w:val="bottom"/>
          </w:tcPr>
          <w:p>
            <w:pPr>
              <w:ind w:left="160"/>
              <w:spacing w:after="0"/>
              <w:rPr>
                <w:sz w:val="20"/>
                <w:szCs w:val="20"/>
                <w:color w:val="auto"/>
              </w:rPr>
            </w:pPr>
            <w:r>
              <w:rPr>
                <w:rFonts w:ascii="Arial" w:cs="Arial" w:eastAsia="Arial" w:hAnsi="Arial"/>
                <w:sz w:val="22"/>
                <w:szCs w:val="22"/>
                <w:color w:val="auto"/>
              </w:rPr>
              <w:t>Equivalent Adjustments</w:t>
            </w:r>
          </w:p>
        </w:tc>
        <w:tc>
          <w:tcPr>
            <w:tcW w:w="580" w:type="dxa"/>
            <w:vAlign w:val="bottom"/>
          </w:tcPr>
          <w:p>
            <w:pPr>
              <w:jc w:val="right"/>
              <w:spacing w:after="0"/>
              <w:rPr>
                <w:sz w:val="20"/>
                <w:szCs w:val="20"/>
                <w:color w:val="auto"/>
              </w:rPr>
            </w:pPr>
            <w:r>
              <w:rPr>
                <w:rFonts w:ascii="Arial" w:cs="Arial" w:eastAsia="Arial" w:hAnsi="Arial"/>
                <w:sz w:val="22"/>
                <w:szCs w:val="22"/>
                <w:color w:val="auto"/>
              </w:rPr>
              <w:t>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158" w:name="page159"/>
    <w:bookmarkEnd w:id="158"/>
    <w:p>
      <w:pPr>
        <w:jc w:val="center"/>
        <w:ind w:right="-20"/>
        <w:spacing w:after="0"/>
        <w:rPr>
          <w:sz w:val="20"/>
          <w:szCs w:val="20"/>
          <w:color w:val="auto"/>
        </w:rPr>
      </w:pPr>
      <w:r>
        <w:rPr>
          <w:rFonts w:ascii="Arial" w:cs="Arial" w:eastAsia="Arial" w:hAnsi="Arial"/>
          <w:sz w:val="22"/>
          <w:szCs w:val="22"/>
          <w:color w:val="auto"/>
        </w:rPr>
        <w:t>BLUEPRINT MEDICINES CORPORATION</w:t>
      </w:r>
    </w:p>
    <w:p>
      <w:pPr>
        <w:spacing w:after="0" w:line="206" w:lineRule="exact"/>
        <w:rPr>
          <w:sz w:val="20"/>
          <w:szCs w:val="20"/>
          <w:color w:val="auto"/>
        </w:rPr>
      </w:pPr>
    </w:p>
    <w:p>
      <w:pPr>
        <w:ind w:right="819" w:firstLine="648"/>
        <w:spacing w:after="0" w:line="274" w:lineRule="auto"/>
        <w:rPr>
          <w:sz w:val="20"/>
          <w:szCs w:val="20"/>
          <w:color w:val="auto"/>
        </w:rPr>
      </w:pPr>
      <w:r>
        <w:rPr>
          <w:rFonts w:ascii="Arial" w:cs="Arial" w:eastAsia="Arial" w:hAnsi="Arial"/>
          <w:sz w:val="21"/>
          <w:szCs w:val="21"/>
          <w:color w:val="auto"/>
        </w:rPr>
        <w:t>Reconciliation and tie between the Trust Indenture Act of 1939, as amended (the “Trust Indenture Act” or “TIA”) and the Indenture, dated as of __________, 20__.</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40" w:type="dxa"/>
            <w:vAlign w:val="bottom"/>
            <w:gridSpan w:val="4"/>
          </w:tcPr>
          <w:p>
            <w:pPr>
              <w:spacing w:after="0"/>
              <w:rPr>
                <w:sz w:val="20"/>
                <w:szCs w:val="20"/>
                <w:color w:val="auto"/>
              </w:rPr>
            </w:pPr>
            <w:r>
              <w:rPr>
                <w:rFonts w:ascii="Arial" w:cs="Arial" w:eastAsia="Arial" w:hAnsi="Arial"/>
                <w:sz w:val="22"/>
                <w:szCs w:val="22"/>
                <w:color w:val="auto"/>
              </w:rPr>
              <w:t>Trust Indenture</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5"/>
        </w:trPr>
        <w:tc>
          <w:tcPr>
            <w:tcW w:w="1160" w:type="dxa"/>
            <w:vAlign w:val="bottom"/>
          </w:tcPr>
          <w:p>
            <w:pPr>
              <w:spacing w:after="0"/>
              <w:rPr>
                <w:sz w:val="20"/>
                <w:szCs w:val="20"/>
                <w:color w:val="auto"/>
              </w:rPr>
            </w:pPr>
            <w:r>
              <w:rPr>
                <w:rFonts w:ascii="Arial" w:cs="Arial" w:eastAsia="Arial" w:hAnsi="Arial"/>
                <w:sz w:val="22"/>
                <w:szCs w:val="22"/>
                <w:color w:val="auto"/>
              </w:rPr>
              <w:t>Act Section</w:t>
            </w:r>
          </w:p>
        </w:tc>
        <w:tc>
          <w:tcPr>
            <w:tcW w:w="1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380" w:type="dxa"/>
            <w:vAlign w:val="bottom"/>
            <w:gridSpan w:val="3"/>
          </w:tcPr>
          <w:p>
            <w:pPr>
              <w:ind w:left="740"/>
              <w:spacing w:after="0"/>
              <w:rPr>
                <w:sz w:val="20"/>
                <w:szCs w:val="20"/>
                <w:color w:val="auto"/>
              </w:rPr>
            </w:pPr>
            <w:r>
              <w:rPr>
                <w:rFonts w:ascii="Arial" w:cs="Arial" w:eastAsia="Arial" w:hAnsi="Arial"/>
                <w:sz w:val="22"/>
                <w:szCs w:val="22"/>
                <w:color w:val="auto"/>
              </w:rPr>
              <w:t>Indenture Section</w:t>
            </w:r>
          </w:p>
        </w:tc>
      </w:tr>
      <w:tr>
        <w:trPr>
          <w:trHeight w:val="237"/>
        </w:trPr>
        <w:tc>
          <w:tcPr>
            <w:tcW w:w="1160" w:type="dxa"/>
            <w:vAlign w:val="bottom"/>
            <w:tcBorders>
              <w:top w:val="single" w:sz="8" w:color="auto"/>
            </w:tcBorders>
            <w:shd w:val="clear" w:color="auto" w:fill="CCEEFF"/>
          </w:tcPr>
          <w:p>
            <w:pPr>
              <w:spacing w:after="0" w:line="237" w:lineRule="exact"/>
              <w:rPr>
                <w:sz w:val="20"/>
                <w:szCs w:val="20"/>
                <w:color w:val="auto"/>
              </w:rPr>
            </w:pPr>
            <w:r>
              <w:rPr>
                <w:rFonts w:ascii="Arial" w:cs="Arial" w:eastAsia="Arial" w:hAnsi="Arial"/>
                <w:sz w:val="22"/>
                <w:szCs w:val="22"/>
                <w:color w:val="auto"/>
              </w:rPr>
              <w:t>§ 310(a)(1)</w:t>
            </w:r>
          </w:p>
        </w:tc>
        <w:tc>
          <w:tcPr>
            <w:tcW w:w="1120" w:type="dxa"/>
            <w:vAlign w:val="bottom"/>
            <w:tcBorders>
              <w:top w:val="single" w:sz="8" w:color="auto"/>
            </w:tcBorders>
            <w:shd w:val="clear" w:color="auto" w:fill="CCEEFF"/>
          </w:tcPr>
          <w:p>
            <w:pPr>
              <w:spacing w:after="0"/>
              <w:rPr>
                <w:sz w:val="20"/>
                <w:szCs w:val="20"/>
                <w:color w:val="auto"/>
              </w:rPr>
            </w:pPr>
          </w:p>
        </w:tc>
        <w:tc>
          <w:tcPr>
            <w:tcW w:w="15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3020" w:type="dxa"/>
            <w:vAlign w:val="bottom"/>
            <w:tcBorders>
              <w:top w:val="single" w:sz="8" w:color="auto"/>
            </w:tcBorders>
            <w:shd w:val="clear" w:color="auto" w:fill="CCEEFF"/>
          </w:tcPr>
          <w:p>
            <w:pPr>
              <w:ind w:left="1300"/>
              <w:spacing w:after="0" w:line="237" w:lineRule="exact"/>
              <w:rPr>
                <w:sz w:val="20"/>
                <w:szCs w:val="20"/>
                <w:color w:val="auto"/>
              </w:rPr>
            </w:pPr>
            <w:r>
              <w:rPr>
                <w:rFonts w:ascii="Arial" w:cs="Arial" w:eastAsia="Arial" w:hAnsi="Arial"/>
                <w:sz w:val="22"/>
                <w:szCs w:val="22"/>
                <w:color w:val="auto"/>
              </w:rPr>
              <w:t>607</w:t>
            </w:r>
          </w:p>
        </w:tc>
        <w:tc>
          <w:tcPr>
            <w:tcW w:w="180" w:type="dxa"/>
            <w:vAlign w:val="bottom"/>
            <w:tcBorders>
              <w:top w:val="single" w:sz="8" w:color="CCEEFF"/>
            </w:tcBorders>
            <w:shd w:val="clear" w:color="auto" w:fill="CCEEFF"/>
          </w:tcPr>
          <w:p>
            <w:pPr>
              <w:spacing w:after="0"/>
              <w:rPr>
                <w:sz w:val="20"/>
                <w:szCs w:val="20"/>
                <w:color w:val="auto"/>
              </w:rPr>
            </w:pPr>
          </w:p>
        </w:tc>
        <w:tc>
          <w:tcPr>
            <w:tcW w:w="1180" w:type="dxa"/>
            <w:vAlign w:val="bottom"/>
          </w:tcPr>
          <w:p>
            <w:pPr>
              <w:spacing w:after="0"/>
              <w:rPr>
                <w:sz w:val="20"/>
                <w:szCs w:val="20"/>
                <w:color w:val="auto"/>
              </w:rPr>
            </w:pPr>
          </w:p>
        </w:tc>
      </w:tr>
      <w:tr>
        <w:trPr>
          <w:trHeight w:val="243"/>
        </w:trPr>
        <w:tc>
          <w:tcPr>
            <w:tcW w:w="1160" w:type="dxa"/>
            <w:vAlign w:val="bottom"/>
          </w:tcPr>
          <w:p>
            <w:pPr>
              <w:spacing w:after="0" w:line="243" w:lineRule="exact"/>
              <w:rPr>
                <w:sz w:val="20"/>
                <w:szCs w:val="20"/>
                <w:color w:val="auto"/>
              </w:rPr>
            </w:pPr>
            <w:r>
              <w:rPr>
                <w:rFonts w:ascii="Arial" w:cs="Arial" w:eastAsia="Arial" w:hAnsi="Arial"/>
                <w:sz w:val="22"/>
                <w:szCs w:val="22"/>
                <w:color w:val="auto"/>
              </w:rPr>
              <w:t>(a)(2)</w:t>
            </w:r>
          </w:p>
        </w:tc>
        <w:tc>
          <w:tcPr>
            <w:tcW w:w="1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20" w:type="dxa"/>
            <w:vAlign w:val="bottom"/>
          </w:tcPr>
          <w:p>
            <w:pPr>
              <w:ind w:left="1300"/>
              <w:spacing w:after="0" w:line="243" w:lineRule="exact"/>
              <w:rPr>
                <w:sz w:val="20"/>
                <w:szCs w:val="20"/>
                <w:color w:val="auto"/>
              </w:rPr>
            </w:pPr>
            <w:r>
              <w:rPr>
                <w:rFonts w:ascii="Arial" w:cs="Arial" w:eastAsia="Arial" w:hAnsi="Arial"/>
                <w:sz w:val="22"/>
                <w:szCs w:val="22"/>
                <w:color w:val="auto"/>
              </w:rPr>
              <w:t>607</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(b)</w:t>
            </w:r>
          </w:p>
        </w:tc>
        <w:tc>
          <w:tcPr>
            <w:tcW w:w="1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20" w:type="dxa"/>
            <w:vAlign w:val="bottom"/>
            <w:shd w:val="clear" w:color="auto" w:fill="CCEEFF"/>
          </w:tcPr>
          <w:p>
            <w:pPr>
              <w:ind w:left="1300"/>
              <w:spacing w:after="0" w:line="243" w:lineRule="exact"/>
              <w:rPr>
                <w:sz w:val="20"/>
                <w:szCs w:val="20"/>
                <w:color w:val="auto"/>
              </w:rPr>
            </w:pPr>
            <w:r>
              <w:rPr>
                <w:rFonts w:ascii="Arial" w:cs="Arial" w:eastAsia="Arial" w:hAnsi="Arial"/>
                <w:sz w:val="22"/>
                <w:szCs w:val="22"/>
                <w:color w:val="auto"/>
              </w:rPr>
              <w:t>607,608</w:t>
            </w:r>
          </w:p>
        </w:tc>
        <w:tc>
          <w:tcPr>
            <w:tcW w:w="180" w:type="dxa"/>
            <w:vAlign w:val="bottom"/>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Arial" w:cs="Arial" w:eastAsia="Arial" w:hAnsi="Arial"/>
                <w:sz w:val="22"/>
                <w:szCs w:val="22"/>
                <w:color w:val="auto"/>
              </w:rPr>
              <w:t>§ 312(c)</w:t>
            </w:r>
          </w:p>
        </w:tc>
        <w:tc>
          <w:tcPr>
            <w:tcW w:w="1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20" w:type="dxa"/>
            <w:vAlign w:val="bottom"/>
          </w:tcPr>
          <w:p>
            <w:pPr>
              <w:ind w:left="1300"/>
              <w:spacing w:after="0" w:line="243" w:lineRule="exact"/>
              <w:rPr>
                <w:sz w:val="20"/>
                <w:szCs w:val="20"/>
                <w:color w:val="auto"/>
              </w:rPr>
            </w:pPr>
            <w:r>
              <w:rPr>
                <w:rFonts w:ascii="Arial" w:cs="Arial" w:eastAsia="Arial" w:hAnsi="Arial"/>
                <w:sz w:val="22"/>
                <w:szCs w:val="22"/>
                <w:color w:val="auto"/>
              </w:rPr>
              <w:t>701</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 313(a)</w:t>
            </w:r>
          </w:p>
        </w:tc>
        <w:tc>
          <w:tcPr>
            <w:tcW w:w="1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20" w:type="dxa"/>
            <w:vAlign w:val="bottom"/>
            <w:shd w:val="clear" w:color="auto" w:fill="CCEEFF"/>
          </w:tcPr>
          <w:p>
            <w:pPr>
              <w:ind w:left="1300"/>
              <w:spacing w:after="0" w:line="243" w:lineRule="exact"/>
              <w:rPr>
                <w:sz w:val="20"/>
                <w:szCs w:val="20"/>
                <w:color w:val="auto"/>
              </w:rPr>
            </w:pPr>
            <w:r>
              <w:rPr>
                <w:rFonts w:ascii="Arial" w:cs="Arial" w:eastAsia="Arial" w:hAnsi="Arial"/>
                <w:sz w:val="22"/>
                <w:szCs w:val="22"/>
                <w:color w:val="auto"/>
              </w:rPr>
              <w:t>702</w:t>
            </w:r>
          </w:p>
        </w:tc>
        <w:tc>
          <w:tcPr>
            <w:tcW w:w="180" w:type="dxa"/>
            <w:vAlign w:val="bottom"/>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Arial" w:cs="Arial" w:eastAsia="Arial" w:hAnsi="Arial"/>
                <w:sz w:val="22"/>
                <w:szCs w:val="22"/>
                <w:color w:val="auto"/>
              </w:rPr>
              <w:t>(c)</w:t>
            </w:r>
          </w:p>
        </w:tc>
        <w:tc>
          <w:tcPr>
            <w:tcW w:w="1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20" w:type="dxa"/>
            <w:vAlign w:val="bottom"/>
          </w:tcPr>
          <w:p>
            <w:pPr>
              <w:ind w:left="1300"/>
              <w:spacing w:after="0" w:line="243" w:lineRule="exact"/>
              <w:rPr>
                <w:sz w:val="20"/>
                <w:szCs w:val="20"/>
                <w:color w:val="auto"/>
              </w:rPr>
            </w:pPr>
            <w:r>
              <w:rPr>
                <w:rFonts w:ascii="Arial" w:cs="Arial" w:eastAsia="Arial" w:hAnsi="Arial"/>
                <w:sz w:val="22"/>
                <w:szCs w:val="22"/>
                <w:color w:val="auto"/>
              </w:rPr>
              <w:t>702</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 314(a)</w:t>
            </w:r>
          </w:p>
        </w:tc>
        <w:tc>
          <w:tcPr>
            <w:tcW w:w="1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20" w:type="dxa"/>
            <w:vAlign w:val="bottom"/>
            <w:shd w:val="clear" w:color="auto" w:fill="CCEEFF"/>
          </w:tcPr>
          <w:p>
            <w:pPr>
              <w:ind w:left="1300"/>
              <w:spacing w:after="0" w:line="243" w:lineRule="exact"/>
              <w:rPr>
                <w:sz w:val="20"/>
                <w:szCs w:val="20"/>
                <w:color w:val="auto"/>
              </w:rPr>
            </w:pPr>
            <w:r>
              <w:rPr>
                <w:rFonts w:ascii="Arial" w:cs="Arial" w:eastAsia="Arial" w:hAnsi="Arial"/>
                <w:sz w:val="22"/>
                <w:szCs w:val="22"/>
                <w:color w:val="auto"/>
              </w:rPr>
              <w:t>703</w:t>
            </w:r>
          </w:p>
        </w:tc>
        <w:tc>
          <w:tcPr>
            <w:tcW w:w="180" w:type="dxa"/>
            <w:vAlign w:val="bottom"/>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Arial" w:cs="Arial" w:eastAsia="Arial" w:hAnsi="Arial"/>
                <w:sz w:val="22"/>
                <w:szCs w:val="22"/>
                <w:color w:val="auto"/>
              </w:rPr>
              <w:t>(a)(4)</w:t>
            </w:r>
          </w:p>
        </w:tc>
        <w:tc>
          <w:tcPr>
            <w:tcW w:w="1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20" w:type="dxa"/>
            <w:vAlign w:val="bottom"/>
          </w:tcPr>
          <w:p>
            <w:pPr>
              <w:ind w:left="1300"/>
              <w:spacing w:after="0" w:line="243" w:lineRule="exact"/>
              <w:rPr>
                <w:sz w:val="20"/>
                <w:szCs w:val="20"/>
                <w:color w:val="auto"/>
              </w:rPr>
            </w:pPr>
            <w:r>
              <w:rPr>
                <w:rFonts w:ascii="Arial" w:cs="Arial" w:eastAsia="Arial" w:hAnsi="Arial"/>
                <w:sz w:val="22"/>
                <w:szCs w:val="22"/>
                <w:color w:val="auto"/>
              </w:rPr>
              <w:t>1008</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(c)(1)</w:t>
            </w:r>
          </w:p>
        </w:tc>
        <w:tc>
          <w:tcPr>
            <w:tcW w:w="1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20" w:type="dxa"/>
            <w:vAlign w:val="bottom"/>
            <w:shd w:val="clear" w:color="auto" w:fill="CCEEFF"/>
          </w:tcPr>
          <w:p>
            <w:pPr>
              <w:ind w:left="1300"/>
              <w:spacing w:after="0" w:line="243" w:lineRule="exact"/>
              <w:rPr>
                <w:sz w:val="20"/>
                <w:szCs w:val="20"/>
                <w:color w:val="auto"/>
              </w:rPr>
            </w:pPr>
            <w:r>
              <w:rPr>
                <w:rFonts w:ascii="Arial" w:cs="Arial" w:eastAsia="Arial" w:hAnsi="Arial"/>
                <w:sz w:val="22"/>
                <w:szCs w:val="22"/>
                <w:color w:val="auto"/>
              </w:rPr>
              <w:t>102</w:t>
            </w:r>
          </w:p>
        </w:tc>
        <w:tc>
          <w:tcPr>
            <w:tcW w:w="180" w:type="dxa"/>
            <w:vAlign w:val="bottom"/>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Arial" w:cs="Arial" w:eastAsia="Arial" w:hAnsi="Arial"/>
                <w:sz w:val="22"/>
                <w:szCs w:val="22"/>
                <w:color w:val="auto"/>
              </w:rPr>
              <w:t>(c)(2)</w:t>
            </w:r>
          </w:p>
        </w:tc>
        <w:tc>
          <w:tcPr>
            <w:tcW w:w="1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20" w:type="dxa"/>
            <w:vAlign w:val="bottom"/>
          </w:tcPr>
          <w:p>
            <w:pPr>
              <w:ind w:left="1300"/>
              <w:spacing w:after="0" w:line="243" w:lineRule="exact"/>
              <w:rPr>
                <w:sz w:val="20"/>
                <w:szCs w:val="20"/>
                <w:color w:val="auto"/>
              </w:rPr>
            </w:pPr>
            <w:r>
              <w:rPr>
                <w:rFonts w:ascii="Arial" w:cs="Arial" w:eastAsia="Arial" w:hAnsi="Arial"/>
                <w:sz w:val="22"/>
                <w:szCs w:val="22"/>
                <w:color w:val="auto"/>
              </w:rPr>
              <w:t>102</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(e)</w:t>
            </w:r>
          </w:p>
        </w:tc>
        <w:tc>
          <w:tcPr>
            <w:tcW w:w="1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20" w:type="dxa"/>
            <w:vAlign w:val="bottom"/>
            <w:shd w:val="clear" w:color="auto" w:fill="CCEEFF"/>
          </w:tcPr>
          <w:p>
            <w:pPr>
              <w:ind w:left="1300"/>
              <w:spacing w:after="0" w:line="243" w:lineRule="exact"/>
              <w:rPr>
                <w:sz w:val="20"/>
                <w:szCs w:val="20"/>
                <w:color w:val="auto"/>
              </w:rPr>
            </w:pPr>
            <w:r>
              <w:rPr>
                <w:rFonts w:ascii="Arial" w:cs="Arial" w:eastAsia="Arial" w:hAnsi="Arial"/>
                <w:sz w:val="22"/>
                <w:szCs w:val="22"/>
                <w:color w:val="auto"/>
              </w:rPr>
              <w:t>102</w:t>
            </w:r>
          </w:p>
        </w:tc>
        <w:tc>
          <w:tcPr>
            <w:tcW w:w="180" w:type="dxa"/>
            <w:vAlign w:val="bottom"/>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Arial" w:cs="Arial" w:eastAsia="Arial" w:hAnsi="Arial"/>
                <w:sz w:val="22"/>
                <w:szCs w:val="22"/>
                <w:color w:val="auto"/>
              </w:rPr>
              <w:t>§ 315(b)</w:t>
            </w:r>
          </w:p>
        </w:tc>
        <w:tc>
          <w:tcPr>
            <w:tcW w:w="1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20" w:type="dxa"/>
            <w:vAlign w:val="bottom"/>
          </w:tcPr>
          <w:p>
            <w:pPr>
              <w:ind w:left="1300"/>
              <w:spacing w:after="0" w:line="243" w:lineRule="exact"/>
              <w:rPr>
                <w:sz w:val="20"/>
                <w:szCs w:val="20"/>
                <w:color w:val="auto"/>
              </w:rPr>
            </w:pPr>
            <w:r>
              <w:rPr>
                <w:rFonts w:ascii="Arial" w:cs="Arial" w:eastAsia="Arial" w:hAnsi="Arial"/>
                <w:sz w:val="22"/>
                <w:szCs w:val="22"/>
                <w:color w:val="auto"/>
              </w:rPr>
              <w:t>601</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4040" w:type="dxa"/>
            <w:vAlign w:val="bottom"/>
            <w:gridSpan w:val="4"/>
            <w:shd w:val="clear" w:color="auto" w:fill="CCEEFF"/>
          </w:tcPr>
          <w:p>
            <w:pPr>
              <w:spacing w:after="0" w:line="243" w:lineRule="exact"/>
              <w:rPr>
                <w:sz w:val="20"/>
                <w:szCs w:val="20"/>
                <w:color w:val="auto"/>
              </w:rPr>
            </w:pPr>
            <w:r>
              <w:rPr>
                <w:rFonts w:ascii="Arial" w:cs="Arial" w:eastAsia="Arial" w:hAnsi="Arial"/>
                <w:sz w:val="22"/>
                <w:szCs w:val="22"/>
                <w:color w:val="auto"/>
              </w:rPr>
              <w:t>§ 316(a) (last sentence)</w:t>
            </w:r>
          </w:p>
        </w:tc>
        <w:tc>
          <w:tcPr>
            <w:tcW w:w="3200" w:type="dxa"/>
            <w:vAlign w:val="bottom"/>
            <w:gridSpan w:val="2"/>
            <w:shd w:val="clear" w:color="auto" w:fill="CCEEFF"/>
          </w:tcPr>
          <w:p>
            <w:pPr>
              <w:ind w:left="1300"/>
              <w:spacing w:after="0" w:line="243" w:lineRule="exact"/>
              <w:rPr>
                <w:sz w:val="20"/>
                <w:szCs w:val="20"/>
                <w:color w:val="auto"/>
              </w:rPr>
            </w:pPr>
            <w:r>
              <w:rPr>
                <w:rFonts w:ascii="Arial" w:cs="Arial" w:eastAsia="Arial" w:hAnsi="Arial"/>
                <w:sz w:val="22"/>
                <w:szCs w:val="22"/>
                <w:color w:val="auto"/>
              </w:rPr>
              <w:t>101(“Outstanding”)</w:t>
            </w:r>
          </w:p>
        </w:tc>
        <w:tc>
          <w:tcPr>
            <w:tcW w:w="118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Arial" w:cs="Arial" w:eastAsia="Arial" w:hAnsi="Arial"/>
                <w:sz w:val="22"/>
                <w:szCs w:val="22"/>
                <w:color w:val="auto"/>
              </w:rPr>
              <w:t>(a)(1)(A)</w:t>
            </w:r>
          </w:p>
        </w:tc>
        <w:tc>
          <w:tcPr>
            <w:tcW w:w="1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20" w:type="dxa"/>
            <w:vAlign w:val="bottom"/>
          </w:tcPr>
          <w:p>
            <w:pPr>
              <w:ind w:left="1300"/>
              <w:spacing w:after="0" w:line="243" w:lineRule="exact"/>
              <w:rPr>
                <w:sz w:val="20"/>
                <w:szCs w:val="20"/>
                <w:color w:val="auto"/>
              </w:rPr>
            </w:pPr>
            <w:r>
              <w:rPr>
                <w:rFonts w:ascii="Arial" w:cs="Arial" w:eastAsia="Arial" w:hAnsi="Arial"/>
                <w:sz w:val="22"/>
                <w:szCs w:val="22"/>
                <w:color w:val="auto"/>
              </w:rPr>
              <w:t>502, 512</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(a)(1)(B)</w:t>
            </w:r>
          </w:p>
        </w:tc>
        <w:tc>
          <w:tcPr>
            <w:tcW w:w="1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20" w:type="dxa"/>
            <w:vAlign w:val="bottom"/>
            <w:shd w:val="clear" w:color="auto" w:fill="CCEEFF"/>
          </w:tcPr>
          <w:p>
            <w:pPr>
              <w:ind w:left="1300"/>
              <w:spacing w:after="0" w:line="243" w:lineRule="exact"/>
              <w:rPr>
                <w:sz w:val="20"/>
                <w:szCs w:val="20"/>
                <w:color w:val="auto"/>
              </w:rPr>
            </w:pPr>
            <w:r>
              <w:rPr>
                <w:rFonts w:ascii="Arial" w:cs="Arial" w:eastAsia="Arial" w:hAnsi="Arial"/>
                <w:sz w:val="22"/>
                <w:szCs w:val="22"/>
                <w:color w:val="auto"/>
              </w:rPr>
              <w:t>513</w:t>
            </w:r>
          </w:p>
        </w:tc>
        <w:tc>
          <w:tcPr>
            <w:tcW w:w="180" w:type="dxa"/>
            <w:vAlign w:val="bottom"/>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Arial" w:cs="Arial" w:eastAsia="Arial" w:hAnsi="Arial"/>
                <w:sz w:val="22"/>
                <w:szCs w:val="22"/>
                <w:color w:val="auto"/>
              </w:rPr>
              <w:t>(b)</w:t>
            </w:r>
          </w:p>
        </w:tc>
        <w:tc>
          <w:tcPr>
            <w:tcW w:w="1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20" w:type="dxa"/>
            <w:vAlign w:val="bottom"/>
          </w:tcPr>
          <w:p>
            <w:pPr>
              <w:ind w:left="1300"/>
              <w:spacing w:after="0" w:line="243" w:lineRule="exact"/>
              <w:rPr>
                <w:sz w:val="20"/>
                <w:szCs w:val="20"/>
                <w:color w:val="auto"/>
              </w:rPr>
            </w:pPr>
            <w:r>
              <w:rPr>
                <w:rFonts w:ascii="Arial" w:cs="Arial" w:eastAsia="Arial" w:hAnsi="Arial"/>
                <w:sz w:val="22"/>
                <w:szCs w:val="22"/>
                <w:color w:val="auto"/>
              </w:rPr>
              <w:t>508</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 317(a)(1)</w:t>
            </w:r>
          </w:p>
        </w:tc>
        <w:tc>
          <w:tcPr>
            <w:tcW w:w="1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20" w:type="dxa"/>
            <w:vAlign w:val="bottom"/>
            <w:shd w:val="clear" w:color="auto" w:fill="CCEEFF"/>
          </w:tcPr>
          <w:p>
            <w:pPr>
              <w:ind w:left="1300"/>
              <w:spacing w:after="0" w:line="243" w:lineRule="exact"/>
              <w:rPr>
                <w:sz w:val="20"/>
                <w:szCs w:val="20"/>
                <w:color w:val="auto"/>
              </w:rPr>
            </w:pPr>
            <w:r>
              <w:rPr>
                <w:rFonts w:ascii="Arial" w:cs="Arial" w:eastAsia="Arial" w:hAnsi="Arial"/>
                <w:sz w:val="22"/>
                <w:szCs w:val="22"/>
                <w:color w:val="auto"/>
              </w:rPr>
              <w:t>503</w:t>
            </w:r>
          </w:p>
        </w:tc>
        <w:tc>
          <w:tcPr>
            <w:tcW w:w="180" w:type="dxa"/>
            <w:vAlign w:val="bottom"/>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Arial" w:cs="Arial" w:eastAsia="Arial" w:hAnsi="Arial"/>
                <w:sz w:val="22"/>
                <w:szCs w:val="22"/>
                <w:color w:val="auto"/>
              </w:rPr>
              <w:t>(a)(2)</w:t>
            </w:r>
          </w:p>
        </w:tc>
        <w:tc>
          <w:tcPr>
            <w:tcW w:w="1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20" w:type="dxa"/>
            <w:vAlign w:val="bottom"/>
          </w:tcPr>
          <w:p>
            <w:pPr>
              <w:ind w:left="1300"/>
              <w:spacing w:after="0" w:line="243" w:lineRule="exact"/>
              <w:rPr>
                <w:sz w:val="20"/>
                <w:szCs w:val="20"/>
                <w:color w:val="auto"/>
              </w:rPr>
            </w:pPr>
            <w:r>
              <w:rPr>
                <w:rFonts w:ascii="Arial" w:cs="Arial" w:eastAsia="Arial" w:hAnsi="Arial"/>
                <w:sz w:val="22"/>
                <w:szCs w:val="22"/>
                <w:color w:val="auto"/>
              </w:rPr>
              <w:t>504</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 318(a)</w:t>
            </w:r>
          </w:p>
        </w:tc>
        <w:tc>
          <w:tcPr>
            <w:tcW w:w="1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20" w:type="dxa"/>
            <w:vAlign w:val="bottom"/>
            <w:shd w:val="clear" w:color="auto" w:fill="CCEEFF"/>
          </w:tcPr>
          <w:p>
            <w:pPr>
              <w:ind w:left="1300"/>
              <w:spacing w:after="0" w:line="243" w:lineRule="exact"/>
              <w:rPr>
                <w:sz w:val="20"/>
                <w:szCs w:val="20"/>
                <w:color w:val="auto"/>
              </w:rPr>
            </w:pPr>
            <w:r>
              <w:rPr>
                <w:rFonts w:ascii="Arial" w:cs="Arial" w:eastAsia="Arial" w:hAnsi="Arial"/>
                <w:sz w:val="22"/>
                <w:szCs w:val="22"/>
                <w:color w:val="auto"/>
              </w:rPr>
              <w:t>111</w:t>
            </w:r>
          </w:p>
        </w:tc>
        <w:tc>
          <w:tcPr>
            <w:tcW w:w="180" w:type="dxa"/>
            <w:vAlign w:val="bottom"/>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275"/>
        </w:trPr>
        <w:tc>
          <w:tcPr>
            <w:tcW w:w="1160" w:type="dxa"/>
            <w:vAlign w:val="bottom"/>
          </w:tcPr>
          <w:p>
            <w:pPr>
              <w:spacing w:after="0"/>
              <w:rPr>
                <w:sz w:val="20"/>
                <w:szCs w:val="20"/>
                <w:color w:val="auto"/>
              </w:rPr>
            </w:pPr>
            <w:r>
              <w:rPr>
                <w:rFonts w:ascii="Arial" w:cs="Arial" w:eastAsia="Arial" w:hAnsi="Arial"/>
                <w:sz w:val="22"/>
                <w:szCs w:val="22"/>
                <w:color w:val="auto"/>
              </w:rPr>
              <w:t>(c)</w:t>
            </w:r>
          </w:p>
        </w:tc>
        <w:tc>
          <w:tcPr>
            <w:tcW w:w="1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20" w:type="dxa"/>
            <w:vAlign w:val="bottom"/>
          </w:tcPr>
          <w:p>
            <w:pPr>
              <w:ind w:left="1300"/>
              <w:spacing w:after="0"/>
              <w:rPr>
                <w:sz w:val="20"/>
                <w:szCs w:val="20"/>
                <w:color w:val="auto"/>
              </w:rPr>
            </w:pPr>
            <w:r>
              <w:rPr>
                <w:rFonts w:ascii="Arial" w:cs="Arial" w:eastAsia="Arial" w:hAnsi="Arial"/>
                <w:sz w:val="22"/>
                <w:szCs w:val="22"/>
                <w:color w:val="auto"/>
              </w:rPr>
              <w:t>111</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320"/>
        </w:trPr>
        <w:tc>
          <w:tcPr>
            <w:tcW w:w="1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140" w:type="dxa"/>
            <w:vAlign w:val="bottom"/>
            <w:gridSpan w:val="5"/>
          </w:tcPr>
          <w:p>
            <w:pPr>
              <w:spacing w:after="0"/>
              <w:rPr>
                <w:sz w:val="24"/>
                <w:szCs w:val="24"/>
                <w:color w:val="auto"/>
              </w:rPr>
            </w:pPr>
          </w:p>
        </w:tc>
      </w:tr>
      <w:tr>
        <w:trPr>
          <w:trHeight w:val="431"/>
        </w:trPr>
        <w:tc>
          <w:tcPr>
            <w:tcW w:w="1160" w:type="dxa"/>
            <w:vAlign w:val="bottom"/>
          </w:tcPr>
          <w:p>
            <w:pPr>
              <w:spacing w:after="0"/>
              <w:rPr>
                <w:sz w:val="20"/>
                <w:szCs w:val="20"/>
                <w:color w:val="auto"/>
              </w:rPr>
            </w:pPr>
            <w:r>
              <w:rPr>
                <w:rFonts w:ascii="Arial" w:cs="Arial" w:eastAsia="Arial" w:hAnsi="Arial"/>
                <w:sz w:val="22"/>
                <w:szCs w:val="22"/>
                <w:color w:val="auto"/>
              </w:rPr>
              <w:t>NOTE:</w:t>
            </w:r>
          </w:p>
        </w:tc>
        <w:tc>
          <w:tcPr>
            <w:tcW w:w="7260" w:type="dxa"/>
            <w:vAlign w:val="bottom"/>
            <w:gridSpan w:val="6"/>
          </w:tcPr>
          <w:p>
            <w:pPr>
              <w:ind w:left="120"/>
              <w:spacing w:after="0"/>
              <w:rPr>
                <w:sz w:val="20"/>
                <w:szCs w:val="20"/>
                <w:color w:val="auto"/>
              </w:rPr>
            </w:pPr>
            <w:r>
              <w:rPr>
                <w:rFonts w:ascii="Arial" w:cs="Arial" w:eastAsia="Arial" w:hAnsi="Arial"/>
                <w:sz w:val="22"/>
                <w:szCs w:val="22"/>
                <w:color w:val="auto"/>
                <w:w w:val="88"/>
              </w:rPr>
              <w:t>This reconciliation and tie shall not, for any purpose, be deemed to be a part of the</w:t>
            </w:r>
          </w:p>
        </w:tc>
      </w:tr>
      <w:tr>
        <w:trPr>
          <w:trHeight w:val="275"/>
        </w:trPr>
        <w:tc>
          <w:tcPr>
            <w:tcW w:w="1160" w:type="dxa"/>
            <w:vAlign w:val="bottom"/>
          </w:tcPr>
          <w:p>
            <w:pPr>
              <w:spacing w:after="0"/>
              <w:rPr>
                <w:sz w:val="20"/>
                <w:szCs w:val="20"/>
                <w:color w:val="auto"/>
              </w:rPr>
            </w:pPr>
            <w:r>
              <w:rPr>
                <w:rFonts w:ascii="Arial" w:cs="Arial" w:eastAsia="Arial" w:hAnsi="Arial"/>
                <w:sz w:val="22"/>
                <w:szCs w:val="22"/>
                <w:color w:val="auto"/>
              </w:rPr>
              <w:t>Indenture.</w:t>
            </w:r>
          </w:p>
        </w:tc>
        <w:tc>
          <w:tcPr>
            <w:tcW w:w="1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bl>
    <w:p>
      <w:pPr>
        <w:spacing w:after="0" w:line="185" w:lineRule="exact"/>
        <w:rPr>
          <w:sz w:val="20"/>
          <w:szCs w:val="20"/>
          <w:color w:val="auto"/>
        </w:rPr>
      </w:pPr>
    </w:p>
    <w:p>
      <w:pPr>
        <w:ind w:right="259" w:firstLine="648"/>
        <w:spacing w:after="0" w:line="258" w:lineRule="auto"/>
        <w:rPr>
          <w:sz w:val="20"/>
          <w:szCs w:val="20"/>
          <w:color w:val="auto"/>
        </w:rPr>
      </w:pPr>
      <w:r>
        <w:rPr>
          <w:rFonts w:ascii="Arial" w:cs="Arial" w:eastAsia="Arial" w:hAnsi="Arial"/>
          <w:sz w:val="21"/>
          <w:szCs w:val="21"/>
          <w:color w:val="auto"/>
        </w:rPr>
        <w:t>Attention should also be directed to Section 318(c) of the Trust Indenture Act, which provides that the provisions of Sections 310 to and including 317 of the Trust Indenture Act are a part of and govern every qualified indenture, whether or not physically contained therein.</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INDENTURE, dated as of __________, 20__, between BLUEPRINT MEDICINES</w:t>
      </w:r>
    </w:p>
    <w:p>
      <w:pPr>
        <w:spacing w:after="0" w:line="8" w:lineRule="exact"/>
        <w:rPr>
          <w:sz w:val="20"/>
          <w:szCs w:val="20"/>
          <w:color w:val="auto"/>
        </w:rPr>
      </w:pPr>
    </w:p>
    <w:p>
      <w:pPr>
        <w:ind w:right="259"/>
        <w:spacing w:after="0" w:line="267" w:lineRule="auto"/>
        <w:rPr>
          <w:sz w:val="20"/>
          <w:szCs w:val="20"/>
          <w:color w:val="auto"/>
        </w:rPr>
      </w:pPr>
      <w:r>
        <w:rPr>
          <w:rFonts w:ascii="Arial" w:cs="Arial" w:eastAsia="Arial" w:hAnsi="Arial"/>
          <w:sz w:val="19"/>
          <w:szCs w:val="19"/>
          <w:color w:val="auto"/>
        </w:rPr>
        <w:t>CORPORATION, a corporation organized under the laws of the State of Delaware (hereinafter called the “Company”), having its principal office at [____________], and [_______________], as Trustee</w:t>
      </w:r>
    </w:p>
    <w:p>
      <w:pPr>
        <w:ind w:right="2179"/>
        <w:spacing w:after="0" w:line="237" w:lineRule="auto"/>
        <w:rPr>
          <w:sz w:val="20"/>
          <w:szCs w:val="20"/>
          <w:color w:val="auto"/>
        </w:rPr>
      </w:pPr>
      <w:r>
        <w:rPr>
          <w:rFonts w:ascii="Arial" w:cs="Arial" w:eastAsia="Arial" w:hAnsi="Arial"/>
          <w:sz w:val="22"/>
          <w:szCs w:val="22"/>
          <w:color w:val="auto"/>
        </w:rPr>
        <w:t>hereunder (hereinafter called the “Trustee”), having a Corporate Trust Office at [____________________].</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RECITALS OF THE COMPANY</w:t>
      </w:r>
    </w:p>
    <w:p>
      <w:pPr>
        <w:spacing w:after="0" w:line="206" w:lineRule="exact"/>
        <w:rPr>
          <w:sz w:val="20"/>
          <w:szCs w:val="20"/>
          <w:color w:val="auto"/>
        </w:rPr>
      </w:pPr>
    </w:p>
    <w:p>
      <w:pPr>
        <w:ind w:right="39" w:firstLine="648"/>
        <w:spacing w:after="0" w:line="297" w:lineRule="auto"/>
        <w:rPr>
          <w:sz w:val="20"/>
          <w:szCs w:val="20"/>
          <w:color w:val="auto"/>
        </w:rPr>
      </w:pPr>
      <w:r>
        <w:rPr>
          <w:rFonts w:ascii="Arial" w:cs="Arial" w:eastAsia="Arial" w:hAnsi="Arial"/>
          <w:sz w:val="19"/>
          <w:szCs w:val="19"/>
          <w:color w:val="auto"/>
        </w:rPr>
        <w:t>The Company deems it necessary to issue from time to time for its lawful purposes subordinated debt securities (hereinafter called the “Securities”) evidencing its unsecured and subordinated indebtedness, and has duly authorized the execution and delivery of this Indenture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459105</wp:posOffset>
            </wp:positionV>
            <wp:extent cx="575437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361" w:right="1440" w:bottom="1440" w:gutter="0" w:footer="0" w:header="0"/>
        </w:sectPr>
      </w:pPr>
    </w:p>
    <w:bookmarkStart w:id="159" w:name="page160"/>
    <w:bookmarkEnd w:id="159"/>
    <w:p>
      <w:pPr>
        <w:ind w:right="679"/>
        <w:spacing w:after="0" w:line="251" w:lineRule="auto"/>
        <w:rPr>
          <w:sz w:val="20"/>
          <w:szCs w:val="20"/>
          <w:color w:val="auto"/>
        </w:rPr>
      </w:pPr>
      <w:r>
        <w:rPr>
          <w:rFonts w:ascii="Arial" w:cs="Arial" w:eastAsia="Arial" w:hAnsi="Arial"/>
          <w:sz w:val="22"/>
          <w:szCs w:val="22"/>
          <w:color w:val="auto"/>
        </w:rPr>
        <w:t>provide for the issuance from time to time of the Securities, to be issued in one or more Series as provided in this Indenture.</w:t>
      </w:r>
    </w:p>
    <w:p>
      <w:pPr>
        <w:spacing w:after="0" w:line="174" w:lineRule="exact"/>
        <w:rPr>
          <w:sz w:val="20"/>
          <w:szCs w:val="20"/>
          <w:color w:val="auto"/>
        </w:rPr>
      </w:pPr>
    </w:p>
    <w:p>
      <w:pPr>
        <w:ind w:right="79" w:firstLine="648"/>
        <w:spacing w:after="0"/>
        <w:rPr>
          <w:sz w:val="20"/>
          <w:szCs w:val="20"/>
          <w:color w:val="auto"/>
        </w:rPr>
      </w:pPr>
      <w:r>
        <w:rPr>
          <w:rFonts w:ascii="Arial" w:cs="Arial" w:eastAsia="Arial" w:hAnsi="Arial"/>
          <w:sz w:val="22"/>
          <w:szCs w:val="22"/>
          <w:color w:val="auto"/>
        </w:rPr>
        <w:t>This Indenture is subject to the provisions of the Trust Indenture Act of 1939, as amended (the “Trust Indenture Act” or “TIA”), that are deemed to be incorporated into this Indenture and shall, to the extent applicable, be governed by such provisions.</w:t>
      </w:r>
    </w:p>
    <w:p>
      <w:pPr>
        <w:spacing w:after="0" w:line="186" w:lineRule="exact"/>
        <w:rPr>
          <w:sz w:val="20"/>
          <w:szCs w:val="20"/>
          <w:color w:val="auto"/>
        </w:rPr>
      </w:pPr>
    </w:p>
    <w:p>
      <w:pPr>
        <w:ind w:right="779" w:firstLine="648"/>
        <w:spacing w:after="0" w:line="251" w:lineRule="auto"/>
        <w:rPr>
          <w:sz w:val="20"/>
          <w:szCs w:val="20"/>
          <w:color w:val="auto"/>
        </w:rPr>
      </w:pPr>
      <w:r>
        <w:rPr>
          <w:rFonts w:ascii="Arial" w:cs="Arial" w:eastAsia="Arial" w:hAnsi="Arial"/>
          <w:sz w:val="22"/>
          <w:szCs w:val="22"/>
          <w:color w:val="auto"/>
        </w:rPr>
        <w:t>All things necessary to make this Indenture a valid and legally binding agreement of the Company, in accordance with its terms, have been done.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THIS INDENTURE WITNESSETH:</w:t>
      </w:r>
    </w:p>
    <w:p>
      <w:pPr>
        <w:spacing w:after="0" w:line="206" w:lineRule="exact"/>
        <w:rPr>
          <w:sz w:val="20"/>
          <w:szCs w:val="20"/>
          <w:color w:val="auto"/>
        </w:rPr>
      </w:pPr>
    </w:p>
    <w:p>
      <w:pPr>
        <w:ind w:right="219" w:firstLine="648"/>
        <w:spacing w:after="0"/>
        <w:rPr>
          <w:sz w:val="20"/>
          <w:szCs w:val="20"/>
          <w:color w:val="auto"/>
        </w:rPr>
      </w:pPr>
      <w:r>
        <w:rPr>
          <w:rFonts w:ascii="Arial" w:cs="Arial" w:eastAsia="Arial" w:hAnsi="Arial"/>
          <w:sz w:val="22"/>
          <w:szCs w:val="22"/>
          <w:color w:val="auto"/>
        </w:rPr>
        <w:t>For and in consideration of the premises and the purchase of the Securities by the Holders thereof, it is mutually covenanted and agreed, for the equal and proportionate benefit of all Holders of the Securities or of a Series thereof, as follows: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ARTICLE ONE - DEFINITIONS AND OTHER PROVISIONS OF GENERAL APPLICATION</w:t>
      </w:r>
    </w:p>
    <w:p>
      <w:pPr>
        <w:spacing w:after="0" w:line="206" w:lineRule="exact"/>
        <w:rPr>
          <w:sz w:val="20"/>
          <w:szCs w:val="20"/>
          <w:color w:val="auto"/>
        </w:rPr>
      </w:pPr>
    </w:p>
    <w:p>
      <w:pPr>
        <w:ind w:right="39" w:firstLine="648"/>
        <w:spacing w:after="0" w:line="251"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Definitions</w:t>
      </w:r>
      <w:r>
        <w:rPr>
          <w:rFonts w:ascii="Arial" w:cs="Arial" w:eastAsia="Arial" w:hAnsi="Arial"/>
          <w:sz w:val="22"/>
          <w:szCs w:val="22"/>
          <w:color w:val="auto"/>
        </w:rPr>
        <w:t>. For all purposes of this Indenture, except as otherwise expressly provided or unless the context otherwise requires:</w:t>
      </w:r>
    </w:p>
    <w:p>
      <w:pPr>
        <w:spacing w:after="0" w:line="173" w:lineRule="exact"/>
        <w:rPr>
          <w:sz w:val="20"/>
          <w:szCs w:val="20"/>
          <w:color w:val="auto"/>
        </w:rPr>
      </w:pPr>
    </w:p>
    <w:p>
      <w:pPr>
        <w:ind w:left="660" w:right="539" w:firstLine="639"/>
        <w:spacing w:after="0" w:line="251" w:lineRule="auto"/>
        <w:tabs>
          <w:tab w:leader="none" w:pos="2006"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terms defined in this Article have the meanings assigned to them in this Article, and include the plural as well as the singular;</w:t>
      </w:r>
    </w:p>
    <w:p>
      <w:pPr>
        <w:spacing w:after="0" w:line="173" w:lineRule="exact"/>
        <w:rPr>
          <w:rFonts w:ascii="Arial" w:cs="Arial" w:eastAsia="Arial" w:hAnsi="Arial"/>
          <w:sz w:val="22"/>
          <w:szCs w:val="22"/>
          <w:color w:val="auto"/>
        </w:rPr>
      </w:pPr>
    </w:p>
    <w:p>
      <w:pPr>
        <w:ind w:left="660" w:right="59" w:firstLine="639"/>
        <w:spacing w:after="0" w:line="251" w:lineRule="exact"/>
        <w:tabs>
          <w:tab w:leader="none" w:pos="2006" w:val="left"/>
        </w:tabs>
        <w:numPr>
          <w:ilvl w:val="0"/>
          <w:numId w:val="130"/>
        </w:numPr>
        <w:rPr>
          <w:rFonts w:ascii="Arial" w:cs="Arial" w:eastAsia="Arial" w:hAnsi="Arial"/>
          <w:sz w:val="21"/>
          <w:szCs w:val="21"/>
          <w:color w:val="auto"/>
        </w:rPr>
      </w:pPr>
      <w:r>
        <w:rPr>
          <w:rFonts w:ascii="Arial" w:cs="Arial" w:eastAsia="Arial" w:hAnsi="Arial"/>
          <w:sz w:val="21"/>
          <w:szCs w:val="21"/>
          <w:color w:val="auto"/>
        </w:rPr>
        <w:t>all other terms used herein which are defined in the TIA, either directly or by reference therein, have the meanings assigned to them therein, and the terms “cash transactions” and “self</w:t>
      </w:r>
      <w:r>
        <w:rPr>
          <w:rFonts w:ascii="MS PGothic" w:cs="MS PGothic" w:eastAsia="MS PGothic" w:hAnsi="MS PGothic"/>
          <w:sz w:val="21"/>
          <w:szCs w:val="21"/>
          <w:color w:val="auto"/>
        </w:rPr>
        <w:t>‑</w:t>
      </w:r>
      <w:r>
        <w:rPr>
          <w:rFonts w:ascii="Arial" w:cs="Arial" w:eastAsia="Arial" w:hAnsi="Arial"/>
          <w:sz w:val="21"/>
          <w:szCs w:val="21"/>
          <w:color w:val="auto"/>
        </w:rPr>
        <w:t>liquidating paper,” as used in TIA Section 311, shall have the meanings assigned to them in the rules of the Commission adopted under the TIA;</w:t>
      </w:r>
    </w:p>
    <w:p>
      <w:pPr>
        <w:spacing w:after="0" w:line="186" w:lineRule="exact"/>
        <w:rPr>
          <w:rFonts w:ascii="Arial" w:cs="Arial" w:eastAsia="Arial" w:hAnsi="Arial"/>
          <w:sz w:val="21"/>
          <w:szCs w:val="21"/>
          <w:color w:val="auto"/>
        </w:rPr>
      </w:pPr>
    </w:p>
    <w:p>
      <w:pPr>
        <w:ind w:left="660" w:right="79" w:firstLine="639"/>
        <w:spacing w:after="0" w:line="251" w:lineRule="auto"/>
        <w:tabs>
          <w:tab w:leader="none" w:pos="2006" w:val="left"/>
        </w:tabs>
        <w:numPr>
          <w:ilvl w:val="0"/>
          <w:numId w:val="130"/>
        </w:numPr>
        <w:rPr>
          <w:rFonts w:ascii="Arial" w:cs="Arial" w:eastAsia="Arial" w:hAnsi="Arial"/>
          <w:sz w:val="22"/>
          <w:szCs w:val="22"/>
          <w:color w:val="auto"/>
        </w:rPr>
      </w:pPr>
      <w:r>
        <w:rPr>
          <w:rFonts w:ascii="Arial" w:cs="Arial" w:eastAsia="Arial" w:hAnsi="Arial"/>
          <w:sz w:val="22"/>
          <w:szCs w:val="22"/>
          <w:color w:val="auto"/>
        </w:rPr>
        <w:t>all accounting terms not otherwise defined herein have the meanings assigned to them in accordance with GAAP;</w:t>
      </w:r>
    </w:p>
    <w:p>
      <w:pPr>
        <w:spacing w:after="0" w:line="173" w:lineRule="exact"/>
        <w:rPr>
          <w:rFonts w:ascii="Arial" w:cs="Arial" w:eastAsia="Arial" w:hAnsi="Arial"/>
          <w:sz w:val="22"/>
          <w:szCs w:val="22"/>
          <w:color w:val="auto"/>
        </w:rPr>
      </w:pPr>
    </w:p>
    <w:p>
      <w:pPr>
        <w:ind w:left="660" w:right="39" w:firstLine="639"/>
        <w:spacing w:after="0" w:line="251" w:lineRule="auto"/>
        <w:tabs>
          <w:tab w:leader="none" w:pos="2006" w:val="left"/>
        </w:tabs>
        <w:numPr>
          <w:ilvl w:val="0"/>
          <w:numId w:val="130"/>
        </w:numPr>
        <w:rPr>
          <w:rFonts w:ascii="Arial" w:cs="Arial" w:eastAsia="Arial" w:hAnsi="Arial"/>
          <w:sz w:val="22"/>
          <w:szCs w:val="22"/>
          <w:color w:val="auto"/>
        </w:rPr>
      </w:pPr>
      <w:r>
        <w:rPr>
          <w:rFonts w:ascii="Arial" w:cs="Arial" w:eastAsia="Arial" w:hAnsi="Arial"/>
          <w:sz w:val="22"/>
          <w:szCs w:val="22"/>
          <w:color w:val="auto"/>
        </w:rPr>
        <w:t>any reference to an “Article” or a “Section” refers to an Article or Section, as the case may be, of this Indenture; and</w:t>
      </w:r>
    </w:p>
    <w:p>
      <w:pPr>
        <w:spacing w:after="0" w:line="173" w:lineRule="exact"/>
        <w:rPr>
          <w:rFonts w:ascii="Arial" w:cs="Arial" w:eastAsia="Arial" w:hAnsi="Arial"/>
          <w:sz w:val="22"/>
          <w:szCs w:val="22"/>
          <w:color w:val="auto"/>
        </w:rPr>
      </w:pPr>
    </w:p>
    <w:p>
      <w:pPr>
        <w:jc w:val="both"/>
        <w:ind w:left="660" w:right="119" w:firstLine="639"/>
        <w:spacing w:after="0" w:line="328" w:lineRule="auto"/>
        <w:tabs>
          <w:tab w:leader="none" w:pos="2006"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words “herein,” “hereof “and “hereunder” and other words of similar import refer to this Indenture as a whole and not to any particular Article, Section or other subdivision.</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Act</w:t>
      </w:r>
      <w:r>
        <w:rPr>
          <w:rFonts w:ascii="Arial" w:cs="Arial" w:eastAsia="Arial" w:hAnsi="Arial"/>
          <w:sz w:val="21"/>
          <w:szCs w:val="21"/>
          <w:color w:val="auto"/>
        </w:rPr>
        <w:t>,” when used with respect to any Holder, has the meaning specified in Section 104.</w:t>
      </w:r>
    </w:p>
    <w:p>
      <w:pPr>
        <w:spacing w:after="0" w:line="218" w:lineRule="exact"/>
        <w:rPr>
          <w:sz w:val="20"/>
          <w:szCs w:val="20"/>
          <w:color w:val="auto"/>
        </w:rPr>
      </w:pPr>
    </w:p>
    <w:p>
      <w:pPr>
        <w:ind w:right="99"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7" w:lineRule="exact"/>
        <w:rPr>
          <w:sz w:val="20"/>
          <w:szCs w:val="20"/>
          <w:color w:val="auto"/>
        </w:rPr>
      </w:pPr>
    </w:p>
    <w:p>
      <w:pPr>
        <w:ind w:right="379"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Authenticating Agent</w:t>
      </w:r>
      <w:r>
        <w:rPr>
          <w:rFonts w:ascii="Arial" w:cs="Arial" w:eastAsia="Arial" w:hAnsi="Arial"/>
          <w:sz w:val="19"/>
          <w:szCs w:val="19"/>
          <w:color w:val="auto"/>
        </w:rPr>
        <w:t>” means any Person authorized by the Trustee pursuant to Section 611 hereof to act on behalf of the Trustee to authenticate Securities of one or more Series.</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8" w:right="1440" w:bottom="1440" w:gutter="0" w:footer="0" w:header="0"/>
        </w:sectPr>
      </w:pPr>
    </w:p>
    <w:bookmarkStart w:id="160" w:name="page161"/>
    <w:bookmarkEnd w:id="160"/>
    <w:p>
      <w:pPr>
        <w:ind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Authorized Newspaper</w:t>
      </w:r>
      <w:r>
        <w:rPr>
          <w:rFonts w:ascii="Arial" w:cs="Arial" w:eastAsia="Arial" w:hAnsi="Arial"/>
          <w:sz w:val="21"/>
          <w:szCs w:val="21"/>
          <w:color w:val="auto"/>
        </w:rPr>
        <w:t>” means a newspaper, printed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Whenever successive publications are required to be made in Authorized Newspapers, the successive publications may be made in the same or in different Authorized Newspapers in the same city meeting the foregoing requirements and in each case on any Business Day.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Law</w:t>
      </w:r>
      <w:r>
        <w:rPr>
          <w:rFonts w:ascii="Arial" w:cs="Arial" w:eastAsia="Arial" w:hAnsi="Arial"/>
          <w:sz w:val="22"/>
          <w:szCs w:val="22"/>
          <w:color w:val="auto"/>
        </w:rPr>
        <w:t>” has the meaning specified in Section 501.</w:t>
      </w:r>
    </w:p>
    <w:p>
      <w:pPr>
        <w:spacing w:after="0" w:line="206" w:lineRule="exact"/>
        <w:rPr>
          <w:sz w:val="20"/>
          <w:szCs w:val="20"/>
          <w:color w:val="auto"/>
        </w:rPr>
      </w:pPr>
    </w:p>
    <w:p>
      <w:pPr>
        <w:ind w:right="26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Bearer Security</w:t>
      </w:r>
      <w:r>
        <w:rPr>
          <w:rFonts w:ascii="Arial" w:cs="Arial" w:eastAsia="Arial" w:hAnsi="Arial"/>
          <w:sz w:val="22"/>
          <w:szCs w:val="22"/>
          <w:color w:val="auto"/>
        </w:rPr>
        <w:t>” means any Security established pursuant to Section 201 which is payable to the bearer.</w:t>
      </w:r>
    </w:p>
    <w:p>
      <w:pPr>
        <w:spacing w:after="0" w:line="173"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when used with reference to the Company, means the board of directors of the Company, or any committee of that board duly authorized to act hereunder, or any director or directors and/or officer or officers of the Company, to whom the board or committee shall have duly delegated its authority.</w:t>
      </w:r>
    </w:p>
    <w:p>
      <w:pPr>
        <w:spacing w:after="0" w:line="185"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 Resolution</w:t>
      </w:r>
      <w:r>
        <w:rPr>
          <w:rFonts w:ascii="Arial" w:cs="Arial" w:eastAsia="Arial" w:hAnsi="Arial"/>
          <w:sz w:val="19"/>
          <w:szCs w:val="19"/>
          <w:color w:val="auto"/>
        </w:rPr>
        <w:t>” means a copy of (1) a resolution certified by the Secretary or an Assistant Secretary of the Company to have been duly adopted by the Board of Directors or a duly authorized committee of the Board of Directors and to be in full force and effect on the date of such certification, or</w:t>
      </w:r>
    </w:p>
    <w:p>
      <w:pPr>
        <w:spacing w:after="0" w:line="2" w:lineRule="exact"/>
        <w:rPr>
          <w:sz w:val="20"/>
          <w:szCs w:val="20"/>
          <w:color w:val="auto"/>
        </w:rPr>
      </w:pPr>
    </w:p>
    <w:p>
      <w:pPr>
        <w:ind w:right="20" w:firstLine="3"/>
        <w:spacing w:after="0" w:line="233" w:lineRule="auto"/>
        <w:tabs>
          <w:tab w:leader="none" w:pos="306" w:val="left"/>
        </w:tabs>
        <w:numPr>
          <w:ilvl w:val="0"/>
          <w:numId w:val="131"/>
        </w:numPr>
        <w:rPr>
          <w:rFonts w:ascii="Arial" w:cs="Arial" w:eastAsia="Arial" w:hAnsi="Arial"/>
          <w:sz w:val="22"/>
          <w:szCs w:val="22"/>
          <w:color w:val="auto"/>
        </w:rPr>
      </w:pPr>
      <w:r>
        <w:rPr>
          <w:rFonts w:ascii="Arial" w:cs="Arial" w:eastAsia="Arial" w:hAnsi="Arial"/>
          <w:sz w:val="22"/>
          <w:szCs w:val="22"/>
          <w:color w:val="auto"/>
        </w:rPr>
        <w:t>a certificate signed by the director or directors and/or officer or officers to whom the Board of Directors shall have duly delegated its authority, together with a resolution certified by the Secretary or an Assistant Secretary of the Company to have been duly adopted by the Board of Directors and to be in full force and effect on the date of such certification authorizing such delegation, and, in each case, delivered to the Trustee.</w:t>
      </w:r>
    </w:p>
    <w:p>
      <w:pPr>
        <w:spacing w:after="0" w:line="186"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when used with respect to any Place of Payment or any other particular location referred to in this Indenture or in the Securities, means, unless otherwise specified with respect to any Securities issued pursuant to Section 301, any day, other than a Saturday or Sunday, that is neither a legal holiday nor a day on which banking institutions in that Place of Payment or particular location are authorized or required by law, regulation or executive order to close.</w:t>
      </w:r>
    </w:p>
    <w:p>
      <w:pPr>
        <w:spacing w:after="0" w:line="148"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Clearstream</w:t>
      </w:r>
      <w:r>
        <w:rPr>
          <w:rFonts w:ascii="Arial" w:cs="Arial" w:eastAsia="Arial" w:hAnsi="Arial"/>
          <w:sz w:val="19"/>
          <w:szCs w:val="19"/>
          <w:color w:val="auto"/>
        </w:rPr>
        <w:t>” means Clearstream Banking Luxembourg, société anonyme, or its successor.</w:t>
      </w:r>
    </w:p>
    <w:p>
      <w:pPr>
        <w:spacing w:after="0" w:line="241" w:lineRule="exact"/>
        <w:rPr>
          <w:sz w:val="20"/>
          <w:szCs w:val="20"/>
          <w:color w:val="auto"/>
        </w:rPr>
      </w:pPr>
    </w:p>
    <w:p>
      <w:pPr>
        <w:ind w:right="7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Price</w:t>
      </w:r>
      <w:r>
        <w:rPr>
          <w:rFonts w:ascii="Arial" w:cs="Arial" w:eastAsia="Arial" w:hAnsi="Arial"/>
          <w:sz w:val="22"/>
          <w:szCs w:val="22"/>
          <w:color w:val="auto"/>
        </w:rPr>
        <w:t>” means the closing price of a share of Common Stock of the Company as reported on the NASDAQ Global Select Market.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and the regulations thereunder.</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Commission</w:t>
      </w:r>
      <w:r>
        <w:rPr>
          <w:rFonts w:ascii="Arial" w:cs="Arial" w:eastAsia="Arial" w:hAnsi="Arial"/>
          <w:sz w:val="22"/>
          <w:szCs w:val="22"/>
          <w:color w:val="auto"/>
        </w:rPr>
        <w:t>” means the Securities and Exchange Commission, as from time to time</w:t>
      </w:r>
    </w:p>
    <w:p>
      <w:pPr>
        <w:spacing w:after="0" w:line="8" w:lineRule="exact"/>
        <w:rPr>
          <w:sz w:val="20"/>
          <w:szCs w:val="20"/>
          <w:color w:val="auto"/>
        </w:rPr>
      </w:pPr>
    </w:p>
    <w:p>
      <w:pPr>
        <w:jc w:val="center"/>
        <w:ind w:right="320"/>
        <w:spacing w:after="0" w:line="439" w:lineRule="auto"/>
        <w:rPr>
          <w:sz w:val="20"/>
          <w:szCs w:val="20"/>
          <w:color w:val="auto"/>
        </w:rPr>
      </w:pPr>
      <w:r>
        <w:rPr>
          <w:rFonts w:ascii="Arial" w:cs="Arial" w:eastAsia="Arial" w:hAnsi="Arial"/>
          <w:sz w:val="22"/>
          <w:szCs w:val="22"/>
          <w:color w:val="auto"/>
        </w:rPr>
        <w:t>constituted, created under the Exchange Act, or, if at any time after execution of this instrument such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575437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161" w:name="page162"/>
    <w:bookmarkEnd w:id="161"/>
    <w:p>
      <w:pPr>
        <w:ind w:right="120"/>
        <w:spacing w:after="0" w:line="251" w:lineRule="auto"/>
        <w:rPr>
          <w:sz w:val="20"/>
          <w:szCs w:val="20"/>
          <w:color w:val="auto"/>
        </w:rPr>
      </w:pPr>
      <w:r>
        <w:rPr>
          <w:rFonts w:ascii="Arial" w:cs="Arial" w:eastAsia="Arial" w:hAnsi="Arial"/>
          <w:sz w:val="22"/>
          <w:szCs w:val="22"/>
          <w:color w:val="auto"/>
        </w:rPr>
        <w:t>Commission is not existing and performing the duties now assigned to it under the Trust Indenture Act, then the body performing such duties on such date.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Depository</w:t>
      </w:r>
      <w:r>
        <w:rPr>
          <w:rFonts w:ascii="Arial" w:cs="Arial" w:eastAsia="Arial" w:hAnsi="Arial"/>
          <w:sz w:val="22"/>
          <w:szCs w:val="22"/>
          <w:color w:val="auto"/>
        </w:rPr>
        <w:t>” has the meaning specified in Section 304.</w:t>
      </w:r>
    </w:p>
    <w:p>
      <w:pPr>
        <w:spacing w:after="0" w:line="206" w:lineRule="exact"/>
        <w:rPr>
          <w:sz w:val="20"/>
          <w:szCs w:val="20"/>
          <w:color w:val="auto"/>
        </w:rPr>
      </w:pPr>
    </w:p>
    <w:p>
      <w:pPr>
        <w:ind w:right="26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with respect to any Person, all shares of capital stock issued by such Person other than Preferred Stock.</w:t>
      </w:r>
    </w:p>
    <w:p>
      <w:pPr>
        <w:spacing w:after="0" w:line="173" w:lineRule="exact"/>
        <w:rPr>
          <w:sz w:val="20"/>
          <w:szCs w:val="20"/>
          <w:color w:val="auto"/>
        </w:rPr>
      </w:pPr>
    </w:p>
    <w:p>
      <w:pPr>
        <w:ind w:right="20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w:t>
      </w:r>
      <w:r>
        <w:rPr>
          <w:rFonts w:ascii="Arial" w:cs="Arial" w:eastAsia="Arial" w:hAnsi="Arial"/>
          <w:sz w:val="21"/>
          <w:szCs w:val="21"/>
          <w:color w:val="auto"/>
        </w:rPr>
        <w:t>” means the Person named as the “Company” in the first paragraph of this Indenture until a successor corporation shall have become such pursuant to the applicable provisions of this Indenture, and thereafter “Company” shall mean such successor corporation.</w:t>
      </w:r>
    </w:p>
    <w:p>
      <w:pPr>
        <w:spacing w:after="0" w:line="167"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Request</w:t>
      </w:r>
      <w:r>
        <w:rPr>
          <w:rFonts w:ascii="Arial" w:cs="Arial" w:eastAsia="Arial" w:hAnsi="Arial"/>
          <w:sz w:val="22"/>
          <w:szCs w:val="22"/>
          <w:color w:val="auto"/>
        </w:rPr>
        <w:t>” and “</w:t>
      </w:r>
      <w:r>
        <w:rPr>
          <w:rFonts w:ascii="Arial" w:cs="Arial" w:eastAsia="Arial" w:hAnsi="Arial"/>
          <w:sz w:val="22"/>
          <w:szCs w:val="22"/>
          <w:u w:val="single" w:color="auto"/>
          <w:color w:val="auto"/>
        </w:rPr>
        <w:t>Company Order</w:t>
      </w:r>
      <w:r>
        <w:rPr>
          <w:rFonts w:ascii="Arial" w:cs="Arial" w:eastAsia="Arial" w:hAnsi="Arial"/>
          <w:sz w:val="22"/>
          <w:szCs w:val="22"/>
          <w:color w:val="auto"/>
        </w:rPr>
        <w:t>” mean, respectively, a written request or order signed in the name of the Company by its Chairman of the Board, the Chief Executive Officer, the President, or a Vice President, and by its Treasurer, an Assistant Treasurer, the Secretary or an Assistant Secretary, of the Company, and delivered to the Trustee.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Constituent Person</w:t>
      </w:r>
      <w:r>
        <w:rPr>
          <w:rFonts w:ascii="Arial" w:cs="Arial" w:eastAsia="Arial" w:hAnsi="Arial"/>
          <w:sz w:val="22"/>
          <w:szCs w:val="22"/>
          <w:color w:val="auto"/>
        </w:rPr>
        <w:t>” has the meaning specified in Section 1711.</w:t>
      </w:r>
    </w:p>
    <w:p>
      <w:pPr>
        <w:spacing w:after="0" w:line="206" w:lineRule="exact"/>
        <w:rPr>
          <w:sz w:val="20"/>
          <w:szCs w:val="20"/>
          <w:color w:val="auto"/>
        </w:rPr>
      </w:pPr>
    </w:p>
    <w:p>
      <w:pPr>
        <w:ind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Conversion Event</w:t>
      </w:r>
      <w:r>
        <w:rPr>
          <w:rFonts w:ascii="Arial" w:cs="Arial" w:eastAsia="Arial" w:hAnsi="Arial"/>
          <w:sz w:val="21"/>
          <w:szCs w:val="21"/>
          <w:color w:val="auto"/>
        </w:rPr>
        <w:t>” means the cessation of use of (i) a Foreign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Conversion Price</w:t>
      </w:r>
      <w:r>
        <w:rPr>
          <w:rFonts w:ascii="Arial" w:cs="Arial" w:eastAsia="Arial" w:hAnsi="Arial"/>
          <w:sz w:val="22"/>
          <w:szCs w:val="22"/>
          <w:color w:val="auto"/>
        </w:rPr>
        <w:t>” has the meaning specified in Section 1701.</w:t>
      </w:r>
    </w:p>
    <w:p>
      <w:pPr>
        <w:spacing w:after="0" w:line="206" w:lineRule="exact"/>
        <w:rPr>
          <w:sz w:val="20"/>
          <w:szCs w:val="20"/>
          <w:color w:val="auto"/>
        </w:rPr>
      </w:pPr>
    </w:p>
    <w:p>
      <w:pPr>
        <w:ind w:right="3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Corporate Trust Office</w:t>
      </w:r>
      <w:r>
        <w:rPr>
          <w:rFonts w:ascii="Arial" w:cs="Arial" w:eastAsia="Arial" w:hAnsi="Arial"/>
          <w:sz w:val="22"/>
          <w:szCs w:val="22"/>
          <w:color w:val="auto"/>
        </w:rPr>
        <w:t>” means the office of the Trustee at which, at any particular time, its corporate trust business shall be principally administered, which office at the date hereof is located at [____________________].</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corporation</w:t>
      </w:r>
      <w:r>
        <w:rPr>
          <w:rFonts w:ascii="Arial" w:cs="Arial" w:eastAsia="Arial" w:hAnsi="Arial"/>
          <w:sz w:val="22"/>
          <w:szCs w:val="22"/>
          <w:color w:val="auto"/>
        </w:rPr>
        <w:t>” includes corporations, associations, companies and business trusts.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coupon</w:t>
      </w:r>
      <w:r>
        <w:rPr>
          <w:rFonts w:ascii="Arial" w:cs="Arial" w:eastAsia="Arial" w:hAnsi="Arial"/>
          <w:sz w:val="22"/>
          <w:szCs w:val="22"/>
          <w:color w:val="auto"/>
        </w:rPr>
        <w:t>” means any interest coupon appertaining to a Bearer Security.</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Covenant Defeasance</w:t>
      </w:r>
      <w:r>
        <w:rPr>
          <w:rFonts w:ascii="Arial" w:cs="Arial" w:eastAsia="Arial" w:hAnsi="Arial"/>
          <w:sz w:val="22"/>
          <w:szCs w:val="22"/>
          <w:color w:val="auto"/>
        </w:rPr>
        <w:t>” has the meaning specified in Section 1403.</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Custodian</w:t>
      </w:r>
      <w:r>
        <w:rPr>
          <w:rFonts w:ascii="Arial" w:cs="Arial" w:eastAsia="Arial" w:hAnsi="Arial"/>
          <w:sz w:val="22"/>
          <w:szCs w:val="22"/>
          <w:color w:val="auto"/>
        </w:rPr>
        <w:t>” has the meaning specified in Section 501.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Defaulted Interest</w:t>
      </w:r>
      <w:r>
        <w:rPr>
          <w:rFonts w:ascii="Arial" w:cs="Arial" w:eastAsia="Arial" w:hAnsi="Arial"/>
          <w:sz w:val="22"/>
          <w:szCs w:val="22"/>
          <w:color w:val="auto"/>
        </w:rPr>
        <w:t>” has the meaning specified in Section 307.</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Defeasance</w:t>
      </w:r>
      <w:r>
        <w:rPr>
          <w:rFonts w:ascii="Arial" w:cs="Arial" w:eastAsia="Arial" w:hAnsi="Arial"/>
          <w:sz w:val="22"/>
          <w:szCs w:val="22"/>
          <w:color w:val="auto"/>
        </w:rPr>
        <w:t>” has the meaning specified in Section 1402.</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 Record Date</w:t>
      </w:r>
      <w:r>
        <w:rPr>
          <w:rFonts w:ascii="Arial" w:cs="Arial" w:eastAsia="Arial" w:hAnsi="Arial"/>
          <w:sz w:val="22"/>
          <w:szCs w:val="22"/>
          <w:color w:val="auto"/>
        </w:rPr>
        <w:t>” has the meaning specified in Section 1711.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Dividend Record Date</w:t>
      </w:r>
      <w:r>
        <w:rPr>
          <w:rFonts w:ascii="Arial" w:cs="Arial" w:eastAsia="Arial" w:hAnsi="Arial"/>
          <w:sz w:val="22"/>
          <w:szCs w:val="22"/>
          <w:color w:val="auto"/>
        </w:rPr>
        <w:t>” has the meaning specified in Section 1704.</w:t>
      </w:r>
    </w:p>
    <w:p>
      <w:pPr>
        <w:spacing w:after="0" w:line="20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62" w:name="page163"/>
    <w:bookmarkEnd w:id="162"/>
    <w:p>
      <w:pPr>
        <w:ind w:right="80"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w:t>
      </w:r>
      <w:r>
        <w:rPr>
          <w:rFonts w:ascii="Arial" w:cs="Arial" w:eastAsia="Arial" w:hAnsi="Arial"/>
          <w:sz w:val="22"/>
          <w:szCs w:val="22"/>
          <w:color w:val="auto"/>
        </w:rPr>
        <w:t>” or the sign “</w:t>
      </w:r>
      <w:r>
        <w:rPr>
          <w:rFonts w:ascii="Arial" w:cs="Arial" w:eastAsia="Arial" w:hAnsi="Arial"/>
          <w:sz w:val="22"/>
          <w:szCs w:val="22"/>
          <w:u w:val="single" w:color="auto"/>
          <w:color w:val="auto"/>
        </w:rPr>
        <w:t>$</w:t>
      </w:r>
      <w:r>
        <w:rPr>
          <w:rFonts w:ascii="Arial" w:cs="Arial" w:eastAsia="Arial" w:hAnsi="Arial"/>
          <w:sz w:val="22"/>
          <w:szCs w:val="22"/>
          <w:color w:val="auto"/>
        </w:rPr>
        <w:t>” means a dollar or other equivalent unit in such coin or currency of the United States of America as at the time of payment is legal tender for the payment of public and private debts.</w:t>
      </w:r>
    </w:p>
    <w:p>
      <w:pPr>
        <w:spacing w:after="0" w:line="184" w:lineRule="exact"/>
        <w:rPr>
          <w:sz w:val="20"/>
          <w:szCs w:val="20"/>
          <w:color w:val="auto"/>
        </w:rPr>
      </w:pPr>
    </w:p>
    <w:p>
      <w:pPr>
        <w:ind w:right="54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DTC</w:t>
      </w:r>
      <w:r>
        <w:rPr>
          <w:rFonts w:ascii="Arial" w:cs="Arial" w:eastAsia="Arial" w:hAnsi="Arial"/>
          <w:sz w:val="22"/>
          <w:szCs w:val="22"/>
          <w:color w:val="auto"/>
        </w:rPr>
        <w:t>” means The Depository Trust Company and any successor to DTC in its capacity as depository for any Securities.</w:t>
      </w:r>
    </w:p>
    <w:p>
      <w:pPr>
        <w:spacing w:after="0" w:line="173" w:lineRule="exact"/>
        <w:rPr>
          <w:sz w:val="20"/>
          <w:szCs w:val="20"/>
          <w:color w:val="auto"/>
        </w:rPr>
      </w:pPr>
    </w:p>
    <w:p>
      <w:pPr>
        <w:ind w:right="5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ECU</w:t>
      </w:r>
      <w:r>
        <w:rPr>
          <w:rFonts w:ascii="Arial" w:cs="Arial" w:eastAsia="Arial" w:hAnsi="Arial"/>
          <w:sz w:val="22"/>
          <w:szCs w:val="22"/>
          <w:color w:val="auto"/>
        </w:rPr>
        <w:t>” means the European Currency Unit as defined and revised from time to time by the Council of the European Communities.</w:t>
      </w:r>
    </w:p>
    <w:p>
      <w:pPr>
        <w:spacing w:after="0" w:line="173" w:lineRule="exact"/>
        <w:rPr>
          <w:sz w:val="20"/>
          <w:szCs w:val="20"/>
          <w:color w:val="auto"/>
        </w:rPr>
      </w:pPr>
    </w:p>
    <w:p>
      <w:pPr>
        <w:ind w:right="64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Euroclear</w:t>
      </w:r>
      <w:r>
        <w:rPr>
          <w:rFonts w:ascii="Arial" w:cs="Arial" w:eastAsia="Arial" w:hAnsi="Arial"/>
          <w:sz w:val="22"/>
          <w:szCs w:val="22"/>
          <w:color w:val="auto"/>
        </w:rPr>
        <w:t>” means Morgan Guaranty Trust Company of New York, Brussels office, or its successor, as operator of the Euroclear System.</w:t>
      </w:r>
    </w:p>
    <w:p>
      <w:pPr>
        <w:spacing w:after="0" w:line="173" w:lineRule="exact"/>
        <w:rPr>
          <w:sz w:val="20"/>
          <w:szCs w:val="20"/>
          <w:color w:val="auto"/>
        </w:rPr>
      </w:pPr>
    </w:p>
    <w:p>
      <w:pPr>
        <w:ind w:right="26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European Communities</w:t>
      </w:r>
      <w:r>
        <w:rPr>
          <w:rFonts w:ascii="Arial" w:cs="Arial" w:eastAsia="Arial" w:hAnsi="Arial"/>
          <w:sz w:val="22"/>
          <w:szCs w:val="22"/>
          <w:color w:val="auto"/>
        </w:rPr>
        <w:t>” means the European Economic Community, the European Coal and Steel Community and the European Atomic Energy Community.</w:t>
      </w:r>
    </w:p>
    <w:p>
      <w:pPr>
        <w:spacing w:after="0" w:line="173" w:lineRule="exact"/>
        <w:rPr>
          <w:sz w:val="20"/>
          <w:szCs w:val="20"/>
          <w:color w:val="auto"/>
        </w:rPr>
      </w:pPr>
    </w:p>
    <w:p>
      <w:pPr>
        <w:ind w:right="80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European Monetary System</w:t>
      </w:r>
      <w:r>
        <w:rPr>
          <w:rFonts w:ascii="Arial" w:cs="Arial" w:eastAsia="Arial" w:hAnsi="Arial"/>
          <w:sz w:val="21"/>
          <w:szCs w:val="21"/>
          <w:color w:val="auto"/>
        </w:rPr>
        <w:t>” means the European Monetary System established by the Resolution of December 5, 1978 of the Council of the European Communities.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has the meaning specified in Article Five.</w:t>
      </w:r>
    </w:p>
    <w:p>
      <w:pPr>
        <w:spacing w:after="0" w:line="206"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xml:space="preserve">” means the Securities Exchange Act of 1934, as amended, as in force at the date as of which this Indenture was executed;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the event the Exchange Act is amended after such date, “Exchange Act” means to the extent required by any such amendment, the Exchange Act as so amended.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Date</w:t>
      </w:r>
      <w:r>
        <w:rPr>
          <w:rFonts w:ascii="Arial" w:cs="Arial" w:eastAsia="Arial" w:hAnsi="Arial"/>
          <w:sz w:val="22"/>
          <w:szCs w:val="22"/>
          <w:color w:val="auto"/>
        </w:rPr>
        <w:t>” has the meaning specified in Section 304.</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FINRA</w:t>
      </w:r>
      <w:r>
        <w:rPr>
          <w:rFonts w:ascii="Arial" w:cs="Arial" w:eastAsia="Arial" w:hAnsi="Arial"/>
          <w:sz w:val="22"/>
          <w:szCs w:val="22"/>
          <w:color w:val="auto"/>
        </w:rPr>
        <w:t>” means the Financial Industry Regulatory Authority, Inc.</w:t>
      </w:r>
    </w:p>
    <w:p>
      <w:pPr>
        <w:spacing w:after="0" w:line="206" w:lineRule="exact"/>
        <w:rPr>
          <w:sz w:val="20"/>
          <w:szCs w:val="20"/>
          <w:color w:val="auto"/>
        </w:rPr>
      </w:pPr>
    </w:p>
    <w:p>
      <w:pPr>
        <w:ind w:right="300" w:firstLine="702"/>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Currency</w:t>
      </w:r>
      <w:r>
        <w:rPr>
          <w:rFonts w:ascii="Arial" w:cs="Arial" w:eastAsia="Arial" w:hAnsi="Arial"/>
          <w:sz w:val="19"/>
          <w:szCs w:val="19"/>
          <w:color w:val="auto"/>
        </w:rPr>
        <w:t>” means any currency, currency unit or composite currency, including, without limitation, the ECU issued by the government of one or more countries other than the United States of America or by any recognized confederation or association of such governments.</w:t>
      </w:r>
    </w:p>
    <w:p>
      <w:pPr>
        <w:spacing w:after="0" w:line="134" w:lineRule="exact"/>
        <w:rPr>
          <w:sz w:val="20"/>
          <w:szCs w:val="20"/>
          <w:color w:val="auto"/>
        </w:rPr>
      </w:pPr>
    </w:p>
    <w:p>
      <w:pPr>
        <w:ind w:right="10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except as otherwise provided herein, generally accepted accounting principles, as in effect from time to time, as used in the United States applied on a consistent basis.</w:t>
      </w:r>
    </w:p>
    <w:p>
      <w:pPr>
        <w:spacing w:after="0" w:line="10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Global Security</w:t>
      </w:r>
      <w:r>
        <w:rPr>
          <w:rFonts w:ascii="Arial" w:cs="Arial" w:eastAsia="Arial" w:hAnsi="Arial"/>
          <w:sz w:val="22"/>
          <w:szCs w:val="22"/>
          <w:color w:val="auto"/>
        </w:rPr>
        <w:t>” means a Security evidencing all or a part of a series of Securities issued to and registered in the name of the depository for such series, or its nominee, in accordance with Section 305, and bearing the legend prescribed in Section 203.</w:t>
      </w:r>
    </w:p>
    <w:p>
      <w:pPr>
        <w:spacing w:after="0" w:line="186" w:lineRule="exact"/>
        <w:rPr>
          <w:sz w:val="20"/>
          <w:szCs w:val="20"/>
          <w:color w:val="auto"/>
        </w:rPr>
      </w:pPr>
    </w:p>
    <w:p>
      <w:pPr>
        <w:ind w:right="120"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 Obligations</w:t>
      </w:r>
      <w:r>
        <w:rPr>
          <w:rFonts w:ascii="Arial" w:cs="Arial" w:eastAsia="Arial" w:hAnsi="Arial"/>
          <w:sz w:val="19"/>
          <w:szCs w:val="19"/>
          <w:color w:val="auto"/>
        </w:rPr>
        <w:t>” means (i) securities which are (A) direct obligations of the United States of America or the government which issued the Foreign Currency in which the Securities of a particular series are payable, for the payment of which its full faith and credit is pledged or (B) obligations of a Person controlled or supervised by and acting as an agency or instrumentality of the United States of America or such government which issued the Foreign Currency in which the Securities of such series are payable, the payment of which is unconditionally guaranteed as a full faith and credit obligation by the United States of America or such other government, which, in either case, are not callable or redeemable at the option of the issuer thereof, and (iii) a depository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163" w:name="page164"/>
    <w:bookmarkEnd w:id="163"/>
    <w:p>
      <w:pPr>
        <w:ind w:right="40"/>
        <w:spacing w:after="0" w:line="247" w:lineRule="auto"/>
        <w:rPr>
          <w:sz w:val="20"/>
          <w:szCs w:val="20"/>
          <w:color w:val="auto"/>
        </w:rPr>
      </w:pPr>
      <w:r>
        <w:rPr>
          <w:rFonts w:ascii="Arial" w:cs="Arial" w:eastAsia="Arial" w:hAnsi="Arial"/>
          <w:sz w:val="21"/>
          <w:szCs w:val="21"/>
          <w:color w:val="auto"/>
        </w:rPr>
        <w:t xml:space="preserve">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Guaranty</w:t>
      </w:r>
      <w:r>
        <w:rPr>
          <w:rFonts w:ascii="Arial" w:cs="Arial" w:eastAsia="Arial" w:hAnsi="Arial"/>
          <w:sz w:val="19"/>
          <w:szCs w:val="19"/>
          <w:color w:val="auto"/>
        </w:rPr>
        <w:t xml:space="preserve">” by any Person means any Obligation, contingent or otherwise, of such Person guaranteeing any Indebtedness of any other Person (the “primary obligor”) in any manner, whether directly or indirectly, and including, without limitation, every Obligation of such Person (i) to purchase or pay (or advance or supply funds for the purchase or payment of) such Indebtedness or to purchase (or to advance or supply funds for the purchase of) any security for the payment of such Indebtedness, (ii) to purchase property, securities or services for the purpose of assuring the holder of such Indebtedness of the payment of such Indebtedness or (iii) to maintain working capital, equity capital or other financial statement condition or liquidity of the primary obligor so as to enable the primary obligor to pay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Guaranty by any Person shall not include endorsements by such Person for collection or deposit, in either case in the ordinary course of business. The terms “</w:t>
      </w:r>
      <w:r>
        <w:rPr>
          <w:rFonts w:ascii="Arial" w:cs="Arial" w:eastAsia="Arial" w:hAnsi="Arial"/>
          <w:sz w:val="19"/>
          <w:szCs w:val="19"/>
          <w:u w:val="single" w:color="auto"/>
          <w:color w:val="auto"/>
        </w:rPr>
        <w:t>Guaranteed</w:t>
      </w:r>
      <w:r>
        <w:rPr>
          <w:rFonts w:ascii="Arial" w:cs="Arial" w:eastAsia="Arial" w:hAnsi="Arial"/>
          <w:sz w:val="19"/>
          <w:szCs w:val="19"/>
          <w:color w:val="auto"/>
        </w:rPr>
        <w:t>,” “</w:t>
      </w:r>
      <w:r>
        <w:rPr>
          <w:rFonts w:ascii="Arial" w:cs="Arial" w:eastAsia="Arial" w:hAnsi="Arial"/>
          <w:sz w:val="19"/>
          <w:szCs w:val="19"/>
          <w:u w:val="single" w:color="auto"/>
          <w:color w:val="auto"/>
        </w:rPr>
        <w:t>Guaranteeing</w:t>
      </w:r>
      <w:r>
        <w:rPr>
          <w:rFonts w:ascii="Arial" w:cs="Arial" w:eastAsia="Arial" w:hAnsi="Arial"/>
          <w:sz w:val="19"/>
          <w:szCs w:val="19"/>
          <w:color w:val="auto"/>
        </w:rPr>
        <w:t>” and “</w:t>
      </w:r>
      <w:r>
        <w:rPr>
          <w:rFonts w:ascii="Arial" w:cs="Arial" w:eastAsia="Arial" w:hAnsi="Arial"/>
          <w:sz w:val="19"/>
          <w:szCs w:val="19"/>
          <w:u w:val="single" w:color="auto"/>
          <w:color w:val="auto"/>
        </w:rPr>
        <w:t>Guarantor</w:t>
      </w:r>
      <w:r>
        <w:rPr>
          <w:rFonts w:ascii="Arial" w:cs="Arial" w:eastAsia="Arial" w:hAnsi="Arial"/>
          <w:sz w:val="19"/>
          <w:szCs w:val="19"/>
          <w:color w:val="auto"/>
        </w:rPr>
        <w:t>” shall have meanings correlative to the foregoing.</w:t>
      </w:r>
    </w:p>
    <w:p>
      <w:pPr>
        <w:spacing w:after="0" w:line="156" w:lineRule="exact"/>
        <w:rPr>
          <w:sz w:val="20"/>
          <w:szCs w:val="20"/>
          <w:color w:val="auto"/>
        </w:rPr>
      </w:pPr>
    </w:p>
    <w:p>
      <w:pPr>
        <w:jc w:val="both"/>
        <w:ind w:right="36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Holder</w:t>
      </w:r>
      <w:r>
        <w:rPr>
          <w:rFonts w:ascii="Arial" w:cs="Arial" w:eastAsia="Arial" w:hAnsi="Arial"/>
          <w:sz w:val="21"/>
          <w:szCs w:val="21"/>
          <w:color w:val="auto"/>
        </w:rPr>
        <w:t>”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67" w:lineRule="exact"/>
        <w:rPr>
          <w:sz w:val="20"/>
          <w:szCs w:val="20"/>
          <w:color w:val="auto"/>
        </w:rPr>
      </w:pPr>
    </w:p>
    <w:p>
      <w:pPr>
        <w:ind w:right="20"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with respect to any Person, without duplication, (i) any Obligation of such Person relating to any indebtedness of such Person (A) for borrowed money (whether or not the recourse of the lender is to the whole of the assets, of such person or only to a portion thereof), (B) evidenced by notes, debentures or similar instruments (including purchase money obligations) given in connection with the acquisition of any property or assets (other than trade accounts payable for inventory or similar property acquired in the ordinary course of business), including securities, for the payment of which such Person is liable, directly or indirectly, or the payment of which is secured by a lien, charge or encumbrance on property or assets of such Person, (C) for goods, materials or services purchased in the ordinary course of business (other than trade accounts payable arising in the ordinary course of business), (D) with respect to letters of credit or bankers acceptances issued for the account of such Person or performance, surety or similar bonds, (E) for the payment of money relating to a capitalized lease Obligation or (F) under interest rate swaps, caps or similar agreements and foreign exchange contracts, currency swaps or similar agreements; (ii) any liability of others of the kind described in the preceding clause (i), which such Person has Guaranteed or which is otherwise its legal liability; and (iii) any and all deferrals, renewals, extensions and refunding of, or amendments, modifications or supplements to, any liability of the kind described in any of the preceding clauses (i) or (ii).</w:t>
      </w:r>
    </w:p>
    <w:p>
      <w:pPr>
        <w:spacing w:after="0" w:line="200" w:lineRule="exact"/>
        <w:rPr>
          <w:sz w:val="20"/>
          <w:szCs w:val="20"/>
          <w:color w:val="auto"/>
        </w:rPr>
      </w:pPr>
    </w:p>
    <w:p>
      <w:pPr>
        <w:spacing w:after="0" w:line="216" w:lineRule="exact"/>
        <w:rPr>
          <w:sz w:val="20"/>
          <w:szCs w:val="20"/>
          <w:color w:val="auto"/>
        </w:rPr>
      </w:pPr>
    </w:p>
    <w:p>
      <w:pPr>
        <w:ind w:right="100"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Indenture</w:t>
      </w:r>
      <w:r>
        <w:rPr>
          <w:rFonts w:ascii="Arial" w:cs="Arial" w:eastAsia="Arial" w:hAnsi="Arial"/>
          <w:sz w:val="19"/>
          <w:szCs w:val="19"/>
          <w:color w:val="auto"/>
        </w:rPr>
        <w:t xml:space="preserve">” means this instrument as originally executed or as it may be supplemented or amended from time to time by one or more indentures supplemental hereto entered into pursuant to the applicable provisions hereof, and shall include the terms of particular series of Securities established as contemplated by Section 301;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at any time more than one Person is acting as Trustee under this instrument, “Indenture” shall mean, with respect to any one or</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164" w:name="page165"/>
    <w:bookmarkEnd w:id="164"/>
    <w:p>
      <w:pPr>
        <w:spacing w:after="0" w:line="245" w:lineRule="auto"/>
        <w:rPr>
          <w:sz w:val="20"/>
          <w:szCs w:val="20"/>
          <w:color w:val="auto"/>
        </w:rPr>
      </w:pPr>
      <w:r>
        <w:rPr>
          <w:rFonts w:ascii="Arial" w:cs="Arial" w:eastAsia="Arial" w:hAnsi="Arial"/>
          <w:sz w:val="21"/>
          <w:szCs w:val="21"/>
          <w:color w:val="auto"/>
        </w:rPr>
        <w:t>more series of Securities for which such Person is Trustee, this instrument as originally executed or as it may be supplemented or amended from time to time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which relate solely to other series of Securities for which such Person is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86"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Indexed Security</w:t>
      </w:r>
      <w:r>
        <w:rPr>
          <w:rFonts w:ascii="Arial" w:cs="Arial" w:eastAsia="Arial" w:hAnsi="Arial"/>
          <w:sz w:val="22"/>
          <w:szCs w:val="22"/>
          <w:color w:val="auto"/>
        </w:rPr>
        <w:t>” means a Security the terms of which provide that the principal amount thereof payable at Stated Maturity may be more or less than the principal face amount thereof at original issuance.</w:t>
      </w:r>
    </w:p>
    <w:p>
      <w:pPr>
        <w:spacing w:after="0" w:line="186" w:lineRule="exact"/>
        <w:rPr>
          <w:sz w:val="20"/>
          <w:szCs w:val="20"/>
          <w:color w:val="auto"/>
        </w:rPr>
      </w:pPr>
    </w:p>
    <w:p>
      <w:pPr>
        <w:ind w:right="44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w:t>
      </w:r>
      <w:r>
        <w:rPr>
          <w:rFonts w:ascii="Arial" w:cs="Arial" w:eastAsia="Arial" w:hAnsi="Arial"/>
          <w:sz w:val="22"/>
          <w:szCs w:val="22"/>
          <w:color w:val="auto"/>
        </w:rPr>
        <w:t>,” when used with respect to an Original Issue Discount Security which by its terms bears interest only after Maturity, shall mean interest payable after Maturity.</w:t>
      </w:r>
    </w:p>
    <w:p>
      <w:pPr>
        <w:spacing w:after="0" w:line="173" w:lineRule="exact"/>
        <w:rPr>
          <w:sz w:val="20"/>
          <w:szCs w:val="20"/>
          <w:color w:val="auto"/>
        </w:rPr>
      </w:pPr>
    </w:p>
    <w:p>
      <w:pPr>
        <w:ind w:right="2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when used with respect to any Security, means the Stated Maturity of an installment of interest on such Security.</w:t>
      </w:r>
    </w:p>
    <w:p>
      <w:pPr>
        <w:spacing w:after="0" w:line="173" w:lineRule="exact"/>
        <w:rPr>
          <w:sz w:val="20"/>
          <w:szCs w:val="20"/>
          <w:color w:val="auto"/>
        </w:rPr>
      </w:pPr>
    </w:p>
    <w:p>
      <w:pPr>
        <w:ind w:right="24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Make-Whole Amount</w:t>
      </w:r>
      <w:r>
        <w:rPr>
          <w:rFonts w:ascii="Arial" w:cs="Arial" w:eastAsia="Arial" w:hAnsi="Arial"/>
          <w:sz w:val="22"/>
          <w:szCs w:val="22"/>
          <w:color w:val="auto"/>
        </w:rPr>
        <w:t>,” when used with respect to any Security, means the amount, if any, in addition to principal (and accrued interest thereon, if any) which is required by a Security, under the terms and conditions specified therein or as otherwise specified as contemplated by Section 301, to be paid by the Company to the Holder thereof in connection with any optional redemption or accelerated payment of such Security.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mandatory sinking fund payment</w:t>
      </w:r>
      <w:r>
        <w:rPr>
          <w:rFonts w:ascii="Arial" w:cs="Arial" w:eastAsia="Arial" w:hAnsi="Arial"/>
          <w:sz w:val="22"/>
          <w:szCs w:val="22"/>
          <w:color w:val="auto"/>
        </w:rPr>
        <w:t>” has the meaning specified in Section 1201.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Market Value of the Distribution</w:t>
      </w:r>
      <w:r>
        <w:rPr>
          <w:rFonts w:ascii="Arial" w:cs="Arial" w:eastAsia="Arial" w:hAnsi="Arial"/>
          <w:sz w:val="22"/>
          <w:szCs w:val="22"/>
          <w:color w:val="auto"/>
        </w:rPr>
        <w:t>” has the meaning specified in Section 1704.</w:t>
      </w:r>
    </w:p>
    <w:p>
      <w:pPr>
        <w:spacing w:after="0" w:line="206" w:lineRule="exact"/>
        <w:rPr>
          <w:sz w:val="20"/>
          <w:szCs w:val="20"/>
          <w:color w:val="auto"/>
        </w:rPr>
      </w:pPr>
    </w:p>
    <w:p>
      <w:pPr>
        <w:ind w:right="60"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Maturity</w:t>
      </w:r>
      <w:r>
        <w:rPr>
          <w:rFonts w:ascii="Arial" w:cs="Arial" w:eastAsia="Arial" w:hAnsi="Arial"/>
          <w:sz w:val="21"/>
          <w:szCs w:val="21"/>
          <w:color w:val="auto"/>
        </w:rPr>
        <w:t>,” when used with respect to any Security, means the date on which the principal (or, if the context so requires, in the case of an Original Issue Discount Security, or lesser amount or, in the case of an Indexed Security, an amount determined in accordance with the specified terms of that Security) of such Security or an installment of principal becomes due and payable as therein or herein provided, whether at the Stated Maturity or by declaration of acceleration, notice of redemption, notice of option to elect repayment or otherwise.</w:t>
      </w:r>
    </w:p>
    <w:p>
      <w:pPr>
        <w:spacing w:after="0" w:line="177" w:lineRule="exact"/>
        <w:rPr>
          <w:sz w:val="20"/>
          <w:szCs w:val="20"/>
          <w:color w:val="auto"/>
        </w:rPr>
      </w:pPr>
    </w:p>
    <w:p>
      <w:pPr>
        <w:ind w:right="160"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w:t>
      </w:r>
      <w:r>
        <w:rPr>
          <w:rFonts w:ascii="Arial" w:cs="Arial" w:eastAsia="Arial" w:hAnsi="Arial"/>
          <w:sz w:val="19"/>
          <w:szCs w:val="19"/>
          <w:color w:val="auto"/>
        </w:rPr>
        <w:t>” of any Person with respect to any specified Indebtedness means any obligation of such Person to pay principal, premium, interest (including interest accruing on or after the filing of any petition in bankruptcy or for reorganization relating to such Person, whether or not a claim for such post-petition interest is allowed in such proceeding), penalties, reimbursement or indemnification amounts, fees, expenses or other amounts relating to such Indebtedness.</w:t>
      </w:r>
    </w:p>
    <w:p>
      <w:pPr>
        <w:spacing w:after="0" w:line="148" w:lineRule="exact"/>
        <w:rPr>
          <w:sz w:val="20"/>
          <w:szCs w:val="20"/>
          <w:color w:val="auto"/>
        </w:rPr>
      </w:pPr>
    </w:p>
    <w:p>
      <w:pPr>
        <w:ind w:right="10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Officers’ Certificate</w:t>
      </w:r>
      <w:r>
        <w:rPr>
          <w:rFonts w:ascii="Arial" w:cs="Arial" w:eastAsia="Arial" w:hAnsi="Arial"/>
          <w:sz w:val="19"/>
          <w:szCs w:val="19"/>
          <w:color w:val="auto"/>
        </w:rPr>
        <w:t>” means a certificate signed by the Chairman of the Board of Directors, the Chief Executive Officer, the President, or a Vice President (whether or not designated by a number or word or words added before or after the title “Vice President”), and by the Treasurer, an Assistant Treasurer, the Secretary or an Assistant Secretary of the Company, and delivered to the Trustee.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65" w:name="page166"/>
    <w:bookmarkEnd w:id="165"/>
    <w:p>
      <w:pPr>
        <w:ind w:right="4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Opinion of Counsel</w:t>
      </w:r>
      <w:r>
        <w:rPr>
          <w:rFonts w:ascii="Arial" w:cs="Arial" w:eastAsia="Arial" w:hAnsi="Arial"/>
          <w:sz w:val="22"/>
          <w:szCs w:val="22"/>
          <w:color w:val="auto"/>
        </w:rPr>
        <w:t>” means a written opinion of counsel, who may be counsel for the Company or who may be an employee of or other counsel for the Company.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optional sinking fund payment</w:t>
      </w:r>
      <w:r>
        <w:rPr>
          <w:rFonts w:ascii="Arial" w:cs="Arial" w:eastAsia="Arial" w:hAnsi="Arial"/>
          <w:sz w:val="22"/>
          <w:szCs w:val="22"/>
          <w:color w:val="auto"/>
        </w:rPr>
        <w:t>” has the meaning specified in Section 1201.</w:t>
      </w:r>
    </w:p>
    <w:p>
      <w:pPr>
        <w:spacing w:after="0" w:line="20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Original Issue Discount Security</w:t>
      </w:r>
      <w:r>
        <w:rPr>
          <w:rFonts w:ascii="Arial" w:cs="Arial" w:eastAsia="Arial" w:hAnsi="Arial"/>
          <w:sz w:val="19"/>
          <w:szCs w:val="19"/>
          <w:color w:val="auto"/>
        </w:rPr>
        <w:t>” means any Security which provides for an amount (excluding any amounts attributable to accrued but unpaid interest thereon) less than the principal amount thereof to be due and payable upon a declaration of acceleration of the Maturity thereof pursuant to Section 502.</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Outstanding</w:t>
      </w:r>
      <w:r>
        <w:rPr>
          <w:rFonts w:ascii="Arial" w:cs="Arial" w:eastAsia="Arial" w:hAnsi="Arial"/>
          <w:sz w:val="19"/>
          <w:szCs w:val="19"/>
          <w:color w:val="auto"/>
        </w:rPr>
        <w:t>,” when used with respect to Securities, means, as of the date of determination, all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Securities theretofore authenticated and delivered under this Indenture, </w:t>
      </w:r>
      <w:r>
        <w:rPr>
          <w:rFonts w:ascii="Arial" w:cs="Arial" w:eastAsia="Arial" w:hAnsi="Arial"/>
          <w:sz w:val="22"/>
          <w:szCs w:val="22"/>
          <w:u w:val="single" w:color="auto"/>
          <w:color w:val="auto"/>
        </w:rPr>
        <w:t>except</w:t>
      </w:r>
      <w:r>
        <w:rPr>
          <w:rFonts w:ascii="Arial" w:cs="Arial" w:eastAsia="Arial" w:hAnsi="Arial"/>
          <w:sz w:val="22"/>
          <w:szCs w:val="22"/>
          <w:color w:val="auto"/>
        </w:rPr>
        <w:t>:</w:t>
      </w:r>
    </w:p>
    <w:p>
      <w:pPr>
        <w:spacing w:after="0" w:line="188" w:lineRule="exact"/>
        <w:rPr>
          <w:sz w:val="20"/>
          <w:szCs w:val="20"/>
          <w:color w:val="auto"/>
        </w:rPr>
      </w:pPr>
    </w:p>
    <w:p>
      <w:pPr>
        <w:ind w:left="1300" w:right="200" w:firstLine="648"/>
        <w:spacing w:after="0" w:line="251" w:lineRule="auto"/>
        <w:tabs>
          <w:tab w:leader="none" w:pos="2598" w:val="left"/>
        </w:tabs>
        <w:numPr>
          <w:ilvl w:val="0"/>
          <w:numId w:val="132"/>
        </w:numPr>
        <w:rPr>
          <w:rFonts w:ascii="Arial" w:cs="Arial" w:eastAsia="Arial" w:hAnsi="Arial"/>
          <w:sz w:val="22"/>
          <w:szCs w:val="22"/>
          <w:color w:val="auto"/>
        </w:rPr>
      </w:pPr>
      <w:r>
        <w:rPr>
          <w:rFonts w:ascii="Arial" w:cs="Arial" w:eastAsia="Arial" w:hAnsi="Arial"/>
          <w:sz w:val="22"/>
          <w:szCs w:val="22"/>
          <w:color w:val="auto"/>
        </w:rPr>
        <w:t>Securities theretofore canceled by the Trustee or delivered to the Trustee for cancellation;</w:t>
      </w:r>
    </w:p>
    <w:p>
      <w:pPr>
        <w:spacing w:after="0" w:line="173" w:lineRule="exact"/>
        <w:rPr>
          <w:rFonts w:ascii="Arial" w:cs="Arial" w:eastAsia="Arial" w:hAnsi="Arial"/>
          <w:sz w:val="22"/>
          <w:szCs w:val="22"/>
          <w:color w:val="auto"/>
        </w:rPr>
      </w:pPr>
    </w:p>
    <w:p>
      <w:pPr>
        <w:ind w:left="1300" w:right="200" w:firstLine="648"/>
        <w:spacing w:after="0" w:line="246" w:lineRule="auto"/>
        <w:tabs>
          <w:tab w:leader="none" w:pos="259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 xml:space="preserve">Securities, or portions thereof, for whose payment or redemption (including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such Securities are to be redeemed, notice of such redemption has been duly given pursuant to this Indenture or provision therefor satisfactory to the Trustee has been made;</w:t>
      </w:r>
    </w:p>
    <w:p>
      <w:pPr>
        <w:spacing w:after="0" w:line="180" w:lineRule="exact"/>
        <w:rPr>
          <w:rFonts w:ascii="Arial" w:cs="Arial" w:eastAsia="Arial" w:hAnsi="Arial"/>
          <w:sz w:val="21"/>
          <w:szCs w:val="21"/>
          <w:color w:val="auto"/>
        </w:rPr>
      </w:pPr>
    </w:p>
    <w:p>
      <w:pPr>
        <w:jc w:val="both"/>
        <w:ind w:left="1300" w:right="160" w:firstLine="648"/>
        <w:spacing w:after="0"/>
        <w:tabs>
          <w:tab w:leader="none" w:pos="2596" w:val="left"/>
        </w:tabs>
        <w:numPr>
          <w:ilvl w:val="0"/>
          <w:numId w:val="132"/>
        </w:numPr>
        <w:rPr>
          <w:rFonts w:ascii="Arial" w:cs="Arial" w:eastAsia="Arial" w:hAnsi="Arial"/>
          <w:sz w:val="22"/>
          <w:szCs w:val="22"/>
          <w:color w:val="auto"/>
        </w:rPr>
      </w:pPr>
      <w:r>
        <w:rPr>
          <w:rFonts w:ascii="Arial" w:cs="Arial" w:eastAsia="Arial" w:hAnsi="Arial"/>
          <w:sz w:val="22"/>
          <w:szCs w:val="22"/>
          <w:color w:val="auto"/>
        </w:rPr>
        <w:t>Securities, except to the extent provided in Sections 1402 and 1403, with respect to which the Company has effected Defeasance and/or Covenant Defeasance as provided in Article Fourteen; and</w:t>
      </w:r>
    </w:p>
    <w:p>
      <w:pPr>
        <w:spacing w:after="0" w:line="186" w:lineRule="exact"/>
        <w:rPr>
          <w:rFonts w:ascii="Arial" w:cs="Arial" w:eastAsia="Arial" w:hAnsi="Arial"/>
          <w:sz w:val="22"/>
          <w:szCs w:val="22"/>
          <w:color w:val="auto"/>
        </w:rPr>
      </w:pPr>
    </w:p>
    <w:p>
      <w:pPr>
        <w:ind w:left="1300" w:right="80" w:firstLine="648"/>
        <w:spacing w:after="0" w:line="282" w:lineRule="auto"/>
        <w:tabs>
          <w:tab w:leader="none" w:pos="2638" w:val="left"/>
        </w:tabs>
        <w:numPr>
          <w:ilvl w:val="0"/>
          <w:numId w:val="132"/>
        </w:numPr>
        <w:rPr>
          <w:rFonts w:ascii="Arial" w:cs="Arial" w:eastAsia="Arial" w:hAnsi="Arial"/>
          <w:sz w:val="19"/>
          <w:szCs w:val="19"/>
          <w:color w:val="auto"/>
        </w:rPr>
      </w:pPr>
      <w:r>
        <w:rPr>
          <w:rFonts w:ascii="Arial" w:cs="Arial" w:eastAsia="Arial" w:hAnsi="Arial"/>
          <w:sz w:val="19"/>
          <w:szCs w:val="19"/>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48" w:lineRule="exact"/>
        <w:rPr>
          <w:sz w:val="20"/>
          <w:szCs w:val="20"/>
          <w:color w:val="auto"/>
        </w:rPr>
      </w:pPr>
    </w:p>
    <w:p>
      <w:pPr>
        <w:ind w:right="120"/>
        <w:spacing w:after="0" w:line="27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pursuant to Section 301 as of the date such Security is originally issued by the Company, of the principal amount (or, in the case of an Original Issue Discount Security, the Dollar equivalent as of such date of original issuance of the amount determined as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66" w:name="page167"/>
    <w:bookmarkEnd w:id="166"/>
    <w:p>
      <w:pPr>
        <w:ind w:right="60"/>
        <w:spacing w:after="0" w:line="271" w:lineRule="auto"/>
        <w:rPr>
          <w:sz w:val="20"/>
          <w:szCs w:val="20"/>
          <w:color w:val="auto"/>
        </w:rPr>
      </w:pPr>
      <w:r>
        <w:rPr>
          <w:rFonts w:ascii="Arial" w:cs="Arial" w:eastAsia="Arial" w:hAnsi="Arial"/>
          <w:sz w:val="19"/>
          <w:szCs w:val="19"/>
          <w:color w:val="auto"/>
        </w:rPr>
        <w:t>provided in clause (i) 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 which a Responsible Officer of the Trustee actually knows to be so owned shall be so disregarded. Securities owned as provided in clause (iv) above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In case of a dispute as to such right, the advice of counsel shall be full protection in respect of any decision made by the Trustee in accordance with such advice.</w:t>
      </w:r>
    </w:p>
    <w:p>
      <w:pPr>
        <w:spacing w:after="0" w:line="166" w:lineRule="exact"/>
        <w:rPr>
          <w:sz w:val="20"/>
          <w:szCs w:val="20"/>
          <w:color w:val="auto"/>
        </w:rPr>
      </w:pPr>
    </w:p>
    <w:p>
      <w:pPr>
        <w:jc w:val="both"/>
        <w:ind w:right="5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Paying Agent</w:t>
      </w:r>
      <w:r>
        <w:rPr>
          <w:rFonts w:ascii="Arial" w:cs="Arial" w:eastAsia="Arial" w:hAnsi="Arial"/>
          <w:sz w:val="22"/>
          <w:szCs w:val="22"/>
          <w:color w:val="auto"/>
        </w:rPr>
        <w:t>” means any Person authorized by the Company to pay the principal of (and premium or Make-Whole Amount, if any) or interest on any Securities or coupons on behalf of the Company.</w:t>
      </w:r>
    </w:p>
    <w:p>
      <w:pPr>
        <w:spacing w:after="0" w:line="186" w:lineRule="exact"/>
        <w:rPr>
          <w:sz w:val="20"/>
          <w:szCs w:val="20"/>
          <w:color w:val="auto"/>
        </w:rPr>
      </w:pPr>
    </w:p>
    <w:p>
      <w:pPr>
        <w:jc w:val="both"/>
        <w:ind w:right="5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Blockage Notice</w:t>
      </w:r>
      <w:r>
        <w:rPr>
          <w:rFonts w:ascii="Arial" w:cs="Arial" w:eastAsia="Arial" w:hAnsi="Arial"/>
          <w:sz w:val="22"/>
          <w:szCs w:val="22"/>
          <w:color w:val="auto"/>
        </w:rPr>
        <w:t>” and “</w:t>
      </w:r>
      <w:r>
        <w:rPr>
          <w:rFonts w:ascii="Arial" w:cs="Arial" w:eastAsia="Arial" w:hAnsi="Arial"/>
          <w:sz w:val="22"/>
          <w:szCs w:val="22"/>
          <w:u w:val="single" w:color="auto"/>
          <w:color w:val="auto"/>
        </w:rPr>
        <w:t>Payment Blockage Period</w:t>
      </w:r>
      <w:r>
        <w:rPr>
          <w:rFonts w:ascii="Arial" w:cs="Arial" w:eastAsia="Arial" w:hAnsi="Arial"/>
          <w:sz w:val="22"/>
          <w:szCs w:val="22"/>
          <w:color w:val="auto"/>
        </w:rPr>
        <w:t>” have the respective meanings specified in Section 1603.</w:t>
      </w:r>
    </w:p>
    <w:p>
      <w:pPr>
        <w:spacing w:after="0" w:line="173" w:lineRule="exact"/>
        <w:rPr>
          <w:sz w:val="20"/>
          <w:szCs w:val="20"/>
          <w:color w:val="auto"/>
        </w:rPr>
      </w:pPr>
    </w:p>
    <w:p>
      <w:pPr>
        <w:ind w:firstLine="648"/>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limited liability company, partnership, joint venture, association, joint</w:t>
      </w:r>
      <w:r>
        <w:rPr>
          <w:rFonts w:ascii="MS PGothic" w:cs="MS PGothic" w:eastAsia="MS PGothic" w:hAnsi="MS PGothic"/>
          <w:sz w:val="22"/>
          <w:szCs w:val="22"/>
          <w:color w:val="auto"/>
        </w:rPr>
        <w:t>‑</w:t>
      </w:r>
      <w:r>
        <w:rPr>
          <w:rFonts w:ascii="Arial" w:cs="Arial" w:eastAsia="Arial" w:hAnsi="Arial"/>
          <w:sz w:val="22"/>
          <w:szCs w:val="22"/>
          <w:color w:val="auto"/>
        </w:rPr>
        <w:t>stock company, trust, unincorporated organization or government or any agency or political subdivision thereof, or any other entity or organization.</w:t>
      </w:r>
    </w:p>
    <w:p>
      <w:pPr>
        <w:spacing w:after="0" w:line="186" w:lineRule="exact"/>
        <w:rPr>
          <w:sz w:val="20"/>
          <w:szCs w:val="20"/>
          <w:color w:val="auto"/>
        </w:rPr>
      </w:pPr>
    </w:p>
    <w:p>
      <w:pPr>
        <w:ind w:right="16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Place of Payment</w:t>
      </w:r>
      <w:r>
        <w:rPr>
          <w:rFonts w:ascii="Arial" w:cs="Arial" w:eastAsia="Arial" w:hAnsi="Arial"/>
          <w:sz w:val="19"/>
          <w:szCs w:val="19"/>
          <w:color w:val="auto"/>
        </w:rPr>
        <w:t>,” when used with respect to the Securities of or within any series, means the place or places where the principal of (and premium or Make-Whole Amount, if any) and interest on such Securities are payable as specified as contemplated by Sections 301 and 1002.</w:t>
      </w:r>
    </w:p>
    <w:p>
      <w:pPr>
        <w:spacing w:after="0" w:line="13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Predecessor Security</w:t>
      </w:r>
      <w:r>
        <w:rPr>
          <w:rFonts w:ascii="Arial" w:cs="Arial" w:eastAsia="Arial" w:hAnsi="Arial"/>
          <w:sz w:val="19"/>
          <w:szCs w:val="19"/>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w:t>
      </w:r>
    </w:p>
    <w:p>
      <w:pPr>
        <w:spacing w:after="0" w:line="151"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Preferred Stock</w:t>
      </w:r>
      <w:r>
        <w:rPr>
          <w:rFonts w:ascii="Arial" w:cs="Arial" w:eastAsia="Arial" w:hAnsi="Arial"/>
          <w:sz w:val="22"/>
          <w:szCs w:val="22"/>
          <w:color w:val="auto"/>
        </w:rPr>
        <w:t>” means, with respect to any Person, all capital stock issued by such Person that is entitled to a preference or priority over any other capital stock issued by such Person with respect to any distribution of such Person’s assets, whether by dividend or upon any voluntary or involuntary liquidation, dissolution or winding up.</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Proceeding</w:t>
      </w:r>
      <w:r>
        <w:rPr>
          <w:rFonts w:ascii="Arial" w:cs="Arial" w:eastAsia="Arial" w:hAnsi="Arial"/>
          <w:sz w:val="22"/>
          <w:szCs w:val="22"/>
          <w:color w:val="auto"/>
        </w:rPr>
        <w:t>” has the meaning specified in Section 1602.</w:t>
      </w:r>
    </w:p>
    <w:p>
      <w:pPr>
        <w:spacing w:after="0" w:line="206" w:lineRule="exact"/>
        <w:rPr>
          <w:sz w:val="20"/>
          <w:szCs w:val="20"/>
          <w:color w:val="auto"/>
        </w:rPr>
      </w:pPr>
    </w:p>
    <w:p>
      <w:pPr>
        <w:ind w:right="8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Redemption Date</w:t>
      </w:r>
      <w:r>
        <w:rPr>
          <w:rFonts w:ascii="Arial" w:cs="Arial" w:eastAsia="Arial" w:hAnsi="Arial"/>
          <w:sz w:val="22"/>
          <w:szCs w:val="22"/>
          <w:color w:val="auto"/>
        </w:rPr>
        <w:t>,” when used with respect to any Security to be redeemed, in whole or in part, means the date fixed for such redemption by or pursuant to this Indenture.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67" w:name="page168"/>
    <w:bookmarkEnd w:id="167"/>
    <w:p>
      <w:pPr>
        <w:ind w:right="10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Redemption Price</w:t>
      </w:r>
      <w:r>
        <w:rPr>
          <w:rFonts w:ascii="Arial" w:cs="Arial" w:eastAsia="Arial" w:hAnsi="Arial"/>
          <w:sz w:val="21"/>
          <w:szCs w:val="21"/>
          <w:color w:val="auto"/>
        </w:rPr>
        <w:t>,” when used with respect to any Security to be redeemed, means the price specified in the related Officers’ Certificate or supplemental indenture contemplated by and pursuant to Section 301, at which it is to be redeemed pursuant to this Indenture.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Date</w:t>
      </w:r>
      <w:r>
        <w:rPr>
          <w:rFonts w:ascii="Arial" w:cs="Arial" w:eastAsia="Arial" w:hAnsi="Arial"/>
          <w:sz w:val="22"/>
          <w:szCs w:val="22"/>
          <w:color w:val="auto"/>
        </w:rPr>
        <w:t>” has the meaning specified in Section 1704.</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Registered Security</w:t>
      </w:r>
      <w:r>
        <w:rPr>
          <w:rFonts w:ascii="Arial" w:cs="Arial" w:eastAsia="Arial" w:hAnsi="Arial"/>
          <w:sz w:val="21"/>
          <w:szCs w:val="21"/>
          <w:color w:val="auto"/>
        </w:rPr>
        <w:t>” shall mean any Security which is registered in the Security Register.</w:t>
      </w:r>
    </w:p>
    <w:p>
      <w:pPr>
        <w:spacing w:after="0" w:line="218" w:lineRule="exact"/>
        <w:rPr>
          <w:sz w:val="20"/>
          <w:szCs w:val="20"/>
          <w:color w:val="auto"/>
        </w:rPr>
      </w:pPr>
    </w:p>
    <w:p>
      <w:pPr>
        <w:jc w:val="both"/>
        <w:ind w:right="16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Regular Record Date</w:t>
      </w:r>
      <w:r>
        <w:rPr>
          <w:rFonts w:ascii="Arial" w:cs="Arial" w:eastAsia="Arial" w:hAnsi="Arial"/>
          <w:sz w:val="22"/>
          <w:szCs w:val="22"/>
          <w:color w:val="auto"/>
        </w:rPr>
        <w:t>” for the interest payable on any Interest Payment Date on the Registered Securities of or within any series means the date specified for that purpose as contemplated by Section 301, whether or not a Business Day.</w:t>
      </w:r>
    </w:p>
    <w:p>
      <w:pPr>
        <w:spacing w:after="0" w:line="186" w:lineRule="exact"/>
        <w:rPr>
          <w:sz w:val="20"/>
          <w:szCs w:val="20"/>
          <w:color w:val="auto"/>
        </w:rPr>
      </w:pPr>
    </w:p>
    <w:p>
      <w:pPr>
        <w:ind w:right="20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Repayment Date</w:t>
      </w:r>
      <w:r>
        <w:rPr>
          <w:rFonts w:ascii="Arial" w:cs="Arial" w:eastAsia="Arial" w:hAnsi="Arial"/>
          <w:sz w:val="21"/>
          <w:szCs w:val="21"/>
          <w:color w:val="auto"/>
        </w:rPr>
        <w:t>” means, when used with respect to any Security to be repaid at the option of the Holder, the date fixed for such repayment by or pursuant to this Indenture.</w:t>
      </w:r>
    </w:p>
    <w:p>
      <w:pPr>
        <w:spacing w:after="0" w:line="151" w:lineRule="exact"/>
        <w:rPr>
          <w:sz w:val="20"/>
          <w:szCs w:val="20"/>
          <w:color w:val="auto"/>
        </w:rPr>
      </w:pPr>
    </w:p>
    <w:p>
      <w:pPr>
        <w:ind w:right="18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Repayment Price</w:t>
      </w:r>
      <w:r>
        <w:rPr>
          <w:rFonts w:ascii="Arial" w:cs="Arial" w:eastAsia="Arial" w:hAnsi="Arial"/>
          <w:sz w:val="21"/>
          <w:szCs w:val="21"/>
          <w:color w:val="auto"/>
        </w:rPr>
        <w:t>” means, when used with respect to any Security to be repaid at the option of the Holder, the price at which it is to be repaid by or pursuant to this Indenture.</w:t>
      </w:r>
    </w:p>
    <w:p>
      <w:pPr>
        <w:spacing w:after="0" w:line="151" w:lineRule="exact"/>
        <w:rPr>
          <w:sz w:val="20"/>
          <w:szCs w:val="20"/>
          <w:color w:val="auto"/>
        </w:rPr>
      </w:pPr>
    </w:p>
    <w:p>
      <w:pPr>
        <w:ind w:right="140"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when used with respect to the Trustee, means any Vice President (whether or not designated by a number or a word or words added before or after the title “Vice President”), Assistant Vice President, Trust Officer or Assistant Trust Officer working in its Corporate Trust Department, or any other officer of the Trustee customarily performing functions similar to those performed by any of the above designated officers and working in its Corporate Trust Department, and also means, with respect to a particular corporate trust matter, any other officer to whom such matter is referred because of such officer’s knowledge and familiarity with the particular subject and who shall have direct responsibility for the administration of this Indenture.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Rights</w:t>
      </w:r>
      <w:r>
        <w:rPr>
          <w:rFonts w:ascii="Arial" w:cs="Arial" w:eastAsia="Arial" w:hAnsi="Arial"/>
          <w:sz w:val="22"/>
          <w:szCs w:val="22"/>
          <w:color w:val="auto"/>
        </w:rPr>
        <w:t>” has the meaning specified in Section 1704.</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Rights Record Date</w:t>
      </w:r>
      <w:r>
        <w:rPr>
          <w:rFonts w:ascii="Arial" w:cs="Arial" w:eastAsia="Arial" w:hAnsi="Arial"/>
          <w:sz w:val="22"/>
          <w:szCs w:val="22"/>
          <w:color w:val="auto"/>
        </w:rPr>
        <w:t>” has the meaning specified in Section 1704.</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Payment</w:t>
      </w:r>
      <w:r>
        <w:rPr>
          <w:rFonts w:ascii="Arial" w:cs="Arial" w:eastAsia="Arial" w:hAnsi="Arial"/>
          <w:sz w:val="22"/>
          <w:szCs w:val="22"/>
          <w:color w:val="auto"/>
        </w:rPr>
        <w:t>” has the meaning specified in Section 1602.</w:t>
      </w:r>
    </w:p>
    <w:p>
      <w:pPr>
        <w:spacing w:after="0" w:line="206" w:lineRule="exact"/>
        <w:rPr>
          <w:sz w:val="20"/>
          <w:szCs w:val="20"/>
          <w:color w:val="auto"/>
        </w:rPr>
      </w:pPr>
    </w:p>
    <w:p>
      <w:pPr>
        <w:ind w:right="6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w:t>
      </w:r>
      <w:r>
        <w:rPr>
          <w:rFonts w:ascii="Arial" w:cs="Arial" w:eastAsia="Arial" w:hAnsi="Arial"/>
          <w:sz w:val="22"/>
          <w:szCs w:val="22"/>
          <w:color w:val="auto"/>
        </w:rPr>
        <w:t>” and “</w:t>
      </w:r>
      <w:r>
        <w:rPr>
          <w:rFonts w:ascii="Arial" w:cs="Arial" w:eastAsia="Arial" w:hAnsi="Arial"/>
          <w:sz w:val="22"/>
          <w:szCs w:val="22"/>
          <w:u w:val="single" w:color="auto"/>
          <w:color w:val="auto"/>
        </w:rPr>
        <w:t>Securities</w:t>
      </w:r>
      <w:r>
        <w:rPr>
          <w:rFonts w:ascii="Arial" w:cs="Arial" w:eastAsia="Arial" w:hAnsi="Arial"/>
          <w:sz w:val="22"/>
          <w:szCs w:val="22"/>
          <w:color w:val="auto"/>
        </w:rPr>
        <w:t xml:space="preserve">” has the meaning stated in the first recital of this Indenture and, more particularly, means any Security or Securities authenticated and delivered under this Indenture;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Register</w:t>
      </w:r>
      <w:r>
        <w:rPr>
          <w:rFonts w:ascii="Arial" w:cs="Arial" w:eastAsia="Arial" w:hAnsi="Arial"/>
          <w:sz w:val="19"/>
          <w:szCs w:val="19"/>
          <w:color w:val="auto"/>
        </w:rPr>
        <w:t>” and “</w:t>
      </w:r>
      <w:r>
        <w:rPr>
          <w:rFonts w:ascii="Arial" w:cs="Arial" w:eastAsia="Arial" w:hAnsi="Arial"/>
          <w:sz w:val="19"/>
          <w:szCs w:val="19"/>
          <w:u w:val="single" w:color="auto"/>
          <w:color w:val="auto"/>
        </w:rPr>
        <w:t>Security Registrar</w:t>
      </w:r>
      <w:r>
        <w:rPr>
          <w:rFonts w:ascii="Arial" w:cs="Arial" w:eastAsia="Arial" w:hAnsi="Arial"/>
          <w:sz w:val="19"/>
          <w:szCs w:val="19"/>
          <w:color w:val="auto"/>
        </w:rPr>
        <w:t>” have the respective meanings specified in Section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305.</w:t>
      </w:r>
    </w:p>
    <w:p>
      <w:pPr>
        <w:spacing w:after="0" w:line="188"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Indebtedness</w:t>
      </w:r>
      <w:r>
        <w:rPr>
          <w:rFonts w:ascii="Arial" w:cs="Arial" w:eastAsia="Arial" w:hAnsi="Arial"/>
          <w:sz w:val="19"/>
          <w:szCs w:val="19"/>
          <w:color w:val="auto"/>
        </w:rPr>
        <w:t>” means Indebtedness of the Company, whether outstanding on the date of this Indenture or thereafter created, incurred, assumed or guaranteed by the Company, other than the following: (1) any Indebtedness as to which, in the instrument evidencing such Indebtedness or pursuant to which such Indebtedness was issued, it is expressly provided that such Indebtedness is subordinate in right of payment to all Indebtedness of the Company not expressly subordinated to</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168" w:name="page169"/>
    <w:bookmarkEnd w:id="168"/>
    <w:p>
      <w:pPr>
        <w:ind w:right="160"/>
        <w:spacing w:after="0" w:line="277" w:lineRule="auto"/>
        <w:rPr>
          <w:sz w:val="20"/>
          <w:szCs w:val="20"/>
          <w:color w:val="auto"/>
        </w:rPr>
      </w:pPr>
      <w:r>
        <w:rPr>
          <w:rFonts w:ascii="Arial" w:cs="Arial" w:eastAsia="Arial" w:hAnsi="Arial"/>
          <w:sz w:val="19"/>
          <w:szCs w:val="19"/>
          <w:color w:val="auto"/>
        </w:rPr>
        <w:t xml:space="preserve">such Indebtedness; (2) any Indebtedness which by its terms refers explicitly to the Securities and states that such Indebtedness shall not be senior, shall be </w:t>
      </w:r>
      <w:r>
        <w:rPr>
          <w:rFonts w:ascii="Arial" w:cs="Arial" w:eastAsia="Arial" w:hAnsi="Arial"/>
          <w:sz w:val="19"/>
          <w:szCs w:val="19"/>
          <w:u w:val="single" w:color="auto"/>
          <w:color w:val="auto"/>
        </w:rPr>
        <w:t>pari passu</w:t>
      </w:r>
      <w:r>
        <w:rPr>
          <w:rFonts w:ascii="Arial" w:cs="Arial" w:eastAsia="Arial" w:hAnsi="Arial"/>
          <w:sz w:val="19"/>
          <w:szCs w:val="19"/>
          <w:color w:val="auto"/>
        </w:rPr>
        <w:t xml:space="preserve"> or shall be subordinated in right of payment to the Securities; and (3) with respect to any series of Securities, any Indebtedness of the Company evidenced by Securities of the same or of another series. Notwithstanding anything to the contrary in the foregoing, Senior Indebtedness shall not include: (a) Indebtedness of or amounts owed by the Company for compensation to employees, or for goods, materials or services purchased in the ordinary course of business, or (b) Indebtedness of the Company to a Subsidiary of the Company.</w:t>
      </w:r>
    </w:p>
    <w:p>
      <w:pPr>
        <w:spacing w:after="0" w:line="153" w:lineRule="exact"/>
        <w:rPr>
          <w:sz w:val="20"/>
          <w:szCs w:val="20"/>
          <w:color w:val="auto"/>
        </w:rPr>
      </w:pPr>
    </w:p>
    <w:p>
      <w:pPr>
        <w:ind w:right="160" w:firstLine="648"/>
        <w:spacing w:after="0" w:line="251" w:lineRule="auto"/>
        <w:rPr>
          <w:sz w:val="20"/>
          <w:szCs w:val="20"/>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Series</w:t>
      </w:r>
      <w:r>
        <w:rPr>
          <w:rFonts w:ascii="Arial" w:cs="Arial" w:eastAsia="Arial" w:hAnsi="Arial"/>
          <w:sz w:val="22"/>
          <w:szCs w:val="22"/>
          <w:color w:val="auto"/>
        </w:rPr>
        <w:t>” of Securities means all securities denoted as part of the same series authorized by or pursuant to a particular Board Resolution.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Short Term Rights</w:t>
      </w:r>
      <w:r>
        <w:rPr>
          <w:rFonts w:ascii="Arial" w:cs="Arial" w:eastAsia="Arial" w:hAnsi="Arial"/>
          <w:sz w:val="22"/>
          <w:szCs w:val="22"/>
          <w:color w:val="auto"/>
        </w:rPr>
        <w:t>” has the meaning specified in Section 1704.</w:t>
      </w:r>
    </w:p>
    <w:p>
      <w:pPr>
        <w:spacing w:after="0" w:line="206" w:lineRule="exact"/>
        <w:rPr>
          <w:sz w:val="20"/>
          <w:szCs w:val="20"/>
          <w:color w:val="auto"/>
        </w:rPr>
      </w:pPr>
    </w:p>
    <w:p>
      <w:pPr>
        <w:ind w:right="80" w:firstLine="648"/>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Significant Subsidiary</w:t>
      </w:r>
      <w:r>
        <w:rPr>
          <w:rFonts w:ascii="Arial" w:cs="Arial" w:eastAsia="Arial" w:hAnsi="Arial"/>
          <w:sz w:val="22"/>
          <w:szCs w:val="22"/>
          <w:color w:val="auto"/>
        </w:rPr>
        <w:t>” means any Subsidiary which is a “significant subsidiary” (as defined in Article I, Rule 1</w:t>
      </w:r>
      <w:r>
        <w:rPr>
          <w:rFonts w:ascii="MS PGothic" w:cs="MS PGothic" w:eastAsia="MS PGothic" w:hAnsi="MS PGothic"/>
          <w:sz w:val="22"/>
          <w:szCs w:val="22"/>
          <w:color w:val="auto"/>
        </w:rPr>
        <w:t>‑</w:t>
      </w:r>
      <w:r>
        <w:rPr>
          <w:rFonts w:ascii="Arial" w:cs="Arial" w:eastAsia="Arial" w:hAnsi="Arial"/>
          <w:sz w:val="22"/>
          <w:szCs w:val="22"/>
          <w:color w:val="auto"/>
        </w:rPr>
        <w:t>02 of Regulation S</w:t>
      </w:r>
      <w:r>
        <w:rPr>
          <w:rFonts w:ascii="MS PGothic" w:cs="MS PGothic" w:eastAsia="MS PGothic" w:hAnsi="MS PGothic"/>
          <w:sz w:val="22"/>
          <w:szCs w:val="22"/>
          <w:color w:val="auto"/>
        </w:rPr>
        <w:t>‑</w:t>
      </w:r>
      <w:r>
        <w:rPr>
          <w:rFonts w:ascii="Arial" w:cs="Arial" w:eastAsia="Arial" w:hAnsi="Arial"/>
          <w:sz w:val="22"/>
          <w:szCs w:val="22"/>
          <w:color w:val="auto"/>
        </w:rPr>
        <w:t>X, promulgated under the Securities Act of 1933, as amended) of the Company.</w:t>
      </w:r>
    </w:p>
    <w:p>
      <w:pPr>
        <w:spacing w:after="0" w:line="186" w:lineRule="exact"/>
        <w:rPr>
          <w:sz w:val="20"/>
          <w:szCs w:val="20"/>
          <w:color w:val="auto"/>
        </w:rPr>
      </w:pPr>
    </w:p>
    <w:p>
      <w:pPr>
        <w:ind w:right="10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Special Record Date</w:t>
      </w:r>
      <w:r>
        <w:rPr>
          <w:rFonts w:ascii="Arial" w:cs="Arial" w:eastAsia="Arial" w:hAnsi="Arial"/>
          <w:sz w:val="21"/>
          <w:szCs w:val="21"/>
          <w:color w:val="auto"/>
        </w:rPr>
        <w:t>” for the payment of any Defaulted Interest on the Registered Securities of or within any series means a date fixed by the Company pursuant to Section 307.</w:t>
      </w:r>
    </w:p>
    <w:p>
      <w:pPr>
        <w:spacing w:after="0" w:line="151"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Stated Maturity</w:t>
      </w:r>
      <w:r>
        <w:rPr>
          <w:rFonts w:ascii="Arial" w:cs="Arial" w:eastAsia="Arial" w:hAnsi="Arial"/>
          <w:sz w:val="22"/>
          <w:szCs w:val="22"/>
          <w:color w:val="auto"/>
        </w:rPr>
        <w:t>,”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85" w:lineRule="exact"/>
        <w:rPr>
          <w:sz w:val="20"/>
          <w:szCs w:val="20"/>
          <w:color w:val="auto"/>
        </w:rPr>
      </w:pPr>
    </w:p>
    <w:p>
      <w:pPr>
        <w:ind w:right="50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Person, any corporation, limited liability company, partnership or other entity of which a majority of (i) the voting power of the voting</w:t>
      </w:r>
    </w:p>
    <w:p>
      <w:pPr>
        <w:spacing w:after="0" w:line="151" w:lineRule="exact"/>
        <w:rPr>
          <w:sz w:val="20"/>
          <w:szCs w:val="20"/>
          <w:color w:val="auto"/>
        </w:rPr>
      </w:pPr>
    </w:p>
    <w:p>
      <w:pPr>
        <w:ind w:right="340"/>
        <w:spacing w:after="0" w:line="238" w:lineRule="auto"/>
        <w:rPr>
          <w:sz w:val="20"/>
          <w:szCs w:val="20"/>
          <w:color w:val="auto"/>
        </w:rPr>
      </w:pPr>
      <w:r>
        <w:rPr>
          <w:rFonts w:ascii="Arial" w:cs="Arial" w:eastAsia="Arial" w:hAnsi="Arial"/>
          <w:sz w:val="22"/>
          <w:szCs w:val="22"/>
          <w:color w:val="auto"/>
        </w:rPr>
        <w:t>equity securities or (ii) the outstanding equity interests are owned, directly or indirectly, by such Person. For the purposes of this definition, “voting equity securities” means equity securities having voting power for the election of directors, whether at all times or only so long as no senior class of security has such voting power by reason of any contingency.</w:t>
      </w:r>
    </w:p>
    <w:p>
      <w:pPr>
        <w:spacing w:after="0" w:line="185" w:lineRule="exact"/>
        <w:rPr>
          <w:sz w:val="20"/>
          <w:szCs w:val="20"/>
          <w:color w:val="auto"/>
        </w:rPr>
      </w:pPr>
    </w:p>
    <w:p>
      <w:pPr>
        <w:ind w:right="78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Day</w:t>
      </w:r>
      <w:r>
        <w:rPr>
          <w:rFonts w:ascii="Arial" w:cs="Arial" w:eastAsia="Arial" w:hAnsi="Arial"/>
          <w:sz w:val="22"/>
          <w:szCs w:val="22"/>
          <w:color w:val="auto"/>
        </w:rPr>
        <w:t>” means any day on which the NASDAQ Global Select Market is open for business.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Trigger Events</w:t>
      </w:r>
      <w:r>
        <w:rPr>
          <w:rFonts w:ascii="Arial" w:cs="Arial" w:eastAsia="Arial" w:hAnsi="Arial"/>
          <w:sz w:val="22"/>
          <w:szCs w:val="22"/>
          <w:color w:val="auto"/>
        </w:rPr>
        <w:t>” has the meaning specified in Section 1704.</w:t>
      </w:r>
    </w:p>
    <w:p>
      <w:pPr>
        <w:spacing w:after="0" w:line="206" w:lineRule="exact"/>
        <w:rPr>
          <w:sz w:val="20"/>
          <w:szCs w:val="20"/>
          <w:color w:val="auto"/>
        </w:rPr>
      </w:pPr>
    </w:p>
    <w:p>
      <w:pPr>
        <w:ind w:right="34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Trust Indenture Act</w:t>
      </w:r>
      <w:r>
        <w:rPr>
          <w:rFonts w:ascii="Arial" w:cs="Arial" w:eastAsia="Arial" w:hAnsi="Arial"/>
          <w:sz w:val="19"/>
          <w:szCs w:val="19"/>
          <w:color w:val="auto"/>
        </w:rPr>
        <w:t>” or “</w:t>
      </w:r>
      <w:r>
        <w:rPr>
          <w:rFonts w:ascii="Arial" w:cs="Arial" w:eastAsia="Arial" w:hAnsi="Arial"/>
          <w:sz w:val="19"/>
          <w:szCs w:val="19"/>
          <w:u w:val="single" w:color="auto"/>
          <w:color w:val="auto"/>
        </w:rPr>
        <w:t>TIA</w:t>
      </w:r>
      <w:r>
        <w:rPr>
          <w:rFonts w:ascii="Arial" w:cs="Arial" w:eastAsia="Arial" w:hAnsi="Arial"/>
          <w:sz w:val="19"/>
          <w:szCs w:val="19"/>
          <w:color w:val="auto"/>
        </w:rPr>
        <w:t>” means the Trust Indenture Act of 1939, as amended and as in force at the date as of which this Indenture was executed, except as provided in Section 905.</w:t>
      </w:r>
    </w:p>
    <w:p>
      <w:pPr>
        <w:spacing w:after="0" w:line="105"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Trustee</w:t>
      </w:r>
      <w:r>
        <w:rPr>
          <w:rFonts w:ascii="Arial" w:cs="Arial" w:eastAsia="Arial" w:hAnsi="Arial"/>
          <w:sz w:val="19"/>
          <w:szCs w:val="19"/>
          <w:color w:val="auto"/>
        </w:rPr>
        <w:t xml:space="preserv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at any time there is more than one such Person, “Trustee” as used with respect to the Securities of any series shall mean only the Trustee with respect to Securities of that series.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69" w:name="page170"/>
    <w:bookmarkEnd w:id="16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Unadjusted Distribution</w:t>
      </w:r>
      <w:r>
        <w:rPr>
          <w:rFonts w:ascii="Arial" w:cs="Arial" w:eastAsia="Arial" w:hAnsi="Arial"/>
          <w:sz w:val="22"/>
          <w:szCs w:val="22"/>
          <w:color w:val="auto"/>
        </w:rPr>
        <w:t>” has the meaning specified in Section 1704.</w:t>
      </w:r>
    </w:p>
    <w:p>
      <w:pPr>
        <w:spacing w:after="0" w:line="207" w:lineRule="exact"/>
        <w:rPr>
          <w:sz w:val="20"/>
          <w:szCs w:val="20"/>
          <w:color w:val="auto"/>
        </w:rPr>
      </w:pPr>
    </w:p>
    <w:p>
      <w:pPr>
        <w:ind w:right="46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United States</w:t>
      </w:r>
      <w:r>
        <w:rPr>
          <w:rFonts w:ascii="Arial" w:cs="Arial" w:eastAsia="Arial" w:hAnsi="Arial"/>
          <w:sz w:val="21"/>
          <w:szCs w:val="21"/>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67"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United States Person</w:t>
      </w:r>
      <w:r>
        <w:rPr>
          <w:rFonts w:ascii="Arial" w:cs="Arial" w:eastAsia="Arial" w:hAnsi="Arial"/>
          <w:sz w:val="19"/>
          <w:szCs w:val="19"/>
          <w:color w:val="auto"/>
        </w:rPr>
        <w:t>” means, unless otherwise specified with respect to any Securities pursuant to Section 301, an individual who is a citizen or resident of the United States, a corporation, partnership or other entity created or organized in or under the laws of the United States or an estate or trust the income of which is subject to United States Federal income taxation regardless of its source.</w:t>
      </w:r>
    </w:p>
    <w:p>
      <w:pPr>
        <w:spacing w:after="0" w:line="143"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Yield to Maturity</w:t>
      </w:r>
      <w:r>
        <w:rPr>
          <w:rFonts w:ascii="Arial" w:cs="Arial" w:eastAsia="Arial" w:hAnsi="Arial"/>
          <w:sz w:val="19"/>
          <w:szCs w:val="19"/>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34" w:lineRule="exact"/>
        <w:rPr>
          <w:sz w:val="20"/>
          <w:szCs w:val="20"/>
          <w:color w:val="auto"/>
        </w:rPr>
      </w:pPr>
    </w:p>
    <w:p>
      <w:pPr>
        <w:ind w:right="40" w:firstLine="648"/>
        <w:spacing w:after="0" w:line="275"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Compliance Certificates and Opinions</w:t>
      </w:r>
      <w:r>
        <w:rPr>
          <w:rFonts w:ascii="Arial" w:cs="Arial" w:eastAsia="Arial" w:hAnsi="Arial"/>
          <w:sz w:val="19"/>
          <w:szCs w:val="19"/>
          <w:color w:val="auto"/>
        </w:rPr>
        <w:t>. 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58"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Every certificate or opinion with respect to compliance with a condition or covenant provided for in this Indenture (including certificates delivered pursuant to Section 1008) shall include:</w:t>
      </w:r>
    </w:p>
    <w:p>
      <w:pPr>
        <w:spacing w:after="0" w:line="105" w:lineRule="exact"/>
        <w:rPr>
          <w:sz w:val="20"/>
          <w:szCs w:val="20"/>
          <w:color w:val="auto"/>
        </w:rPr>
      </w:pPr>
    </w:p>
    <w:p>
      <w:pPr>
        <w:ind w:left="660" w:right="100" w:firstLine="639"/>
        <w:spacing w:after="0" w:line="251" w:lineRule="auto"/>
        <w:tabs>
          <w:tab w:leader="none" w:pos="2006" w:val="left"/>
        </w:tabs>
        <w:numPr>
          <w:ilvl w:val="0"/>
          <w:numId w:val="133"/>
        </w:numPr>
        <w:rPr>
          <w:rFonts w:ascii="Arial" w:cs="Arial" w:eastAsia="Arial" w:hAnsi="Arial"/>
          <w:sz w:val="22"/>
          <w:szCs w:val="22"/>
          <w:color w:val="auto"/>
        </w:rPr>
      </w:pPr>
      <w:r>
        <w:rPr>
          <w:rFonts w:ascii="Arial" w:cs="Arial" w:eastAsia="Arial" w:hAnsi="Arial"/>
          <w:sz w:val="22"/>
          <w:szCs w:val="22"/>
          <w:color w:val="auto"/>
        </w:rPr>
        <w:t>a statement that each individual signing such certificate or opinion has read such condition or covenant and the definitions herein relating thereto;</w:t>
      </w:r>
    </w:p>
    <w:p>
      <w:pPr>
        <w:spacing w:after="0" w:line="173" w:lineRule="exact"/>
        <w:rPr>
          <w:rFonts w:ascii="Arial" w:cs="Arial" w:eastAsia="Arial" w:hAnsi="Arial"/>
          <w:sz w:val="22"/>
          <w:szCs w:val="22"/>
          <w:color w:val="auto"/>
        </w:rPr>
      </w:pPr>
    </w:p>
    <w:p>
      <w:pPr>
        <w:ind w:left="660" w:right="260" w:firstLine="639"/>
        <w:spacing w:after="0" w:line="328" w:lineRule="auto"/>
        <w:tabs>
          <w:tab w:leader="none" w:pos="2006" w:val="left"/>
        </w:tabs>
        <w:numPr>
          <w:ilvl w:val="0"/>
          <w:numId w:val="133"/>
        </w:numPr>
        <w:rPr>
          <w:rFonts w:ascii="Arial" w:cs="Arial" w:eastAsia="Arial" w:hAnsi="Arial"/>
          <w:sz w:val="19"/>
          <w:szCs w:val="19"/>
          <w:color w:val="auto"/>
        </w:rPr>
      </w:pPr>
      <w:r>
        <w:rPr>
          <w:rFonts w:ascii="Arial" w:cs="Arial" w:eastAsia="Arial" w:hAnsi="Arial"/>
          <w:sz w:val="19"/>
          <w:szCs w:val="19"/>
          <w:color w:val="auto"/>
        </w:rPr>
        <w:t>a brief statement as to the nature and scope of the examination or investigation upon which the statements or opinions contained in such certificate or opinion are based;</w:t>
      </w:r>
    </w:p>
    <w:p>
      <w:pPr>
        <w:spacing w:after="0" w:line="105" w:lineRule="exact"/>
        <w:rPr>
          <w:rFonts w:ascii="Arial" w:cs="Arial" w:eastAsia="Arial" w:hAnsi="Arial"/>
          <w:sz w:val="19"/>
          <w:szCs w:val="19"/>
          <w:color w:val="auto"/>
        </w:rPr>
      </w:pPr>
    </w:p>
    <w:p>
      <w:pPr>
        <w:ind w:left="660" w:right="180" w:firstLine="639"/>
        <w:spacing w:after="0" w:line="258" w:lineRule="auto"/>
        <w:tabs>
          <w:tab w:leader="none" w:pos="2006" w:val="left"/>
        </w:tabs>
        <w:numPr>
          <w:ilvl w:val="0"/>
          <w:numId w:val="133"/>
        </w:numPr>
        <w:rPr>
          <w:rFonts w:ascii="Arial" w:cs="Arial" w:eastAsia="Arial" w:hAnsi="Arial"/>
          <w:sz w:val="21"/>
          <w:szCs w:val="21"/>
          <w:color w:val="auto"/>
        </w:rPr>
      </w:pPr>
      <w:r>
        <w:rPr>
          <w:rFonts w:ascii="Arial" w:cs="Arial" w:eastAsia="Arial" w:hAnsi="Arial"/>
          <w:sz w:val="21"/>
          <w:szCs w:val="21"/>
          <w:color w:val="auto"/>
        </w:rPr>
        <w:t>a statement that, in the opinion of each such individual, he has made such examination or investigation as is necessary to enable him to express an informed opinion as to whether or not such condition or covenant has been complied with; and</w:t>
      </w:r>
    </w:p>
    <w:p>
      <w:pPr>
        <w:spacing w:after="0" w:line="166" w:lineRule="exact"/>
        <w:rPr>
          <w:rFonts w:ascii="Arial" w:cs="Arial" w:eastAsia="Arial" w:hAnsi="Arial"/>
          <w:sz w:val="21"/>
          <w:szCs w:val="21"/>
          <w:color w:val="auto"/>
        </w:rPr>
      </w:pPr>
    </w:p>
    <w:p>
      <w:pPr>
        <w:ind w:left="660" w:right="140" w:firstLine="639"/>
        <w:spacing w:after="0" w:line="251" w:lineRule="auto"/>
        <w:tabs>
          <w:tab w:leader="none" w:pos="2006" w:val="left"/>
        </w:tabs>
        <w:numPr>
          <w:ilvl w:val="0"/>
          <w:numId w:val="133"/>
        </w:numPr>
        <w:rPr>
          <w:rFonts w:ascii="Arial" w:cs="Arial" w:eastAsia="Arial" w:hAnsi="Arial"/>
          <w:sz w:val="22"/>
          <w:szCs w:val="22"/>
          <w:color w:val="auto"/>
        </w:rPr>
      </w:pPr>
      <w:r>
        <w:rPr>
          <w:rFonts w:ascii="Arial" w:cs="Arial" w:eastAsia="Arial" w:hAnsi="Arial"/>
          <w:sz w:val="22"/>
          <w:szCs w:val="22"/>
          <w:color w:val="auto"/>
        </w:rPr>
        <w:t>a statement as to whether, in the opinion of each such individual, such condition or covenant has been complied with.</w:t>
      </w:r>
    </w:p>
    <w:p>
      <w:pPr>
        <w:spacing w:after="0" w:line="173" w:lineRule="exact"/>
        <w:rPr>
          <w:sz w:val="20"/>
          <w:szCs w:val="20"/>
          <w:color w:val="auto"/>
        </w:rPr>
      </w:pPr>
    </w:p>
    <w:p>
      <w:pPr>
        <w:ind w:right="60" w:firstLine="648"/>
        <w:spacing w:after="0" w:line="287"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Form of Documents Delivered to Trustee</w:t>
      </w:r>
      <w:r>
        <w:rPr>
          <w:rFonts w:ascii="Arial" w:cs="Arial" w:eastAsia="Arial" w:hAnsi="Arial"/>
          <w:sz w:val="19"/>
          <w:szCs w:val="19"/>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70" w:name="page171"/>
    <w:bookmarkEnd w:id="170"/>
    <w:p>
      <w:pPr>
        <w:ind w:right="40"/>
        <w:spacing w:after="0" w:line="329" w:lineRule="auto"/>
        <w:rPr>
          <w:sz w:val="20"/>
          <w:szCs w:val="20"/>
          <w:color w:val="auto"/>
        </w:rPr>
      </w:pPr>
      <w:r>
        <w:rPr>
          <w:rFonts w:ascii="Arial" w:cs="Arial" w:eastAsia="Arial" w:hAnsi="Arial"/>
          <w:sz w:val="19"/>
          <w:szCs w:val="19"/>
          <w:color w:val="auto"/>
        </w:rPr>
        <w:t>an opinion with respect to some matters and one or more other such Persons as to other matters, and any such Person may certify or give an opinion as to such matters in one or several documents.</w:t>
      </w:r>
    </w:p>
    <w:p>
      <w:pPr>
        <w:spacing w:after="0" w:line="104" w:lineRule="exact"/>
        <w:rPr>
          <w:sz w:val="20"/>
          <w:szCs w:val="20"/>
          <w:color w:val="auto"/>
        </w:rPr>
      </w:pPr>
    </w:p>
    <w:p>
      <w:pPr>
        <w:ind w:right="60" w:firstLine="648"/>
        <w:spacing w:after="0" w:line="274" w:lineRule="auto"/>
        <w:rPr>
          <w:sz w:val="20"/>
          <w:szCs w:val="20"/>
          <w:color w:val="auto"/>
        </w:rPr>
      </w:pPr>
      <w:r>
        <w:rPr>
          <w:rFonts w:ascii="Arial" w:cs="Arial" w:eastAsia="Arial" w:hAnsi="Arial"/>
          <w:sz w:val="19"/>
          <w:szCs w:val="19"/>
          <w:color w:val="auto"/>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with respect to such matters are erroneous.</w:t>
      </w:r>
    </w:p>
    <w:p>
      <w:pPr>
        <w:spacing w:after="0" w:line="159"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86"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u w:val="single" w:color="auto"/>
          <w:color w:val="auto"/>
        </w:rPr>
        <w:t>Acts of Holders.</w:t>
      </w:r>
    </w:p>
    <w:p>
      <w:pPr>
        <w:spacing w:after="0" w:line="206" w:lineRule="exact"/>
        <w:rPr>
          <w:sz w:val="20"/>
          <w:szCs w:val="20"/>
          <w:color w:val="auto"/>
        </w:rPr>
      </w:pPr>
    </w:p>
    <w:p>
      <w:pPr>
        <w:ind w:firstLine="1299"/>
        <w:spacing w:after="0" w:line="270" w:lineRule="auto"/>
        <w:tabs>
          <w:tab w:leader="none" w:pos="1928" w:val="left"/>
        </w:tabs>
        <w:numPr>
          <w:ilvl w:val="0"/>
          <w:numId w:val="134"/>
        </w:numPr>
        <w:rPr>
          <w:rFonts w:ascii="Arial" w:cs="Arial" w:eastAsia="Arial" w:hAnsi="Arial"/>
          <w:sz w:val="19"/>
          <w:szCs w:val="19"/>
          <w:color w:val="auto"/>
        </w:rPr>
      </w:pPr>
      <w:r>
        <w:rPr>
          <w:rFonts w:ascii="Arial" w:cs="Arial" w:eastAsia="Arial" w:hAnsi="Arial"/>
          <w:sz w:val="19"/>
          <w:szCs w:val="19"/>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If Securities of a series are issuable as Bearer Securities,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164" w:lineRule="exact"/>
        <w:rPr>
          <w:rFonts w:ascii="Arial" w:cs="Arial" w:eastAsia="Arial" w:hAnsi="Arial"/>
          <w:sz w:val="19"/>
          <w:szCs w:val="19"/>
          <w:color w:val="auto"/>
        </w:rPr>
      </w:pPr>
    </w:p>
    <w:p>
      <w:pPr>
        <w:ind w:right="40" w:firstLine="1299"/>
        <w:spacing w:after="0" w:line="246" w:lineRule="auto"/>
        <w:tabs>
          <w:tab w:leader="none" w:pos="1940" w:val="left"/>
        </w:tabs>
        <w:numPr>
          <w:ilvl w:val="0"/>
          <w:numId w:val="134"/>
        </w:numPr>
        <w:rPr>
          <w:rFonts w:ascii="Arial" w:cs="Arial" w:eastAsia="Arial" w:hAnsi="Arial"/>
          <w:sz w:val="21"/>
          <w:szCs w:val="21"/>
          <w:color w:val="auto"/>
        </w:rPr>
      </w:pPr>
      <w:r>
        <w:rPr>
          <w:rFonts w:ascii="Arial" w:cs="Arial" w:eastAsia="Arial" w:hAnsi="Arial"/>
          <w:sz w:val="21"/>
          <w:szCs w:val="21"/>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reasonable manner which the Trustee deems sufficient.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71" w:name="page172"/>
    <w:bookmarkEnd w:id="171"/>
    <w:p>
      <w:pPr>
        <w:ind w:left="-20" w:right="840" w:firstLine="1299"/>
        <w:spacing w:after="0" w:line="298" w:lineRule="auto"/>
        <w:tabs>
          <w:tab w:leader="none" w:pos="1921"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ownership of Registered Securities shall be proved by the Security Register. As to any matter relating to beneficial ownership interests in any Global Security, the appropriate depository’s records shall be dispositive for purposes of this Indenture.</w:t>
      </w:r>
    </w:p>
    <w:p>
      <w:pPr>
        <w:spacing w:after="0" w:line="131" w:lineRule="exact"/>
        <w:rPr>
          <w:rFonts w:ascii="Arial" w:cs="Arial" w:eastAsia="Arial" w:hAnsi="Arial"/>
          <w:sz w:val="19"/>
          <w:szCs w:val="19"/>
          <w:color w:val="auto"/>
        </w:rPr>
      </w:pPr>
    </w:p>
    <w:p>
      <w:pPr>
        <w:ind w:left="-20" w:firstLine="1299"/>
        <w:spacing w:after="0" w:line="272" w:lineRule="auto"/>
        <w:tabs>
          <w:tab w:leader="none" w:pos="192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ownership of Bearer Securities may be proved by the production of such Bearer Securities or by a certificate executed, as depository, by any trust company, bank, banker or other depository, wherever situated, if such certificate shall be deemed by the Trustee to be satisfactory, showing that at the date therein mentioned such Person had on deposit with such depository,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ownership of Bearer Securities may also be proved in any other manner which the Trustee deems sufficient.</w:t>
      </w:r>
    </w:p>
    <w:p>
      <w:pPr>
        <w:spacing w:after="0" w:line="161" w:lineRule="exact"/>
        <w:rPr>
          <w:rFonts w:ascii="Arial" w:cs="Arial" w:eastAsia="Arial" w:hAnsi="Arial"/>
          <w:sz w:val="19"/>
          <w:szCs w:val="19"/>
          <w:color w:val="auto"/>
        </w:rPr>
      </w:pPr>
    </w:p>
    <w:p>
      <w:pPr>
        <w:ind w:left="-20" w:right="100" w:firstLine="1299"/>
        <w:spacing w:after="0" w:line="271" w:lineRule="auto"/>
        <w:tabs>
          <w:tab w:leader="none" w:pos="1908"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58" w:lineRule="exact"/>
        <w:rPr>
          <w:rFonts w:ascii="Arial" w:cs="Arial" w:eastAsia="Arial" w:hAnsi="Arial"/>
          <w:sz w:val="19"/>
          <w:szCs w:val="19"/>
          <w:color w:val="auto"/>
        </w:rPr>
      </w:pPr>
    </w:p>
    <w:p>
      <w:pPr>
        <w:ind w:left="-20" w:right="100" w:firstLine="1299"/>
        <w:spacing w:after="0" w:line="279" w:lineRule="auto"/>
        <w:tabs>
          <w:tab w:leader="none" w:pos="1938" w:val="left"/>
        </w:tabs>
        <w:numPr>
          <w:ilvl w:val="0"/>
          <w:numId w:val="135"/>
        </w:numPr>
        <w:rPr>
          <w:rFonts w:ascii="Arial" w:cs="Arial" w:eastAsia="Arial" w:hAnsi="Arial"/>
          <w:sz w:val="19"/>
          <w:szCs w:val="19"/>
          <w:color w:val="auto"/>
        </w:rPr>
      </w:pPr>
      <w:r>
        <w:rPr>
          <w:rFonts w:ascii="Arial" w:cs="Arial" w:eastAsia="Arial" w:hAnsi="Arial"/>
          <w:sz w:val="19"/>
          <w:szCs w:val="19"/>
          <w:color w:val="auto"/>
        </w:rPr>
        <w:t>Any request, demand, authorization, direction, notice, consent, waiver or other Act of the Holder of any Security shall bind every future Holder of the same Security and the Holder of every Security issued upon the registration of transfer thereof or upon the conversion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575437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118" w:right="1419" w:bottom="1440" w:gutter="0" w:footer="0" w:header="0"/>
        </w:sectPr>
      </w:pPr>
    </w:p>
    <w:bookmarkStart w:id="172" w:name="page173"/>
    <w:bookmarkEnd w:id="172"/>
    <w:p>
      <w:pPr>
        <w:ind w:right="59" w:firstLine="648"/>
        <w:spacing w:after="0" w:line="241" w:lineRule="auto"/>
        <w:rPr>
          <w:sz w:val="20"/>
          <w:szCs w:val="20"/>
          <w:color w:val="auto"/>
        </w:rPr>
      </w:pPr>
      <w:r>
        <w:rPr>
          <w:rFonts w:ascii="Arial" w:cs="Arial" w:eastAsia="Arial" w:hAnsi="Arial"/>
          <w:sz w:val="22"/>
          <w:szCs w:val="22"/>
          <w:color w:val="auto"/>
        </w:rPr>
        <w:t xml:space="preserve">SECTION 105. </w:t>
      </w:r>
      <w:r>
        <w:rPr>
          <w:rFonts w:ascii="Arial" w:cs="Arial" w:eastAsia="Arial" w:hAnsi="Arial"/>
          <w:sz w:val="22"/>
          <w:szCs w:val="22"/>
          <w:u w:val="single" w:color="auto"/>
          <w:color w:val="auto"/>
        </w:rPr>
        <w:t>Notices, etc., to Trustee and Company</w:t>
      </w:r>
      <w:r>
        <w:rPr>
          <w:rFonts w:ascii="Arial" w:cs="Arial" w:eastAsia="Arial" w:hAnsi="Arial"/>
          <w:sz w:val="22"/>
          <w:szCs w:val="22"/>
          <w:color w:val="auto"/>
        </w:rPr>
        <w:t>. Any request, demand, authorization, direction, notice, consent, waiver or Act of Holders or other document provided or permitted by this Indenture to be made upon, given or furnished to, or filed with,</w:t>
      </w:r>
    </w:p>
    <w:p>
      <w:pPr>
        <w:spacing w:after="0" w:line="184" w:lineRule="exact"/>
        <w:rPr>
          <w:sz w:val="20"/>
          <w:szCs w:val="20"/>
          <w:color w:val="auto"/>
        </w:rPr>
      </w:pPr>
    </w:p>
    <w:p>
      <w:pPr>
        <w:ind w:left="660" w:right="259" w:firstLine="639"/>
        <w:spacing w:after="0" w:line="238" w:lineRule="auto"/>
        <w:tabs>
          <w:tab w:leader="none" w:pos="2006"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Trustee by any Holder or by the Company shall be sufficient for every purpose hereunder if made, given, furnished or filed in writing to or with the Trustee at [_________________________] or at any other address previously furnished in writing to the Company by the Trustee, Attention: [__________]; or</w:t>
      </w:r>
    </w:p>
    <w:p>
      <w:pPr>
        <w:spacing w:after="0" w:line="185" w:lineRule="exact"/>
        <w:rPr>
          <w:rFonts w:ascii="Arial" w:cs="Arial" w:eastAsia="Arial" w:hAnsi="Arial"/>
          <w:sz w:val="22"/>
          <w:szCs w:val="22"/>
          <w:color w:val="auto"/>
        </w:rPr>
      </w:pPr>
    </w:p>
    <w:p>
      <w:pPr>
        <w:ind w:left="660" w:right="199" w:firstLine="639"/>
        <w:spacing w:after="0" w:line="282" w:lineRule="auto"/>
        <w:tabs>
          <w:tab w:leader="none" w:pos="2006"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Indenture or at any other address previously furnished in writing to the Trustee by the Company, Attention: [__________]; or</w:t>
      </w:r>
    </w:p>
    <w:p>
      <w:pPr>
        <w:spacing w:after="0" w:line="147" w:lineRule="exact"/>
        <w:rPr>
          <w:rFonts w:ascii="Arial" w:cs="Arial" w:eastAsia="Arial" w:hAnsi="Arial"/>
          <w:sz w:val="19"/>
          <w:szCs w:val="19"/>
          <w:color w:val="auto"/>
        </w:rPr>
      </w:pPr>
    </w:p>
    <w:p>
      <w:pPr>
        <w:ind w:left="660" w:right="179" w:firstLine="639"/>
        <w:spacing w:after="0" w:line="236" w:lineRule="auto"/>
        <w:tabs>
          <w:tab w:leader="none" w:pos="2006" w:val="left"/>
        </w:tabs>
        <w:numPr>
          <w:ilvl w:val="0"/>
          <w:numId w:val="136"/>
        </w:numPr>
        <w:rPr>
          <w:rFonts w:ascii="Arial" w:cs="Arial" w:eastAsia="Arial" w:hAnsi="Arial"/>
          <w:sz w:val="22"/>
          <w:szCs w:val="22"/>
          <w:color w:val="auto"/>
        </w:rPr>
      </w:pPr>
      <w:r>
        <w:rPr>
          <w:rFonts w:ascii="Arial" w:cs="Arial" w:eastAsia="Arial" w:hAnsi="Arial"/>
          <w:sz w:val="22"/>
          <w:szCs w:val="22"/>
          <w:color w:val="auto"/>
        </w:rPr>
        <w:t>either the Trustee or the Company, by the other party or by any Holder, shall be sufficient for every purpose hereunder if given by facsimile transmission, receipt confirmed by telephone followed by an original copy delivered by guaranteed overnight courier; if to the Trustee at facsimile number [__________]; and if to the Company at facsimile number [__________].</w:t>
      </w:r>
    </w:p>
    <w:p>
      <w:pPr>
        <w:spacing w:after="0" w:line="188" w:lineRule="exact"/>
        <w:rPr>
          <w:sz w:val="20"/>
          <w:szCs w:val="20"/>
          <w:color w:val="auto"/>
        </w:rPr>
      </w:pPr>
    </w:p>
    <w:p>
      <w:pPr>
        <w:ind w:right="19" w:firstLine="648"/>
        <w:spacing w:after="0" w:line="246" w:lineRule="exact"/>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u w:val="single" w:color="auto"/>
          <w:color w:val="auto"/>
        </w:rPr>
        <w:t>Notice to Holders; Waiver</w:t>
      </w:r>
      <w:r>
        <w:rPr>
          <w:rFonts w:ascii="Arial" w:cs="Arial" w:eastAsia="Arial" w:hAnsi="Arial"/>
          <w:sz w:val="19"/>
          <w:szCs w:val="19"/>
          <w:color w:val="auto"/>
        </w:rPr>
        <w:t>. Where this Indenture provides for notice of any event to Holders of Registered Securities by the Company or the Trustee, such notice shall be sufficiently given (unless otherwise herein expressly provided) if in writing and mailed, first</w:t>
      </w:r>
      <w:r>
        <w:rPr>
          <w:rFonts w:ascii="MS PGothic" w:cs="MS PGothic" w:eastAsia="MS PGothic" w:hAnsi="MS PGothic"/>
          <w:sz w:val="19"/>
          <w:szCs w:val="19"/>
          <w:color w:val="auto"/>
        </w:rPr>
        <w:t>‑</w:t>
      </w:r>
      <w:r>
        <w:rPr>
          <w:rFonts w:ascii="Arial" w:cs="Arial" w:eastAsia="Arial" w:hAnsi="Arial"/>
          <w:sz w:val="19"/>
          <w:szCs w:val="19"/>
          <w:color w:val="auto"/>
        </w:rPr>
        <w:t>class postage prepaid, to each such Holder affected by such event, at his address as it appears in the Security Register, not later than the latest date, if any, and not earlier than the earliest date, if any,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herein. Any notice mailed to a Holder in the manner herein prescribed shall be conclusively deemed to have been received by such Holder, whether or not such Holder actually receives such notice.</w:t>
      </w:r>
    </w:p>
    <w:p>
      <w:pPr>
        <w:spacing w:after="0" w:line="186" w:lineRule="exact"/>
        <w:rPr>
          <w:sz w:val="20"/>
          <w:szCs w:val="20"/>
          <w:color w:val="auto"/>
        </w:rPr>
      </w:pPr>
    </w:p>
    <w:p>
      <w:pPr>
        <w:ind w:right="379" w:firstLine="648"/>
        <w:spacing w:after="0" w:line="252" w:lineRule="auto"/>
        <w:rPr>
          <w:sz w:val="20"/>
          <w:szCs w:val="20"/>
          <w:color w:val="auto"/>
        </w:rPr>
      </w:pPr>
      <w:r>
        <w:rPr>
          <w:rFonts w:ascii="Arial" w:cs="Arial" w:eastAsia="Arial" w:hAnsi="Arial"/>
          <w:sz w:val="21"/>
          <w:szCs w:val="21"/>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174" w:lineRule="exact"/>
        <w:rPr>
          <w:sz w:val="20"/>
          <w:szCs w:val="20"/>
          <w:color w:val="auto"/>
        </w:rPr>
      </w:pPr>
    </w:p>
    <w:p>
      <w:pPr>
        <w:ind w:right="59" w:firstLine="648"/>
        <w:spacing w:after="0" w:line="234" w:lineRule="auto"/>
        <w:rPr>
          <w:sz w:val="20"/>
          <w:szCs w:val="20"/>
          <w:color w:val="auto"/>
        </w:rPr>
      </w:pPr>
      <w:r>
        <w:rPr>
          <w:rFonts w:ascii="Arial" w:cs="Arial" w:eastAsia="Arial" w:hAnsi="Arial"/>
          <w:sz w:val="22"/>
          <w:szCs w:val="22"/>
          <w:color w:val="auto"/>
        </w:rPr>
        <w:t>Except as otherwise expressly provided herein or otherwise specified with respect to any Securities pursuant to Section 301, where this Indenture provides for notice to Holders of Bearer Securities of any event, such notice shall be sufficiently given if published in an Authorized Newspaper in The City of New York and in such other city or cities as may be specified in such Securities on a Business Day, such publication to be not later than the latest date, if any, and not earlier than the earliest date, if any, prescribed for the giving of such notice. Any such notice shall be deemed to have been given on the date of such publication or, if published more than once, on the date of the first such publication.</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8" w:right="1440" w:bottom="1440" w:gutter="0" w:footer="0" w:header="0"/>
        </w:sectPr>
      </w:pPr>
    </w:p>
    <w:bookmarkStart w:id="173" w:name="page174"/>
    <w:bookmarkEnd w:id="173"/>
    <w:p>
      <w:pPr>
        <w:ind w:right="40" w:firstLine="648"/>
        <w:spacing w:after="0" w:line="275" w:lineRule="auto"/>
        <w:rPr>
          <w:sz w:val="20"/>
          <w:szCs w:val="20"/>
          <w:color w:val="auto"/>
        </w:rPr>
      </w:pPr>
      <w:r>
        <w:rPr>
          <w:rFonts w:ascii="Arial" w:cs="Arial" w:eastAsia="Arial" w:hAnsi="Arial"/>
          <w:sz w:val="19"/>
          <w:szCs w:val="19"/>
          <w:color w:val="auto"/>
        </w:rPr>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any particular Holder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159" w:lineRule="exact"/>
        <w:rPr>
          <w:sz w:val="20"/>
          <w:szCs w:val="20"/>
          <w:color w:val="auto"/>
        </w:rPr>
      </w:pPr>
    </w:p>
    <w:p>
      <w:pPr>
        <w:ind w:right="280" w:firstLine="648"/>
        <w:spacing w:after="0"/>
        <w:rPr>
          <w:sz w:val="20"/>
          <w:szCs w:val="20"/>
          <w:color w:val="auto"/>
        </w:rPr>
      </w:pPr>
      <w:r>
        <w:rPr>
          <w:rFonts w:ascii="Arial" w:cs="Arial" w:eastAsia="Arial" w:hAnsi="Arial"/>
          <w:sz w:val="22"/>
          <w:szCs w:val="22"/>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86"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43"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 xml:space="preserve">SECTION 107. </w:t>
      </w:r>
      <w:r>
        <w:rPr>
          <w:rFonts w:ascii="Arial" w:cs="Arial" w:eastAsia="Arial" w:hAnsi="Arial"/>
          <w:sz w:val="22"/>
          <w:szCs w:val="22"/>
          <w:u w:val="single" w:color="auto"/>
          <w:color w:val="auto"/>
        </w:rPr>
        <w:t>Counterparts; Effect of Headings and Table of Contents</w:t>
      </w:r>
      <w:r>
        <w:rPr>
          <w:rFonts w:ascii="Arial" w:cs="Arial" w:eastAsia="Arial" w:hAnsi="Arial"/>
          <w:sz w:val="22"/>
          <w:szCs w:val="22"/>
          <w:color w:val="auto"/>
        </w:rPr>
        <w:t>. This Indenture may be executed in any number of counterparts, each of which so executed shall be deemed to be an original, but all such counterparts shall together constitute but one and the same Indenture. The Article and Section headings herein and the Table of Contents are for convenience only and shall not affect the construction hereof.</w:t>
      </w:r>
    </w:p>
    <w:p>
      <w:pPr>
        <w:spacing w:after="0" w:line="188" w:lineRule="exact"/>
        <w:rPr>
          <w:sz w:val="20"/>
          <w:szCs w:val="20"/>
          <w:color w:val="auto"/>
        </w:rPr>
      </w:pPr>
    </w:p>
    <w:p>
      <w:pPr>
        <w:ind w:right="140" w:firstLine="648"/>
        <w:spacing w:after="0" w:line="274" w:lineRule="auto"/>
        <w:rPr>
          <w:sz w:val="20"/>
          <w:szCs w:val="20"/>
          <w:color w:val="auto"/>
        </w:rPr>
      </w:pPr>
      <w:r>
        <w:rPr>
          <w:rFonts w:ascii="Arial" w:cs="Arial" w:eastAsia="Arial" w:hAnsi="Arial"/>
          <w:sz w:val="21"/>
          <w:szCs w:val="21"/>
          <w:color w:val="auto"/>
        </w:rPr>
        <w:t xml:space="preserve">SECTION 108. </w:t>
      </w:r>
      <w:r>
        <w:rPr>
          <w:rFonts w:ascii="Arial" w:cs="Arial" w:eastAsia="Arial" w:hAnsi="Arial"/>
          <w:sz w:val="21"/>
          <w:szCs w:val="21"/>
          <w:u w:val="single" w:color="auto"/>
          <w:color w:val="auto"/>
        </w:rPr>
        <w:t>Successors and Assigns</w:t>
      </w:r>
      <w:r>
        <w:rPr>
          <w:rFonts w:ascii="Arial" w:cs="Arial" w:eastAsia="Arial" w:hAnsi="Arial"/>
          <w:sz w:val="21"/>
          <w:szCs w:val="21"/>
          <w:color w:val="auto"/>
        </w:rPr>
        <w:t>. All covenants and agreements in this Indenture by the Company shall bind its successors and assigns, whether so expressed or not.</w:t>
      </w:r>
    </w:p>
    <w:p>
      <w:pPr>
        <w:spacing w:after="0" w:line="151"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 xml:space="preserve">SECTION 109. </w:t>
      </w:r>
      <w:r>
        <w:rPr>
          <w:rFonts w:ascii="Arial" w:cs="Arial" w:eastAsia="Arial" w:hAnsi="Arial"/>
          <w:sz w:val="21"/>
          <w:szCs w:val="21"/>
          <w:u w:val="single" w:color="auto"/>
          <w:color w:val="auto"/>
        </w:rPr>
        <w:t>Severability Clause</w:t>
      </w:r>
      <w:r>
        <w:rPr>
          <w:rFonts w:ascii="Arial" w:cs="Arial" w:eastAsia="Arial" w:hAnsi="Arial"/>
          <w:sz w:val="21"/>
          <w:szCs w:val="21"/>
          <w:color w:val="auto"/>
        </w:rPr>
        <w:t>. In case any provision in this Indenture or in any Security or coupon shall be held invalid, illegal or unenforceable, the validity, legality and enforceability of the remaining provisions shall not in any way be affected or impaired thereby.</w:t>
      </w:r>
    </w:p>
    <w:p>
      <w:pPr>
        <w:spacing w:after="0" w:line="167" w:lineRule="exact"/>
        <w:rPr>
          <w:sz w:val="20"/>
          <w:szCs w:val="20"/>
          <w:color w:val="auto"/>
        </w:rPr>
      </w:pPr>
    </w:p>
    <w:p>
      <w:pPr>
        <w:ind w:right="160" w:firstLine="648"/>
        <w:spacing w:after="0" w:line="287" w:lineRule="auto"/>
        <w:rPr>
          <w:sz w:val="20"/>
          <w:szCs w:val="20"/>
          <w:color w:val="auto"/>
        </w:rPr>
      </w:pPr>
      <w:r>
        <w:rPr>
          <w:rFonts w:ascii="Arial" w:cs="Arial" w:eastAsia="Arial" w:hAnsi="Arial"/>
          <w:sz w:val="19"/>
          <w:szCs w:val="19"/>
          <w:color w:val="auto"/>
        </w:rPr>
        <w:t xml:space="preserve">SECTION 110. </w:t>
      </w:r>
      <w:r>
        <w:rPr>
          <w:rFonts w:ascii="Arial" w:cs="Arial" w:eastAsia="Arial" w:hAnsi="Arial"/>
          <w:sz w:val="19"/>
          <w:szCs w:val="19"/>
          <w:u w:val="single" w:color="auto"/>
          <w:color w:val="auto"/>
        </w:rPr>
        <w:t>Benefits of Indenture</w:t>
      </w:r>
      <w:r>
        <w:rPr>
          <w:rFonts w:ascii="Arial" w:cs="Arial" w:eastAsia="Arial" w:hAnsi="Arial"/>
          <w:sz w:val="19"/>
          <w:szCs w:val="19"/>
          <w:color w:val="auto"/>
        </w:rPr>
        <w:t>. Nothing in this Indenture or in the Securities or coupons, if any,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spacing w:after="0" w:line="143" w:lineRule="exact"/>
        <w:rPr>
          <w:sz w:val="20"/>
          <w:szCs w:val="20"/>
          <w:color w:val="auto"/>
        </w:rPr>
      </w:pPr>
    </w:p>
    <w:p>
      <w:pPr>
        <w:ind w:right="160" w:firstLine="648"/>
        <w:spacing w:after="0" w:line="238" w:lineRule="auto"/>
        <w:rPr>
          <w:sz w:val="20"/>
          <w:szCs w:val="20"/>
          <w:color w:val="auto"/>
        </w:rPr>
      </w:pPr>
      <w:r>
        <w:rPr>
          <w:rFonts w:ascii="Arial" w:cs="Arial" w:eastAsia="Arial" w:hAnsi="Arial"/>
          <w:sz w:val="22"/>
          <w:szCs w:val="22"/>
          <w:color w:val="auto"/>
        </w:rPr>
        <w:t xml:space="preserve">SECTION 111. </w:t>
      </w:r>
      <w:r>
        <w:rPr>
          <w:rFonts w:ascii="Arial" w:cs="Arial" w:eastAsia="Arial" w:hAnsi="Arial"/>
          <w:sz w:val="22"/>
          <w:szCs w:val="22"/>
          <w:u w:val="single" w:color="auto"/>
          <w:color w:val="auto"/>
        </w:rPr>
        <w:t>Governing Law</w:t>
      </w:r>
      <w:r>
        <w:rPr>
          <w:rFonts w:ascii="Arial" w:cs="Arial" w:eastAsia="Arial" w:hAnsi="Arial"/>
          <w:sz w:val="22"/>
          <w:szCs w:val="22"/>
          <w:color w:val="auto"/>
        </w:rPr>
        <w:t>. This Indenture and the Securities and coupons shall be governed by and construed in accordance with the laws of the State of New York. This Indenture is subject to the provisions of the TIA that are required to be part of this Indenture and shall, to the extent applicable, be governed by such provisions.</w:t>
      </w:r>
    </w:p>
    <w:p>
      <w:pPr>
        <w:spacing w:after="0" w:line="185"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 xml:space="preserve">SECTION 112. </w:t>
      </w:r>
      <w:r>
        <w:rPr>
          <w:rFonts w:ascii="Arial" w:cs="Arial" w:eastAsia="Arial" w:hAnsi="Arial"/>
          <w:sz w:val="19"/>
          <w:szCs w:val="19"/>
          <w:u w:val="single" w:color="auto"/>
          <w:color w:val="auto"/>
        </w:rPr>
        <w:t>Legal Holidays</w:t>
      </w:r>
      <w:r>
        <w:rPr>
          <w:rFonts w:ascii="Arial" w:cs="Arial" w:eastAsia="Arial" w:hAnsi="Arial"/>
          <w:sz w:val="19"/>
          <w:szCs w:val="19"/>
          <w:color w:val="auto"/>
        </w:rPr>
        <w:t>. In any case where any Interest Payment Date, Redemption Date, Repayment Date, sinking fund payment date, Stated Maturity or Maturity of any Security or the last date on which a Holder has the right to convert or exchange a Security shall not be a Business Day at any Place of Payment, then (notwithstanding any other provision of this Indenture or any Security or coupon other than a provision in the Securities of any series which specifically states that such provision shall apply in lieu hereof), payment of interest or principal (and premium or Make-Whole Amount, if any) or conversion or exchange of such Security need not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74" w:name="page175"/>
    <w:bookmarkEnd w:id="174"/>
    <w:p>
      <w:pPr>
        <w:ind w:right="100"/>
        <w:spacing w:after="0" w:line="277" w:lineRule="auto"/>
        <w:rPr>
          <w:sz w:val="20"/>
          <w:szCs w:val="20"/>
          <w:color w:val="auto"/>
        </w:rPr>
      </w:pPr>
      <w:r>
        <w:rPr>
          <w:rFonts w:ascii="Arial" w:cs="Arial" w:eastAsia="Arial" w:hAnsi="Arial"/>
          <w:sz w:val="19"/>
          <w:szCs w:val="19"/>
          <w:color w:val="auto"/>
        </w:rPr>
        <w:t>be made at such Place of Payment on such date, but (except as otherwise provided in the supplemental indenture with respect to such Security) may be made on the next succeeding Business Day at such Place of Payment with the same force and effect as if made on the Interest Payment Date, Redemption Date, Repayment Date or sinking fund payment date, or at the Stated Maturity or Maturity, or on such last day for conversion or exchange, provided that no interest shall accrue on the amount so payable for the period from and after such Interest Payment Date, Redemption Date, Repayment Date, sinking fund payment date, Stated Maturity or Maturity, as the case may be.</w:t>
      </w:r>
    </w:p>
    <w:p>
      <w:pPr>
        <w:spacing w:after="0" w:line="153"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 xml:space="preserve">SECTION 113. </w:t>
      </w:r>
      <w:r>
        <w:rPr>
          <w:rFonts w:ascii="Arial" w:cs="Arial" w:eastAsia="Arial" w:hAnsi="Arial"/>
          <w:sz w:val="19"/>
          <w:szCs w:val="19"/>
          <w:u w:val="single" w:color="auto"/>
          <w:color w:val="auto"/>
        </w:rPr>
        <w:t>Limited Liability; Immunity of Stockholders, Directors, Officers and Agents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of the Company</w:t>
      </w:r>
      <w:r>
        <w:rPr>
          <w:rFonts w:ascii="Arial" w:cs="Arial" w:eastAsia="Arial" w:hAnsi="Arial"/>
          <w:sz w:val="19"/>
          <w:szCs w:val="19"/>
          <w:color w:val="auto"/>
        </w:rPr>
        <w:t>. Notwithstanding any other provision of this Indenture or of the Securities of any series to the contrary, no recourse under or upon any obligation, covenant or agreement contained in this Indenture or in any Security, or for the payment of any sums due on account of any indebtedness evidenced thereby, including without limitation principal, premium or interest, if any, or for any claim based on this Indenture or any Security or otherwise in respect of this Indenture or any Security, shall be had, whether by levy or execution or otherwise, against (i) the Company, the Company’s assets or against any past, present or future stockholder, employee, officer, director or agent, as such, of the Company or any successor, either directly or through the Company or any successor, under any rule of law, statute, constitutional provision or by the enforcement of any assessment or penalty, or by any legal or equitable proceeding or otherwise, nor shall any such parties be personally liable for any such amounts, obligations or claims, or liable for any deficiency judgment based thereon or with respect thereto, it being expressly understood that the sole remedies hereunder or under any other document with respect to the Securities against such parties with respect to such amounts, obligations or claims shall be against the Company and that all such liability of and recourse against such parties is expressly waived and released by the acceptance of the Securities by the Holders and as part of the consideration for the issue of the Securities.</w:t>
      </w:r>
    </w:p>
    <w:p>
      <w:pPr>
        <w:spacing w:after="0" w:line="200" w:lineRule="exact"/>
        <w:rPr>
          <w:sz w:val="20"/>
          <w:szCs w:val="20"/>
          <w:color w:val="auto"/>
        </w:rPr>
      </w:pPr>
    </w:p>
    <w:p>
      <w:pPr>
        <w:spacing w:after="0" w:line="216"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 xml:space="preserve">SECTION 114. </w:t>
      </w:r>
      <w:r>
        <w:rPr>
          <w:rFonts w:ascii="Arial" w:cs="Arial" w:eastAsia="Arial" w:hAnsi="Arial"/>
          <w:sz w:val="22"/>
          <w:szCs w:val="22"/>
          <w:u w:val="single" w:color="auto"/>
          <w:color w:val="auto"/>
        </w:rPr>
        <w:t>Conflict with Trust Indenture Act</w:t>
      </w:r>
      <w:r>
        <w:rPr>
          <w:rFonts w:ascii="Arial" w:cs="Arial" w:eastAsia="Arial" w:hAnsi="Arial"/>
          <w:sz w:val="22"/>
          <w:szCs w:val="22"/>
          <w:color w:val="auto"/>
        </w:rPr>
        <w:t>. If any provision hereof limits, qualifies or conflicts with another provision hereof which is required or deemed to be included in this Indenture by any of the provisions of the Trust Indenture Act, such required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TWO - SECURITIES FORMS</w:t>
      </w:r>
    </w:p>
    <w:p>
      <w:pPr>
        <w:spacing w:after="0" w:line="206" w:lineRule="exact"/>
        <w:rPr>
          <w:sz w:val="20"/>
          <w:szCs w:val="20"/>
          <w:color w:val="auto"/>
        </w:rPr>
      </w:pPr>
    </w:p>
    <w:p>
      <w:pPr>
        <w:ind w:right="20" w:firstLine="648"/>
        <w:spacing w:after="0" w:line="274"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u w:val="single" w:color="auto"/>
          <w:color w:val="auto"/>
        </w:rPr>
        <w:t>Forms of Securities</w:t>
      </w:r>
      <w:r>
        <w:rPr>
          <w:rFonts w:ascii="Arial" w:cs="Arial" w:eastAsia="Arial" w:hAnsi="Arial"/>
          <w:sz w:val="19"/>
          <w:szCs w:val="19"/>
          <w:color w:val="auto"/>
        </w:rPr>
        <w:t>. The Registered Securities, if any, of each series and the Bearer Securities, if any, of each series and related coupons shall be substantially in the form of Exhibit A hereto or in such other form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75" w:name="page176"/>
    <w:bookmarkEnd w:id="175"/>
    <w:p>
      <w:pPr>
        <w:ind w:right="380"/>
        <w:spacing w:after="0" w:line="329" w:lineRule="auto"/>
        <w:rPr>
          <w:sz w:val="20"/>
          <w:szCs w:val="20"/>
          <w:color w:val="auto"/>
        </w:rPr>
      </w:pPr>
      <w:r>
        <w:rPr>
          <w:rFonts w:ascii="Arial" w:cs="Arial" w:eastAsia="Arial" w:hAnsi="Arial"/>
          <w:sz w:val="19"/>
          <w:szCs w:val="19"/>
          <w:color w:val="auto"/>
        </w:rPr>
        <w:t>or regulation made pursuant thereto or with any rule or regulation of any over-the-counter market or securities exchange, on which the Securities may be quoted or listed, or to conform to usage.</w:t>
      </w:r>
    </w:p>
    <w:p>
      <w:pPr>
        <w:spacing w:after="0" w:line="104" w:lineRule="exact"/>
        <w:rPr>
          <w:sz w:val="20"/>
          <w:szCs w:val="20"/>
          <w:color w:val="auto"/>
        </w:rPr>
      </w:pPr>
    </w:p>
    <w:p>
      <w:pPr>
        <w:ind w:right="60" w:firstLine="648"/>
        <w:spacing w:after="0" w:line="251" w:lineRule="auto"/>
        <w:rPr>
          <w:sz w:val="20"/>
          <w:szCs w:val="20"/>
          <w:color w:val="auto"/>
        </w:rPr>
      </w:pPr>
      <w:r>
        <w:rPr>
          <w:rFonts w:ascii="Arial" w:cs="Arial" w:eastAsia="Arial" w:hAnsi="Arial"/>
          <w:sz w:val="22"/>
          <w:szCs w:val="22"/>
          <w:color w:val="auto"/>
        </w:rPr>
        <w:t>Unless otherwise specified as contemplated by Section 301, Bearer Securities shall have interest coupons attached.</w:t>
      </w:r>
    </w:p>
    <w:p>
      <w:pPr>
        <w:spacing w:after="0" w:line="173" w:lineRule="exact"/>
        <w:rPr>
          <w:sz w:val="20"/>
          <w:szCs w:val="20"/>
          <w:color w:val="auto"/>
        </w:rPr>
      </w:pPr>
    </w:p>
    <w:p>
      <w:pPr>
        <w:ind w:right="60" w:firstLine="648"/>
        <w:spacing w:after="0" w:line="287" w:lineRule="auto"/>
        <w:rPr>
          <w:sz w:val="20"/>
          <w:szCs w:val="20"/>
          <w:color w:val="auto"/>
        </w:rPr>
      </w:pPr>
      <w:r>
        <w:rPr>
          <w:rFonts w:ascii="Arial" w:cs="Arial" w:eastAsia="Arial" w:hAnsi="Arial"/>
          <w:sz w:val="19"/>
          <w:szCs w:val="19"/>
          <w:color w:val="auto"/>
        </w:rPr>
        <w:t>The definitive Securities and coupons shall be printed, lithographed or engraved or produced by any combination of these methods on a steel engraved border or steel engraved borders or mechanically reproduced on safety paper or may be produced in any other manner, all as determined by the officers executing such Securities or coupons, as evidenced by their execution of such Securities or coupons.</w:t>
      </w:r>
    </w:p>
    <w:p>
      <w:pPr>
        <w:spacing w:after="0" w:line="143"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Form of Trustee’s Certificate of Authentication</w:t>
      </w:r>
      <w:r>
        <w:rPr>
          <w:rFonts w:ascii="Arial" w:cs="Arial" w:eastAsia="Arial" w:hAnsi="Arial"/>
          <w:sz w:val="19"/>
          <w:szCs w:val="19"/>
          <w:color w:val="auto"/>
        </w:rPr>
        <w:t>. Subject to Section 611,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Trustee’s certificate of authentication shall be in substantially the following form:</w:t>
      </w:r>
    </w:p>
    <w:p>
      <w:pPr>
        <w:spacing w:after="0" w:line="188" w:lineRule="exact"/>
        <w:rPr>
          <w:sz w:val="20"/>
          <w:szCs w:val="20"/>
          <w:color w:val="auto"/>
        </w:rPr>
      </w:pPr>
    </w:p>
    <w:p>
      <w:pPr>
        <w:ind w:right="100" w:firstLine="648"/>
        <w:spacing w:after="0" w:line="259" w:lineRule="exact"/>
        <w:rPr>
          <w:sz w:val="20"/>
          <w:szCs w:val="20"/>
          <w:color w:val="auto"/>
        </w:rPr>
      </w:pPr>
      <w:r>
        <w:rPr>
          <w:rFonts w:ascii="Arial" w:cs="Arial" w:eastAsia="Arial" w:hAnsi="Arial"/>
          <w:sz w:val="22"/>
          <w:szCs w:val="22"/>
          <w:color w:val="auto"/>
        </w:rPr>
        <w:t>This is one of the Securities of the series designated therein referred to in the within</w:t>
      </w:r>
      <w:r>
        <w:rPr>
          <w:rFonts w:ascii="MS PGothic" w:cs="MS PGothic" w:eastAsia="MS PGothic" w:hAnsi="MS PGothic"/>
          <w:sz w:val="22"/>
          <w:szCs w:val="22"/>
          <w:color w:val="auto"/>
        </w:rPr>
        <w:t>‑</w:t>
      </w:r>
      <w:r>
        <w:rPr>
          <w:rFonts w:ascii="Arial" w:cs="Arial" w:eastAsia="Arial" w:hAnsi="Arial"/>
          <w:sz w:val="22"/>
          <w:szCs w:val="22"/>
          <w:color w:val="auto"/>
        </w:rPr>
        <w:t xml:space="preserve"> mentioned Indenture.</w:t>
      </w:r>
    </w:p>
    <w:p>
      <w:pPr>
        <w:spacing w:after="0" w:line="186" w:lineRule="exact"/>
        <w:rPr>
          <w:sz w:val="20"/>
          <w:szCs w:val="20"/>
          <w:color w:val="auto"/>
        </w:rPr>
      </w:pPr>
    </w:p>
    <w:p>
      <w:pPr>
        <w:ind w:left="4560"/>
        <w:spacing w:after="0"/>
        <w:tabs>
          <w:tab w:leader="none" w:pos="63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-17780</wp:posOffset>
            </wp:positionV>
            <wp:extent cx="113220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22"/>
          <w:szCs w:val="22"/>
          <w:color w:val="auto"/>
        </w:rPr>
        <w:t>as Trustee</w:t>
      </w:r>
    </w:p>
    <w:p>
      <w:pPr>
        <w:spacing w:after="0" w:line="215" w:lineRule="exact"/>
        <w:rPr>
          <w:sz w:val="20"/>
          <w:szCs w:val="20"/>
          <w:color w:val="auto"/>
        </w:rPr>
      </w:pPr>
    </w:p>
    <w:p>
      <w:pPr>
        <w:spacing w:after="0"/>
        <w:tabs>
          <w:tab w:leader="none" w:pos="454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7620</wp:posOffset>
            </wp:positionV>
            <wp:extent cx="265874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58745" cy="8890"/>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7620</wp:posOffset>
            </wp:positionV>
            <wp:extent cx="102044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Authorized Signatory</w:t>
      </w:r>
    </w:p>
    <w:p>
      <w:pPr>
        <w:spacing w:after="0" w:line="215"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u w:val="single" w:color="auto"/>
          <w:color w:val="auto"/>
        </w:rPr>
        <w:t>Securities Issuable in Global Form</w:t>
      </w:r>
      <w:r>
        <w:rPr>
          <w:rFonts w:ascii="Arial" w:cs="Arial" w:eastAsia="Arial" w:hAnsi="Arial"/>
          <w:sz w:val="19"/>
          <w:szCs w:val="19"/>
          <w:color w:val="auto"/>
        </w:rPr>
        <w:t>. If Securities of or within a series are issuable in the form of one or more Global Securities, then, notwithstanding clause (8) of Section 301 and the provisions of Section 302, any such Global Security or Securities may provide that it or they shall represent the aggregate amount of all Outstanding Securities of such series (or such lesser amount as is permitted by the terms thereof) from time to time endorsed thereon and may also provide that the aggregate amount of Outstanding Securities of such series represented thereby may from time to time be increased or decreased to reflect exchanges. Any endorsement of any Global Security to reflect the amount, or any increase or decrease in the amount, or changes in the rights of Holders thereof, of Outstanding Securities represented thereby shall be made (or caused to be made) by the Trustee in such manner or by such Person or Persons as shall be specified therein or in the Company Order to be delivered to the Trustee pursuant to Section 303 or 304. Subject to the provisions of Section 303 and, if applicable, Section 304, the Trustee shall deliver and redeliver any Global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endorsement or delivery or redelivery of a Global Security shall be in writing but need not comply with Section 102 and need not be accompanied by an Opinion of Counsel</w:t>
      </w:r>
      <w:r>
        <w:rPr>
          <w:rFonts w:ascii="Arial" w:cs="Arial" w:eastAsia="Arial" w:hAnsi="Arial"/>
          <w:sz w:val="19"/>
          <w:szCs w:val="19"/>
          <w:u w:val="single" w:color="auto"/>
          <w:color w:val="auto"/>
        </w:rPr>
        <w:t>.</w:t>
      </w:r>
    </w:p>
    <w:p>
      <w:pPr>
        <w:spacing w:after="0" w:line="200" w:lineRule="exact"/>
        <w:rPr>
          <w:sz w:val="20"/>
          <w:szCs w:val="20"/>
          <w:color w:val="auto"/>
        </w:rPr>
      </w:pPr>
    </w:p>
    <w:p>
      <w:pPr>
        <w:spacing w:after="0" w:line="216" w:lineRule="exact"/>
        <w:rPr>
          <w:sz w:val="20"/>
          <w:szCs w:val="20"/>
          <w:color w:val="auto"/>
        </w:rPr>
      </w:pPr>
    </w:p>
    <w:p>
      <w:pPr>
        <w:ind w:right="40" w:firstLine="648"/>
        <w:spacing w:after="0" w:line="248" w:lineRule="auto"/>
        <w:rPr>
          <w:sz w:val="20"/>
          <w:szCs w:val="20"/>
          <w:color w:val="auto"/>
        </w:rPr>
      </w:pPr>
      <w:r>
        <w:rPr>
          <w:rFonts w:ascii="Arial" w:cs="Arial" w:eastAsia="Arial" w:hAnsi="Arial"/>
          <w:sz w:val="21"/>
          <w:szCs w:val="21"/>
          <w:color w:val="auto"/>
        </w:rPr>
        <w:t>The provisions of the last sentence of Section 303 shall apply to any Security represented by a Global Security if such Security was never issued and sold by the Company and the Company delivers to the Trustee the Global Security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176" w:name="page177"/>
    <w:bookmarkEnd w:id="176"/>
    <w:p>
      <w:pPr>
        <w:ind w:right="160" w:firstLine="648"/>
        <w:spacing w:after="0" w:line="298" w:lineRule="auto"/>
        <w:rPr>
          <w:sz w:val="20"/>
          <w:szCs w:val="20"/>
          <w:color w:val="auto"/>
        </w:rPr>
      </w:pPr>
      <w:r>
        <w:rPr>
          <w:rFonts w:ascii="Arial" w:cs="Arial" w:eastAsia="Arial" w:hAnsi="Arial"/>
          <w:sz w:val="19"/>
          <w:szCs w:val="19"/>
          <w:color w:val="auto"/>
        </w:rPr>
        <w:t>Notwithstanding the provisions of Section 307, unless otherwise specified as contemplated by Section 301, payment of principal of and any premium or Make-Whole Amount, if any, and interest on any Global Security in permanent global form shall be made to the registered Holder thereof.</w:t>
      </w:r>
    </w:p>
    <w:p>
      <w:pPr>
        <w:spacing w:after="0" w:line="13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9"/>
          <w:szCs w:val="19"/>
          <w:color w:val="auto"/>
        </w:rPr>
        <w:t>Notwithstanding the provisions of Section 308 and except as provided in the preceding paragraph, the Company, the Trustee and any agent of the Company and the Trustee shall treat as the Holder of such principal amount of Outstanding Securities represented by a permanent Global Security</w:t>
      </w:r>
    </w:p>
    <w:p>
      <w:pPr>
        <w:spacing w:after="0" w:line="2" w:lineRule="exact"/>
        <w:rPr>
          <w:sz w:val="20"/>
          <w:szCs w:val="20"/>
          <w:color w:val="auto"/>
        </w:rPr>
      </w:pPr>
    </w:p>
    <w:p>
      <w:pPr>
        <w:jc w:val="both"/>
        <w:ind w:right="160" w:firstLine="3"/>
        <w:spacing w:after="0" w:line="234" w:lineRule="auto"/>
        <w:tabs>
          <w:tab w:leader="none" w:pos="258" w:val="left"/>
        </w:tabs>
        <w:numPr>
          <w:ilvl w:val="0"/>
          <w:numId w:val="137"/>
        </w:numPr>
        <w:rPr>
          <w:rFonts w:ascii="Arial" w:cs="Arial" w:eastAsia="Arial" w:hAnsi="Arial"/>
          <w:sz w:val="22"/>
          <w:szCs w:val="22"/>
          <w:color w:val="auto"/>
        </w:rPr>
      </w:pPr>
      <w:r>
        <w:rPr>
          <w:rFonts w:ascii="Arial" w:cs="Arial" w:eastAsia="Arial" w:hAnsi="Arial"/>
          <w:sz w:val="22"/>
          <w:szCs w:val="22"/>
          <w:color w:val="auto"/>
        </w:rPr>
        <w:t>in the case of a permanent Global Security in registered form, the Holder of such permanent Global Security in registered form, or (ii) in the case of a permanent Global Security in bearer form, Euroclear or Clearstream.</w:t>
      </w:r>
    </w:p>
    <w:p>
      <w:pPr>
        <w:spacing w:after="0" w:line="187" w:lineRule="exact"/>
        <w:rPr>
          <w:sz w:val="20"/>
          <w:szCs w:val="20"/>
          <w:color w:val="auto"/>
        </w:rPr>
      </w:pPr>
    </w:p>
    <w:p>
      <w:pPr>
        <w:ind w:right="240" w:firstLine="648"/>
        <w:spacing w:after="0" w:line="251" w:lineRule="auto"/>
        <w:rPr>
          <w:sz w:val="20"/>
          <w:szCs w:val="20"/>
          <w:color w:val="auto"/>
        </w:rPr>
      </w:pPr>
      <w:r>
        <w:rPr>
          <w:rFonts w:ascii="Arial" w:cs="Arial" w:eastAsia="Arial" w:hAnsi="Arial"/>
          <w:sz w:val="22"/>
          <w:szCs w:val="22"/>
          <w:color w:val="auto"/>
        </w:rPr>
        <w:t>Any Global Security authenticated and delivered hereunder shall bear a legend in substantially the following form:</w:t>
      </w:r>
    </w:p>
    <w:p>
      <w:pPr>
        <w:spacing w:after="0" w:line="173" w:lineRule="exact"/>
        <w:rPr>
          <w:sz w:val="20"/>
          <w:szCs w:val="20"/>
          <w:color w:val="auto"/>
        </w:rPr>
      </w:pPr>
    </w:p>
    <w:p>
      <w:pPr>
        <w:ind w:right="140" w:firstLine="648"/>
        <w:spacing w:after="0" w:line="247" w:lineRule="auto"/>
        <w:rPr>
          <w:sz w:val="20"/>
          <w:szCs w:val="20"/>
          <w:color w:val="auto"/>
        </w:rPr>
      </w:pPr>
      <w:r>
        <w:rPr>
          <w:rFonts w:ascii="Arial" w:cs="Arial" w:eastAsia="Arial" w:hAnsi="Arial"/>
          <w:sz w:val="21"/>
          <w:szCs w:val="21"/>
          <w:color w:val="auto"/>
        </w:rPr>
        <w:t>“This Security is a Global Security within the meaning set forth in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 or by the Depository or its nominee to a successor Depository or its nominee.”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THREE - THE SECURITIES</w:t>
      </w:r>
    </w:p>
    <w:p>
      <w:pPr>
        <w:spacing w:after="0" w:line="206" w:lineRule="exact"/>
        <w:rPr>
          <w:sz w:val="20"/>
          <w:szCs w:val="20"/>
          <w:color w:val="auto"/>
        </w:rPr>
      </w:pPr>
    </w:p>
    <w:p>
      <w:pPr>
        <w:ind w:right="280" w:firstLine="648"/>
        <w:spacing w:after="0" w:line="274" w:lineRule="auto"/>
        <w:rPr>
          <w:sz w:val="20"/>
          <w:szCs w:val="20"/>
          <w:color w:val="auto"/>
        </w:rPr>
      </w:pPr>
      <w:r>
        <w:rPr>
          <w:rFonts w:ascii="Arial" w:cs="Arial" w:eastAsia="Arial" w:hAnsi="Arial"/>
          <w:sz w:val="21"/>
          <w:szCs w:val="21"/>
          <w:color w:val="auto"/>
        </w:rPr>
        <w:t xml:space="preserve">SECTION 301. </w:t>
      </w:r>
      <w:r>
        <w:rPr>
          <w:rFonts w:ascii="Arial" w:cs="Arial" w:eastAsia="Arial" w:hAnsi="Arial"/>
          <w:sz w:val="21"/>
          <w:szCs w:val="21"/>
          <w:u w:val="single" w:color="auto"/>
          <w:color w:val="auto"/>
        </w:rPr>
        <w:t>Amount Unlimited; Issuable in Series</w:t>
      </w:r>
      <w:r>
        <w:rPr>
          <w:rFonts w:ascii="Arial" w:cs="Arial" w:eastAsia="Arial" w:hAnsi="Arial"/>
          <w:sz w:val="21"/>
          <w:szCs w:val="21"/>
          <w:color w:val="auto"/>
        </w:rPr>
        <w:t>. The aggregate principal amount of Securities which may be authenticated and delivered under this Indenture is unlimited.</w:t>
      </w:r>
    </w:p>
    <w:p>
      <w:pPr>
        <w:spacing w:after="0" w:line="151"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The Securities may be issued in one or more series, each of which shall be authorized pursuant to Board Resolutions of the Company. There shall be established in one or more Board Resolutions or pursuant to authority granted by one or more Board Resolutions and, subject to Section 303, set forth in an Officers’ Certificate, or established in one or more indentures supplemental hereto, prior to the issuance of Securities of any series:</w:t>
      </w:r>
    </w:p>
    <w:p>
      <w:pPr>
        <w:spacing w:after="0" w:line="188" w:lineRule="exact"/>
        <w:rPr>
          <w:sz w:val="20"/>
          <w:szCs w:val="20"/>
          <w:color w:val="auto"/>
        </w:rPr>
      </w:pPr>
    </w:p>
    <w:p>
      <w:pPr>
        <w:ind w:left="660" w:right="80" w:firstLine="639"/>
        <w:spacing w:after="0" w:line="274" w:lineRule="auto"/>
        <w:tabs>
          <w:tab w:leader="none" w:pos="2006" w:val="left"/>
        </w:tabs>
        <w:numPr>
          <w:ilvl w:val="0"/>
          <w:numId w:val="138"/>
        </w:numPr>
        <w:rPr>
          <w:rFonts w:ascii="Arial" w:cs="Arial" w:eastAsia="Arial" w:hAnsi="Arial"/>
          <w:sz w:val="21"/>
          <w:szCs w:val="21"/>
          <w:color w:val="auto"/>
        </w:rPr>
      </w:pPr>
      <w:r>
        <w:rPr>
          <w:rFonts w:ascii="Arial" w:cs="Arial" w:eastAsia="Arial" w:hAnsi="Arial"/>
          <w:sz w:val="21"/>
          <w:szCs w:val="21"/>
          <w:color w:val="auto"/>
        </w:rPr>
        <w:t>The title of the Securities of the series, including “CUSIP” numbers (which shall distinguish the Securities of such series from all other series of Securities);</w:t>
      </w:r>
    </w:p>
    <w:p>
      <w:pPr>
        <w:spacing w:after="0" w:line="150" w:lineRule="exact"/>
        <w:rPr>
          <w:rFonts w:ascii="Arial" w:cs="Arial" w:eastAsia="Arial" w:hAnsi="Arial"/>
          <w:sz w:val="21"/>
          <w:szCs w:val="21"/>
          <w:color w:val="auto"/>
        </w:rPr>
      </w:pPr>
    </w:p>
    <w:p>
      <w:pPr>
        <w:ind w:left="660" w:right="40" w:firstLine="639"/>
        <w:spacing w:after="0" w:line="282" w:lineRule="auto"/>
        <w:tabs>
          <w:tab w:leader="none" w:pos="2006" w:val="left"/>
        </w:tabs>
        <w:numPr>
          <w:ilvl w:val="0"/>
          <w:numId w:val="138"/>
        </w:numPr>
        <w:rPr>
          <w:rFonts w:ascii="Arial" w:cs="Arial" w:eastAsia="Arial" w:hAnsi="Arial"/>
          <w:sz w:val="19"/>
          <w:szCs w:val="19"/>
          <w:color w:val="auto"/>
        </w:rPr>
      </w:pPr>
      <w:r>
        <w:rPr>
          <w:rFonts w:ascii="Arial" w:cs="Arial" w:eastAsia="Arial" w:hAnsi="Arial"/>
          <w:sz w:val="19"/>
          <w:szCs w:val="19"/>
          <w:color w:val="auto"/>
        </w:rPr>
        <w:t>Any limit upon the aggregate principal amount of the Securities of the series that may be authenticated and delivered under this Indenture (except for Securities authenticated and delivered upon registration of transfer of, or upon conversion of, or in exchange for, or in lieu of, other Securities of the series pursuant to Section 304, 305, 306, 906, 1107 or 1305) and the minimum authorized denominations with respect to the Securities of such series;</w:t>
      </w:r>
    </w:p>
    <w:p>
      <w:pPr>
        <w:spacing w:after="0" w:line="147" w:lineRule="exact"/>
        <w:rPr>
          <w:rFonts w:ascii="Arial" w:cs="Arial" w:eastAsia="Arial" w:hAnsi="Arial"/>
          <w:sz w:val="19"/>
          <w:szCs w:val="19"/>
          <w:color w:val="auto"/>
        </w:rPr>
      </w:pPr>
    </w:p>
    <w:p>
      <w:pPr>
        <w:ind w:left="660" w:right="220" w:firstLine="639"/>
        <w:spacing w:after="0" w:line="282" w:lineRule="auto"/>
        <w:tabs>
          <w:tab w:leader="none" w:pos="2006"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The price (expressed as a percentage of the principal amount thereof) at which such Securities will be issued and, if other than the principal amount thereof, the portion of the principal amount thereof payable upon declaration of acceleration of the maturity thereof or (if applicable) the portion of the principal amount of such Securities that is convertible into Common Stock or the method by which any such portion shall be determined.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77" w:name="page178"/>
    <w:bookmarkEnd w:id="177"/>
    <w:p>
      <w:pPr>
        <w:ind w:left="640" w:right="200" w:firstLine="639"/>
        <w:spacing w:after="0" w:line="298" w:lineRule="auto"/>
        <w:tabs>
          <w:tab w:leader="none" w:pos="1986" w:val="left"/>
        </w:tabs>
        <w:numPr>
          <w:ilvl w:val="0"/>
          <w:numId w:val="139"/>
        </w:numPr>
        <w:rPr>
          <w:rFonts w:ascii="Arial" w:cs="Arial" w:eastAsia="Arial" w:hAnsi="Arial"/>
          <w:sz w:val="19"/>
          <w:szCs w:val="19"/>
          <w:color w:val="auto"/>
        </w:rPr>
      </w:pPr>
      <w:r>
        <w:rPr>
          <w:rFonts w:ascii="Arial" w:cs="Arial" w:eastAsia="Arial" w:hAnsi="Arial"/>
          <w:sz w:val="19"/>
          <w:szCs w:val="19"/>
          <w:color w:val="auto"/>
        </w:rPr>
        <w:t>If convertible, the terms on which such Securities are convertible, including the initial conversion price or rate and the conversion period and any applicable limitations on the ownership or transferability of Common Stock or Preferred Stock receivable on conversion;</w:t>
      </w:r>
    </w:p>
    <w:p>
      <w:pPr>
        <w:spacing w:after="0" w:line="131" w:lineRule="exact"/>
        <w:rPr>
          <w:rFonts w:ascii="Arial" w:cs="Arial" w:eastAsia="Arial" w:hAnsi="Arial"/>
          <w:sz w:val="19"/>
          <w:szCs w:val="19"/>
          <w:color w:val="auto"/>
        </w:rPr>
      </w:pPr>
    </w:p>
    <w:p>
      <w:pPr>
        <w:ind w:left="640" w:right="40" w:firstLine="639"/>
        <w:spacing w:after="0" w:line="251" w:lineRule="auto"/>
        <w:tabs>
          <w:tab w:leader="none" w:pos="1986"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date or dates, or the method for determining such date or dates, on which the principal of such Securities will be payable;</w:t>
      </w:r>
    </w:p>
    <w:p>
      <w:pPr>
        <w:spacing w:after="0" w:line="173" w:lineRule="exact"/>
        <w:rPr>
          <w:rFonts w:ascii="Arial" w:cs="Arial" w:eastAsia="Arial" w:hAnsi="Arial"/>
          <w:sz w:val="22"/>
          <w:szCs w:val="22"/>
          <w:color w:val="auto"/>
        </w:rPr>
      </w:pPr>
    </w:p>
    <w:p>
      <w:pPr>
        <w:ind w:left="640" w:right="160" w:firstLine="639"/>
        <w:spacing w:after="0" w:line="274" w:lineRule="auto"/>
        <w:tabs>
          <w:tab w:leader="none" w:pos="1986" w:val="left"/>
        </w:tabs>
        <w:numPr>
          <w:ilvl w:val="0"/>
          <w:numId w:val="139"/>
        </w:numPr>
        <w:rPr>
          <w:rFonts w:ascii="Arial" w:cs="Arial" w:eastAsia="Arial" w:hAnsi="Arial"/>
          <w:sz w:val="21"/>
          <w:szCs w:val="21"/>
          <w:color w:val="auto"/>
        </w:rPr>
      </w:pPr>
      <w:r>
        <w:rPr>
          <w:rFonts w:ascii="Arial" w:cs="Arial" w:eastAsia="Arial" w:hAnsi="Arial"/>
          <w:sz w:val="21"/>
          <w:szCs w:val="21"/>
          <w:color w:val="auto"/>
        </w:rPr>
        <w:t>The rate or rates (which may be fixed or variable), or the method by which such rate or rates shall be determined, at which such Securities will bear interest, if any;</w:t>
      </w:r>
    </w:p>
    <w:p>
      <w:pPr>
        <w:spacing w:after="0" w:line="150" w:lineRule="exact"/>
        <w:rPr>
          <w:rFonts w:ascii="Arial" w:cs="Arial" w:eastAsia="Arial" w:hAnsi="Arial"/>
          <w:sz w:val="21"/>
          <w:szCs w:val="21"/>
          <w:color w:val="auto"/>
        </w:rPr>
      </w:pPr>
    </w:p>
    <w:p>
      <w:pPr>
        <w:ind w:left="640" w:right="40" w:firstLine="639"/>
        <w:spacing w:after="0" w:line="235" w:lineRule="auto"/>
        <w:tabs>
          <w:tab w:leader="none" w:pos="1986"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188" w:lineRule="exact"/>
        <w:rPr>
          <w:rFonts w:ascii="Arial" w:cs="Arial" w:eastAsia="Arial" w:hAnsi="Arial"/>
          <w:sz w:val="22"/>
          <w:szCs w:val="22"/>
          <w:color w:val="auto"/>
        </w:rPr>
      </w:pPr>
    </w:p>
    <w:p>
      <w:pPr>
        <w:ind w:left="640" w:right="100" w:firstLine="639"/>
        <w:spacing w:after="0"/>
        <w:tabs>
          <w:tab w:leader="none" w:pos="1986"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Make-Whole Amount, if any, or method for determining the Make-Whole Amount, if any, payable with respect to such Securities, and the terms upon which such amount, if any, will be payable;</w:t>
      </w:r>
    </w:p>
    <w:p>
      <w:pPr>
        <w:spacing w:after="0" w:line="186" w:lineRule="exact"/>
        <w:rPr>
          <w:rFonts w:ascii="Arial" w:cs="Arial" w:eastAsia="Arial" w:hAnsi="Arial"/>
          <w:sz w:val="22"/>
          <w:szCs w:val="22"/>
          <w:color w:val="auto"/>
        </w:rPr>
      </w:pPr>
    </w:p>
    <w:p>
      <w:pPr>
        <w:ind w:left="640" w:right="40" w:firstLine="639"/>
        <w:spacing w:after="0" w:line="251" w:lineRule="exact"/>
        <w:tabs>
          <w:tab w:leader="none" w:pos="1986"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place or places where the principal of (and premium or Make</w:t>
      </w:r>
      <w:r>
        <w:rPr>
          <w:rFonts w:ascii="MS PGothic" w:cs="MS PGothic" w:eastAsia="MS PGothic" w:hAnsi="MS PGothic"/>
          <w:sz w:val="19"/>
          <w:szCs w:val="19"/>
          <w:color w:val="auto"/>
        </w:rPr>
        <w:t>‑</w:t>
      </w:r>
      <w:r>
        <w:rPr>
          <w:rFonts w:ascii="Arial" w:cs="Arial" w:eastAsia="Arial" w:hAnsi="Arial"/>
          <w:sz w:val="19"/>
          <w:szCs w:val="19"/>
          <w:color w:val="auto"/>
        </w:rPr>
        <w:t>Whole Amount, if any) and interest, if any, on such Securities will be payable, where such Securities may be surrendered for registration of transfer or conversion or exchange and where notices or demands to or upon the Company in respect of such Securities and this Indenture may be served;</w:t>
      </w:r>
    </w:p>
    <w:p>
      <w:pPr>
        <w:spacing w:after="0" w:line="187" w:lineRule="exact"/>
        <w:rPr>
          <w:rFonts w:ascii="Arial" w:cs="Arial" w:eastAsia="Arial" w:hAnsi="Arial"/>
          <w:sz w:val="19"/>
          <w:szCs w:val="19"/>
          <w:color w:val="auto"/>
        </w:rPr>
      </w:pPr>
    </w:p>
    <w:p>
      <w:pPr>
        <w:ind w:left="640" w:right="180" w:firstLine="639"/>
        <w:spacing w:after="0" w:line="238" w:lineRule="auto"/>
        <w:tabs>
          <w:tab w:leader="none" w:pos="2026"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period or periods, if any, within which, the price or prices at which and the other terms and conditions upon which such Securities may, pursuant to any optional or mandatory redemption provisions, be redeemed, as a whole or in part, at the option of the Company;</w:t>
      </w:r>
    </w:p>
    <w:p>
      <w:pPr>
        <w:spacing w:after="0" w:line="185" w:lineRule="exact"/>
        <w:rPr>
          <w:rFonts w:ascii="Arial" w:cs="Arial" w:eastAsia="Arial" w:hAnsi="Arial"/>
          <w:sz w:val="22"/>
          <w:szCs w:val="22"/>
          <w:color w:val="auto"/>
        </w:rPr>
      </w:pPr>
    </w:p>
    <w:p>
      <w:pPr>
        <w:ind w:left="640" w:right="100" w:firstLine="639"/>
        <w:spacing w:after="0" w:line="236" w:lineRule="auto"/>
        <w:tabs>
          <w:tab w:leader="none" w:pos="2018"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obligation, if any, of the Company to redeem, repay or purchase such Securities pursuant to any sinking fund or analogous provision or at the option of a Holder thereof, and the period or periods within which, the price or prices at which and the other terms and conditions upon which such Securities will be redeemed, repaid or purchased, as a whole or in part, pursuant to such obligation;</w:t>
      </w:r>
    </w:p>
    <w:p>
      <w:pPr>
        <w:spacing w:after="0" w:line="187" w:lineRule="exact"/>
        <w:rPr>
          <w:rFonts w:ascii="Arial" w:cs="Arial" w:eastAsia="Arial" w:hAnsi="Arial"/>
          <w:sz w:val="22"/>
          <w:szCs w:val="22"/>
          <w:color w:val="auto"/>
        </w:rPr>
      </w:pPr>
    </w:p>
    <w:p>
      <w:pPr>
        <w:ind w:left="640" w:right="200" w:firstLine="639"/>
        <w:spacing w:after="0" w:line="236" w:lineRule="auto"/>
        <w:tabs>
          <w:tab w:leader="none" w:pos="2026" w:val="left"/>
        </w:tabs>
        <w:numPr>
          <w:ilvl w:val="0"/>
          <w:numId w:val="139"/>
        </w:numPr>
        <w:rPr>
          <w:rFonts w:ascii="Arial" w:cs="Arial" w:eastAsia="Arial" w:hAnsi="Arial"/>
          <w:sz w:val="22"/>
          <w:szCs w:val="22"/>
          <w:color w:val="auto"/>
        </w:rPr>
      </w:pPr>
      <w:r>
        <w:rPr>
          <w:rFonts w:ascii="Arial" w:cs="Arial" w:eastAsia="Arial" w:hAnsi="Arial"/>
          <w:sz w:val="22"/>
          <w:szCs w:val="22"/>
          <w:color w:val="auto"/>
        </w:rPr>
        <w:t>If other than Dollars, the currency or currencies in which such Securities are denominated and payable, which may be a foreign currency or units of two or more foreign currencies or a composite currency or currencies, the manner of determining the equivalent thereof in Dollars for purposes of the definition of “Outstanding” in Section 101, and the terms and conditions relating thereto;</w:t>
      </w:r>
    </w:p>
    <w:p>
      <w:pPr>
        <w:spacing w:after="0" w:line="187" w:lineRule="exact"/>
        <w:rPr>
          <w:rFonts w:ascii="Arial" w:cs="Arial" w:eastAsia="Arial" w:hAnsi="Arial"/>
          <w:sz w:val="22"/>
          <w:szCs w:val="22"/>
          <w:color w:val="auto"/>
        </w:rPr>
      </w:pPr>
    </w:p>
    <w:p>
      <w:pPr>
        <w:ind w:left="640" w:firstLine="639"/>
        <w:spacing w:after="0" w:line="287" w:lineRule="auto"/>
        <w:tabs>
          <w:tab w:leader="none" w:pos="2026" w:val="left"/>
        </w:tabs>
        <w:numPr>
          <w:ilvl w:val="0"/>
          <w:numId w:val="139"/>
        </w:numPr>
        <w:rPr>
          <w:rFonts w:ascii="Arial" w:cs="Arial" w:eastAsia="Arial" w:hAnsi="Arial"/>
          <w:sz w:val="19"/>
          <w:szCs w:val="19"/>
          <w:color w:val="auto"/>
        </w:rPr>
      </w:pPr>
      <w:r>
        <w:rPr>
          <w:rFonts w:ascii="Arial" w:cs="Arial" w:eastAsia="Arial" w:hAnsi="Arial"/>
          <w:sz w:val="19"/>
          <w:szCs w:val="19"/>
          <w:color w:val="auto"/>
        </w:rPr>
        <w:t>Whether the amount of payments of principal of (and premium or Make-Whole Amount, if any, including any amount due upon redemption, if any) or interest on such Securities may be determined with reference to an index, formula or other method (which index, formula or method may, but need not be, based on the yield on or trading price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575437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118" w:right="1419" w:bottom="1440" w:gutter="0" w:footer="0" w:header="0"/>
        </w:sectPr>
      </w:pPr>
    </w:p>
    <w:bookmarkStart w:id="178" w:name="page179"/>
    <w:bookmarkEnd w:id="178"/>
    <w:p>
      <w:pPr>
        <w:jc w:val="both"/>
        <w:ind w:left="640" w:right="519"/>
        <w:spacing w:after="0" w:line="241" w:lineRule="auto"/>
        <w:rPr>
          <w:sz w:val="20"/>
          <w:szCs w:val="20"/>
          <w:color w:val="auto"/>
        </w:rPr>
      </w:pPr>
      <w:r>
        <w:rPr>
          <w:rFonts w:ascii="Arial" w:cs="Arial" w:eastAsia="Arial" w:hAnsi="Arial"/>
          <w:sz w:val="22"/>
          <w:szCs w:val="22"/>
          <w:color w:val="auto"/>
        </w:rPr>
        <w:t>of other securities, including United States Treasury securities or on a currency, currencies, currency unit or units, or composite currency or currencies) and the manner in which such amounts shall be determined;</w:t>
      </w:r>
    </w:p>
    <w:p>
      <w:pPr>
        <w:spacing w:after="0" w:line="184" w:lineRule="exact"/>
        <w:rPr>
          <w:sz w:val="20"/>
          <w:szCs w:val="20"/>
          <w:color w:val="auto"/>
        </w:rPr>
      </w:pPr>
    </w:p>
    <w:p>
      <w:pPr>
        <w:ind w:left="640" w:right="139" w:firstLine="639"/>
        <w:spacing w:after="0" w:line="246" w:lineRule="exact"/>
        <w:tabs>
          <w:tab w:leader="none" w:pos="2026"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Whether the principal of (and premium or Make</w:t>
      </w:r>
      <w:r>
        <w:rPr>
          <w:rFonts w:ascii="MS PGothic" w:cs="MS PGothic" w:eastAsia="MS PGothic" w:hAnsi="MS PGothic"/>
          <w:sz w:val="19"/>
          <w:szCs w:val="19"/>
          <w:color w:val="auto"/>
        </w:rPr>
        <w:t>‑</w:t>
      </w:r>
      <w:r>
        <w:rPr>
          <w:rFonts w:ascii="Arial" w:cs="Arial" w:eastAsia="Arial" w:hAnsi="Arial"/>
          <w:sz w:val="19"/>
          <w:szCs w:val="19"/>
          <w:color w:val="auto"/>
        </w:rPr>
        <w:t>Whole Amount, if any) or interest on the Securities of the series are to be payable, at the election of the Company or a Holder thereof, in a currency or currencies, currency unit or units or composite currency or currencies other than that in which such Securities are denominated or stated to be payable, the period or periods within which, and the terms and conditions upon which, such election may be made, and the time and manner of, and identity of the exchange rate agent with responsibility for, determining the exchange rate between the currency or currencies, currency unit or units or composite currency or currencies in which such Securities are denominated or stated to be payable and the currency or currencies, currency unit or units or composite currency or currencies in which such Securities are to be so payable;</w:t>
      </w:r>
    </w:p>
    <w:p>
      <w:pPr>
        <w:spacing w:after="0" w:line="189" w:lineRule="exact"/>
        <w:rPr>
          <w:rFonts w:ascii="Arial" w:cs="Arial" w:eastAsia="Arial" w:hAnsi="Arial"/>
          <w:sz w:val="19"/>
          <w:szCs w:val="19"/>
          <w:color w:val="auto"/>
        </w:rPr>
      </w:pPr>
    </w:p>
    <w:p>
      <w:pPr>
        <w:ind w:left="640" w:right="499" w:firstLine="639"/>
        <w:spacing w:after="0" w:line="251" w:lineRule="auto"/>
        <w:tabs>
          <w:tab w:leader="none" w:pos="202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Provisions, if any, granting special rights to the Holders of Securities of the series upon the occurrence of such events as may be specified;</w:t>
      </w:r>
    </w:p>
    <w:p>
      <w:pPr>
        <w:spacing w:after="0" w:line="173" w:lineRule="exact"/>
        <w:rPr>
          <w:rFonts w:ascii="Arial" w:cs="Arial" w:eastAsia="Arial" w:hAnsi="Arial"/>
          <w:sz w:val="22"/>
          <w:szCs w:val="22"/>
          <w:color w:val="auto"/>
        </w:rPr>
      </w:pPr>
    </w:p>
    <w:p>
      <w:pPr>
        <w:ind w:left="640" w:right="59" w:firstLine="639"/>
        <w:spacing w:after="0" w:line="297" w:lineRule="auto"/>
        <w:tabs>
          <w:tab w:leader="none" w:pos="2026" w:val="left"/>
        </w:tabs>
        <w:numPr>
          <w:ilvl w:val="0"/>
          <w:numId w:val="140"/>
        </w:numPr>
        <w:rPr>
          <w:rFonts w:ascii="Arial" w:cs="Arial" w:eastAsia="Arial" w:hAnsi="Arial"/>
          <w:sz w:val="19"/>
          <w:szCs w:val="19"/>
          <w:color w:val="auto"/>
        </w:rPr>
      </w:pPr>
      <w:r>
        <w:rPr>
          <w:rFonts w:ascii="Arial" w:cs="Arial" w:eastAsia="Arial" w:hAnsi="Arial"/>
          <w:sz w:val="19"/>
          <w:szCs w:val="19"/>
          <w:color w:val="auto"/>
        </w:rPr>
        <w:t>Any deletions from, modifications of or additions to the Events of Default or covenants of the Company with respect to Securities of the series, whether or not such Events of Default or covenants are consistent with the Events of Default or covenants set forth herein;</w:t>
      </w:r>
    </w:p>
    <w:p>
      <w:pPr>
        <w:spacing w:after="0" w:line="134" w:lineRule="exact"/>
        <w:rPr>
          <w:rFonts w:ascii="Arial" w:cs="Arial" w:eastAsia="Arial" w:hAnsi="Arial"/>
          <w:sz w:val="19"/>
          <w:szCs w:val="19"/>
          <w:color w:val="auto"/>
        </w:rPr>
      </w:pPr>
    </w:p>
    <w:p>
      <w:pPr>
        <w:ind w:left="640" w:right="139" w:firstLine="639"/>
        <w:spacing w:after="0" w:line="238" w:lineRule="auto"/>
        <w:tabs>
          <w:tab w:leader="none" w:pos="202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Whether and under what circumstances the Company will pay any additional amounts on such Securities in respect of any tax, assessment or governmental charge and, if so, whether the Company will have the option to redeem such Securities in lieu of making such payment;</w:t>
      </w:r>
    </w:p>
    <w:p>
      <w:pPr>
        <w:spacing w:after="0" w:line="185" w:lineRule="exact"/>
        <w:rPr>
          <w:rFonts w:ascii="Arial" w:cs="Arial" w:eastAsia="Arial" w:hAnsi="Arial"/>
          <w:sz w:val="22"/>
          <w:szCs w:val="22"/>
          <w:color w:val="auto"/>
        </w:rPr>
      </w:pPr>
    </w:p>
    <w:p>
      <w:pPr>
        <w:ind w:left="640" w:right="19" w:firstLine="639"/>
        <w:spacing w:after="0" w:line="272" w:lineRule="auto"/>
        <w:tabs>
          <w:tab w:leader="none" w:pos="2026"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Whether Securities of the series are to be issuable as Registered Securities, Bearer Securities (with or without coupons) or both, any restrictions applicable to the offer, sale or delivery of Bearer Securities and the terms upon which Bearer Securities of the series may be exchanged for Registered Securities of the series and vice versa (if permitted by applicable laws and regulations), whether any Securities of the series are to be issuable initially in temporary global form and whether any Securities of the series are to be issuable in permanent global form with or without coupons and, if so, whether beneficial owners of interests in any such permanent global Security may, or shall be required to, exchange such interests for Securities of such series and of like tenor of any authorized form and denomination and the circumstances under which any such exchanges may, or shall be required to, occur, if other than in the manner provided in the Indenture, and, if Registered Securities of the series are to be issuable as a Global Security, the identity of the depository for such series;</w:t>
      </w:r>
    </w:p>
    <w:p>
      <w:pPr>
        <w:spacing w:after="0" w:line="161" w:lineRule="exact"/>
        <w:rPr>
          <w:rFonts w:ascii="Arial" w:cs="Arial" w:eastAsia="Arial" w:hAnsi="Arial"/>
          <w:sz w:val="19"/>
          <w:szCs w:val="19"/>
          <w:color w:val="auto"/>
        </w:rPr>
      </w:pPr>
    </w:p>
    <w:p>
      <w:pPr>
        <w:ind w:left="640" w:right="159" w:firstLine="639"/>
        <w:spacing w:after="0" w:line="297" w:lineRule="auto"/>
        <w:tabs>
          <w:tab w:leader="none" w:pos="2026"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134" w:lineRule="exact"/>
        <w:rPr>
          <w:rFonts w:ascii="Arial" w:cs="Arial" w:eastAsia="Arial" w:hAnsi="Arial"/>
          <w:sz w:val="19"/>
          <w:szCs w:val="19"/>
          <w:color w:val="auto"/>
        </w:rPr>
      </w:pPr>
    </w:p>
    <w:p>
      <w:pPr>
        <w:ind w:left="640" w:right="199" w:firstLine="639"/>
        <w:spacing w:after="0" w:line="297" w:lineRule="auto"/>
        <w:tabs>
          <w:tab w:leader="none" w:pos="2026"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The Person to whom any interest on any Registered Security of the series shall be payable, if other than the Person in whose name that Security (or one or more Predecessor Securities) is registered at the close of business on the Regular Record Date for</w:t>
      </w: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575437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9" w:name="page180"/>
    <w:bookmarkEnd w:id="179"/>
    <w:p>
      <w:pPr>
        <w:ind w:left="660" w:right="40"/>
        <w:spacing w:after="0" w:line="277" w:lineRule="auto"/>
        <w:rPr>
          <w:sz w:val="20"/>
          <w:szCs w:val="20"/>
          <w:color w:val="auto"/>
        </w:rPr>
      </w:pPr>
      <w:r>
        <w:rPr>
          <w:rFonts w:ascii="Arial" w:cs="Arial" w:eastAsia="Arial" w:hAnsi="Arial"/>
          <w:sz w:val="19"/>
          <w:szCs w:val="19"/>
          <w:color w:val="auto"/>
        </w:rPr>
        <w:t xml:space="preserve">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in each case, that the manner of determining such Person or making such payment shall be acceptable to the Trustee (as not imposing on it any undue administrative burden or risk of liability);</w:t>
      </w:r>
    </w:p>
    <w:p>
      <w:pPr>
        <w:spacing w:after="0" w:line="153" w:lineRule="exact"/>
        <w:rPr>
          <w:sz w:val="20"/>
          <w:szCs w:val="20"/>
          <w:color w:val="auto"/>
        </w:rPr>
      </w:pPr>
    </w:p>
    <w:p>
      <w:pPr>
        <w:ind w:left="660" w:right="60" w:firstLine="639"/>
        <w:spacing w:after="0" w:line="251" w:lineRule="auto"/>
        <w:tabs>
          <w:tab w:leader="none" w:pos="204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applicability, if any, of the Defeasance and Covenant Defeasance provisions of Article Fourteen hereof to the Securities of the series;</w:t>
      </w:r>
    </w:p>
    <w:p>
      <w:pPr>
        <w:spacing w:after="0" w:line="173" w:lineRule="exact"/>
        <w:rPr>
          <w:rFonts w:ascii="Arial" w:cs="Arial" w:eastAsia="Arial" w:hAnsi="Arial"/>
          <w:sz w:val="22"/>
          <w:szCs w:val="22"/>
          <w:color w:val="auto"/>
        </w:rPr>
      </w:pPr>
    </w:p>
    <w:p>
      <w:pPr>
        <w:ind w:left="660" w:right="40" w:firstLine="639"/>
        <w:spacing w:after="0" w:line="235" w:lineRule="auto"/>
        <w:tabs>
          <w:tab w:leader="none" w:pos="204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obligation, if any, of the Company to permit the conversion of the Securities of such series into Common Stock or Preferred Stock, as the case may be, and the terms and conditions upon which such conversion shall be effected (including, without limitation, the initial conversion price or rate, the conversion period, any adjustment of the applicable conversion price and any requirements relative to the reservation of such shares for purposes of conversion);</w:t>
      </w:r>
    </w:p>
    <w:p>
      <w:pPr>
        <w:spacing w:after="0" w:line="188" w:lineRule="exact"/>
        <w:rPr>
          <w:rFonts w:ascii="Arial" w:cs="Arial" w:eastAsia="Arial" w:hAnsi="Arial"/>
          <w:sz w:val="22"/>
          <w:szCs w:val="22"/>
          <w:color w:val="auto"/>
        </w:rPr>
      </w:pPr>
    </w:p>
    <w:p>
      <w:pPr>
        <w:ind w:left="660" w:right="20" w:firstLine="639"/>
        <w:spacing w:after="0" w:line="252" w:lineRule="auto"/>
        <w:tabs>
          <w:tab w:leader="none" w:pos="2046" w:val="left"/>
        </w:tabs>
        <w:numPr>
          <w:ilvl w:val="0"/>
          <w:numId w:val="141"/>
        </w:numPr>
        <w:rPr>
          <w:rFonts w:ascii="Arial" w:cs="Arial" w:eastAsia="Arial" w:hAnsi="Arial"/>
          <w:sz w:val="21"/>
          <w:szCs w:val="21"/>
          <w:color w:val="auto"/>
        </w:rPr>
      </w:pPr>
      <w:r>
        <w:rPr>
          <w:rFonts w:ascii="Arial" w:cs="Arial" w:eastAsia="Arial" w:hAnsi="Arial"/>
          <w:sz w:val="21"/>
          <w:szCs w:val="21"/>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174" w:lineRule="exact"/>
        <w:rPr>
          <w:rFonts w:ascii="Arial" w:cs="Arial" w:eastAsia="Arial" w:hAnsi="Arial"/>
          <w:sz w:val="21"/>
          <w:szCs w:val="21"/>
          <w:color w:val="auto"/>
        </w:rPr>
      </w:pPr>
    </w:p>
    <w:p>
      <w:pPr>
        <w:ind w:left="660" w:right="100" w:firstLine="639"/>
        <w:spacing w:after="0" w:line="297" w:lineRule="auto"/>
        <w:tabs>
          <w:tab w:leader="none" w:pos="2046" w:val="left"/>
        </w:tabs>
        <w:numPr>
          <w:ilvl w:val="0"/>
          <w:numId w:val="141"/>
        </w:numPr>
        <w:rPr>
          <w:rFonts w:ascii="Arial" w:cs="Arial" w:eastAsia="Arial" w:hAnsi="Arial"/>
          <w:sz w:val="19"/>
          <w:szCs w:val="19"/>
          <w:color w:val="auto"/>
        </w:rPr>
      </w:pPr>
      <w:r>
        <w:rPr>
          <w:rFonts w:ascii="Arial" w:cs="Arial" w:eastAsia="Arial" w:hAnsi="Arial"/>
          <w:sz w:val="19"/>
          <w:szCs w:val="19"/>
          <w:color w:val="auto"/>
        </w:rPr>
        <w:t>Designation of the Trustee, if different from the Trustee under the Indenture, with respect to such series and the terms applicable to such Trustee (which shall be accepted by such Trustee by its execution and delivery of a supplemental indenture as provided therein); and</w:t>
      </w:r>
    </w:p>
    <w:p>
      <w:pPr>
        <w:spacing w:after="0" w:line="134" w:lineRule="exact"/>
        <w:rPr>
          <w:rFonts w:ascii="Arial" w:cs="Arial" w:eastAsia="Arial" w:hAnsi="Arial"/>
          <w:sz w:val="19"/>
          <w:szCs w:val="19"/>
          <w:color w:val="auto"/>
        </w:rPr>
      </w:pPr>
    </w:p>
    <w:p>
      <w:pPr>
        <w:ind w:left="660" w:right="440" w:firstLine="639"/>
        <w:spacing w:after="0" w:line="251" w:lineRule="auto"/>
        <w:tabs>
          <w:tab w:leader="none" w:pos="204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Any other terms of the series (which terms shall not be inconsistent with the provisions of this Indenture).</w:t>
      </w:r>
    </w:p>
    <w:p>
      <w:pPr>
        <w:spacing w:after="0" w:line="173"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such Board Resolution (subject to Section 303) and set forth in such Officers’ Certificate or in any such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151" w:lineRule="exact"/>
        <w:rPr>
          <w:sz w:val="20"/>
          <w:szCs w:val="20"/>
          <w:color w:val="auto"/>
        </w:rPr>
      </w:pPr>
    </w:p>
    <w:p>
      <w:pPr>
        <w:ind w:right="120" w:firstLine="648"/>
        <w:spacing w:after="0" w:line="287" w:lineRule="auto"/>
        <w:rPr>
          <w:sz w:val="20"/>
          <w:szCs w:val="20"/>
          <w:color w:val="auto"/>
        </w:rPr>
      </w:pPr>
      <w:r>
        <w:rPr>
          <w:rFonts w:ascii="Arial" w:cs="Arial" w:eastAsia="Arial" w:hAnsi="Arial"/>
          <w:sz w:val="19"/>
          <w:szCs w:val="19"/>
          <w:color w:val="auto"/>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143"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u w:val="single" w:color="auto"/>
          <w:color w:val="auto"/>
        </w:rPr>
        <w:t>Denominations</w:t>
      </w:r>
      <w:r>
        <w:rPr>
          <w:rFonts w:ascii="Arial" w:cs="Arial" w:eastAsia="Arial" w:hAnsi="Arial"/>
          <w:sz w:val="19"/>
          <w:szCs w:val="19"/>
          <w:color w:val="auto"/>
        </w:rPr>
        <w:t>. The Securities of each series shall be issuable in such denominations as shall be specified as contemplated by Section 301. With respect to Securities of any series denominated in Dollars, in the absence of any such provisions with respect to the Securities of any series, the Securities of such series, other than Global Securities (which may be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80" w:name="page181"/>
    <w:bookmarkEnd w:id="180"/>
    <w:p>
      <w:pPr>
        <w:ind w:right="40"/>
        <w:spacing w:after="0" w:line="241" w:lineRule="auto"/>
        <w:rPr>
          <w:sz w:val="20"/>
          <w:szCs w:val="20"/>
          <w:color w:val="auto"/>
        </w:rPr>
      </w:pPr>
      <w:r>
        <w:rPr>
          <w:rFonts w:ascii="Arial" w:cs="Arial" w:eastAsia="Arial" w:hAnsi="Arial"/>
          <w:sz w:val="22"/>
          <w:szCs w:val="22"/>
          <w:color w:val="auto"/>
        </w:rPr>
        <w:t>any denomination), shall be issuable in denominations of $1,000 and any integral multiple thereof or the equivalent amounts thereof in the case of Securities denominated in the Foreign Currency or currency unit.</w:t>
      </w:r>
    </w:p>
    <w:p>
      <w:pPr>
        <w:spacing w:after="0" w:line="184" w:lineRule="exact"/>
        <w:rPr>
          <w:sz w:val="20"/>
          <w:szCs w:val="20"/>
          <w:color w:val="auto"/>
        </w:rPr>
      </w:pPr>
    </w:p>
    <w:p>
      <w:pPr>
        <w:ind w:right="60" w:firstLine="648"/>
        <w:spacing w:after="0" w:line="279"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Execution, Authentication, Delivery and Dating</w:t>
      </w:r>
      <w:r>
        <w:rPr>
          <w:rFonts w:ascii="Arial" w:cs="Arial" w:eastAsia="Arial" w:hAnsi="Arial"/>
          <w:sz w:val="19"/>
          <w:szCs w:val="19"/>
          <w:color w:val="auto"/>
        </w:rPr>
        <w:t>. The Securities and any coupons appertaining thereto shall be executed on behalf of the Company by its Chairman of the Board, its Chief Executive Officer, its President, or one of its Vice Presidents, under its corporate seal reproduced thereon, and attested by its Secretary or one of its Assistant Secretaries. The signature of any of these officers on the Securities and coupons may be manual or facsimile signatures of the present or any future such authorized officer and may be imprinted or otherwise reproduced on the Securities.</w:t>
      </w:r>
    </w:p>
    <w:p>
      <w:pPr>
        <w:spacing w:after="0" w:line="151" w:lineRule="exact"/>
        <w:rPr>
          <w:sz w:val="20"/>
          <w:szCs w:val="20"/>
          <w:color w:val="auto"/>
        </w:rPr>
      </w:pPr>
    </w:p>
    <w:p>
      <w:pPr>
        <w:ind w:right="280" w:firstLine="648"/>
        <w:spacing w:after="0" w:line="287" w:lineRule="auto"/>
        <w:rPr>
          <w:sz w:val="20"/>
          <w:szCs w:val="20"/>
          <w:color w:val="auto"/>
        </w:rPr>
      </w:pPr>
      <w:r>
        <w:rPr>
          <w:rFonts w:ascii="Arial" w:cs="Arial" w:eastAsia="Arial" w:hAnsi="Arial"/>
          <w:sz w:val="19"/>
          <w:szCs w:val="19"/>
          <w:color w:val="auto"/>
        </w:rPr>
        <w:t>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w:t>
      </w:r>
    </w:p>
    <w:p>
      <w:pPr>
        <w:spacing w:after="0" w:line="143" w:lineRule="exact"/>
        <w:rPr>
          <w:sz w:val="20"/>
          <w:szCs w:val="20"/>
          <w:color w:val="auto"/>
        </w:rPr>
      </w:pPr>
    </w:p>
    <w:p>
      <w:pPr>
        <w:ind w:right="40" w:firstLine="648"/>
        <w:spacing w:after="0" w:line="246" w:lineRule="exact"/>
        <w:rPr>
          <w:sz w:val="20"/>
          <w:szCs w:val="20"/>
          <w:color w:val="auto"/>
        </w:rPr>
      </w:pPr>
      <w:r>
        <w:rPr>
          <w:rFonts w:ascii="Arial" w:cs="Arial" w:eastAsia="Arial" w:hAnsi="Arial"/>
          <w:sz w:val="19"/>
          <w:szCs w:val="19"/>
          <w:color w:val="auto"/>
        </w:rPr>
        <w:t xml:space="preserve">At any time and from time to time after the execution and delivery of this Indenture, the Company may deliver Securities of any series, together with any coupon appertaining thereto, executed by the Company to the Trustee for authentication, together with a Company Order for the authentication and delivery of such Securities (accompanied by a copy of the Board Resolution and the Officers’ Certificate or supplemental indenture contemplated by Section 301), and the Trustee in accordance with the Company Order shall authenticate and deliver such Securities;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connection with its original issuance, no Bearer Security shall be mailed or otherwise delivered to any location in the United States;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unless otherwise specified with respect to any series of Securities pursuant to Section 301, a Bearer Security may be delivered in connection with its original issuance only if the Person entitled to receive such Bearer Security shall have furnished a certificate to Euroclear or Clearstream, as the case may be, in the form set forth in </w:t>
      </w:r>
      <w:r>
        <w:rPr>
          <w:rFonts w:ascii="Arial" w:cs="Arial" w:eastAsia="Arial" w:hAnsi="Arial"/>
          <w:sz w:val="19"/>
          <w:szCs w:val="19"/>
          <w:u w:val="single" w:color="auto"/>
          <w:color w:val="auto"/>
        </w:rPr>
        <w:t>Exhibit B</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1</w:t>
      </w:r>
      <w:r>
        <w:rPr>
          <w:rFonts w:ascii="Arial" w:cs="Arial" w:eastAsia="Arial" w:hAnsi="Arial"/>
          <w:sz w:val="19"/>
          <w:szCs w:val="19"/>
          <w:color w:val="auto"/>
        </w:rPr>
        <w:t xml:space="preserve"> to this Indenture or such other certificate as may be specified by the Company with respect to any series of Securities pursuant to Section 301,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canceled.</w:t>
      </w:r>
    </w:p>
    <w:p>
      <w:pPr>
        <w:spacing w:after="0" w:line="200" w:lineRule="exact"/>
        <w:rPr>
          <w:sz w:val="20"/>
          <w:szCs w:val="20"/>
          <w:color w:val="auto"/>
        </w:rPr>
      </w:pP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or formula,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in relying upon,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81" w:name="page182"/>
    <w:bookmarkEnd w:id="181"/>
    <w:p>
      <w:pPr>
        <w:ind w:left="2600" w:hanging="652"/>
        <w:spacing w:after="0"/>
        <w:tabs>
          <w:tab w:leader="none" w:pos="260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an Opinion of Counsel stating that</w:t>
      </w:r>
    </w:p>
    <w:p>
      <w:pPr>
        <w:spacing w:after="0" w:line="206" w:lineRule="exact"/>
        <w:rPr>
          <w:rFonts w:ascii="Arial" w:cs="Arial" w:eastAsia="Arial" w:hAnsi="Arial"/>
          <w:sz w:val="22"/>
          <w:szCs w:val="22"/>
          <w:color w:val="auto"/>
        </w:rPr>
      </w:pPr>
    </w:p>
    <w:p>
      <w:pPr>
        <w:ind w:left="1940" w:right="220" w:firstLine="656"/>
        <w:spacing w:after="0" w:line="274" w:lineRule="auto"/>
        <w:tabs>
          <w:tab w:leader="none" w:pos="3274" w:val="left"/>
        </w:tabs>
        <w:numPr>
          <w:ilvl w:val="1"/>
          <w:numId w:val="142"/>
        </w:numPr>
        <w:rPr>
          <w:rFonts w:ascii="Arial" w:cs="Arial" w:eastAsia="Arial" w:hAnsi="Arial"/>
          <w:sz w:val="21"/>
          <w:szCs w:val="21"/>
          <w:color w:val="auto"/>
        </w:rPr>
      </w:pPr>
      <w:r>
        <w:rPr>
          <w:rFonts w:ascii="Arial" w:cs="Arial" w:eastAsia="Arial" w:hAnsi="Arial"/>
          <w:sz w:val="21"/>
          <w:szCs w:val="21"/>
          <w:color w:val="auto"/>
        </w:rPr>
        <w:t>the form or forms of such Securities and any coupons have been established in conformity with the provisions of this Indenture;</w:t>
      </w:r>
    </w:p>
    <w:p>
      <w:pPr>
        <w:spacing w:after="0" w:line="150" w:lineRule="exact"/>
        <w:rPr>
          <w:rFonts w:ascii="Arial" w:cs="Arial" w:eastAsia="Arial" w:hAnsi="Arial"/>
          <w:sz w:val="21"/>
          <w:szCs w:val="21"/>
          <w:color w:val="auto"/>
        </w:rPr>
      </w:pPr>
    </w:p>
    <w:p>
      <w:pPr>
        <w:ind w:left="1940" w:right="940" w:firstLine="656"/>
        <w:spacing w:after="0" w:line="328" w:lineRule="auto"/>
        <w:tabs>
          <w:tab w:leader="none" w:pos="3286" w:val="left"/>
        </w:tabs>
        <w:numPr>
          <w:ilvl w:val="1"/>
          <w:numId w:val="142"/>
        </w:numPr>
        <w:rPr>
          <w:rFonts w:ascii="Arial" w:cs="Arial" w:eastAsia="Arial" w:hAnsi="Arial"/>
          <w:sz w:val="19"/>
          <w:szCs w:val="19"/>
          <w:color w:val="auto"/>
        </w:rPr>
      </w:pPr>
      <w:r>
        <w:rPr>
          <w:rFonts w:ascii="Arial" w:cs="Arial" w:eastAsia="Arial" w:hAnsi="Arial"/>
          <w:sz w:val="19"/>
          <w:szCs w:val="19"/>
          <w:color w:val="auto"/>
        </w:rPr>
        <w:t>the terms of such Securities and any coupons have been established in conformity with the provisions of this Indenture; and</w:t>
      </w:r>
    </w:p>
    <w:p>
      <w:pPr>
        <w:spacing w:after="0" w:line="105" w:lineRule="exact"/>
        <w:rPr>
          <w:rFonts w:ascii="Arial" w:cs="Arial" w:eastAsia="Arial" w:hAnsi="Arial"/>
          <w:sz w:val="19"/>
          <w:szCs w:val="19"/>
          <w:color w:val="auto"/>
        </w:rPr>
      </w:pPr>
    </w:p>
    <w:p>
      <w:pPr>
        <w:ind w:left="1940" w:right="40" w:firstLine="656"/>
        <w:spacing w:after="0" w:line="273" w:lineRule="auto"/>
        <w:tabs>
          <w:tab w:leader="none" w:pos="3274" w:val="left"/>
        </w:tabs>
        <w:numPr>
          <w:ilvl w:val="1"/>
          <w:numId w:val="142"/>
        </w:numPr>
        <w:rPr>
          <w:rFonts w:ascii="Arial" w:cs="Arial" w:eastAsia="Arial" w:hAnsi="Arial"/>
          <w:sz w:val="19"/>
          <w:szCs w:val="19"/>
          <w:color w:val="auto"/>
        </w:rPr>
      </w:pPr>
      <w:r>
        <w:rPr>
          <w:rFonts w:ascii="Arial" w:cs="Arial" w:eastAsia="Arial" w:hAnsi="Arial"/>
          <w:sz w:val="19"/>
          <w:szCs w:val="19"/>
          <w:color w:val="auto"/>
        </w:rPr>
        <w:t>such Securities, together with any coupons appertaining thereto,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legally binding obligations of the Company, enforceable in accordance with their terms, subject to applicable bankruptcy, insolvency, fraudulent transfer, reorganization and other similar laws of general applicability relating to or affecting the enforcement of creditors’ rights generally and to general equitable principles; and</w:t>
      </w:r>
    </w:p>
    <w:p>
      <w:pPr>
        <w:spacing w:after="0" w:line="162" w:lineRule="exact"/>
        <w:rPr>
          <w:sz w:val="20"/>
          <w:szCs w:val="20"/>
          <w:color w:val="auto"/>
        </w:rPr>
      </w:pPr>
    </w:p>
    <w:p>
      <w:pPr>
        <w:jc w:val="both"/>
        <w:ind w:left="1300" w:right="220" w:firstLine="648"/>
        <w:spacing w:after="0" w:line="287" w:lineRule="auto"/>
        <w:tabs>
          <w:tab w:leader="none" w:pos="259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an Officers’ Certificate stating that all conditions precedent provided for in this Indenture relating to the issuance of the Securities have been complied with and that, to the best of the knowledge of the signers of such certificate, that no Event of Default with respect to any of the Securities shall have occurred and be continuing.</w:t>
      </w:r>
    </w:p>
    <w:p>
      <w:pPr>
        <w:spacing w:after="0" w:line="143" w:lineRule="exact"/>
        <w:rPr>
          <w:sz w:val="20"/>
          <w:szCs w:val="20"/>
          <w:color w:val="auto"/>
        </w:rPr>
      </w:pPr>
    </w:p>
    <w:p>
      <w:pPr>
        <w:ind w:right="180" w:firstLine="648"/>
        <w:spacing w:after="0" w:line="236" w:lineRule="auto"/>
        <w:rPr>
          <w:sz w:val="20"/>
          <w:szCs w:val="20"/>
          <w:color w:val="auto"/>
        </w:rPr>
      </w:pPr>
      <w:r>
        <w:rPr>
          <w:rFonts w:ascii="Arial" w:cs="Arial" w:eastAsia="Arial" w:hAnsi="Arial"/>
          <w:sz w:val="22"/>
          <w:szCs w:val="22"/>
          <w:color w:val="auto"/>
        </w:rPr>
        <w:t>If such form or terms have been so established, the Trustee shall not be required to authenticate such Securities (or to enter into the related supplemental indenture, if applicable) if the issue of such Securities pursuant to this Indenture will affect the Trustee’s own rights, duties, obligations or immunities under the Securities and this Indenture or otherwise in a manner which is not reasonably acceptable to the Trustee.</w:t>
      </w:r>
    </w:p>
    <w:p>
      <w:pPr>
        <w:spacing w:after="0" w:line="188"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Notwithstanding the provisions of Section 301 and of the preceding paragraph, if all the Securities of any series are not to be issued at one time, it shall not be necessary to deliver an Officers’ Certificate otherwise required pursuant to Section 301 or a Company Order, or an Opinion of Counsel or an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w:t>
      </w:r>
    </w:p>
    <w:p>
      <w:pPr>
        <w:spacing w:after="0" w:line="191" w:lineRule="exact"/>
        <w:rPr>
          <w:sz w:val="20"/>
          <w:szCs w:val="20"/>
          <w:color w:val="auto"/>
        </w:rPr>
      </w:pPr>
    </w:p>
    <w:p>
      <w:pPr>
        <w:ind w:right="260" w:firstLine="648"/>
        <w:spacing w:after="0" w:line="251" w:lineRule="auto"/>
        <w:rPr>
          <w:sz w:val="20"/>
          <w:szCs w:val="20"/>
          <w:color w:val="auto"/>
        </w:rPr>
      </w:pPr>
      <w:r>
        <w:rPr>
          <w:rFonts w:ascii="Arial" w:cs="Arial" w:eastAsia="Arial" w:hAnsi="Arial"/>
          <w:sz w:val="22"/>
          <w:szCs w:val="22"/>
          <w:color w:val="auto"/>
        </w:rPr>
        <w:t>Each Registered Security shall be dated the date of its authentication and each Bearer Security shall be dated as of the date specified as contemplated by Section 301.</w:t>
      </w:r>
    </w:p>
    <w:p>
      <w:pPr>
        <w:spacing w:after="0" w:line="173" w:lineRule="exact"/>
        <w:rPr>
          <w:sz w:val="20"/>
          <w:szCs w:val="20"/>
          <w:color w:val="auto"/>
        </w:rPr>
      </w:pPr>
    </w:p>
    <w:p>
      <w:pPr>
        <w:ind w:right="60" w:firstLine="648"/>
        <w:spacing w:after="0" w:line="277" w:lineRule="auto"/>
        <w:rPr>
          <w:sz w:val="20"/>
          <w:szCs w:val="20"/>
          <w:color w:val="auto"/>
        </w:rPr>
      </w:pPr>
      <w:r>
        <w:rPr>
          <w:rFonts w:ascii="Arial" w:cs="Arial" w:eastAsia="Arial" w:hAnsi="Arial"/>
          <w:sz w:val="19"/>
          <w:szCs w:val="19"/>
          <w:color w:val="auto"/>
        </w:rPr>
        <w:t>No Security or coupon shall be entitled to any benefit under this Indenture or be valid or obligatory for any purpose unless there appears on such Security or Security to which such coupon appertains a certificate of authentication substantially in the form provided for herein duly executed by the Trustee (subject to Section 611)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(including a Global Security) shall have been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82" w:name="page183"/>
    <w:bookmarkEnd w:id="182"/>
    <w:p>
      <w:pPr>
        <w:spacing w:after="0" w:line="279" w:lineRule="auto"/>
        <w:rPr>
          <w:sz w:val="20"/>
          <w:szCs w:val="20"/>
          <w:color w:val="auto"/>
        </w:rPr>
      </w:pPr>
      <w:r>
        <w:rPr>
          <w:rFonts w:ascii="Arial" w:cs="Arial" w:eastAsia="Arial" w:hAnsi="Arial"/>
          <w:sz w:val="19"/>
          <w:szCs w:val="19"/>
          <w:color w:val="auto"/>
        </w:rPr>
        <w:t>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51"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u w:val="single" w:color="auto"/>
          <w:color w:val="auto"/>
        </w:rPr>
        <w:t>Temporary Securities.</w:t>
      </w:r>
    </w:p>
    <w:p>
      <w:pPr>
        <w:spacing w:after="0" w:line="206" w:lineRule="exact"/>
        <w:rPr>
          <w:sz w:val="20"/>
          <w:szCs w:val="20"/>
          <w:color w:val="auto"/>
        </w:rPr>
      </w:pPr>
    </w:p>
    <w:p>
      <w:pPr>
        <w:ind w:right="20" w:firstLine="1299"/>
        <w:spacing w:after="0" w:line="275" w:lineRule="auto"/>
        <w:tabs>
          <w:tab w:leader="none" w:pos="1928" w:val="left"/>
        </w:tabs>
        <w:numPr>
          <w:ilvl w:val="0"/>
          <w:numId w:val="144"/>
        </w:numPr>
        <w:rPr>
          <w:rFonts w:ascii="Arial" w:cs="Arial" w:eastAsia="Arial" w:hAnsi="Arial"/>
          <w:sz w:val="19"/>
          <w:szCs w:val="19"/>
          <w:color w:val="auto"/>
        </w:rPr>
      </w:pPr>
      <w:r>
        <w:rPr>
          <w:rFonts w:ascii="Arial" w:cs="Arial" w:eastAsia="Arial" w:hAnsi="Arial"/>
          <w:sz w:val="19"/>
          <w:szCs w:val="19"/>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58" w:lineRule="exact"/>
        <w:rPr>
          <w:sz w:val="20"/>
          <w:szCs w:val="20"/>
          <w:color w:val="auto"/>
        </w:rPr>
      </w:pPr>
    </w:p>
    <w:p>
      <w:pPr>
        <w:ind w:firstLine="648"/>
        <w:spacing w:after="0" w:line="246" w:lineRule="exact"/>
        <w:rPr>
          <w:sz w:val="20"/>
          <w:szCs w:val="20"/>
          <w:color w:val="auto"/>
        </w:rPr>
      </w:pPr>
      <w:r>
        <w:rPr>
          <w:rFonts w:ascii="Arial" w:cs="Arial" w:eastAsia="Arial" w:hAnsi="Arial"/>
          <w:sz w:val="19"/>
          <w:szCs w:val="19"/>
          <w:color w:val="auto"/>
        </w:rPr>
        <w:t>Except in the case of temporary Global Securities (which shall be exchanged as otherwise provided herein or as otherwise provided in or pursuant to a Board Resolution or supplemental indenture pursuant to Section 301),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non</w:t>
      </w:r>
      <w:r>
        <w:rPr>
          <w:rFonts w:ascii="MS PGothic" w:cs="MS PGothic" w:eastAsia="MS PGothic" w:hAnsi="MS PGothic"/>
          <w:sz w:val="19"/>
          <w:szCs w:val="19"/>
          <w:color w:val="auto"/>
        </w:rPr>
        <w:t>‑</w:t>
      </w:r>
      <w:r>
        <w:rPr>
          <w:rFonts w:ascii="Arial" w:cs="Arial" w:eastAsia="Arial" w:hAnsi="Arial"/>
          <w:sz w:val="19"/>
          <w:szCs w:val="19"/>
          <w:color w:val="auto"/>
        </w:rPr>
        <w:t xml:space="preserve">matured coupons appertaining thereto), the Company shall execute (in accordance with a Company Order delivered at or prior to the authentication of the first definitive security to such series) and the Trustee shall authenticate and deliver in exchange therefor a like principal amount of definitive Securities of the same series of authorized denominations;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definitive Bearer Security shall be delivered in exchange for a temporary Registered Security;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 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w:t>
      </w:r>
    </w:p>
    <w:p>
      <w:pPr>
        <w:spacing w:after="0" w:line="200" w:lineRule="exact"/>
        <w:rPr>
          <w:sz w:val="20"/>
          <w:szCs w:val="20"/>
          <w:color w:val="auto"/>
        </w:rPr>
      </w:pPr>
    </w:p>
    <w:p>
      <w:pPr>
        <w:spacing w:after="0" w:line="216" w:lineRule="exact"/>
        <w:rPr>
          <w:sz w:val="20"/>
          <w:szCs w:val="20"/>
          <w:color w:val="auto"/>
        </w:rPr>
      </w:pPr>
    </w:p>
    <w:p>
      <w:pPr>
        <w:ind w:right="120" w:firstLine="1299"/>
        <w:spacing w:after="0" w:line="246" w:lineRule="auto"/>
        <w:tabs>
          <w:tab w:leader="none" w:pos="1940" w:val="left"/>
        </w:tabs>
        <w:numPr>
          <w:ilvl w:val="0"/>
          <w:numId w:val="145"/>
        </w:numPr>
        <w:rPr>
          <w:rFonts w:ascii="Arial" w:cs="Arial" w:eastAsia="Arial" w:hAnsi="Arial"/>
          <w:sz w:val="21"/>
          <w:szCs w:val="21"/>
          <w:color w:val="auto"/>
        </w:rPr>
      </w:pPr>
      <w:r>
        <w:rPr>
          <w:rFonts w:ascii="Arial" w:cs="Arial" w:eastAsia="Arial" w:hAnsi="Arial"/>
          <w:sz w:val="21"/>
          <w:szCs w:val="21"/>
          <w:color w:val="auto"/>
        </w:rPr>
        <w:t>Unless otherwise provided in or pursuant to a Board Resolution or supplemental indenture pursuant to Section 301, the following provisions of this Section 304(b) shall govern the exchange of temporary Securities other than through the facilities of the DTC. If any such temporary Security is issued in global form, then such temporary Global Security shall, unless otherwise provided therein, be delivered to the London office of a depository or common depository upon and pursuant to written direction of the Company (the “Common Depository”), for the benefit of Euroclear and Clearstream, for credit to the respective accounts of the beneficial owners of such Securities (or to such other accounts as they may direct).</w:t>
      </w:r>
    </w:p>
    <w:p>
      <w:pPr>
        <w:spacing w:after="0" w:line="181" w:lineRule="exact"/>
        <w:rPr>
          <w:sz w:val="20"/>
          <w:szCs w:val="20"/>
          <w:color w:val="auto"/>
        </w:rPr>
      </w:pPr>
    </w:p>
    <w:p>
      <w:pPr>
        <w:ind w:right="340" w:firstLine="648"/>
        <w:spacing w:after="0" w:line="328" w:lineRule="auto"/>
        <w:rPr>
          <w:sz w:val="20"/>
          <w:szCs w:val="20"/>
          <w:color w:val="auto"/>
        </w:rPr>
      </w:pPr>
      <w:r>
        <w:rPr>
          <w:rFonts w:ascii="Arial" w:cs="Arial" w:eastAsia="Arial" w:hAnsi="Arial"/>
          <w:sz w:val="19"/>
          <w:szCs w:val="19"/>
          <w:color w:val="auto"/>
        </w:rPr>
        <w:t>Without unnecessary delay but in any event not later than the date specified in, or determined pursuant to the terms of, any such temporary Global Security (the “Exchange Date”), the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83" w:name="page184"/>
    <w:bookmarkEnd w:id="183"/>
    <w:p>
      <w:pPr>
        <w:ind w:right="20"/>
        <w:spacing w:after="0" w:line="246" w:lineRule="exact"/>
        <w:rPr>
          <w:sz w:val="20"/>
          <w:szCs w:val="20"/>
          <w:color w:val="auto"/>
        </w:rPr>
      </w:pPr>
      <w:r>
        <w:rPr>
          <w:rFonts w:ascii="Arial" w:cs="Arial" w:eastAsia="Arial" w:hAnsi="Arial"/>
          <w:sz w:val="19"/>
          <w:szCs w:val="19"/>
          <w:color w:val="auto"/>
        </w:rPr>
        <w:t xml:space="preserve">shall deliver to the Trustee definitive Securities, in aggregate principal amount equal to the principal amount of such temporary Global Security, executed by the Company. On or after the Exchange Date, such temporary Global Security shall be surrendered by the Common Depository to the Trustee, as the Company’s agent for such purpose, to be exchanged, in whole or from time to time in part, for definitive Securities without charge, and the Trustee shall authenticate and deliver,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(as directed by or pursuant to information provided by the Common Depository);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unless otherwise specified in such temporary Global Security, upon such presentation by the Common Depository, such temporary Global Security shall be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exchanged, each in the form set forth in </w:t>
      </w:r>
      <w:r>
        <w:rPr>
          <w:rFonts w:ascii="Arial" w:cs="Arial" w:eastAsia="Arial" w:hAnsi="Arial"/>
          <w:sz w:val="19"/>
          <w:szCs w:val="19"/>
          <w:u w:val="single" w:color="auto"/>
          <w:color w:val="auto"/>
        </w:rPr>
        <w:t>Exhibit B</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2</w:t>
      </w:r>
      <w:r>
        <w:rPr>
          <w:rFonts w:ascii="Arial" w:cs="Arial" w:eastAsia="Arial" w:hAnsi="Arial"/>
          <w:sz w:val="19"/>
          <w:szCs w:val="19"/>
          <w:color w:val="auto"/>
        </w:rPr>
        <w:t xml:space="preserve"> to this Indenture or in such other form as may be established pursuant to Section 301;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definitive Bearer Securities shall be delivered in exchange for a portion of a temporary Global Security only in compliance with the requirements of Section 303.</w:t>
      </w:r>
    </w:p>
    <w:p>
      <w:pPr>
        <w:spacing w:after="0" w:line="200" w:lineRule="exact"/>
        <w:rPr>
          <w:sz w:val="20"/>
          <w:szCs w:val="20"/>
          <w:color w:val="auto"/>
        </w:rPr>
      </w:pPr>
    </w:p>
    <w:p>
      <w:pPr>
        <w:spacing w:after="0" w:line="206" w:lineRule="exact"/>
        <w:rPr>
          <w:sz w:val="20"/>
          <w:szCs w:val="20"/>
          <w:color w:val="auto"/>
        </w:rPr>
      </w:pPr>
    </w:p>
    <w:p>
      <w:pPr>
        <w:ind w:firstLine="648"/>
        <w:spacing w:after="0" w:line="247" w:lineRule="exact"/>
        <w:rPr>
          <w:sz w:val="20"/>
          <w:szCs w:val="20"/>
          <w:color w:val="auto"/>
        </w:rPr>
      </w:pPr>
      <w:r>
        <w:rPr>
          <w:rFonts w:ascii="Arial" w:cs="Arial" w:eastAsia="Arial" w:hAnsi="Arial"/>
          <w:sz w:val="19"/>
          <w:szCs w:val="19"/>
          <w:color w:val="auto"/>
        </w:rPr>
        <w:t xml:space="preserve">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w:t>
      </w:r>
      <w:r>
        <w:rPr>
          <w:rFonts w:ascii="Arial" w:cs="Arial" w:eastAsia="Arial" w:hAnsi="Arial"/>
          <w:sz w:val="19"/>
          <w:szCs w:val="19"/>
          <w:u w:val="single" w:color="auto"/>
          <w:color w:val="auto"/>
        </w:rPr>
        <w:t>Exhibit B</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1</w:t>
      </w:r>
      <w:r>
        <w:rPr>
          <w:rFonts w:ascii="Arial" w:cs="Arial" w:eastAsia="Arial" w:hAnsi="Arial"/>
          <w:sz w:val="19"/>
          <w:szCs w:val="19"/>
          <w:color w:val="auto"/>
        </w:rPr>
        <w:t xml:space="preserve"> to this Indenture (or in such other form as may be established pursuant to Section 301), dated no earlier than 15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unless such Person takes delivery of such definitive Securities in person at the offices of Euroclear or Clearstream. Definitive Securities in bearer form to be delivered in exchange for any portion of a temporary Global Security shall be delivered only to an address located outside the United States.</w:t>
      </w:r>
    </w:p>
    <w:p>
      <w:pPr>
        <w:spacing w:after="0" w:line="200" w:lineRule="exact"/>
        <w:rPr>
          <w:sz w:val="20"/>
          <w:szCs w:val="20"/>
          <w:color w:val="auto"/>
        </w:rPr>
      </w:pPr>
    </w:p>
    <w:p>
      <w:pPr>
        <w:spacing w:after="0" w:line="209" w:lineRule="exact"/>
        <w:rPr>
          <w:sz w:val="20"/>
          <w:szCs w:val="20"/>
          <w:color w:val="auto"/>
        </w:rPr>
      </w:pPr>
    </w:p>
    <w:p>
      <w:pPr>
        <w:ind w:right="40" w:firstLine="648"/>
        <w:spacing w:after="0" w:line="246" w:lineRule="exact"/>
        <w:rPr>
          <w:sz w:val="20"/>
          <w:szCs w:val="20"/>
          <w:color w:val="auto"/>
        </w:rPr>
      </w:pPr>
      <w:r>
        <w:rPr>
          <w:rFonts w:ascii="Arial" w:cs="Arial" w:eastAsia="Arial" w:hAnsi="Arial"/>
          <w:sz w:val="19"/>
          <w:szCs w:val="19"/>
          <w:color w:val="auto"/>
        </w:rPr>
        <w:t xml:space="preserve">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Security on an Interest Payment Date for Securities of such series occurring prior to the applicable Exchange Date shall be payable to Euroclear and Clearstream on such Interest Payment Date upon delivery by Euroclear and Clearstream to the Trustee of a certificate or certificates in the form set forth in </w:t>
      </w:r>
      <w:r>
        <w:rPr>
          <w:rFonts w:ascii="Arial" w:cs="Arial" w:eastAsia="Arial" w:hAnsi="Arial"/>
          <w:sz w:val="19"/>
          <w:szCs w:val="19"/>
          <w:u w:val="single" w:color="auto"/>
          <w:color w:val="auto"/>
        </w:rPr>
        <w:t>Exhibit B</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2</w:t>
      </w:r>
      <w:r>
        <w:rPr>
          <w:rFonts w:ascii="Arial" w:cs="Arial" w:eastAsia="Arial" w:hAnsi="Arial"/>
          <w:sz w:val="19"/>
          <w:szCs w:val="19"/>
          <w:color w:val="auto"/>
        </w:rPr>
        <w:t xml:space="preserve"> to this Indenture (or in such other forms as may be established pursuant to Section 301), for credit without further interest on or after such Interest Payment Date to the respective accounts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84" w:name="page185"/>
    <w:bookmarkEnd w:id="184"/>
    <w:p>
      <w:pPr>
        <w:spacing w:after="0" w:line="245" w:lineRule="exact"/>
        <w:rPr>
          <w:sz w:val="20"/>
          <w:szCs w:val="20"/>
          <w:color w:val="auto"/>
        </w:rPr>
      </w:pPr>
      <w:r>
        <w:rPr>
          <w:rFonts w:ascii="Arial" w:cs="Arial" w:eastAsia="Arial" w:hAnsi="Arial"/>
          <w:sz w:val="19"/>
          <w:szCs w:val="19"/>
          <w:color w:val="auto"/>
        </w:rPr>
        <w:t xml:space="preserve">Persons who are the beneficial owners of such temporary Global Security on such Interest Payment Date and who have each delivered to Euroclear or Clearstream, as the case may be, a certificate dated no earlier than 15 days prior to the Interest Payment Date occurring prior to such Exchange Date in the form set forth as </w:t>
      </w:r>
      <w:r>
        <w:rPr>
          <w:rFonts w:ascii="Arial" w:cs="Arial" w:eastAsia="Arial" w:hAnsi="Arial"/>
          <w:sz w:val="19"/>
          <w:szCs w:val="19"/>
          <w:u w:val="single" w:color="auto"/>
          <w:color w:val="auto"/>
        </w:rPr>
        <w:t>Exhibit B</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1</w:t>
      </w:r>
      <w:r>
        <w:rPr>
          <w:rFonts w:ascii="Arial" w:cs="Arial" w:eastAsia="Arial" w:hAnsi="Arial"/>
          <w:sz w:val="19"/>
          <w:szCs w:val="19"/>
          <w:color w:val="auto"/>
        </w:rPr>
        <w:t xml:space="preserve"> to this Indenture (or in such other forms as may be established pursuant to Section 301). Notwithstanding anything to the contrary herein contained, the certifications made pursuant to this paragraph shall satisfy the certification requirements of the preceding two paragraphs of this Section 304(b) and of the third paragraph of Section 303 of this Indenture and the interests of the Persons who are the beneficial owners of the temporary Global Security with respect to which such certification was made will be exchanged for definitive Securities of the same series and of like tenor on the Exchange Date or the date of certification if such date occurs after the Exchange Date, without further act or deed by such beneficial owners. Except as otherwise provided in this paragraph, no payments of principal or interest owing with respect to a beneficial interest in a temporary Global Security will be made unless and until such interest in such temporary Global Security shall have been exchanged for an interest in a definitive Security. Any interest so received by Euroclear and Clearstream and not paid as herein provided shall be returned to the Trustee prior to the expiration of two years after such Interest Payment Date in order to be repaid to the Company.</w:t>
      </w:r>
    </w:p>
    <w:p>
      <w:pPr>
        <w:spacing w:after="0" w:line="188" w:lineRule="exact"/>
        <w:rPr>
          <w:sz w:val="20"/>
          <w:szCs w:val="20"/>
          <w:color w:val="auto"/>
        </w:rPr>
      </w:pPr>
    </w:p>
    <w:p>
      <w:pPr>
        <w:ind w:right="60" w:firstLine="648"/>
        <w:spacing w:after="0" w:line="279" w:lineRule="auto"/>
        <w:rPr>
          <w:sz w:val="20"/>
          <w:szCs w:val="20"/>
          <w:color w:val="auto"/>
        </w:rPr>
      </w:pPr>
      <w:r>
        <w:rPr>
          <w:rFonts w:ascii="Arial" w:cs="Arial" w:eastAsia="Arial" w:hAnsi="Arial"/>
          <w:sz w:val="19"/>
          <w:szCs w:val="19"/>
          <w:color w:val="auto"/>
        </w:rPr>
        <w:t xml:space="preserve">With respect to Exhibit B-1 or B-2 to this Indenture, the Company may, in its discretion and if required or desirable under applicable law, substitute one or more other forms of such exhibits for such exhibits, eliminate the requirement that any or all certificate be provided, or change the time that any certificate may be required,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such substitute form or forms or notice of elimination or change of such certification requirement have theretofore been delivered to the Trustee with a Company Request and such form or forms, elimination or change is reasonably acceptable to the Trustee.</w:t>
      </w:r>
    </w:p>
    <w:p>
      <w:pPr>
        <w:spacing w:after="0" w:line="151"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SECTION 305. </w:t>
      </w:r>
      <w:r>
        <w:rPr>
          <w:rFonts w:ascii="Arial" w:cs="Arial" w:eastAsia="Arial" w:hAnsi="Arial"/>
          <w:sz w:val="19"/>
          <w:szCs w:val="19"/>
          <w:u w:val="single" w:color="auto"/>
          <w:color w:val="auto"/>
        </w:rPr>
        <w:t>Registration, Registration of Transfer, Conversion and Exchange</w:t>
      </w:r>
      <w:r>
        <w:rPr>
          <w:rFonts w:ascii="Arial" w:cs="Arial" w:eastAsia="Arial" w:hAnsi="Arial"/>
          <w:sz w:val="19"/>
          <w:szCs w:val="19"/>
          <w:color w:val="auto"/>
        </w:rPr>
        <w:t>. 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“Security Register”)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In the event that the Trustee shall cease to be Security Registrar, it shall have the right to examine, and be provided a copy of, the Security Register at all reasonable times.</w:t>
      </w:r>
    </w:p>
    <w:p>
      <w:pPr>
        <w:spacing w:after="0" w:line="16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9"/>
          <w:szCs w:val="19"/>
          <w:color w:val="auto"/>
        </w:rPr>
        <w:t>Subject to the provisions of this Section 305, upon surrender for registration of transfer of any Registered Security of any series at any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85" w:name="page186"/>
    <w:bookmarkEnd w:id="185"/>
    <w:p>
      <w:pPr>
        <w:ind w:right="20" w:firstLine="648"/>
        <w:spacing w:after="0" w:line="272" w:lineRule="auto"/>
        <w:rPr>
          <w:sz w:val="20"/>
          <w:szCs w:val="20"/>
          <w:color w:val="auto"/>
        </w:rPr>
      </w:pPr>
      <w:r>
        <w:rPr>
          <w:rFonts w:ascii="Arial" w:cs="Arial" w:eastAsia="Arial" w:hAnsi="Arial"/>
          <w:sz w:val="19"/>
          <w:szCs w:val="19"/>
          <w:color w:val="auto"/>
        </w:rPr>
        <w:t>Subject to the provisions of this Section 305, 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w:t>
      </w:r>
    </w:p>
    <w:p>
      <w:pPr>
        <w:ind w:right="180"/>
        <w:spacing w:after="0" w:line="233" w:lineRule="auto"/>
        <w:rPr>
          <w:sz w:val="20"/>
          <w:szCs w:val="20"/>
          <w:color w:val="auto"/>
        </w:rPr>
      </w:pPr>
      <w:r>
        <w:rPr>
          <w:rFonts w:ascii="Arial" w:cs="Arial" w:eastAsia="Arial" w:hAnsi="Arial"/>
          <w:sz w:val="22"/>
          <w:szCs w:val="22"/>
          <w:color w:val="auto"/>
        </w:rPr>
        <w:t>agency. Whenever any such Registered Securities are so surrendered for exchange, the Company shall execute, and the Trustee shall authenticate and deliver, the Registered Securities which the Holder making the exchange is entitled to receive. Unless otherwise specified with respect to any series of Securities as contemplated by Section 301, Bearer Securities may not be issued in exchange for Registered Securities.</w:t>
      </w:r>
    </w:p>
    <w:p>
      <w:pPr>
        <w:spacing w:after="0" w:line="186" w:lineRule="exact"/>
        <w:rPr>
          <w:sz w:val="20"/>
          <w:szCs w:val="20"/>
          <w:color w:val="auto"/>
        </w:rPr>
      </w:pPr>
    </w:p>
    <w:p>
      <w:pPr>
        <w:ind w:right="20" w:firstLine="648"/>
        <w:spacing w:after="0" w:line="269" w:lineRule="auto"/>
        <w:rPr>
          <w:sz w:val="20"/>
          <w:szCs w:val="20"/>
          <w:color w:val="auto"/>
        </w:rPr>
      </w:pPr>
      <w:r>
        <w:rPr>
          <w:rFonts w:ascii="Arial" w:cs="Arial" w:eastAsia="Arial" w:hAnsi="Arial"/>
          <w:sz w:val="19"/>
          <w:szCs w:val="19"/>
          <w:color w:val="auto"/>
        </w:rPr>
        <w:t xml:space="preserve">If (but only if) permitted by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(or to the Trustee for the Security in case of matured coupons in default)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 Whenever any Securities are so surrendered for exchange, the Company shall execute, and the Trustee shall authenticate and deliver, the Securities which the Holder making the exchange is entitled to receive.</w:t>
      </w:r>
    </w:p>
    <w:p>
      <w:pPr>
        <w:spacing w:after="0" w:line="200" w:lineRule="exact"/>
        <w:rPr>
          <w:sz w:val="20"/>
          <w:szCs w:val="20"/>
          <w:color w:val="auto"/>
        </w:rPr>
      </w:pPr>
    </w:p>
    <w:p>
      <w:pPr>
        <w:spacing w:after="0" w:line="207"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Notwithstanding the foregoing, except as otherwise specified as contemplated by Section 301, any permanent Global Security shall be exchangeable only as provided in this paragraph. If the depository for any permanent Global Security is DTC, then, unless the terms of such Global Security expressly permit such Global Security to be exchanged in whole or in part for definitive Securities, a Global Security may be transferred, in whole but not in part, only to a nominee of DTC, or by a nominee of DTC to DTC, or to a successor to DTC for such Global Security selected or approved by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86" w:name="page187"/>
    <w:bookmarkEnd w:id="186"/>
    <w:p>
      <w:pPr>
        <w:spacing w:after="0" w:line="268" w:lineRule="auto"/>
        <w:rPr>
          <w:sz w:val="20"/>
          <w:szCs w:val="20"/>
          <w:color w:val="auto"/>
        </w:rPr>
      </w:pPr>
      <w:r>
        <w:rPr>
          <w:rFonts w:ascii="Arial" w:cs="Arial" w:eastAsia="Arial" w:hAnsi="Arial"/>
          <w:sz w:val="19"/>
          <w:szCs w:val="19"/>
          <w:color w:val="auto"/>
        </w:rPr>
        <w:t xml:space="preserve">the Company or to a nominee of such successor to DTC. If at any time DTC notifies the Company that it is unwilling or unable to continue as depository for the applicable Global Security or Securities or if at any time DTC ceases to be a clearing agency registered under the Exchange Act if so required by applicable law or regulation, the Company shall appoint a successor depository with respect to such Global Security or Securities. If (w) a successor depository for such Global Security or Securities is not appointed by the Company within 90 days after the Company receives such notice or becomes aware of such unwillingness, inability or ineligibility, (x) the Company delivers to the Trustee for Securities of such series in registered form a Company Order stating that the Securities of such series shall be exchangeable, (y) an Event of Default has occurred and is continuing and the beneficial owners representing a majority in principal amount of the applicable series of Securities represented by such Global Security or Securities advise DTC to cease acting as depository for such Global Security or Securities or (z) the Company, in its sole discretion, determines at any time that all Outstanding Securities (but not less than all) of any series issued or issuable in the form of one or more Global Securities shall no longer be represented by such Global Security or Securities, then the Company shall execute, and the Trustee shall authenticate and deliver definitive Securities of like series, rank, tenor and terms in definitive form in an aggregate principal amount equal to the principal amount of such Global Security or Securities. If any beneficial owner of an interest in a permanent global Security is otherwise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execute, and the Trustee shall authenticate and deliver definitive Securities in aggregate principal amount equal to the principal amount of such beneficial owner’s interest in such permanent Global Security. On or after the earliest date on which such interests may be so exchanged, such permanent Global Security shall be surrendered for exchange by DTC or such other depository as shall be specified in the Company Order with respect thereto to the Trustee, as the Company’s agent for such purpose;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such exchanges may occur during a period beginning at the opening of business 15 days before any selection of Securities to be redeemed and ending on the relevant Redemption Date if the Security for which exchange is requested may be among those selected for redemption;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Bearer Security delivered in exchange for a portion of a permanent Global Security shall be mailed or otherwise delivered to any location in the United States.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300" w:firstLine="648"/>
        <w:spacing w:after="0" w:line="238" w:lineRule="auto"/>
        <w:rPr>
          <w:sz w:val="20"/>
          <w:szCs w:val="20"/>
          <w:color w:val="auto"/>
        </w:rPr>
      </w:pPr>
      <w:r>
        <w:rPr>
          <w:rFonts w:ascii="Arial" w:cs="Arial" w:eastAsia="Arial" w:hAnsi="Arial"/>
          <w:sz w:val="22"/>
          <w:szCs w:val="22"/>
          <w:color w:val="auto"/>
        </w:rPr>
        <w:t>All Securities issued upon any registration of transfer or conversion or exchange of Securities shall be the valid obligations of the Company, evidencing the same debt, and entitled to the same benefits under this Indenture, as the Securities surrendered upon such registration of transfer or conversion or exchange.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187" w:name="page188"/>
    <w:bookmarkEnd w:id="187"/>
    <w:p>
      <w:pPr>
        <w:ind w:right="40" w:firstLine="648"/>
        <w:spacing w:after="0" w:line="236" w:lineRule="auto"/>
        <w:rPr>
          <w:sz w:val="20"/>
          <w:szCs w:val="20"/>
          <w:color w:val="auto"/>
        </w:rPr>
      </w:pPr>
      <w:r>
        <w:rPr>
          <w:rFonts w:ascii="Arial" w:cs="Arial" w:eastAsia="Arial" w:hAnsi="Arial"/>
          <w:sz w:val="22"/>
          <w:szCs w:val="22"/>
          <w:color w:val="auto"/>
        </w:rPr>
        <w:t>Every Registered Security presented or surrendered for registration of transfer or for conversion, exchange or redemption shall (if so required by the Company or the Security Registrar) be duly endorsed, or be accompanied by a written instrument of transfer in form satisfactory to the Company and the Security Registrar, duly executed by the Holder thereof or his attorney duly authorized in writing.</w:t>
      </w:r>
    </w:p>
    <w:p>
      <w:pPr>
        <w:spacing w:after="0" w:line="188" w:lineRule="exact"/>
        <w:rPr>
          <w:sz w:val="20"/>
          <w:szCs w:val="20"/>
          <w:color w:val="auto"/>
        </w:rPr>
      </w:pPr>
    </w:p>
    <w:p>
      <w:pPr>
        <w:ind w:right="120" w:firstLine="648"/>
        <w:spacing w:after="0" w:line="236" w:lineRule="auto"/>
        <w:rPr>
          <w:sz w:val="20"/>
          <w:szCs w:val="20"/>
          <w:color w:val="auto"/>
        </w:rPr>
      </w:pPr>
      <w:r>
        <w:rPr>
          <w:rFonts w:ascii="Arial" w:cs="Arial" w:eastAsia="Arial" w:hAnsi="Arial"/>
          <w:sz w:val="22"/>
          <w:szCs w:val="22"/>
          <w:color w:val="auto"/>
        </w:rPr>
        <w:t>No service charge shall be made to the Holder for any registration of transfer or conversion or exchange of Securities, but the Company may require payment of a sum sufficient to cover any tax or other governmental charge that may be imposed in connection with any registration of transfer or conversion or exchange of Securities, other than exchanges pursuant to Section 304, 906, 1107 or 1305 not involving any transfer.</w:t>
      </w:r>
    </w:p>
    <w:p>
      <w:pPr>
        <w:spacing w:after="0" w:line="188" w:lineRule="exact"/>
        <w:rPr>
          <w:sz w:val="20"/>
          <w:szCs w:val="20"/>
          <w:color w:val="auto"/>
        </w:rPr>
      </w:pPr>
    </w:p>
    <w:p>
      <w:pPr>
        <w:ind w:right="40" w:firstLine="648"/>
        <w:spacing w:after="0" w:line="271" w:lineRule="auto"/>
        <w:rPr>
          <w:sz w:val="20"/>
          <w:szCs w:val="20"/>
          <w:color w:val="auto"/>
        </w:rPr>
      </w:pPr>
      <w:r>
        <w:rPr>
          <w:rFonts w:ascii="Arial" w:cs="Arial" w:eastAsia="Arial" w:hAnsi="Arial"/>
          <w:sz w:val="19"/>
          <w:szCs w:val="19"/>
          <w:color w:val="auto"/>
        </w:rPr>
        <w:t xml:space="preserve">The Company or the Trustee, as applicable,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(A) if such Securities are issuable only as Registered Securities, the day of the mailing of the relevant notice of redemption and (B) if such Securities are issuable as Bearer Securities, the day of the first publication of the relevant notice of redemption or, if such Securities are also issuable as Registered Securities and there is no publication, the mailing of the relevant notice of redemption, or (ii) to register the transfer of or exchange any Registered Security so selected for redemption in whole or in part, except, in the case of any Registered Security to be redeemed in part, the portion thereof not to be redeemed, or (iii) to exchange any Bearer Security so selected for redemption except that such a Bearer Security may be exchanged for a Registered Security of that series and like tenor,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Registered Security shall be simultaneously surrendered for redemption, or (iv) to issue, register the transfer of or exchange any Security which has been surrendered for repayment at the option of the Holder, except the portion, if any, of such Security not to be so repaid.</w:t>
      </w:r>
    </w:p>
    <w:p>
      <w:pPr>
        <w:spacing w:after="0" w:line="200" w:lineRule="exact"/>
        <w:rPr>
          <w:sz w:val="20"/>
          <w:szCs w:val="20"/>
          <w:color w:val="auto"/>
        </w:rPr>
      </w:pPr>
    </w:p>
    <w:p>
      <w:pPr>
        <w:spacing w:after="0" w:line="209" w:lineRule="exact"/>
        <w:rPr>
          <w:sz w:val="20"/>
          <w:szCs w:val="20"/>
          <w:color w:val="auto"/>
        </w:rPr>
      </w:pPr>
    </w:p>
    <w:p>
      <w:pPr>
        <w:jc w:val="both"/>
        <w:ind w:right="140" w:firstLine="648"/>
        <w:spacing w:after="0"/>
        <w:rPr>
          <w:sz w:val="20"/>
          <w:szCs w:val="20"/>
          <w:color w:val="auto"/>
        </w:rPr>
      </w:pPr>
      <w:r>
        <w:rPr>
          <w:rFonts w:ascii="Arial" w:cs="Arial" w:eastAsia="Arial" w:hAnsi="Arial"/>
          <w:sz w:val="22"/>
          <w:szCs w:val="22"/>
          <w:color w:val="auto"/>
        </w:rPr>
        <w:t>Furthermore, notwithstanding any other provision of this Section 305, the Company will not be required to exchange any Securities if, as a result of the exchange, the Company would suffer adverse consequences under any United States law or regulation.</w:t>
      </w:r>
    </w:p>
    <w:p>
      <w:pPr>
        <w:spacing w:after="0" w:line="186"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u w:val="single" w:color="auto"/>
          <w:color w:val="auto"/>
        </w:rPr>
        <w:t>Mutilated, Destroyed, Lost and Stolen Securities</w:t>
      </w:r>
      <w:r>
        <w:rPr>
          <w:rFonts w:ascii="Arial" w:cs="Arial" w:eastAsia="Arial" w:hAnsi="Arial"/>
          <w:sz w:val="22"/>
          <w:szCs w:val="22"/>
          <w:color w:val="auto"/>
        </w:rPr>
        <w:t>. If any mutilated Security or a Security with a mutilated coupon appertaining to it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 with coupons corresponding to the coupons, if any, appertaining to the surrendered Security.</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9"/>
          <w:szCs w:val="19"/>
          <w:color w:val="auto"/>
        </w:rPr>
        <w:t>If there shall be delivered to the Company and to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upon its request the Trustee shall authenticate and deliver, in lieu of any such destroyed, lost or stolen Security or in exchange for the Security to which a destroyed, lost or stolen coupon appertains (with all appurtenant coupons not destroyed, lost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188" w:name="page189"/>
    <w:bookmarkEnd w:id="188"/>
    <w:p>
      <w:pPr>
        <w:ind w:right="279"/>
        <w:spacing w:after="0" w:line="252" w:lineRule="auto"/>
        <w:rPr>
          <w:sz w:val="20"/>
          <w:szCs w:val="20"/>
          <w:color w:val="auto"/>
        </w:rPr>
      </w:pPr>
      <w:r>
        <w:rPr>
          <w:rFonts w:ascii="Arial" w:cs="Arial" w:eastAsia="Arial" w:hAnsi="Arial"/>
          <w:sz w:val="21"/>
          <w:szCs w:val="21"/>
          <w:color w:val="auto"/>
        </w:rPr>
        <w:t>or stolen), a new Security of the same series and principal amount, containing identical terms and provisions and bearing a number not contemporaneously outstanding, with coupons corresponding to the coupons, if any, appertaining to such destroyed, lost or stolen Security or to the Security to which such destroyed, lost or stolen coupon appertains.</w:t>
      </w:r>
    </w:p>
    <w:p>
      <w:pPr>
        <w:spacing w:after="0" w:line="175" w:lineRule="exact"/>
        <w:rPr>
          <w:sz w:val="20"/>
          <w:szCs w:val="20"/>
          <w:color w:val="auto"/>
        </w:rPr>
      </w:pPr>
    </w:p>
    <w:p>
      <w:pPr>
        <w:ind w:right="19" w:firstLine="648"/>
        <w:spacing w:after="0" w:line="272" w:lineRule="auto"/>
        <w:rPr>
          <w:sz w:val="20"/>
          <w:szCs w:val="20"/>
          <w:color w:val="auto"/>
        </w:rPr>
      </w:pPr>
      <w:r>
        <w:rPr>
          <w:rFonts w:ascii="Arial" w:cs="Arial" w:eastAsia="Arial" w:hAnsi="Arial"/>
          <w:sz w:val="19"/>
          <w:szCs w:val="19"/>
          <w:color w:val="auto"/>
        </w:rPr>
        <w:t xml:space="preserve">Notwithstanding the provisions of the previous two paragraphs, in case any such mutilated, destroyed, lost or stolen Security or coupon has become or is about to become due and payable, the Company in its discretion may, instead of issuing a new Security, with coupons corresponding to the coupons, if any, appertaining to such destroyed, lost or stolen Security or to the Security to which such destroyed, lost or stolen coupon appertains, pay such Security or coupon if the applicant for such payment shall furnish to the Company and the Trustee for such Security such security or indemnity as may be required by them to save each of them harmless, and in the case of destruction, loss or theft, evidence satisfactory to the Company and Trustee and any agent of any of them of the destruction, loss or theft of such Security and the ownership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payment of principal of (and premium or Make-Whole Amount, if any), and interest, if any, on, Bearer Securities shall, except as otherwise provided in Section 1002,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157" w:lineRule="exact"/>
        <w:rPr>
          <w:sz w:val="20"/>
          <w:szCs w:val="20"/>
          <w:color w:val="auto"/>
        </w:rPr>
      </w:pPr>
    </w:p>
    <w:p>
      <w:pPr>
        <w:ind w:right="519" w:firstLine="648"/>
        <w:spacing w:after="0" w:line="238" w:lineRule="auto"/>
        <w:rPr>
          <w:sz w:val="20"/>
          <w:szCs w:val="20"/>
          <w:color w:val="auto"/>
        </w:rPr>
      </w:pPr>
      <w:r>
        <w:rPr>
          <w:rFonts w:ascii="Arial" w:cs="Arial" w:eastAsia="Arial" w:hAnsi="Arial"/>
          <w:sz w:val="22"/>
          <w:szCs w:val="22"/>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85" w:lineRule="exact"/>
        <w:rPr>
          <w:sz w:val="20"/>
          <w:szCs w:val="20"/>
          <w:color w:val="auto"/>
        </w:rPr>
      </w:pPr>
    </w:p>
    <w:p>
      <w:pPr>
        <w:ind w:right="139" w:firstLine="648"/>
        <w:spacing w:after="0" w:line="258" w:lineRule="auto"/>
        <w:rPr>
          <w:sz w:val="20"/>
          <w:szCs w:val="20"/>
          <w:color w:val="auto"/>
        </w:rPr>
      </w:pPr>
      <w:r>
        <w:rPr>
          <w:rFonts w:ascii="Arial" w:cs="Arial" w:eastAsia="Arial" w:hAnsi="Arial"/>
          <w:sz w:val="21"/>
          <w:szCs w:val="21"/>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w:t>
      </w:r>
    </w:p>
    <w:p>
      <w:pPr>
        <w:spacing w:after="0" w:line="167" w:lineRule="exact"/>
        <w:rPr>
          <w:sz w:val="20"/>
          <w:szCs w:val="20"/>
          <w:color w:val="auto"/>
        </w:rPr>
      </w:pPr>
    </w:p>
    <w:p>
      <w:pPr>
        <w:jc w:val="both"/>
        <w:ind w:right="99"/>
        <w:spacing w:after="0" w:line="252" w:lineRule="auto"/>
        <w:rPr>
          <w:sz w:val="20"/>
          <w:szCs w:val="20"/>
          <w:color w:val="auto"/>
        </w:rPr>
      </w:pPr>
      <w:r>
        <w:rPr>
          <w:rFonts w:ascii="Arial" w:cs="Arial" w:eastAsia="Arial" w:hAnsi="Arial"/>
          <w:sz w:val="21"/>
          <w:szCs w:val="21"/>
          <w:color w:val="auto"/>
        </w:rPr>
        <w:t>obligation of the Company, whether or not the destroyed, lost or stolen Security and its coupons, if any, or the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174" w:lineRule="exact"/>
        <w:rPr>
          <w:sz w:val="20"/>
          <w:szCs w:val="20"/>
          <w:color w:val="auto"/>
        </w:rPr>
      </w:pPr>
    </w:p>
    <w:p>
      <w:pPr>
        <w:jc w:val="both"/>
        <w:ind w:right="279" w:firstLine="648"/>
        <w:spacing w:after="0"/>
        <w:rPr>
          <w:sz w:val="20"/>
          <w:szCs w:val="20"/>
          <w:color w:val="auto"/>
        </w:rPr>
      </w:pPr>
      <w:r>
        <w:rPr>
          <w:rFonts w:ascii="Arial" w:cs="Arial" w:eastAsia="Arial" w:hAnsi="Arial"/>
          <w:sz w:val="22"/>
          <w:szCs w:val="22"/>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86" w:lineRule="exact"/>
        <w:rPr>
          <w:sz w:val="20"/>
          <w:szCs w:val="20"/>
          <w:color w:val="auto"/>
        </w:rPr>
      </w:pPr>
    </w:p>
    <w:p>
      <w:pPr>
        <w:ind w:right="39" w:firstLine="648"/>
        <w:spacing w:after="0" w:line="274" w:lineRule="auto"/>
        <w:rPr>
          <w:sz w:val="20"/>
          <w:szCs w:val="20"/>
          <w:color w:val="auto"/>
        </w:rPr>
      </w:pPr>
      <w:r>
        <w:rPr>
          <w:rFonts w:ascii="Arial" w:cs="Arial" w:eastAsia="Arial" w:hAnsi="Arial"/>
          <w:sz w:val="19"/>
          <w:szCs w:val="19"/>
          <w:color w:val="auto"/>
        </w:rPr>
        <w:t xml:space="preserve">SECTION 307. </w:t>
      </w:r>
      <w:r>
        <w:rPr>
          <w:rFonts w:ascii="Arial" w:cs="Arial" w:eastAsia="Arial" w:hAnsi="Arial"/>
          <w:sz w:val="19"/>
          <w:szCs w:val="19"/>
          <w:u w:val="single" w:color="auto"/>
          <w:color w:val="auto"/>
        </w:rPr>
        <w:t>Payment of Interest; Interest Rights Preserved</w:t>
      </w:r>
      <w:r>
        <w:rPr>
          <w:rFonts w:ascii="Arial" w:cs="Arial" w:eastAsia="Arial" w:hAnsi="Arial"/>
          <w:sz w:val="19"/>
          <w:szCs w:val="19"/>
          <w:color w:val="auto"/>
        </w:rPr>
        <w:t>. Except as otherwise specified with respect to a series of Securities in accordance with the provisions of Section 301, interest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payment at the office or agency of the Company maintained for such purpose pursuant to Section 1002; provided, however, that each installment of interest on any Registered Security may at the Company’s option be paid by (i) mailing a check for such interest, payable to or upon the written order of the Person entitled thereto pursuant to Section 308, to the address of such Person as it</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8" w:right="1440" w:bottom="1440" w:gutter="0" w:footer="0" w:header="0"/>
        </w:sectPr>
      </w:pPr>
    </w:p>
    <w:bookmarkStart w:id="189" w:name="page190"/>
    <w:bookmarkEnd w:id="189"/>
    <w:p>
      <w:pPr>
        <w:ind w:right="60"/>
        <w:spacing w:after="0" w:line="251" w:lineRule="auto"/>
        <w:rPr>
          <w:sz w:val="20"/>
          <w:szCs w:val="20"/>
          <w:color w:val="auto"/>
        </w:rPr>
      </w:pPr>
      <w:r>
        <w:rPr>
          <w:rFonts w:ascii="Arial" w:cs="Arial" w:eastAsia="Arial" w:hAnsi="Arial"/>
          <w:sz w:val="22"/>
          <w:szCs w:val="22"/>
          <w:color w:val="auto"/>
        </w:rPr>
        <w:t>appears on the Security Register or (ii) transfer to an account maintained by the payee located inside the United States.</w:t>
      </w:r>
    </w:p>
    <w:p>
      <w:pPr>
        <w:spacing w:after="0" w:line="174" w:lineRule="exact"/>
        <w:rPr>
          <w:sz w:val="20"/>
          <w:szCs w:val="20"/>
          <w:color w:val="auto"/>
        </w:rPr>
      </w:pPr>
    </w:p>
    <w:p>
      <w:pPr>
        <w:ind w:right="160" w:firstLine="648"/>
        <w:spacing w:after="0" w:line="258" w:lineRule="auto"/>
        <w:rPr>
          <w:sz w:val="20"/>
          <w:szCs w:val="20"/>
          <w:color w:val="auto"/>
        </w:rPr>
      </w:pPr>
      <w:r>
        <w:rPr>
          <w:rFonts w:ascii="Arial" w:cs="Arial" w:eastAsia="Arial" w:hAnsi="Arial"/>
          <w:sz w:val="21"/>
          <w:szCs w:val="21"/>
          <w:color w:val="auto"/>
        </w:rPr>
        <w:t>Unless otherwise provided as contemplated by Section 301 with respect to the Securities of any series, payment of interest may be made, in the case of a Bearer Security, by transfer to an account maintained by the payee with a bank located outside the United States.</w:t>
      </w:r>
    </w:p>
    <w:p>
      <w:pPr>
        <w:spacing w:after="0" w:line="167" w:lineRule="exact"/>
        <w:rPr>
          <w:sz w:val="20"/>
          <w:szCs w:val="20"/>
          <w:color w:val="auto"/>
        </w:rPr>
      </w:pPr>
    </w:p>
    <w:p>
      <w:pPr>
        <w:ind w:right="20" w:firstLine="648"/>
        <w:spacing w:after="0" w:line="248" w:lineRule="auto"/>
        <w:rPr>
          <w:sz w:val="20"/>
          <w:szCs w:val="20"/>
          <w:color w:val="auto"/>
        </w:rPr>
      </w:pPr>
      <w:r>
        <w:rPr>
          <w:rFonts w:ascii="Arial" w:cs="Arial" w:eastAsia="Arial" w:hAnsi="Arial"/>
          <w:sz w:val="21"/>
          <w:szCs w:val="21"/>
          <w:color w:val="auto"/>
        </w:rPr>
        <w:t>Unless otherwise provided as contemplated by Section 301, every permanent Global Security will provide that interest, if any, payable on any Interest Payment Date will be paid to DTC, Euroclear and/or Clearstream, as the case may be, with respect to that portion of such permanent Global Security held for its account by Cede &amp; Co. or the Common Depository, as the case may be, for the purpose of permitting such party to credit the interest received by it in respect of such permanent Global Security to the accounts of the beneficial owners thereof.</w:t>
      </w:r>
    </w:p>
    <w:p>
      <w:pPr>
        <w:spacing w:after="0" w:line="177" w:lineRule="exact"/>
        <w:rPr>
          <w:sz w:val="20"/>
          <w:szCs w:val="20"/>
          <w:color w:val="auto"/>
        </w:rPr>
      </w:pPr>
    </w:p>
    <w:p>
      <w:pPr>
        <w:ind w:right="80" w:firstLine="648"/>
        <w:spacing w:after="0" w:line="277" w:lineRule="auto"/>
        <w:rPr>
          <w:sz w:val="20"/>
          <w:szCs w:val="20"/>
          <w:color w:val="auto"/>
        </w:rPr>
      </w:pPr>
      <w:r>
        <w:rPr>
          <w:rFonts w:ascii="Arial" w:cs="Arial" w:eastAsia="Arial" w:hAnsi="Arial"/>
          <w:sz w:val="19"/>
          <w:szCs w:val="19"/>
          <w:color w:val="auto"/>
        </w:rPr>
        <w:t>In case a Bearer Security of any series is surrendered in exchange for a Registered Security of such series after the close of business (at an office or agency in a Place of Payment for such series) on any Regular Record Date and before the opening of business (at such office or agency) on the next succeeding Interest Payment Date, such Bearer Security shall be surrendered without the coupon relating to such Interest Payment Date and interest will not be payable on such Interest Payment Date in respect of the Registered Security issued in exchange for such Bearer Security, but will be payable only to the Holder of such coupon when due in accordance with the provisions of this Indenture.</w:t>
      </w:r>
    </w:p>
    <w:p>
      <w:pPr>
        <w:spacing w:after="0" w:line="153" w:lineRule="exact"/>
        <w:rPr>
          <w:sz w:val="20"/>
          <w:szCs w:val="20"/>
          <w:color w:val="auto"/>
        </w:rPr>
      </w:pPr>
    </w:p>
    <w:p>
      <w:pPr>
        <w:ind w:right="320" w:firstLine="648"/>
        <w:spacing w:after="0" w:line="279" w:lineRule="auto"/>
        <w:rPr>
          <w:sz w:val="20"/>
          <w:szCs w:val="20"/>
          <w:color w:val="auto"/>
        </w:rPr>
      </w:pPr>
      <w:r>
        <w:rPr>
          <w:rFonts w:ascii="Arial" w:cs="Arial" w:eastAsia="Arial" w:hAnsi="Arial"/>
          <w:sz w:val="19"/>
          <w:szCs w:val="19"/>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“Defaulted Interest”) shall forthwith cease to be payable to the registered Holder thereof on the relevant Regular Record Date by virtue of having been such Holder, and such Defaulted Interest may be paid by the Company, at its election in each case, as provided in clause (1) or (2) below:</w:t>
      </w:r>
    </w:p>
    <w:p>
      <w:pPr>
        <w:spacing w:after="0" w:line="151" w:lineRule="exact"/>
        <w:rPr>
          <w:sz w:val="20"/>
          <w:szCs w:val="20"/>
          <w:color w:val="auto"/>
        </w:rPr>
      </w:pPr>
    </w:p>
    <w:p>
      <w:pPr>
        <w:ind w:left="660" w:firstLine="639"/>
        <w:spacing w:after="0" w:line="270" w:lineRule="auto"/>
        <w:tabs>
          <w:tab w:leader="none" w:pos="2006"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or currencies, currency unit or units or composite currency or currencies in which the Securities of such series are payable (except as otherwise specified pursuant to Section 301 for the Securities of such series)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90" w:name="page191"/>
    <w:bookmarkEnd w:id="190"/>
    <w:p>
      <w:pPr>
        <w:ind w:left="660" w:right="20"/>
        <w:spacing w:after="0" w:line="244" w:lineRule="exact"/>
        <w:rPr>
          <w:sz w:val="20"/>
          <w:szCs w:val="20"/>
          <w:color w:val="auto"/>
        </w:rPr>
      </w:pPr>
      <w:r>
        <w:rPr>
          <w:rFonts w:ascii="Arial" w:cs="Arial" w:eastAsia="Arial" w:hAnsi="Arial"/>
          <w:sz w:val="19"/>
          <w:szCs w:val="19"/>
          <w:color w:val="auto"/>
        </w:rPr>
        <w:t>Special Record Date and, in the name and at the expense of the Company, shall cause notice of the proposed payment of such Defaulted Interest and the Special Record Date therefor to be mailed, first</w:t>
      </w:r>
      <w:r>
        <w:rPr>
          <w:rFonts w:ascii="MS PGothic" w:cs="MS PGothic" w:eastAsia="MS PGothic" w:hAnsi="MS PGothic"/>
          <w:sz w:val="19"/>
          <w:szCs w:val="19"/>
          <w:color w:val="auto"/>
        </w:rPr>
        <w:t>‑</w:t>
      </w:r>
      <w:r>
        <w:rPr>
          <w:rFonts w:ascii="Arial" w:cs="Arial" w:eastAsia="Arial" w:hAnsi="Arial"/>
          <w:sz w:val="19"/>
          <w:szCs w:val="19"/>
          <w:color w:val="auto"/>
        </w:rPr>
        <w:t>class postage prepaid, to each Holder of Registered Securities of such series at his address as it appears in the Security Register not less than 10 days prior to such Special Record Date. The Trustee may, in its discretion, in the name and at the expense of the Company, cause a similar notice to be published at least once in an Authorized Newspaper in each Place of Payment, but such publications shall not be a condition precedent to the establishment of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 In case a Bearer Security of any series is surrendered at the office or agency in a Place of Payment for such series in exchange for a Registered Security of such series after the close of business at such office or agency on any Special Record Date and before the opening of business at such office or agency on the related proposed date for payment of Defaulted Interest, such Bearer Security shall be surrendered without the coupon relating to such proposed date of payment and Defaulted Interest will not be payable on such proposed date of payment in respect of the Registered Security issued in exchange for such Bearer Security, but will be payable only to the Holder of such coupon when due in accordance with the provisions of this Indenture.</w:t>
      </w:r>
    </w:p>
    <w:p>
      <w:pPr>
        <w:spacing w:after="0" w:line="199" w:lineRule="exact"/>
        <w:rPr>
          <w:sz w:val="20"/>
          <w:szCs w:val="20"/>
          <w:color w:val="auto"/>
        </w:rPr>
      </w:pPr>
    </w:p>
    <w:p>
      <w:pPr>
        <w:ind w:left="660" w:firstLine="639"/>
        <w:spacing w:after="0" w:line="279" w:lineRule="auto"/>
        <w:tabs>
          <w:tab w:leader="none" w:pos="2006"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Company may make payment of any Defaulted Interest on the Registered Securities of any series in any other lawful manner not inconsistent with the requirements of any over-the-counter market or securities exchange on which such Securities may be quoted or listed, and upon such notice as may be required by such market or exchange, if, after notice given by the Company to the Trustee of the proposed payment pursuant to this clause, such manner of payment shall be deemed practicable by the Trustee.</w:t>
      </w:r>
    </w:p>
    <w:p>
      <w:pPr>
        <w:spacing w:after="0" w:line="151" w:lineRule="exact"/>
        <w:rPr>
          <w:sz w:val="20"/>
          <w:szCs w:val="20"/>
          <w:color w:val="auto"/>
        </w:rPr>
      </w:pPr>
    </w:p>
    <w:p>
      <w:pPr>
        <w:ind w:right="180" w:firstLine="648"/>
        <w:spacing w:after="0" w:line="238" w:lineRule="auto"/>
        <w:rPr>
          <w:sz w:val="20"/>
          <w:szCs w:val="20"/>
          <w:color w:val="auto"/>
        </w:rPr>
      </w:pPr>
      <w:r>
        <w:rPr>
          <w:rFonts w:ascii="Arial" w:cs="Arial" w:eastAsia="Arial" w:hAnsi="Arial"/>
          <w:sz w:val="22"/>
          <w:szCs w:val="22"/>
          <w:color w:val="auto"/>
        </w:rPr>
        <w:t>Subject to the foregoing provisions of this Section and Section 305, each Security delivered under this Indenture upon registration of transfer of or upon conversion of or in exchange for or in lieu of any other Security shall carry the rights to interest accrued and unpaid, and to accrue, which were carried by such other Security.</w:t>
      </w:r>
    </w:p>
    <w:p>
      <w:pPr>
        <w:spacing w:after="0" w:line="185"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 xml:space="preserve">SECTION 308. </w:t>
      </w:r>
      <w:r>
        <w:rPr>
          <w:rFonts w:ascii="Arial" w:cs="Arial" w:eastAsia="Arial" w:hAnsi="Arial"/>
          <w:sz w:val="21"/>
          <w:szCs w:val="21"/>
          <w:u w:val="single" w:color="auto"/>
          <w:color w:val="auto"/>
        </w:rPr>
        <w:t>Persons Deemed Owners.</w:t>
      </w:r>
      <w:r>
        <w:rPr>
          <w:rFonts w:ascii="Arial" w:cs="Arial" w:eastAsia="Arial" w:hAnsi="Arial"/>
          <w:sz w:val="21"/>
          <w:szCs w:val="21"/>
          <w:color w:val="auto"/>
        </w:rPr>
        <w:t xml:space="preserve"> Prior to due presentment of a Registered Security for registration of transfer, the Company, the Trustee and any agent of the Company or the Trustee may treat the Person in whose name such Registered Security is registered as the owner of such Security for the purpose of receiving payment of principal of (and premium or Make-Whole Amount, if any), and (subject to Sections 305 and 307) interest on, such Registered Security and for all other purposes whatsoever, whether or not such Registered Security be overdue, and neither the Company, the Trustee nor any agent of the Company or the Trustee shall be affected by notice to the contrary. All such payments so made to any such Person, or upon such Person’s order, shall be valid, and, to the extent of the sum or sums so paid, effectual to satisfy and discharge the liability for money payable upon any such Security.</w:t>
      </w:r>
    </w:p>
    <w:p>
      <w:pPr>
        <w:spacing w:after="0" w:line="182" w:lineRule="exact"/>
        <w:rPr>
          <w:sz w:val="20"/>
          <w:szCs w:val="20"/>
          <w:color w:val="auto"/>
        </w:rPr>
      </w:pPr>
    </w:p>
    <w:p>
      <w:pPr>
        <w:ind w:right="160" w:firstLine="648"/>
        <w:spacing w:after="0" w:line="297" w:lineRule="auto"/>
        <w:rPr>
          <w:sz w:val="20"/>
          <w:szCs w:val="20"/>
          <w:color w:val="auto"/>
        </w:rPr>
      </w:pPr>
      <w:r>
        <w:rPr>
          <w:rFonts w:ascii="Arial" w:cs="Arial" w:eastAsia="Arial" w:hAnsi="Arial"/>
          <w:sz w:val="19"/>
          <w:szCs w:val="19"/>
          <w:color w:val="auto"/>
        </w:rPr>
        <w:t>Title to any Bearer Security and any coupons appertaining thereto shall pass by delivery. The Company, the Trustee and any agent of the Company or the Trustee may treat the Holder of any Bearer Security and the Holder of any coupon as the absolute owner of such Security or coupon for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91" w:name="page192"/>
    <w:bookmarkEnd w:id="191"/>
    <w:p>
      <w:pPr>
        <w:ind w:right="60"/>
        <w:spacing w:after="0" w:line="258" w:lineRule="auto"/>
        <w:rPr>
          <w:sz w:val="20"/>
          <w:szCs w:val="20"/>
          <w:color w:val="auto"/>
        </w:rPr>
      </w:pPr>
      <w:r>
        <w:rPr>
          <w:rFonts w:ascii="Arial" w:cs="Arial" w:eastAsia="Arial" w:hAnsi="Arial"/>
          <w:sz w:val="21"/>
          <w:szCs w:val="21"/>
          <w:color w:val="auto"/>
        </w:rPr>
        <w:t>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167" w:lineRule="exact"/>
        <w:rPr>
          <w:sz w:val="20"/>
          <w:szCs w:val="20"/>
          <w:color w:val="auto"/>
        </w:rPr>
      </w:pPr>
    </w:p>
    <w:p>
      <w:pPr>
        <w:ind w:right="20" w:firstLine="648"/>
        <w:spacing w:after="0" w:line="246" w:lineRule="auto"/>
        <w:rPr>
          <w:sz w:val="20"/>
          <w:szCs w:val="20"/>
          <w:color w:val="auto"/>
        </w:rPr>
      </w:pPr>
      <w:r>
        <w:rPr>
          <w:rFonts w:ascii="Arial" w:cs="Arial" w:eastAsia="Arial" w:hAnsi="Arial"/>
          <w:sz w:val="21"/>
          <w:szCs w:val="21"/>
          <w:color w:val="auto"/>
        </w:rPr>
        <w:t>No holder of any beneficial interest in any Global Security held on its behalf by a depository shall have any rights under this Indenture with respect to such Global Security and such depository (which is the Holder of such security) shall be treated by the Company, the Trustee, and any agent of the Company or the Trustee as the owner of such Global Security for all purposes whatsoever. None of the Company,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81"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21"/>
          <w:szCs w:val="21"/>
          <w:color w:val="auto"/>
        </w:rPr>
        <w:t>Notwithstanding the foregoing, with respect to any Global Security, nothing herein shall prevent the Company, the Trustee, or any agent of the Company or the Trustee, from giving effect to any written certification, proxy or other authorization furnished by any depository, as a Holder, with respect to such Global Security or impair, as between such depository and owners of beneficial interests in such Global Security, the operation of customary practices governing the exercise of the rights of such depository (or its nominee) as Holder of such Global Security.</w:t>
      </w:r>
    </w:p>
    <w:p>
      <w:pPr>
        <w:spacing w:after="0" w:line="177"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SECTION 309. </w:t>
      </w:r>
      <w:r>
        <w:rPr>
          <w:rFonts w:ascii="Arial" w:cs="Arial" w:eastAsia="Arial" w:hAnsi="Arial"/>
          <w:sz w:val="19"/>
          <w:szCs w:val="19"/>
          <w:u w:val="single" w:color="auto"/>
          <w:color w:val="auto"/>
        </w:rPr>
        <w:t>Cancellation</w:t>
      </w:r>
      <w:r>
        <w:rPr>
          <w:rFonts w:ascii="Arial" w:cs="Arial" w:eastAsia="Arial" w:hAnsi="Arial"/>
          <w:sz w:val="19"/>
          <w:szCs w:val="19"/>
          <w:color w:val="auto"/>
        </w:rPr>
        <w:t>. All Securities and coupons surrendered for payment, redemption, repayment at the option of the Holder, registration of transfer or conversion or exchange or for credit against any sinking fund payment shall, if surrendered to any Person other than the Trustee, be delivered to the Trustee, and any such Securities and coupons and Securities and coupons surrendered directly to the Trustee for any such purpose, upon direction by the Company,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and coupons held by the Trustee shall be disposed of by the Trustee in accordance with its customary practices (subject to the record retention requirements of the Exchange Act).</w:t>
      </w:r>
    </w:p>
    <w:p>
      <w:pPr>
        <w:spacing w:after="0" w:line="158" w:lineRule="exact"/>
        <w:rPr>
          <w:sz w:val="20"/>
          <w:szCs w:val="20"/>
          <w:color w:val="auto"/>
        </w:rPr>
      </w:pPr>
    </w:p>
    <w:p>
      <w:pPr>
        <w:ind w:right="160" w:firstLine="648"/>
        <w:spacing w:after="0" w:line="254" w:lineRule="exact"/>
        <w:rPr>
          <w:sz w:val="20"/>
          <w:szCs w:val="20"/>
          <w:color w:val="auto"/>
        </w:rPr>
      </w:pPr>
      <w:r>
        <w:rPr>
          <w:rFonts w:ascii="Arial" w:cs="Arial" w:eastAsia="Arial" w:hAnsi="Arial"/>
          <w:sz w:val="21"/>
          <w:szCs w:val="21"/>
          <w:color w:val="auto"/>
        </w:rPr>
        <w:t xml:space="preserve">SECTION 310. </w:t>
      </w:r>
      <w:r>
        <w:rPr>
          <w:rFonts w:ascii="Arial" w:cs="Arial" w:eastAsia="Arial" w:hAnsi="Arial"/>
          <w:sz w:val="21"/>
          <w:szCs w:val="21"/>
          <w:u w:val="single" w:color="auto"/>
          <w:color w:val="auto"/>
        </w:rPr>
        <w:t>Computation of Interest</w:t>
      </w:r>
      <w:r>
        <w:rPr>
          <w:rFonts w:ascii="Arial" w:cs="Arial" w:eastAsia="Arial" w:hAnsi="Arial"/>
          <w:sz w:val="21"/>
          <w:szCs w:val="21"/>
          <w:color w:val="auto"/>
        </w:rPr>
        <w:t>. Except as otherwise specified as contemplated by Section 301 with respect to Securities of any series, interest on the Securities of each series shall be computed on the basis of a 360</w:t>
      </w:r>
      <w:r>
        <w:rPr>
          <w:rFonts w:ascii="MS PGothic" w:cs="MS PGothic" w:eastAsia="MS PGothic" w:hAnsi="MS PGothic"/>
          <w:sz w:val="21"/>
          <w:szCs w:val="21"/>
          <w:color w:val="auto"/>
        </w:rPr>
        <w:t>‑</w:t>
      </w:r>
      <w:r>
        <w:rPr>
          <w:rFonts w:ascii="Arial" w:cs="Arial" w:eastAsia="Arial" w:hAnsi="Arial"/>
          <w:sz w:val="21"/>
          <w:szCs w:val="21"/>
          <w:color w:val="auto"/>
        </w:rPr>
        <w:t>day year consisting of twelve 30</w:t>
      </w:r>
      <w:r>
        <w:rPr>
          <w:rFonts w:ascii="MS PGothic" w:cs="MS PGothic" w:eastAsia="MS PGothic" w:hAnsi="MS PGothic"/>
          <w:sz w:val="21"/>
          <w:szCs w:val="21"/>
          <w:color w:val="auto"/>
        </w:rPr>
        <w:t>‑</w:t>
      </w:r>
      <w:r>
        <w:rPr>
          <w:rFonts w:ascii="Arial" w:cs="Arial" w:eastAsia="Arial" w:hAnsi="Arial"/>
          <w:sz w:val="21"/>
          <w:szCs w:val="21"/>
          <w:color w:val="auto"/>
        </w:rPr>
        <w:t>day months.</w:t>
      </w:r>
    </w:p>
    <w:p>
      <w:pPr>
        <w:spacing w:after="0" w:line="185" w:lineRule="exact"/>
        <w:rPr>
          <w:sz w:val="20"/>
          <w:szCs w:val="20"/>
          <w:color w:val="auto"/>
        </w:rPr>
      </w:pPr>
    </w:p>
    <w:p>
      <w:pPr>
        <w:ind w:right="80" w:firstLine="648"/>
        <w:spacing w:after="0" w:line="279" w:lineRule="auto"/>
        <w:rPr>
          <w:sz w:val="20"/>
          <w:szCs w:val="20"/>
          <w:color w:val="auto"/>
        </w:rPr>
      </w:pPr>
      <w:r>
        <w:rPr>
          <w:rFonts w:ascii="Arial" w:cs="Arial" w:eastAsia="Arial" w:hAnsi="Arial"/>
          <w:sz w:val="19"/>
          <w:szCs w:val="19"/>
          <w:color w:val="auto"/>
        </w:rPr>
        <w:t xml:space="preserve">SECTION 311. </w:t>
      </w:r>
      <w:r>
        <w:rPr>
          <w:rFonts w:ascii="Arial" w:cs="Arial" w:eastAsia="Arial" w:hAnsi="Arial"/>
          <w:sz w:val="19"/>
          <w:szCs w:val="19"/>
          <w:u w:val="single" w:color="auto"/>
          <w:color w:val="auto"/>
        </w:rPr>
        <w:t>CUSIP Numbers</w:t>
      </w:r>
      <w:r>
        <w:rPr>
          <w:rFonts w:ascii="Arial" w:cs="Arial" w:eastAsia="Arial" w:hAnsi="Arial"/>
          <w:sz w:val="19"/>
          <w:szCs w:val="19"/>
          <w:color w:val="auto"/>
        </w:rPr>
        <w:t xml:space="preserve">. The Company in issuing the Securities may use “CUSIP” numbers (if then generally in use), and, if so, the Trustee shall use “CUSIP” numbers in notices of redemption as a convenience to 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192" w:name="page193"/>
    <w:bookmarkEnd w:id="192"/>
    <w:p>
      <w:pPr>
        <w:ind w:right="320"/>
        <w:spacing w:after="0" w:line="251" w:lineRule="auto"/>
        <w:rPr>
          <w:sz w:val="20"/>
          <w:szCs w:val="20"/>
          <w:color w:val="auto"/>
        </w:rPr>
      </w:pPr>
      <w:r>
        <w:rPr>
          <w:rFonts w:ascii="Arial" w:cs="Arial" w:eastAsia="Arial" w:hAnsi="Arial"/>
          <w:sz w:val="22"/>
          <w:szCs w:val="22"/>
          <w:color w:val="auto"/>
        </w:rPr>
        <w:t>by any defect in or omission of such numbers. The Company will promptly notify the Trustee of any change in the “CUSIP” numbers.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FOUR - SATISFACTION AND DISCHARGE</w:t>
      </w:r>
    </w:p>
    <w:p>
      <w:pPr>
        <w:spacing w:after="0" w:line="206" w:lineRule="exact"/>
        <w:rPr>
          <w:sz w:val="20"/>
          <w:szCs w:val="20"/>
          <w:color w:val="auto"/>
        </w:rPr>
      </w:pPr>
    </w:p>
    <w:p>
      <w:pPr>
        <w:ind w:right="100" w:firstLine="648"/>
        <w:spacing w:after="0" w:line="247" w:lineRule="auto"/>
        <w:rPr>
          <w:sz w:val="20"/>
          <w:szCs w:val="20"/>
          <w:color w:val="auto"/>
        </w:rPr>
      </w:pPr>
      <w:r>
        <w:rPr>
          <w:rFonts w:ascii="Arial" w:cs="Arial" w:eastAsia="Arial" w:hAnsi="Arial"/>
          <w:sz w:val="21"/>
          <w:szCs w:val="21"/>
          <w:color w:val="auto"/>
        </w:rPr>
        <w:t xml:space="preserve">SECTION 401. </w:t>
      </w:r>
      <w:r>
        <w:rPr>
          <w:rFonts w:ascii="Arial" w:cs="Arial" w:eastAsia="Arial" w:hAnsi="Arial"/>
          <w:sz w:val="21"/>
          <w:szCs w:val="21"/>
          <w:u w:val="single" w:color="auto"/>
          <w:color w:val="auto"/>
        </w:rPr>
        <w:t>Satisfaction and Discharge of Indenture</w:t>
      </w:r>
      <w:r>
        <w:rPr>
          <w:rFonts w:ascii="Arial" w:cs="Arial" w:eastAsia="Arial" w:hAnsi="Arial"/>
          <w:sz w:val="21"/>
          <w:szCs w:val="21"/>
          <w:color w:val="auto"/>
        </w:rPr>
        <w:t>. This Indenture shall upon Company Request cease to be of further effect with respect to any series of Securities specified in such Company Request (except as to any surviving rights of registration of transfer or conversion or exchange of Securities of such series herein expressly provided for), and the Trustee, upon receipt of a Company Order, and at the expense of the Company, shall execute instruments in form and substance satisfactory to the Trustee and the Company acknowledging satisfaction and discharge of this Indenture as to such series when</w:t>
      </w:r>
    </w:p>
    <w:p>
      <w:pPr>
        <w:spacing w:after="0" w:line="178" w:lineRule="exact"/>
        <w:rPr>
          <w:sz w:val="20"/>
          <w:szCs w:val="20"/>
          <w:color w:val="auto"/>
        </w:rPr>
      </w:pPr>
    </w:p>
    <w:p>
      <w:pPr>
        <w:ind w:left="2000" w:hanging="701"/>
        <w:spacing w:after="0"/>
        <w:tabs>
          <w:tab w:leader="none" w:pos="200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either</w:t>
      </w:r>
    </w:p>
    <w:p>
      <w:pPr>
        <w:spacing w:after="0" w:line="206" w:lineRule="exact"/>
        <w:rPr>
          <w:rFonts w:ascii="Arial" w:cs="Arial" w:eastAsia="Arial" w:hAnsi="Arial"/>
          <w:sz w:val="22"/>
          <w:szCs w:val="22"/>
          <w:color w:val="auto"/>
        </w:rPr>
      </w:pPr>
    </w:p>
    <w:p>
      <w:pPr>
        <w:ind w:left="1300" w:right="20" w:firstLine="648"/>
        <w:spacing w:after="0" w:line="272" w:lineRule="auto"/>
        <w:tabs>
          <w:tab w:leader="none" w:pos="2694" w:val="left"/>
        </w:tabs>
        <w:numPr>
          <w:ilvl w:val="1"/>
          <w:numId w:val="148"/>
        </w:numPr>
        <w:rPr>
          <w:rFonts w:ascii="Arial" w:cs="Arial" w:eastAsia="Arial" w:hAnsi="Arial"/>
          <w:sz w:val="19"/>
          <w:szCs w:val="19"/>
          <w:color w:val="auto"/>
        </w:rPr>
      </w:pPr>
      <w:r>
        <w:rPr>
          <w:rFonts w:ascii="Arial" w:cs="Arial" w:eastAsia="Arial" w:hAnsi="Arial"/>
          <w:sz w:val="19"/>
          <w:szCs w:val="19"/>
          <w:color w:val="auto"/>
        </w:rPr>
        <w:t>all Securities of such series theretofore authenticated and delivered and all coupons, if any, appertaining thereto (other than (i) 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of such series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161" w:lineRule="exact"/>
        <w:rPr>
          <w:rFonts w:ascii="Arial" w:cs="Arial" w:eastAsia="Arial" w:hAnsi="Arial"/>
          <w:sz w:val="19"/>
          <w:szCs w:val="19"/>
          <w:color w:val="auto"/>
        </w:rPr>
      </w:pPr>
    </w:p>
    <w:p>
      <w:pPr>
        <w:ind w:left="1300" w:right="420" w:firstLine="648"/>
        <w:spacing w:after="0" w:line="328" w:lineRule="auto"/>
        <w:tabs>
          <w:tab w:leader="none" w:pos="2682" w:val="left"/>
        </w:tabs>
        <w:numPr>
          <w:ilvl w:val="1"/>
          <w:numId w:val="148"/>
        </w:numPr>
        <w:rPr>
          <w:rFonts w:ascii="Arial" w:cs="Arial" w:eastAsia="Arial" w:hAnsi="Arial"/>
          <w:sz w:val="19"/>
          <w:szCs w:val="19"/>
          <w:color w:val="auto"/>
        </w:rPr>
      </w:pPr>
      <w:r>
        <w:rPr>
          <w:rFonts w:ascii="Arial" w:cs="Arial" w:eastAsia="Arial" w:hAnsi="Arial"/>
          <w:sz w:val="19"/>
          <w:szCs w:val="19"/>
          <w:color w:val="auto"/>
        </w:rPr>
        <w:t>all Securities of such series and, in the case of (i) or (ii) below, any coupons appertaining thereto not theretofore delivered to the Trustee for cancellation</w:t>
      </w:r>
    </w:p>
    <w:p>
      <w:pPr>
        <w:spacing w:after="0" w:line="105" w:lineRule="exact"/>
        <w:rPr>
          <w:sz w:val="20"/>
          <w:szCs w:val="20"/>
          <w:color w:val="auto"/>
        </w:rPr>
      </w:pPr>
    </w:p>
    <w:p>
      <w:pPr>
        <w:ind w:left="2600" w:hanging="652"/>
        <w:spacing w:after="0"/>
        <w:tabs>
          <w:tab w:leader="none" w:pos="260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have become due and payable, or</w:t>
      </w:r>
    </w:p>
    <w:p>
      <w:pPr>
        <w:spacing w:after="0" w:line="206" w:lineRule="exact"/>
        <w:rPr>
          <w:rFonts w:ascii="Arial" w:cs="Arial" w:eastAsia="Arial" w:hAnsi="Arial"/>
          <w:sz w:val="22"/>
          <w:szCs w:val="22"/>
          <w:color w:val="auto"/>
        </w:rPr>
      </w:pPr>
    </w:p>
    <w:p>
      <w:pPr>
        <w:ind w:left="2580" w:hanging="632"/>
        <w:spacing w:after="0"/>
        <w:tabs>
          <w:tab w:leader="none" w:pos="258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will become due and payable at their Stated Maturity within one year, or</w:t>
      </w:r>
    </w:p>
    <w:p>
      <w:pPr>
        <w:spacing w:after="0" w:line="240" w:lineRule="exact"/>
        <w:rPr>
          <w:rFonts w:ascii="Arial" w:cs="Arial" w:eastAsia="Arial" w:hAnsi="Arial"/>
          <w:sz w:val="19"/>
          <w:szCs w:val="19"/>
          <w:color w:val="auto"/>
        </w:rPr>
      </w:pPr>
    </w:p>
    <w:p>
      <w:pPr>
        <w:ind w:left="1300" w:right="100" w:firstLine="648"/>
        <w:spacing w:after="0" w:line="297" w:lineRule="auto"/>
        <w:tabs>
          <w:tab w:leader="none" w:pos="2596" w:val="left"/>
        </w:tabs>
        <w:numPr>
          <w:ilvl w:val="0"/>
          <w:numId w:val="149"/>
        </w:numPr>
        <w:rPr>
          <w:rFonts w:ascii="Arial" w:cs="Arial" w:eastAsia="Arial" w:hAnsi="Arial"/>
          <w:sz w:val="19"/>
          <w:szCs w:val="19"/>
          <w:color w:val="auto"/>
        </w:rPr>
      </w:pPr>
      <w:r>
        <w:rPr>
          <w:rFonts w:ascii="Arial" w:cs="Arial" w:eastAsia="Arial" w:hAnsi="Arial"/>
          <w:sz w:val="19"/>
          <w:szCs w:val="19"/>
          <w:color w:val="auto"/>
        </w:rPr>
        <w:t>if redeemable at the option of the Company, are to be called for redemption within one year under arrangements satisfactory to the Trustee for the giving of notice of redemption by the Trustee in the name, and at the expense, of the Company,</w:t>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and the Company, in the case of (i), (ii) or (iii) above, has irrevocably deposited or caused to be deposited with the Trustee as trust funds in trust for the purpose an amount in the currency or currencies, currency unit or units or composite currency or currencies in which the Securities of such series are payable, sufficient to pay and discharge the entire indebtedness on such Securities and such coupons not theretofore delivered to the Trustee for cancellation, for principal (and premium or Make-Whole Amount, if any) and interest to the date of such deposit (in the case of Securities which have become due and payable) or to the Stated Maturity or Redemption Date, as the case may be;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93" w:name="page194"/>
    <w:bookmarkEnd w:id="193"/>
    <w:p>
      <w:pPr>
        <w:ind w:left="660" w:right="180" w:firstLine="639"/>
        <w:spacing w:after="0" w:line="251" w:lineRule="auto"/>
        <w:tabs>
          <w:tab w:leader="none" w:pos="2006"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the Company has paid or caused to be paid all other sums payable hereunder by the Company; and</w:t>
      </w:r>
    </w:p>
    <w:p>
      <w:pPr>
        <w:spacing w:after="0" w:line="173" w:lineRule="exact"/>
        <w:rPr>
          <w:rFonts w:ascii="Arial" w:cs="Arial" w:eastAsia="Arial" w:hAnsi="Arial"/>
          <w:sz w:val="22"/>
          <w:szCs w:val="22"/>
          <w:color w:val="auto"/>
        </w:rPr>
      </w:pPr>
    </w:p>
    <w:p>
      <w:pPr>
        <w:ind w:left="660" w:right="20" w:firstLine="639"/>
        <w:spacing w:after="0" w:line="297" w:lineRule="auto"/>
        <w:tabs>
          <w:tab w:leader="none" w:pos="2006" w:val="left"/>
        </w:tabs>
        <w:numPr>
          <w:ilvl w:val="0"/>
          <w:numId w:val="150"/>
        </w:numPr>
        <w:rPr>
          <w:rFonts w:ascii="Arial" w:cs="Arial" w:eastAsia="Arial" w:hAnsi="Arial"/>
          <w:sz w:val="19"/>
          <w:szCs w:val="19"/>
          <w:color w:val="auto"/>
        </w:rPr>
      </w:pPr>
      <w:r>
        <w:rPr>
          <w:rFonts w:ascii="Arial" w:cs="Arial" w:eastAsia="Arial" w:hAnsi="Arial"/>
          <w:sz w:val="19"/>
          <w:szCs w:val="19"/>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34"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Notwithstanding the satisfaction and discharge of this Indenture, the obligations of the Company to the Trustee and any predecessor Trustee under Section 606, the obligations of the Company to any Authenticating Agent under Section 611 and, if money shall have been deposited with and held by the Trustee pursuant to subclause (B) of clause (1) of this Section, the obligations of the Trustee under Section 402 and the last paragraph of Section 1003 shall survive such satisfaction and discharge.</w:t>
      </w:r>
    </w:p>
    <w:p>
      <w:pPr>
        <w:spacing w:after="0" w:line="148" w:lineRule="exact"/>
        <w:rPr>
          <w:sz w:val="20"/>
          <w:szCs w:val="20"/>
          <w:color w:val="auto"/>
        </w:rPr>
      </w:pPr>
    </w:p>
    <w:p>
      <w:pPr>
        <w:ind w:right="60" w:firstLine="648"/>
        <w:spacing w:after="0" w:line="246" w:lineRule="auto"/>
        <w:rPr>
          <w:sz w:val="20"/>
          <w:szCs w:val="20"/>
          <w:color w:val="auto"/>
        </w:rPr>
      </w:pPr>
      <w:r>
        <w:rPr>
          <w:rFonts w:ascii="Arial" w:cs="Arial" w:eastAsia="Arial" w:hAnsi="Arial"/>
          <w:sz w:val="21"/>
          <w:szCs w:val="21"/>
          <w:color w:val="auto"/>
        </w:rPr>
        <w:t xml:space="preserve">SECTION 402. </w:t>
      </w:r>
      <w:r>
        <w:rPr>
          <w:rFonts w:ascii="Arial" w:cs="Arial" w:eastAsia="Arial" w:hAnsi="Arial"/>
          <w:sz w:val="21"/>
          <w:szCs w:val="21"/>
          <w:u w:val="single" w:color="auto"/>
          <w:color w:val="auto"/>
        </w:rPr>
        <w:t>Application of Trust Funds</w:t>
      </w:r>
      <w:r>
        <w:rPr>
          <w:rFonts w:ascii="Arial" w:cs="Arial" w:eastAsia="Arial" w:hAnsi="Arial"/>
          <w:sz w:val="21"/>
          <w:szCs w:val="21"/>
          <w:color w:val="auto"/>
        </w:rPr>
        <w:t xml:space="preserve"> . Subject to the provisions of 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premium or Make-Whole Amount, if any), and any interest for whose payment such money has been deposited with or received by the Trustee, but such money need not be segregated from other funds except to the extent required by law.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FIVE - REMEDIES</w:t>
      </w:r>
    </w:p>
    <w:p>
      <w:pPr>
        <w:spacing w:after="0" w:line="206" w:lineRule="exact"/>
        <w:rPr>
          <w:sz w:val="20"/>
          <w:szCs w:val="20"/>
          <w:color w:val="auto"/>
        </w:rPr>
      </w:pPr>
    </w:p>
    <w:p>
      <w:pPr>
        <w:ind w:right="80" w:firstLine="648"/>
        <w:spacing w:after="0" w:line="236"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Events of Default</w:t>
      </w:r>
      <w:r>
        <w:rPr>
          <w:rFonts w:ascii="Arial" w:cs="Arial" w:eastAsia="Arial" w:hAnsi="Arial"/>
          <w:sz w:val="22"/>
          <w:szCs w:val="22"/>
          <w:color w:val="auto"/>
        </w:rPr>
        <w:t>. “Event of Default,”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188" w:lineRule="exact"/>
        <w:rPr>
          <w:sz w:val="20"/>
          <w:szCs w:val="20"/>
          <w:color w:val="auto"/>
        </w:rPr>
      </w:pPr>
    </w:p>
    <w:p>
      <w:pPr>
        <w:ind w:left="660" w:right="440" w:firstLine="639"/>
        <w:spacing w:after="0"/>
        <w:tabs>
          <w:tab w:leader="none" w:pos="2006" w:val="left"/>
        </w:tabs>
        <w:numPr>
          <w:ilvl w:val="0"/>
          <w:numId w:val="151"/>
        </w:numPr>
        <w:rPr>
          <w:rFonts w:ascii="Arial" w:cs="Arial" w:eastAsia="Arial" w:hAnsi="Arial"/>
          <w:sz w:val="22"/>
          <w:szCs w:val="22"/>
          <w:color w:val="auto"/>
        </w:rPr>
      </w:pPr>
      <w:r>
        <w:rPr>
          <w:rFonts w:ascii="Arial" w:cs="Arial" w:eastAsia="Arial" w:hAnsi="Arial"/>
          <w:sz w:val="22"/>
          <w:szCs w:val="22"/>
          <w:color w:val="auto"/>
        </w:rPr>
        <w:t>default in the payment of any interest on any Security of that series or of any coupon appertaining thereto, when such interest or coupon becomes due and payable, and continuance of such default for a period of 30 days; or</w:t>
      </w:r>
    </w:p>
    <w:p>
      <w:pPr>
        <w:spacing w:after="0" w:line="186" w:lineRule="exact"/>
        <w:rPr>
          <w:rFonts w:ascii="Arial" w:cs="Arial" w:eastAsia="Arial" w:hAnsi="Arial"/>
          <w:sz w:val="22"/>
          <w:szCs w:val="22"/>
          <w:color w:val="auto"/>
        </w:rPr>
      </w:pPr>
    </w:p>
    <w:p>
      <w:pPr>
        <w:ind w:left="660" w:right="140" w:firstLine="639"/>
        <w:spacing w:after="0" w:line="328" w:lineRule="auto"/>
        <w:tabs>
          <w:tab w:leader="none" w:pos="2006" w:val="left"/>
        </w:tabs>
        <w:numPr>
          <w:ilvl w:val="0"/>
          <w:numId w:val="151"/>
        </w:numPr>
        <w:rPr>
          <w:rFonts w:ascii="Arial" w:cs="Arial" w:eastAsia="Arial" w:hAnsi="Arial"/>
          <w:sz w:val="19"/>
          <w:szCs w:val="19"/>
          <w:color w:val="auto"/>
        </w:rPr>
      </w:pPr>
      <w:r>
        <w:rPr>
          <w:rFonts w:ascii="Arial" w:cs="Arial" w:eastAsia="Arial" w:hAnsi="Arial"/>
          <w:sz w:val="19"/>
          <w:szCs w:val="19"/>
          <w:color w:val="auto"/>
        </w:rPr>
        <w:t>default in the payment of the principal of (or premium or Make-Whole Amount, if any, on) any Security of that series when it becomes due and payable at its Maturity; or</w:t>
      </w:r>
    </w:p>
    <w:p>
      <w:pPr>
        <w:spacing w:after="0" w:line="105" w:lineRule="exact"/>
        <w:rPr>
          <w:rFonts w:ascii="Arial" w:cs="Arial" w:eastAsia="Arial" w:hAnsi="Arial"/>
          <w:sz w:val="19"/>
          <w:szCs w:val="19"/>
          <w:color w:val="auto"/>
        </w:rPr>
      </w:pPr>
    </w:p>
    <w:p>
      <w:pPr>
        <w:ind w:left="660" w:right="360" w:firstLine="639"/>
        <w:spacing w:after="0" w:line="328" w:lineRule="auto"/>
        <w:tabs>
          <w:tab w:leader="none" w:pos="2006" w:val="left"/>
        </w:tabs>
        <w:numPr>
          <w:ilvl w:val="0"/>
          <w:numId w:val="151"/>
        </w:numPr>
        <w:rPr>
          <w:rFonts w:ascii="Arial" w:cs="Arial" w:eastAsia="Arial" w:hAnsi="Arial"/>
          <w:sz w:val="19"/>
          <w:szCs w:val="19"/>
          <w:color w:val="auto"/>
        </w:rPr>
      </w:pPr>
      <w:r>
        <w:rPr>
          <w:rFonts w:ascii="Arial" w:cs="Arial" w:eastAsia="Arial" w:hAnsi="Arial"/>
          <w:sz w:val="19"/>
          <w:szCs w:val="19"/>
          <w:color w:val="auto"/>
        </w:rPr>
        <w:t>default in the deposit of any sinking fund payment, to the extent applicable to such series of Securities, when and as due by the terms of any Security of that series; or</w:t>
      </w:r>
    </w:p>
    <w:p>
      <w:pPr>
        <w:spacing w:after="0" w:line="105" w:lineRule="exact"/>
        <w:rPr>
          <w:rFonts w:ascii="Arial" w:cs="Arial" w:eastAsia="Arial" w:hAnsi="Arial"/>
          <w:sz w:val="19"/>
          <w:szCs w:val="19"/>
          <w:color w:val="auto"/>
        </w:rPr>
      </w:pPr>
    </w:p>
    <w:p>
      <w:pPr>
        <w:ind w:left="660" w:firstLine="639"/>
        <w:spacing w:after="0" w:line="277" w:lineRule="auto"/>
        <w:tabs>
          <w:tab w:leader="none" w:pos="2006" w:val="left"/>
        </w:tabs>
        <w:numPr>
          <w:ilvl w:val="0"/>
          <w:numId w:val="151"/>
        </w:numPr>
        <w:rPr>
          <w:rFonts w:ascii="Arial" w:cs="Arial" w:eastAsia="Arial" w:hAnsi="Arial"/>
          <w:sz w:val="19"/>
          <w:szCs w:val="19"/>
          <w:color w:val="auto"/>
        </w:rPr>
      </w:pPr>
      <w:r>
        <w:rPr>
          <w:rFonts w:ascii="Arial" w:cs="Arial" w:eastAsia="Arial" w:hAnsi="Arial"/>
          <w:sz w:val="19"/>
          <w:szCs w:val="19"/>
          <w:color w:val="auto"/>
        </w:rPr>
        <w:t>default in the performance, or breach, of any covenant or warranty of the Company in this Indenture with respect to any Security of that series (other than a covenant or warranty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60 days after there has been given, by registered or certified mail, to the Company by the Trustee or to the Company and the Trustee by the Holders of at least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94" w:name="page195"/>
    <w:bookmarkEnd w:id="194"/>
    <w:p>
      <w:pPr>
        <w:ind w:left="640" w:right="40"/>
        <w:spacing w:after="0" w:line="241" w:lineRule="auto"/>
        <w:rPr>
          <w:sz w:val="20"/>
          <w:szCs w:val="20"/>
          <w:color w:val="auto"/>
        </w:rPr>
      </w:pPr>
      <w:r>
        <w:rPr>
          <w:rFonts w:ascii="Arial" w:cs="Arial" w:eastAsia="Arial" w:hAnsi="Arial"/>
          <w:sz w:val="22"/>
          <w:szCs w:val="22"/>
          <w:color w:val="auto"/>
        </w:rPr>
        <w:t>25% in principal amount of the Outstanding Securities of that series a written notice specifying such default or breach and requiring it to be remedied and stating that such notice is a “Notice of Default” hereunder; or</w:t>
      </w:r>
    </w:p>
    <w:p>
      <w:pPr>
        <w:spacing w:after="0" w:line="184" w:lineRule="exact"/>
        <w:rPr>
          <w:sz w:val="20"/>
          <w:szCs w:val="20"/>
          <w:color w:val="auto"/>
        </w:rPr>
      </w:pPr>
    </w:p>
    <w:p>
      <w:pPr>
        <w:ind w:left="640" w:firstLine="639"/>
        <w:spacing w:after="0" w:line="270" w:lineRule="auto"/>
        <w:tabs>
          <w:tab w:leader="none" w:pos="1986"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default under any bond, debenture, note, mortgage, indenture or instrument under which there may be issued or by which there may be secured or evidenced any indebtedness for money borrowed by the Company (or by any Subsidiary, the repayment of which the Company has guaranteed or for which the Company is directly responsible or liable as obligor or guarantor), having an aggregate principal amount outstanding of at least $30,000,000, whether such indebtedness now exists or shall hereafter be created, which default shall have resulted in such indebtedness becoming or being declared due and payable prior to the date on which it would otherwise have become due and payable, without such indebtedness having been discharged, or such acceleration having been rescinded or annulled, within a period of 30 days after there shall have been given, by registered or certified mail, to the Company by the Trustee or to the Company and the Trustee by the Holders of at least 10% in principal amount of the Outstanding Securities of that series a written notice specifying such default and requiring the Company to cause such indebtedness to be discharged or cause such acceleration to be rescinded or annulled and stating that such notice is a “Notice of Default”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subject to the provisions of Sections 601 and 602, the Trustee shall not be deemed to have knowledge of such default unless either (A) a Responsible Officer of the Trustee shall have knowledge of such default or (B) the Trustee shall have received written notice thereof from the Company, from any Holder, from the holder of any such indebtedness or from the trustee under any such mortgage, indenture or other instrument; or</w:t>
      </w:r>
    </w:p>
    <w:p>
      <w:pPr>
        <w:spacing w:after="0" w:line="164" w:lineRule="exact"/>
        <w:rPr>
          <w:rFonts w:ascii="Arial" w:cs="Arial" w:eastAsia="Arial" w:hAnsi="Arial"/>
          <w:sz w:val="19"/>
          <w:szCs w:val="19"/>
          <w:color w:val="auto"/>
        </w:rPr>
      </w:pPr>
    </w:p>
    <w:p>
      <w:pPr>
        <w:ind w:left="640" w:right="100" w:firstLine="639"/>
        <w:spacing w:after="0" w:line="251" w:lineRule="auto"/>
        <w:tabs>
          <w:tab w:leader="none" w:pos="1986"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Company or any Significant Subsidiary pursuant to or within the meaning of any Bankruptcy Law:</w:t>
      </w:r>
    </w:p>
    <w:p>
      <w:pPr>
        <w:spacing w:after="0" w:line="173" w:lineRule="exact"/>
        <w:rPr>
          <w:rFonts w:ascii="Arial" w:cs="Arial" w:eastAsia="Arial" w:hAnsi="Arial"/>
          <w:sz w:val="22"/>
          <w:szCs w:val="22"/>
          <w:color w:val="auto"/>
        </w:rPr>
      </w:pPr>
    </w:p>
    <w:p>
      <w:pPr>
        <w:ind w:left="2680" w:hanging="752"/>
        <w:spacing w:after="0"/>
        <w:tabs>
          <w:tab w:leader="none" w:pos="2680" w:val="left"/>
        </w:tabs>
        <w:numPr>
          <w:ilvl w:val="1"/>
          <w:numId w:val="152"/>
        </w:numPr>
        <w:rPr>
          <w:rFonts w:ascii="Arial" w:cs="Arial" w:eastAsia="Arial" w:hAnsi="Arial"/>
          <w:sz w:val="22"/>
          <w:szCs w:val="22"/>
          <w:color w:val="auto"/>
        </w:rPr>
      </w:pPr>
      <w:r>
        <w:rPr>
          <w:rFonts w:ascii="Arial" w:cs="Arial" w:eastAsia="Arial" w:hAnsi="Arial"/>
          <w:sz w:val="22"/>
          <w:szCs w:val="22"/>
          <w:color w:val="auto"/>
        </w:rPr>
        <w:t>commences a voluntary case,</w:t>
      </w:r>
    </w:p>
    <w:p>
      <w:pPr>
        <w:spacing w:after="0" w:line="206" w:lineRule="exact"/>
        <w:rPr>
          <w:rFonts w:ascii="Arial" w:cs="Arial" w:eastAsia="Arial" w:hAnsi="Arial"/>
          <w:sz w:val="22"/>
          <w:szCs w:val="22"/>
          <w:color w:val="auto"/>
        </w:rPr>
      </w:pPr>
    </w:p>
    <w:p>
      <w:pPr>
        <w:ind w:left="2660" w:hanging="732"/>
        <w:spacing w:after="0"/>
        <w:tabs>
          <w:tab w:leader="none" w:pos="2660" w:val="left"/>
        </w:tabs>
        <w:numPr>
          <w:ilvl w:val="1"/>
          <w:numId w:val="152"/>
        </w:numPr>
        <w:rPr>
          <w:rFonts w:ascii="Arial" w:cs="Arial" w:eastAsia="Arial" w:hAnsi="Arial"/>
          <w:sz w:val="21"/>
          <w:szCs w:val="21"/>
          <w:color w:val="auto"/>
        </w:rPr>
      </w:pPr>
      <w:r>
        <w:rPr>
          <w:rFonts w:ascii="Arial" w:cs="Arial" w:eastAsia="Arial" w:hAnsi="Arial"/>
          <w:sz w:val="21"/>
          <w:szCs w:val="21"/>
          <w:color w:val="auto"/>
        </w:rPr>
        <w:t>consents to the entry of an order for relief against it in an involuntary</w:t>
      </w:r>
    </w:p>
    <w:p>
      <w:pPr>
        <w:spacing w:after="0" w:line="19" w:lineRule="exact"/>
        <w:rPr>
          <w:rFonts w:ascii="Arial" w:cs="Arial" w:eastAsia="Arial" w:hAnsi="Arial"/>
          <w:sz w:val="21"/>
          <w:szCs w:val="21"/>
          <w:color w:val="auto"/>
        </w:rPr>
      </w:pPr>
    </w:p>
    <w:p>
      <w:pPr>
        <w:ind w:left="1280"/>
        <w:spacing w:after="0"/>
        <w:rPr>
          <w:rFonts w:ascii="Arial" w:cs="Arial" w:eastAsia="Arial" w:hAnsi="Arial"/>
          <w:sz w:val="21"/>
          <w:szCs w:val="21"/>
          <w:color w:val="auto"/>
        </w:rPr>
      </w:pPr>
      <w:r>
        <w:rPr>
          <w:rFonts w:ascii="Arial" w:cs="Arial" w:eastAsia="Arial" w:hAnsi="Arial"/>
          <w:sz w:val="22"/>
          <w:szCs w:val="22"/>
          <w:color w:val="auto"/>
        </w:rPr>
        <w:t>case,</w:t>
      </w:r>
    </w:p>
    <w:p>
      <w:pPr>
        <w:spacing w:after="0" w:line="188" w:lineRule="exact"/>
        <w:rPr>
          <w:rFonts w:ascii="Arial" w:cs="Arial" w:eastAsia="Arial" w:hAnsi="Arial"/>
          <w:sz w:val="21"/>
          <w:szCs w:val="21"/>
          <w:color w:val="auto"/>
        </w:rPr>
      </w:pPr>
    </w:p>
    <w:p>
      <w:pPr>
        <w:ind w:left="1280" w:right="20" w:firstLine="648"/>
        <w:spacing w:after="0" w:line="251" w:lineRule="auto"/>
        <w:tabs>
          <w:tab w:leader="none" w:pos="2662" w:val="left"/>
        </w:tabs>
        <w:numPr>
          <w:ilvl w:val="1"/>
          <w:numId w:val="152"/>
        </w:numPr>
        <w:rPr>
          <w:rFonts w:ascii="Arial" w:cs="Arial" w:eastAsia="Arial" w:hAnsi="Arial"/>
          <w:sz w:val="22"/>
          <w:szCs w:val="22"/>
          <w:color w:val="auto"/>
        </w:rPr>
      </w:pPr>
      <w:r>
        <w:rPr>
          <w:rFonts w:ascii="Arial" w:cs="Arial" w:eastAsia="Arial" w:hAnsi="Arial"/>
          <w:sz w:val="22"/>
          <w:szCs w:val="22"/>
          <w:color w:val="auto"/>
        </w:rPr>
        <w:t>consents to the appointment of a Custodian of it or for all or substantially all of its property, or</w:t>
      </w:r>
    </w:p>
    <w:p>
      <w:pPr>
        <w:spacing w:after="0" w:line="173" w:lineRule="exact"/>
        <w:rPr>
          <w:rFonts w:ascii="Arial" w:cs="Arial" w:eastAsia="Arial" w:hAnsi="Arial"/>
          <w:sz w:val="22"/>
          <w:szCs w:val="22"/>
          <w:color w:val="auto"/>
        </w:rPr>
      </w:pPr>
    </w:p>
    <w:p>
      <w:pPr>
        <w:ind w:left="2680" w:hanging="752"/>
        <w:spacing w:after="0"/>
        <w:tabs>
          <w:tab w:leader="none" w:pos="2680" w:val="left"/>
        </w:tabs>
        <w:numPr>
          <w:ilvl w:val="1"/>
          <w:numId w:val="152"/>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 or</w:t>
      </w:r>
    </w:p>
    <w:p>
      <w:pPr>
        <w:spacing w:after="0" w:line="206" w:lineRule="exact"/>
        <w:rPr>
          <w:rFonts w:ascii="Arial" w:cs="Arial" w:eastAsia="Arial" w:hAnsi="Arial"/>
          <w:sz w:val="22"/>
          <w:szCs w:val="22"/>
          <w:color w:val="auto"/>
        </w:rPr>
      </w:pPr>
    </w:p>
    <w:p>
      <w:pPr>
        <w:ind w:left="1980" w:hanging="701"/>
        <w:spacing w:after="0"/>
        <w:tabs>
          <w:tab w:leader="none" w:pos="198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a court of competent jurisdiction enters an order or decree under any Bankruptcy</w:t>
      </w:r>
    </w:p>
    <w:p>
      <w:pPr>
        <w:spacing w:after="0" w:line="42"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Law that:</w:t>
      </w:r>
    </w:p>
    <w:p>
      <w:pPr>
        <w:spacing w:after="0" w:line="188" w:lineRule="exact"/>
        <w:rPr>
          <w:rFonts w:ascii="Arial" w:cs="Arial" w:eastAsia="Arial" w:hAnsi="Arial"/>
          <w:sz w:val="19"/>
          <w:szCs w:val="19"/>
          <w:color w:val="auto"/>
        </w:rPr>
      </w:pPr>
    </w:p>
    <w:p>
      <w:pPr>
        <w:ind w:left="1280" w:right="440" w:firstLine="648"/>
        <w:spacing w:after="0" w:line="251" w:lineRule="auto"/>
        <w:tabs>
          <w:tab w:leader="none" w:pos="2674" w:val="left"/>
        </w:tabs>
        <w:numPr>
          <w:ilvl w:val="1"/>
          <w:numId w:val="152"/>
        </w:numPr>
        <w:rPr>
          <w:rFonts w:ascii="Arial" w:cs="Arial" w:eastAsia="Arial" w:hAnsi="Arial"/>
          <w:sz w:val="22"/>
          <w:szCs w:val="22"/>
          <w:color w:val="auto"/>
        </w:rPr>
      </w:pPr>
      <w:r>
        <w:rPr>
          <w:rFonts w:ascii="Arial" w:cs="Arial" w:eastAsia="Arial" w:hAnsi="Arial"/>
          <w:sz w:val="22"/>
          <w:szCs w:val="22"/>
          <w:color w:val="auto"/>
        </w:rPr>
        <w:t>is for relief against the Company or any Significant Subsidiary in an involuntary case,</w:t>
      </w:r>
    </w:p>
    <w:p>
      <w:pPr>
        <w:spacing w:after="0" w:line="173" w:lineRule="exact"/>
        <w:rPr>
          <w:rFonts w:ascii="Arial" w:cs="Arial" w:eastAsia="Arial" w:hAnsi="Arial"/>
          <w:sz w:val="22"/>
          <w:szCs w:val="22"/>
          <w:color w:val="auto"/>
        </w:rPr>
      </w:pPr>
    </w:p>
    <w:p>
      <w:pPr>
        <w:ind w:left="1280" w:right="280" w:firstLine="648"/>
        <w:spacing w:after="0" w:line="251" w:lineRule="auto"/>
        <w:tabs>
          <w:tab w:leader="none" w:pos="2662" w:val="left"/>
        </w:tabs>
        <w:numPr>
          <w:ilvl w:val="1"/>
          <w:numId w:val="152"/>
        </w:numPr>
        <w:rPr>
          <w:rFonts w:ascii="Arial" w:cs="Arial" w:eastAsia="Arial" w:hAnsi="Arial"/>
          <w:sz w:val="22"/>
          <w:szCs w:val="22"/>
          <w:color w:val="auto"/>
        </w:rPr>
      </w:pPr>
      <w:r>
        <w:rPr>
          <w:rFonts w:ascii="Arial" w:cs="Arial" w:eastAsia="Arial" w:hAnsi="Arial"/>
          <w:sz w:val="22"/>
          <w:szCs w:val="22"/>
          <w:color w:val="auto"/>
        </w:rPr>
        <w:t>appoints a Custodian of the Company or any Significant Subsidiary or for all or substantially all of either of its property, or</w:t>
      </w:r>
    </w:p>
    <w:p>
      <w:pPr>
        <w:spacing w:after="0" w:line="173" w:lineRule="exact"/>
        <w:rPr>
          <w:rFonts w:ascii="Arial" w:cs="Arial" w:eastAsia="Arial" w:hAnsi="Arial"/>
          <w:sz w:val="22"/>
          <w:szCs w:val="22"/>
          <w:color w:val="auto"/>
        </w:rPr>
      </w:pPr>
    </w:p>
    <w:p>
      <w:pPr>
        <w:ind w:left="1280" w:right="80" w:firstLine="648"/>
        <w:spacing w:after="0" w:line="274" w:lineRule="auto"/>
        <w:tabs>
          <w:tab w:leader="none" w:pos="2662" w:val="left"/>
        </w:tabs>
        <w:numPr>
          <w:ilvl w:val="1"/>
          <w:numId w:val="152"/>
        </w:numPr>
        <w:rPr>
          <w:rFonts w:ascii="Arial" w:cs="Arial" w:eastAsia="Arial" w:hAnsi="Arial"/>
          <w:sz w:val="21"/>
          <w:szCs w:val="21"/>
          <w:color w:val="auto"/>
        </w:rPr>
      </w:pPr>
      <w:r>
        <w:rPr>
          <w:rFonts w:ascii="Arial" w:cs="Arial" w:eastAsia="Arial" w:hAnsi="Arial"/>
          <w:sz w:val="21"/>
          <w:szCs w:val="21"/>
          <w:color w:val="auto"/>
        </w:rPr>
        <w:t>orders the liquidation of the Company or any Significant Subsidiary, and the order or decree remains unstayed and in effect for 90 days; 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575437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20"/>
          </w:cols>
          <w:pgMar w:left="1440" w:top="118" w:right="1439" w:bottom="1440" w:gutter="0" w:footer="0" w:header="0"/>
        </w:sectPr>
      </w:pPr>
    </w:p>
    <w:bookmarkStart w:id="195" w:name="page196"/>
    <w:bookmarkEnd w:id="195"/>
    <w:p>
      <w:pPr>
        <w:ind w:left="2000" w:hanging="701"/>
        <w:spacing w:after="0"/>
        <w:tabs>
          <w:tab w:leader="none" w:pos="200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any other Event of Default provided with respect to Securities of that series.</w:t>
      </w:r>
    </w:p>
    <w:p>
      <w:pPr>
        <w:spacing w:after="0" w:line="218"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As used in this Section 501, the term “Bankruptcy Law” means title 11, U.S. Code or any similar Federal or state law for the relief of debtors and the term “Custodian” means any receiver, trustee, assignee, liquidator or other similar official under any Bankruptcy Law.</w:t>
      </w:r>
    </w:p>
    <w:p>
      <w:pPr>
        <w:spacing w:after="0" w:line="186"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u w:val="single" w:color="auto"/>
          <w:color w:val="auto"/>
        </w:rPr>
        <w:t>Acceleration of Maturity; Rescission and Annulment</w:t>
      </w:r>
      <w:r>
        <w:rPr>
          <w:rFonts w:ascii="Arial" w:cs="Arial" w:eastAsia="Arial" w:hAnsi="Arial"/>
          <w:sz w:val="19"/>
          <w:szCs w:val="19"/>
          <w:color w:val="auto"/>
        </w:rPr>
        <w:t>. If an Event of Default with respect to Securities of any series at the time Outstanding occurs and is continuing, then and in every such case the Trustee or the Holders of not less than 25% in principal amount of the Outstanding Securities of that series may declare the principal amount (or, if Securities of that Series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w:t>
      </w:r>
    </w:p>
    <w:p>
      <w:pPr>
        <w:spacing w:after="0" w:line="158"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of acceleration and its consequences if:</w:t>
      </w:r>
    </w:p>
    <w:p>
      <w:pPr>
        <w:spacing w:after="0" w:line="179" w:lineRule="exact"/>
        <w:rPr>
          <w:sz w:val="20"/>
          <w:szCs w:val="20"/>
          <w:color w:val="auto"/>
        </w:rPr>
      </w:pPr>
    </w:p>
    <w:p>
      <w:pPr>
        <w:ind w:left="660" w:firstLine="639"/>
        <w:spacing w:after="0" w:line="297" w:lineRule="auto"/>
        <w:tabs>
          <w:tab w:leader="none" w:pos="2006"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 Company has paid or deposited with the Trustee a sum sufficient to pay in the currency, currency unit or composite currency in which the Securities of such series are payable (except as otherwise specified pursuant to Section 301 for the Securities of such series):</w:t>
      </w:r>
    </w:p>
    <w:p>
      <w:pPr>
        <w:spacing w:after="0" w:line="134" w:lineRule="exact"/>
        <w:rPr>
          <w:rFonts w:ascii="Arial" w:cs="Arial" w:eastAsia="Arial" w:hAnsi="Arial"/>
          <w:sz w:val="19"/>
          <w:szCs w:val="19"/>
          <w:color w:val="auto"/>
        </w:rPr>
      </w:pPr>
    </w:p>
    <w:p>
      <w:pPr>
        <w:ind w:left="1300" w:right="180" w:firstLine="648"/>
        <w:spacing w:after="0" w:line="251" w:lineRule="auto"/>
        <w:tabs>
          <w:tab w:leader="none" w:pos="2694" w:val="left"/>
        </w:tabs>
        <w:numPr>
          <w:ilvl w:val="1"/>
          <w:numId w:val="154"/>
        </w:numPr>
        <w:rPr>
          <w:rFonts w:ascii="Arial" w:cs="Arial" w:eastAsia="Arial" w:hAnsi="Arial"/>
          <w:sz w:val="22"/>
          <w:szCs w:val="22"/>
          <w:color w:val="auto"/>
        </w:rPr>
      </w:pPr>
      <w:r>
        <w:rPr>
          <w:rFonts w:ascii="Arial" w:cs="Arial" w:eastAsia="Arial" w:hAnsi="Arial"/>
          <w:sz w:val="22"/>
          <w:szCs w:val="22"/>
          <w:color w:val="auto"/>
        </w:rPr>
        <w:t>all overdue installments of interest on all Outstanding Securities of that series and any related coupons,</w:t>
      </w:r>
    </w:p>
    <w:p>
      <w:pPr>
        <w:spacing w:after="0" w:line="173" w:lineRule="exact"/>
        <w:rPr>
          <w:rFonts w:ascii="Arial" w:cs="Arial" w:eastAsia="Arial" w:hAnsi="Arial"/>
          <w:sz w:val="22"/>
          <w:szCs w:val="22"/>
          <w:color w:val="auto"/>
        </w:rPr>
      </w:pPr>
    </w:p>
    <w:p>
      <w:pPr>
        <w:ind w:left="1300" w:right="220" w:firstLine="648"/>
        <w:spacing w:after="0" w:line="238" w:lineRule="auto"/>
        <w:tabs>
          <w:tab w:leader="none" w:pos="2682" w:val="left"/>
        </w:tabs>
        <w:numPr>
          <w:ilvl w:val="1"/>
          <w:numId w:val="154"/>
        </w:numPr>
        <w:rPr>
          <w:rFonts w:ascii="Arial" w:cs="Arial" w:eastAsia="Arial" w:hAnsi="Arial"/>
          <w:sz w:val="22"/>
          <w:szCs w:val="22"/>
          <w:color w:val="auto"/>
        </w:rPr>
      </w:pPr>
      <w:r>
        <w:rPr>
          <w:rFonts w:ascii="Arial" w:cs="Arial" w:eastAsia="Arial" w:hAnsi="Arial"/>
          <w:sz w:val="22"/>
          <w:szCs w:val="22"/>
          <w:color w:val="auto"/>
        </w:rPr>
        <w:t>the principal of (and premium or Make-Whole Amount, if any, on) any Outstanding Securities of that series which have become due otherwise than by such declaration of acceleration and interest thereon at the rate or rates borne by or provided for in such Securities,</w:t>
      </w:r>
    </w:p>
    <w:p>
      <w:pPr>
        <w:spacing w:after="0" w:line="185" w:lineRule="exact"/>
        <w:rPr>
          <w:rFonts w:ascii="Arial" w:cs="Arial" w:eastAsia="Arial" w:hAnsi="Arial"/>
          <w:sz w:val="22"/>
          <w:szCs w:val="22"/>
          <w:color w:val="auto"/>
        </w:rPr>
      </w:pPr>
    </w:p>
    <w:p>
      <w:pPr>
        <w:ind w:left="1300" w:right="560" w:firstLine="648"/>
        <w:spacing w:after="0"/>
        <w:tabs>
          <w:tab w:leader="none" w:pos="2682" w:val="left"/>
        </w:tabs>
        <w:numPr>
          <w:ilvl w:val="1"/>
          <w:numId w:val="154"/>
        </w:numPr>
        <w:rPr>
          <w:rFonts w:ascii="Arial" w:cs="Arial" w:eastAsia="Arial" w:hAnsi="Arial"/>
          <w:sz w:val="22"/>
          <w:szCs w:val="22"/>
          <w:color w:val="auto"/>
        </w:rPr>
      </w:pPr>
      <w:r>
        <w:rPr>
          <w:rFonts w:ascii="Arial" w:cs="Arial" w:eastAsia="Arial" w:hAnsi="Arial"/>
          <w:sz w:val="22"/>
          <w:szCs w:val="22"/>
          <w:color w:val="auto"/>
        </w:rPr>
        <w:t>to the extent that payment of such interest is lawful, interest upon overdue installments of interest at the rate or rates borne by or provided for in such Securities, and</w:t>
      </w:r>
    </w:p>
    <w:p>
      <w:pPr>
        <w:spacing w:after="0" w:line="186" w:lineRule="exact"/>
        <w:rPr>
          <w:rFonts w:ascii="Arial" w:cs="Arial" w:eastAsia="Arial" w:hAnsi="Arial"/>
          <w:sz w:val="22"/>
          <w:szCs w:val="22"/>
          <w:color w:val="auto"/>
        </w:rPr>
      </w:pPr>
    </w:p>
    <w:p>
      <w:pPr>
        <w:ind w:left="1300" w:right="240" w:firstLine="648"/>
        <w:spacing w:after="0"/>
        <w:tabs>
          <w:tab w:leader="none" w:pos="2694" w:val="left"/>
        </w:tabs>
        <w:numPr>
          <w:ilvl w:val="1"/>
          <w:numId w:val="154"/>
        </w:numPr>
        <w:rPr>
          <w:rFonts w:ascii="Arial" w:cs="Arial" w:eastAsia="Arial" w:hAnsi="Arial"/>
          <w:sz w:val="22"/>
          <w:szCs w:val="22"/>
          <w:color w:val="auto"/>
        </w:rPr>
      </w:pPr>
      <w:r>
        <w:rPr>
          <w:rFonts w:ascii="Arial" w:cs="Arial" w:eastAsia="Arial" w:hAnsi="Arial"/>
          <w:sz w:val="22"/>
          <w:szCs w:val="22"/>
          <w:color w:val="auto"/>
        </w:rPr>
        <w:t>all sums paid or advanced by the Trustee hereunder and the reasonable compensation, expenses, disbursements and advances of the Trustee, its agents and counsel; and</w:t>
      </w:r>
    </w:p>
    <w:p>
      <w:pPr>
        <w:spacing w:after="0" w:line="186" w:lineRule="exact"/>
        <w:rPr>
          <w:rFonts w:ascii="Arial" w:cs="Arial" w:eastAsia="Arial" w:hAnsi="Arial"/>
          <w:sz w:val="22"/>
          <w:szCs w:val="22"/>
          <w:color w:val="auto"/>
        </w:rPr>
      </w:pPr>
    </w:p>
    <w:p>
      <w:pPr>
        <w:jc w:val="both"/>
        <w:ind w:left="660" w:right="80" w:firstLine="639"/>
        <w:spacing w:after="0" w:line="238" w:lineRule="auto"/>
        <w:tabs>
          <w:tab w:leader="none" w:pos="2006" w:val="left"/>
        </w:tabs>
        <w:numPr>
          <w:ilvl w:val="0"/>
          <w:numId w:val="154"/>
        </w:numPr>
        <w:rPr>
          <w:rFonts w:ascii="Arial" w:cs="Arial" w:eastAsia="Arial" w:hAnsi="Arial"/>
          <w:sz w:val="22"/>
          <w:szCs w:val="22"/>
          <w:color w:val="auto"/>
        </w:rPr>
      </w:pPr>
      <w:r>
        <w:rPr>
          <w:rFonts w:ascii="Arial" w:cs="Arial" w:eastAsia="Arial" w:hAnsi="Arial"/>
          <w:sz w:val="22"/>
          <w:szCs w:val="22"/>
          <w:color w:val="auto"/>
        </w:rPr>
        <w:t>all Events of Default with respect to Securities of that series, other than the nonpayment of the principal of (or premium or Make-Whole Amount, if any) or interest on Securities of that series which have become due solely by such declaration of acceleration, have been cured or waived as provided in Section 513.</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No such rescission shall affect any subsequent default or impair any right consequent thereon.</w:t>
      </w:r>
    </w:p>
    <w:p>
      <w:pPr>
        <w:spacing w:after="0" w:line="218"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196" w:name="page197"/>
    <w:bookmarkEnd w:id="196"/>
    <w:p>
      <w:pPr>
        <w:ind w:right="559" w:firstLine="648"/>
        <w:spacing w:after="0" w:line="251" w:lineRule="auto"/>
        <w:rPr>
          <w:sz w:val="20"/>
          <w:szCs w:val="20"/>
          <w:color w:val="auto"/>
        </w:rPr>
      </w:pPr>
      <w:r>
        <w:rPr>
          <w:rFonts w:ascii="Arial" w:cs="Arial" w:eastAsia="Arial" w:hAnsi="Arial"/>
          <w:sz w:val="22"/>
          <w:szCs w:val="22"/>
          <w:color w:val="auto"/>
        </w:rPr>
        <w:t xml:space="preserve">SECTION 503. </w:t>
      </w:r>
      <w:r>
        <w:rPr>
          <w:rFonts w:ascii="Arial" w:cs="Arial" w:eastAsia="Arial" w:hAnsi="Arial"/>
          <w:sz w:val="22"/>
          <w:szCs w:val="22"/>
          <w:u w:val="single" w:color="auto"/>
          <w:color w:val="auto"/>
        </w:rPr>
        <w:t>Collection of Indebtedness and Suits for Enforcement by Trustee</w:t>
      </w:r>
      <w:r>
        <w:rPr>
          <w:rFonts w:ascii="Arial" w:cs="Arial" w:eastAsia="Arial" w:hAnsi="Arial"/>
          <w:sz w:val="22"/>
          <w:szCs w:val="22"/>
          <w:color w:val="auto"/>
        </w:rPr>
        <w:t>. The Company covenants that if:</w:t>
      </w:r>
    </w:p>
    <w:p>
      <w:pPr>
        <w:spacing w:after="0" w:line="174" w:lineRule="exact"/>
        <w:rPr>
          <w:sz w:val="20"/>
          <w:szCs w:val="20"/>
          <w:color w:val="auto"/>
        </w:rPr>
      </w:pPr>
    </w:p>
    <w:p>
      <w:pPr>
        <w:ind w:left="660" w:right="59" w:firstLine="639"/>
        <w:spacing w:after="0"/>
        <w:tabs>
          <w:tab w:leader="none" w:pos="2006" w:val="left"/>
        </w:tabs>
        <w:numPr>
          <w:ilvl w:val="0"/>
          <w:numId w:val="155"/>
        </w:numPr>
        <w:rPr>
          <w:rFonts w:ascii="Arial" w:cs="Arial" w:eastAsia="Arial" w:hAnsi="Arial"/>
          <w:sz w:val="22"/>
          <w:szCs w:val="22"/>
          <w:color w:val="auto"/>
        </w:rPr>
      </w:pPr>
      <w:r>
        <w:rPr>
          <w:rFonts w:ascii="Arial" w:cs="Arial" w:eastAsia="Arial" w:hAnsi="Arial"/>
          <w:sz w:val="22"/>
          <w:szCs w:val="22"/>
          <w:color w:val="auto"/>
        </w:rPr>
        <w:t>default is made in the payment of any installment of interest on any Security of any series and any related coupon when such interest becomes due and payable and such default continues for a period of 30 days, or</w:t>
      </w:r>
    </w:p>
    <w:p>
      <w:pPr>
        <w:spacing w:after="0" w:line="186" w:lineRule="exact"/>
        <w:rPr>
          <w:rFonts w:ascii="Arial" w:cs="Arial" w:eastAsia="Arial" w:hAnsi="Arial"/>
          <w:sz w:val="22"/>
          <w:szCs w:val="22"/>
          <w:color w:val="auto"/>
        </w:rPr>
      </w:pPr>
    </w:p>
    <w:p>
      <w:pPr>
        <w:ind w:left="660" w:right="199" w:firstLine="639"/>
        <w:spacing w:after="0" w:line="251" w:lineRule="auto"/>
        <w:tabs>
          <w:tab w:leader="none" w:pos="2006" w:val="left"/>
        </w:tabs>
        <w:numPr>
          <w:ilvl w:val="0"/>
          <w:numId w:val="155"/>
        </w:numPr>
        <w:rPr>
          <w:rFonts w:ascii="Arial" w:cs="Arial" w:eastAsia="Arial" w:hAnsi="Arial"/>
          <w:sz w:val="22"/>
          <w:szCs w:val="22"/>
          <w:color w:val="auto"/>
        </w:rPr>
      </w:pPr>
      <w:r>
        <w:rPr>
          <w:rFonts w:ascii="Arial" w:cs="Arial" w:eastAsia="Arial" w:hAnsi="Arial"/>
          <w:sz w:val="22"/>
          <w:szCs w:val="22"/>
          <w:color w:val="auto"/>
        </w:rPr>
        <w:t>default is made in the payment of the principal of (or premium or Make-Whole Amount, if any, on) any Security of any series at its Maturity,</w:t>
      </w:r>
    </w:p>
    <w:p>
      <w:pPr>
        <w:spacing w:after="0" w:line="173" w:lineRule="exact"/>
        <w:rPr>
          <w:sz w:val="20"/>
          <w:szCs w:val="20"/>
          <w:color w:val="auto"/>
        </w:rPr>
      </w:pPr>
    </w:p>
    <w:p>
      <w:pPr>
        <w:ind w:right="19"/>
        <w:spacing w:after="0" w:line="275" w:lineRule="auto"/>
        <w:rPr>
          <w:sz w:val="20"/>
          <w:szCs w:val="20"/>
          <w:color w:val="auto"/>
        </w:rPr>
      </w:pPr>
      <w:r>
        <w:rPr>
          <w:rFonts w:ascii="Arial" w:cs="Arial" w:eastAsia="Arial" w:hAnsi="Arial"/>
          <w:sz w:val="19"/>
          <w:szCs w:val="19"/>
          <w:color w:val="auto"/>
        </w:rPr>
        <w:t>then the Company will, upon demand of the Trustee, pay to the Trustee, for the benefit of the Holders of such Securities of such series and coupons, the whole amount then due and payable on such Securities and coupons for principal (and premium or Make-Whole Amount, if any) and interest, with interest upon any overdue principal (and premium or Make-Whole Amount, if any) and, to the extent that payment of such interest shall be legally enforceable, upon any overdue installments of interest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58" w:lineRule="exact"/>
        <w:rPr>
          <w:sz w:val="20"/>
          <w:szCs w:val="20"/>
          <w:color w:val="auto"/>
        </w:rPr>
      </w:pPr>
    </w:p>
    <w:p>
      <w:pPr>
        <w:ind w:right="19" w:firstLine="648"/>
        <w:spacing w:after="0" w:line="279" w:lineRule="auto"/>
        <w:rPr>
          <w:sz w:val="20"/>
          <w:szCs w:val="20"/>
          <w:color w:val="auto"/>
        </w:rPr>
      </w:pPr>
      <w:r>
        <w:rPr>
          <w:rFonts w:ascii="Arial" w:cs="Arial" w:eastAsia="Arial" w:hAnsi="Arial"/>
          <w:sz w:val="19"/>
          <w:szCs w:val="19"/>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such Securities of such series and collect the moneys adjudged or decreed to be payable in the manner provided by law out of the property of the Company or any other obligor upon such Securities of such series, wherever situated.</w:t>
      </w:r>
    </w:p>
    <w:p>
      <w:pPr>
        <w:spacing w:after="0" w:line="151" w:lineRule="exact"/>
        <w:rPr>
          <w:sz w:val="20"/>
          <w:szCs w:val="20"/>
          <w:color w:val="auto"/>
        </w:rPr>
      </w:pPr>
    </w:p>
    <w:p>
      <w:pPr>
        <w:ind w:right="339" w:firstLine="648"/>
        <w:spacing w:after="0" w:line="258" w:lineRule="auto"/>
        <w:rPr>
          <w:sz w:val="20"/>
          <w:szCs w:val="20"/>
          <w:color w:val="auto"/>
        </w:rPr>
      </w:pPr>
      <w:r>
        <w:rPr>
          <w:rFonts w:ascii="Arial" w:cs="Arial" w:eastAsia="Arial" w:hAnsi="Arial"/>
          <w:sz w:val="21"/>
          <w:szCs w:val="21"/>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w:t>
      </w:r>
    </w:p>
    <w:p>
      <w:pPr>
        <w:spacing w:after="0" w:line="167" w:lineRule="exact"/>
        <w:rPr>
          <w:sz w:val="20"/>
          <w:szCs w:val="20"/>
          <w:color w:val="auto"/>
        </w:rPr>
      </w:pPr>
    </w:p>
    <w:p>
      <w:pPr>
        <w:ind w:right="139"/>
        <w:spacing w:after="0"/>
        <w:rPr>
          <w:sz w:val="20"/>
          <w:szCs w:val="20"/>
          <w:color w:val="auto"/>
        </w:rPr>
      </w:pPr>
      <w:r>
        <w:rPr>
          <w:rFonts w:ascii="Arial" w:cs="Arial" w:eastAsia="Arial" w:hAnsi="Arial"/>
          <w:sz w:val="22"/>
          <w:szCs w:val="22"/>
          <w:color w:val="auto"/>
        </w:rPr>
        <w:t>proceedings as the Trustee shall deem necessary to protect and enforce any such rights, whether for the specific enforcement of any covenant or agreement in this Indenture or in aid of the exercise of any power granted herein, or to enforce any other proper remedy.</w:t>
      </w:r>
    </w:p>
    <w:p>
      <w:pPr>
        <w:spacing w:after="0" w:line="186" w:lineRule="exact"/>
        <w:rPr>
          <w:sz w:val="20"/>
          <w:szCs w:val="20"/>
          <w:color w:val="auto"/>
        </w:rPr>
      </w:pPr>
    </w:p>
    <w:p>
      <w:pPr>
        <w:ind w:right="59" w:firstLine="648"/>
        <w:spacing w:after="0" w:line="275"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Trustee May File Proofs of Claim</w:t>
      </w:r>
      <w:r>
        <w:rPr>
          <w:rFonts w:ascii="Arial" w:cs="Arial" w:eastAsia="Arial" w:hAnsi="Arial"/>
          <w:sz w:val="19"/>
          <w:szCs w:val="19"/>
          <w:color w:val="auto"/>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overdue principal, premium or Make-Whole Amount, if any, or interest) shall be entitled and empowered, by intervention in such proceeding or otherwise:</w:t>
      </w:r>
    </w:p>
    <w:p>
      <w:pPr>
        <w:spacing w:after="0" w:line="158" w:lineRule="exact"/>
        <w:rPr>
          <w:sz w:val="20"/>
          <w:szCs w:val="20"/>
          <w:color w:val="auto"/>
        </w:rPr>
      </w:pPr>
    </w:p>
    <w:p>
      <w:pPr>
        <w:ind w:left="1300" w:right="79" w:firstLine="648"/>
        <w:spacing w:after="0" w:line="287" w:lineRule="auto"/>
        <w:tabs>
          <w:tab w:leader="none" w:pos="2598"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to file and prove a claim for the whole amount, or such lesser amount as may be provided for in the Securities of such series, of principal (and premium or Make-Whole Amount, if any) and interest owing and unpaid in respect of the Securities and to file such other papers or documents as may be necessary or</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8" w:right="1440" w:bottom="1440" w:gutter="0" w:footer="0" w:header="0"/>
        </w:sectPr>
      </w:pPr>
    </w:p>
    <w:bookmarkStart w:id="197" w:name="page198"/>
    <w:bookmarkEnd w:id="197"/>
    <w:p>
      <w:pPr>
        <w:ind w:left="1300" w:right="559"/>
        <w:spacing w:after="0" w:line="298" w:lineRule="auto"/>
        <w:rPr>
          <w:sz w:val="20"/>
          <w:szCs w:val="20"/>
          <w:color w:val="auto"/>
        </w:rPr>
      </w:pPr>
      <w:r>
        <w:rPr>
          <w:rFonts w:ascii="Arial" w:cs="Arial" w:eastAsia="Arial" w:hAnsi="Arial"/>
          <w:sz w:val="19"/>
          <w:szCs w:val="19"/>
          <w:color w:val="auto"/>
        </w:rPr>
        <w:t>advisable in order to have the claims of the Trustee (including any claim for the reasonable compensation, expenses, disbursements and advances of the Trustee, its agents and counsel) and of the Holders allowed in such judicial proceeding, and</w:t>
      </w:r>
    </w:p>
    <w:p>
      <w:pPr>
        <w:spacing w:after="0" w:line="132" w:lineRule="exact"/>
        <w:rPr>
          <w:sz w:val="20"/>
          <w:szCs w:val="20"/>
          <w:color w:val="auto"/>
        </w:rPr>
      </w:pPr>
    </w:p>
    <w:p>
      <w:pPr>
        <w:ind w:left="1300" w:right="19" w:firstLine="648"/>
        <w:spacing w:after="0" w:line="251" w:lineRule="auto"/>
        <w:tabs>
          <w:tab w:leader="none" w:pos="259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to collect and receive any moneys or other property payable or deliverable on any such claims and to distribute the same;</w:t>
      </w:r>
    </w:p>
    <w:p>
      <w:pPr>
        <w:spacing w:after="0" w:line="173" w:lineRule="exact"/>
        <w:rPr>
          <w:sz w:val="20"/>
          <w:szCs w:val="20"/>
          <w:color w:val="auto"/>
        </w:rPr>
      </w:pPr>
    </w:p>
    <w:p>
      <w:pPr>
        <w:ind w:right="19"/>
        <w:spacing w:after="0" w:line="234" w:lineRule="auto"/>
        <w:rPr>
          <w:sz w:val="20"/>
          <w:szCs w:val="20"/>
          <w:color w:val="auto"/>
        </w:rPr>
      </w:pPr>
      <w:r>
        <w:rPr>
          <w:rFonts w:ascii="Arial" w:cs="Arial" w:eastAsia="Arial" w:hAnsi="Arial"/>
          <w:sz w:val="22"/>
          <w:szCs w:val="22"/>
          <w:color w:val="auto"/>
        </w:rPr>
        <w:t>and any custodian, receiver, assignee, trustee, liquidator, sequestrator (or other similar official) in any such judicial proceeding is hereby authorized by each Holder of Securities of such series and coupons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w:t>
      </w:r>
    </w:p>
    <w:p>
      <w:pPr>
        <w:spacing w:after="0" w:line="191" w:lineRule="exact"/>
        <w:rPr>
          <w:sz w:val="20"/>
          <w:szCs w:val="20"/>
          <w:color w:val="auto"/>
        </w:rPr>
      </w:pPr>
    </w:p>
    <w:p>
      <w:pPr>
        <w:ind w:right="79" w:firstLine="648"/>
        <w:spacing w:after="0" w:line="236" w:lineRule="auto"/>
        <w:rPr>
          <w:sz w:val="20"/>
          <w:szCs w:val="20"/>
          <w:color w:val="auto"/>
        </w:rPr>
      </w:pPr>
      <w:r>
        <w:rPr>
          <w:rFonts w:ascii="Arial" w:cs="Arial" w:eastAsia="Arial" w:hAnsi="Arial"/>
          <w:sz w:val="22"/>
          <w:szCs w:val="22"/>
          <w:color w:val="auto"/>
        </w:rPr>
        <w:t>Nothing herein contained shall be deemed to authorize the Trustee to authorize or consent to or accept or adopt on behalf of any Holder of a Security or coupon any plan of reorganization, arrangement, adjustment or composition affecting the Securities or coupons or the rights of any Holder thereof, or to authorize the Trustee to vote in respect of the claim of any Holder of a Security or coupon in any such proceeding.</w:t>
      </w:r>
    </w:p>
    <w:p>
      <w:pPr>
        <w:spacing w:after="0" w:line="188" w:lineRule="exact"/>
        <w:rPr>
          <w:sz w:val="20"/>
          <w:szCs w:val="20"/>
          <w:color w:val="auto"/>
        </w:rPr>
      </w:pPr>
    </w:p>
    <w:p>
      <w:pPr>
        <w:ind w:right="19" w:firstLine="648"/>
        <w:spacing w:after="0" w:line="238" w:lineRule="auto"/>
        <w:rPr>
          <w:sz w:val="20"/>
          <w:szCs w:val="20"/>
          <w:color w:val="auto"/>
        </w:rPr>
      </w:pPr>
      <w:r>
        <w:rPr>
          <w:rFonts w:ascii="Arial" w:cs="Arial" w:eastAsia="Arial" w:hAnsi="Arial"/>
          <w:sz w:val="22"/>
          <w:szCs w:val="22"/>
          <w:color w:val="auto"/>
        </w:rPr>
        <w:t>In any proceedings brought by the Trustee (and also any proceedings involving the interpretation of any provision of this Indenture to which the Trustee shall be a party) the Trustee shall be held to represent all the Holders of the Securities, and it shall not be necessary to make any Holders of the Securities parties to any such proceedings.</w:t>
      </w:r>
    </w:p>
    <w:p>
      <w:pPr>
        <w:spacing w:after="0" w:line="185" w:lineRule="exact"/>
        <w:rPr>
          <w:sz w:val="20"/>
          <w:szCs w:val="20"/>
          <w:color w:val="auto"/>
        </w:rPr>
      </w:pPr>
    </w:p>
    <w:p>
      <w:pPr>
        <w:ind w:right="19" w:firstLine="648"/>
        <w:spacing w:after="0" w:line="275" w:lineRule="auto"/>
        <w:rPr>
          <w:sz w:val="20"/>
          <w:szCs w:val="20"/>
          <w:color w:val="auto"/>
        </w:rPr>
      </w:pPr>
      <w:r>
        <w:rPr>
          <w:rFonts w:ascii="Arial" w:cs="Arial" w:eastAsia="Arial" w:hAnsi="Arial"/>
          <w:sz w:val="19"/>
          <w:szCs w:val="19"/>
          <w:color w:val="auto"/>
        </w:rPr>
        <w:t xml:space="preserve">SECTION 505. </w:t>
      </w:r>
      <w:r>
        <w:rPr>
          <w:rFonts w:ascii="Arial" w:cs="Arial" w:eastAsia="Arial" w:hAnsi="Arial"/>
          <w:sz w:val="19"/>
          <w:szCs w:val="19"/>
          <w:u w:val="single" w:color="auto"/>
          <w:color w:val="auto"/>
        </w:rPr>
        <w:t>Trustee May Enforce Claims Without Possession of Securities or</w:t>
      </w:r>
      <w:r>
        <w:rPr>
          <w:rFonts w:ascii="Arial" w:cs="Arial" w:eastAsia="Arial" w:hAnsi="Arial"/>
          <w:sz w:val="19"/>
          <w:szCs w:val="19"/>
          <w:color w:val="auto"/>
        </w:rPr>
        <w:t xml:space="preserve"> </w:t>
      </w:r>
      <w:r>
        <w:rPr>
          <w:rFonts w:ascii="Arial" w:cs="Arial" w:eastAsia="Arial" w:hAnsi="Arial"/>
          <w:sz w:val="19"/>
          <w:szCs w:val="19"/>
          <w:u w:val="single" w:color="auto"/>
          <w:color w:val="auto"/>
        </w:rPr>
        <w:t>Coupons</w:t>
      </w:r>
      <w:r>
        <w:rPr>
          <w:rFonts w:ascii="Arial" w:cs="Arial" w:eastAsia="Arial" w:hAnsi="Arial"/>
          <w:sz w:val="19"/>
          <w:szCs w:val="19"/>
          <w:color w:val="auto"/>
        </w:rPr>
        <w:t>. All rights of action and claims under this Indenture or any of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and coupons in respect of which such judgment has been recovered.</w:t>
      </w:r>
    </w:p>
    <w:p>
      <w:pPr>
        <w:spacing w:after="0" w:line="158" w:lineRule="exact"/>
        <w:rPr>
          <w:sz w:val="20"/>
          <w:szCs w:val="20"/>
          <w:color w:val="auto"/>
        </w:rPr>
      </w:pPr>
    </w:p>
    <w:p>
      <w:pPr>
        <w:ind w:right="119" w:firstLine="648"/>
        <w:spacing w:after="0" w:line="282" w:lineRule="auto"/>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u w:val="single" w:color="auto"/>
          <w:color w:val="auto"/>
        </w:rPr>
        <w:t>Application of Money Collected</w:t>
      </w:r>
      <w:r>
        <w:rPr>
          <w:rFonts w:ascii="Arial" w:cs="Arial" w:eastAsia="Arial" w:hAnsi="Arial"/>
          <w:sz w:val="19"/>
          <w:szCs w:val="19"/>
          <w:color w:val="auto"/>
        </w:rPr>
        <w:t>. Any money collected by the Trustee pursuant to this Article shall be applied in the following order, at the date or dates fixed by the Trustee and, in case of the distribution of such money on account of principal (or premium or Make-Whole Amount, if any) or interest, upon presentation of the Securities or coupons, or both, as the case may be, and the notation thereon of the payment if only partially paid and upon surrender thereof if fully paid:</w:t>
      </w:r>
    </w:p>
    <w:p>
      <w:pPr>
        <w:spacing w:after="0" w:line="148" w:lineRule="exact"/>
        <w:rPr>
          <w:sz w:val="20"/>
          <w:szCs w:val="20"/>
          <w:color w:val="auto"/>
        </w:rPr>
      </w:pPr>
    </w:p>
    <w:p>
      <w:pPr>
        <w:ind w:right="599" w:firstLine="648"/>
        <w:spacing w:after="0" w:line="251" w:lineRule="auto"/>
        <w:rPr>
          <w:sz w:val="20"/>
          <w:szCs w:val="20"/>
          <w:color w:val="auto"/>
        </w:rPr>
      </w:pPr>
      <w:r>
        <w:rPr>
          <w:rFonts w:ascii="Arial" w:cs="Arial" w:eastAsia="Arial" w:hAnsi="Arial"/>
          <w:sz w:val="22"/>
          <w:szCs w:val="22"/>
          <w:color w:val="auto"/>
        </w:rPr>
        <w:t>FIRST: To the payment of all amounts due the Trustee and any predecessor Trustee under Section 606;</w:t>
      </w:r>
    </w:p>
    <w:p>
      <w:pPr>
        <w:spacing w:after="0" w:line="173" w:lineRule="exact"/>
        <w:rPr>
          <w:sz w:val="20"/>
          <w:szCs w:val="20"/>
          <w:color w:val="auto"/>
        </w:rPr>
      </w:pPr>
    </w:p>
    <w:p>
      <w:pPr>
        <w:ind w:right="19" w:firstLine="648"/>
        <w:spacing w:after="0" w:line="258" w:lineRule="auto"/>
        <w:rPr>
          <w:sz w:val="20"/>
          <w:szCs w:val="20"/>
          <w:color w:val="auto"/>
        </w:rPr>
      </w:pPr>
      <w:r>
        <w:rPr>
          <w:rFonts w:ascii="Arial" w:cs="Arial" w:eastAsia="Arial" w:hAnsi="Arial"/>
          <w:sz w:val="21"/>
          <w:szCs w:val="21"/>
          <w:color w:val="auto"/>
        </w:rPr>
        <w:t>SECOND: To the payment of the amounts then due and unpaid upon the Securities and coupons for principal (and premium or Make-Whole Amount, if any) and interest, in respect of which or for the benefit of which such money has been collected, ratably, without preference or</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8" w:right="1440" w:bottom="1440" w:gutter="0" w:footer="0" w:header="0"/>
        </w:sectPr>
      </w:pPr>
    </w:p>
    <w:bookmarkStart w:id="198" w:name="page199"/>
    <w:bookmarkEnd w:id="198"/>
    <w:p>
      <w:pPr>
        <w:ind w:right="440"/>
        <w:spacing w:after="0" w:line="329" w:lineRule="auto"/>
        <w:rPr>
          <w:sz w:val="20"/>
          <w:szCs w:val="20"/>
          <w:color w:val="auto"/>
        </w:rPr>
      </w:pPr>
      <w:r>
        <w:rPr>
          <w:rFonts w:ascii="Arial" w:cs="Arial" w:eastAsia="Arial" w:hAnsi="Arial"/>
          <w:sz w:val="19"/>
          <w:szCs w:val="19"/>
          <w:color w:val="auto"/>
        </w:rPr>
        <w:t>priority of any kind, according to the aggregate amounts due and payable on such Securities and coupons for principal (and premium or Make-Whole Amount, if any) and interest, respectively; and</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THIRD: To the payment of the remainder, if any, to the Company.</w:t>
      </w:r>
    </w:p>
    <w:p>
      <w:pPr>
        <w:spacing w:after="0" w:line="206" w:lineRule="exact"/>
        <w:rPr>
          <w:sz w:val="20"/>
          <w:szCs w:val="20"/>
          <w:color w:val="auto"/>
        </w:rPr>
      </w:pPr>
    </w:p>
    <w:p>
      <w:pPr>
        <w:ind w:right="180" w:firstLine="648"/>
        <w:spacing w:after="0" w:line="238" w:lineRule="auto"/>
        <w:rPr>
          <w:sz w:val="20"/>
          <w:szCs w:val="20"/>
          <w:color w:val="auto"/>
        </w:rPr>
      </w:pPr>
      <w:r>
        <w:rPr>
          <w:rFonts w:ascii="Arial" w:cs="Arial" w:eastAsia="Arial" w:hAnsi="Arial"/>
          <w:sz w:val="22"/>
          <w:szCs w:val="22"/>
          <w:color w:val="auto"/>
        </w:rPr>
        <w:t xml:space="preserve">SECTION 507. </w:t>
      </w:r>
      <w:r>
        <w:rPr>
          <w:rFonts w:ascii="Arial" w:cs="Arial" w:eastAsia="Arial" w:hAnsi="Arial"/>
          <w:sz w:val="22"/>
          <w:szCs w:val="22"/>
          <w:u w:val="single" w:color="auto"/>
          <w:color w:val="auto"/>
        </w:rPr>
        <w:t>Limitation on Suits</w:t>
      </w:r>
      <w:r>
        <w:rPr>
          <w:rFonts w:ascii="Arial" w:cs="Arial" w:eastAsia="Arial" w:hAnsi="Arial"/>
          <w:sz w:val="22"/>
          <w:szCs w:val="22"/>
          <w:color w:val="auto"/>
        </w:rPr>
        <w:t>. No Holder of any Security of any series or any related coupon shall have any right to institute any proceeding, judicial or otherwise, with respect to this Indenture or the Securities, or for the appointment of a receiver or trustee, or for any other remedy hereunder, unless:</w:t>
      </w:r>
    </w:p>
    <w:p>
      <w:pPr>
        <w:spacing w:after="0" w:line="185" w:lineRule="exact"/>
        <w:rPr>
          <w:sz w:val="20"/>
          <w:szCs w:val="20"/>
          <w:color w:val="auto"/>
        </w:rPr>
      </w:pPr>
    </w:p>
    <w:p>
      <w:pPr>
        <w:ind w:left="660" w:right="320" w:firstLine="639"/>
        <w:spacing w:after="0" w:line="251" w:lineRule="auto"/>
        <w:tabs>
          <w:tab w:leader="none" w:pos="2006" w:val="left"/>
        </w:tabs>
        <w:numPr>
          <w:ilvl w:val="0"/>
          <w:numId w:val="158"/>
        </w:numPr>
        <w:rPr>
          <w:rFonts w:ascii="Arial" w:cs="Arial" w:eastAsia="Arial" w:hAnsi="Arial"/>
          <w:sz w:val="22"/>
          <w:szCs w:val="22"/>
          <w:color w:val="auto"/>
        </w:rPr>
      </w:pPr>
      <w:r>
        <w:rPr>
          <w:rFonts w:ascii="Arial" w:cs="Arial" w:eastAsia="Arial" w:hAnsi="Arial"/>
          <w:sz w:val="22"/>
          <w:szCs w:val="22"/>
          <w:color w:val="auto"/>
        </w:rPr>
        <w:t>such Holder has previously given written notice to the Trustee of a continuing Event of Default with respect to the Securities of that series;</w:t>
      </w:r>
    </w:p>
    <w:p>
      <w:pPr>
        <w:spacing w:after="0" w:line="173" w:lineRule="exact"/>
        <w:rPr>
          <w:rFonts w:ascii="Arial" w:cs="Arial" w:eastAsia="Arial" w:hAnsi="Arial"/>
          <w:sz w:val="22"/>
          <w:szCs w:val="22"/>
          <w:color w:val="auto"/>
        </w:rPr>
      </w:pPr>
    </w:p>
    <w:p>
      <w:pPr>
        <w:ind w:left="660" w:right="80" w:firstLine="639"/>
        <w:spacing w:after="0" w:line="258" w:lineRule="auto"/>
        <w:tabs>
          <w:tab w:leader="none" w:pos="2006" w:val="left"/>
        </w:tabs>
        <w:numPr>
          <w:ilvl w:val="0"/>
          <w:numId w:val="158"/>
        </w:numPr>
        <w:rPr>
          <w:rFonts w:ascii="Arial" w:cs="Arial" w:eastAsia="Arial" w:hAnsi="Arial"/>
          <w:sz w:val="21"/>
          <w:szCs w:val="21"/>
          <w:color w:val="auto"/>
        </w:rPr>
      </w:pPr>
      <w:r>
        <w:rPr>
          <w:rFonts w:ascii="Arial" w:cs="Arial" w:eastAsia="Arial" w:hAnsi="Arial"/>
          <w:sz w:val="21"/>
          <w:szCs w:val="21"/>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66" w:lineRule="exact"/>
        <w:rPr>
          <w:rFonts w:ascii="Arial" w:cs="Arial" w:eastAsia="Arial" w:hAnsi="Arial"/>
          <w:sz w:val="21"/>
          <w:szCs w:val="21"/>
          <w:color w:val="auto"/>
        </w:rPr>
      </w:pPr>
    </w:p>
    <w:p>
      <w:pPr>
        <w:ind w:left="660" w:right="60" w:firstLine="639"/>
        <w:spacing w:after="0"/>
        <w:tabs>
          <w:tab w:leader="none" w:pos="2006" w:val="left"/>
        </w:tabs>
        <w:numPr>
          <w:ilvl w:val="0"/>
          <w:numId w:val="158"/>
        </w:numPr>
        <w:rPr>
          <w:rFonts w:ascii="Arial" w:cs="Arial" w:eastAsia="Arial" w:hAnsi="Arial"/>
          <w:sz w:val="22"/>
          <w:szCs w:val="22"/>
          <w:color w:val="auto"/>
        </w:rPr>
      </w:pPr>
      <w:r>
        <w:rPr>
          <w:rFonts w:ascii="Arial" w:cs="Arial" w:eastAsia="Arial" w:hAnsi="Arial"/>
          <w:sz w:val="22"/>
          <w:szCs w:val="22"/>
          <w:color w:val="auto"/>
        </w:rPr>
        <w:t>such Holder or Holders have offered to the Trustee indemnity reasonably satisfactory to the Trustee against the costs, expenses and liabilities to be incurred in compliance with such request;</w:t>
      </w:r>
    </w:p>
    <w:p>
      <w:pPr>
        <w:spacing w:after="0" w:line="186" w:lineRule="exact"/>
        <w:rPr>
          <w:rFonts w:ascii="Arial" w:cs="Arial" w:eastAsia="Arial" w:hAnsi="Arial"/>
          <w:sz w:val="22"/>
          <w:szCs w:val="22"/>
          <w:color w:val="auto"/>
        </w:rPr>
      </w:pPr>
    </w:p>
    <w:p>
      <w:pPr>
        <w:ind w:left="660" w:right="660" w:firstLine="639"/>
        <w:spacing w:after="0" w:line="251" w:lineRule="auto"/>
        <w:tabs>
          <w:tab w:leader="none" w:pos="2006"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the Trustee for 60 days after its receipt of such notice, request and offer of indemnity has failed to institute any such proceeding; and</w:t>
      </w:r>
    </w:p>
    <w:p>
      <w:pPr>
        <w:spacing w:after="0" w:line="173" w:lineRule="exact"/>
        <w:rPr>
          <w:rFonts w:ascii="Arial" w:cs="Arial" w:eastAsia="Arial" w:hAnsi="Arial"/>
          <w:sz w:val="22"/>
          <w:szCs w:val="22"/>
          <w:color w:val="auto"/>
        </w:rPr>
      </w:pPr>
    </w:p>
    <w:p>
      <w:pPr>
        <w:ind w:left="660" w:right="140" w:firstLine="639"/>
        <w:spacing w:after="0" w:line="253" w:lineRule="exact"/>
        <w:tabs>
          <w:tab w:leader="none" w:pos="2006" w:val="left"/>
        </w:tabs>
        <w:numPr>
          <w:ilvl w:val="0"/>
          <w:numId w:val="158"/>
        </w:numPr>
        <w:rPr>
          <w:rFonts w:ascii="Arial" w:cs="Arial" w:eastAsia="Arial" w:hAnsi="Arial"/>
          <w:sz w:val="22"/>
          <w:szCs w:val="22"/>
          <w:color w:val="auto"/>
        </w:rPr>
      </w:pPr>
      <w:r>
        <w:rPr>
          <w:rFonts w:ascii="Arial" w:cs="Arial" w:eastAsia="Arial" w:hAnsi="Arial"/>
          <w:sz w:val="22"/>
          <w:szCs w:val="22"/>
          <w:color w:val="auto"/>
        </w:rPr>
        <w:t>no direction inconsistent with such written request has been given to the Trustee during such 60</w:t>
      </w:r>
      <w:r>
        <w:rPr>
          <w:rFonts w:ascii="MS PGothic" w:cs="MS PGothic" w:eastAsia="MS PGothic" w:hAnsi="MS PGothic"/>
          <w:sz w:val="22"/>
          <w:szCs w:val="22"/>
          <w:color w:val="auto"/>
        </w:rPr>
        <w:t>‑</w:t>
      </w:r>
      <w:r>
        <w:rPr>
          <w:rFonts w:ascii="Arial" w:cs="Arial" w:eastAsia="Arial" w:hAnsi="Arial"/>
          <w:sz w:val="22"/>
          <w:szCs w:val="22"/>
          <w:color w:val="auto"/>
        </w:rPr>
        <w:t>day period by the Holders of a majority in principal amount of the Outstanding Securities of that series;</w:t>
      </w:r>
    </w:p>
    <w:p>
      <w:pPr>
        <w:spacing w:after="0" w:line="186"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79" w:lineRule="exact"/>
        <w:rPr>
          <w:sz w:val="20"/>
          <w:szCs w:val="20"/>
          <w:color w:val="auto"/>
        </w:rPr>
      </w:pPr>
    </w:p>
    <w:p>
      <w:pPr>
        <w:ind w:right="20" w:firstLine="648"/>
        <w:spacing w:after="0" w:line="234" w:lineRule="auto"/>
        <w:rPr>
          <w:sz w:val="20"/>
          <w:szCs w:val="20"/>
          <w:color w:val="auto"/>
        </w:rPr>
      </w:pPr>
      <w:r>
        <w:rPr>
          <w:rFonts w:ascii="Arial" w:cs="Arial" w:eastAsia="Arial" w:hAnsi="Arial"/>
          <w:sz w:val="22"/>
          <w:szCs w:val="22"/>
          <w:color w:val="auto"/>
        </w:rPr>
        <w:t xml:space="preserve">SECTION 508. </w:t>
      </w:r>
      <w:r>
        <w:rPr>
          <w:rFonts w:ascii="Arial" w:cs="Arial" w:eastAsia="Arial" w:hAnsi="Arial"/>
          <w:sz w:val="22"/>
          <w:szCs w:val="22"/>
          <w:u w:val="single" w:color="auto"/>
          <w:color w:val="auto"/>
        </w:rPr>
        <w:t>Unconditional Right of Holders to Receive Principal, Premium or Make-Whole Amount, if any, and Interest</w:t>
      </w:r>
      <w:r>
        <w:rPr>
          <w:rFonts w:ascii="Arial" w:cs="Arial" w:eastAsia="Arial" w:hAnsi="Arial"/>
          <w:sz w:val="22"/>
          <w:szCs w:val="22"/>
          <w:color w:val="auto"/>
        </w:rPr>
        <w:t>. Notwithstanding any other provision in this Indenture, the Holder of any Security or coupon shall have the right which is absolute and unconditional to receive payment of the principal of (and premium or Make-Whole Amount, if any) and (subject to Sections 305 and 307) interest on such Security or payment of such coupon on the respective due dates expressed in such Security or coupon (or, in the case of redemption, on the Redemption Date) and to institute suit for the enforcement of any such payment, and such rights shall not be impaired without the consent of such Holder.</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 xml:space="preserve">SECTION 509. </w:t>
      </w:r>
      <w:r>
        <w:rPr>
          <w:rFonts w:ascii="Arial" w:cs="Arial" w:eastAsia="Arial" w:hAnsi="Arial"/>
          <w:sz w:val="19"/>
          <w:szCs w:val="19"/>
          <w:u w:val="single" w:color="auto"/>
          <w:color w:val="auto"/>
        </w:rPr>
        <w:t>Restoration of Rights and Remedies.</w:t>
      </w:r>
      <w:r>
        <w:rPr>
          <w:rFonts w:ascii="Arial" w:cs="Arial" w:eastAsia="Arial" w:hAnsi="Arial"/>
          <w:sz w:val="19"/>
          <w:szCs w:val="19"/>
          <w:color w:val="auto"/>
        </w:rPr>
        <w:t xml:space="preserve"> 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and coupons shall, subject to any determination in such proceeding, be restored severally and respectively to their former positions hereunder and thereafter all rights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99" w:name="page200"/>
    <w:bookmarkEnd w:id="199"/>
    <w:p>
      <w:pPr>
        <w:ind w:right="879"/>
        <w:spacing w:after="0" w:line="251" w:lineRule="auto"/>
        <w:rPr>
          <w:sz w:val="20"/>
          <w:szCs w:val="20"/>
          <w:color w:val="auto"/>
        </w:rPr>
      </w:pPr>
      <w:r>
        <w:rPr>
          <w:rFonts w:ascii="Arial" w:cs="Arial" w:eastAsia="Arial" w:hAnsi="Arial"/>
          <w:sz w:val="22"/>
          <w:szCs w:val="22"/>
          <w:color w:val="auto"/>
        </w:rPr>
        <w:t>remedies of the Trustee and the Holders shall continue as though no such proceeding had been instituted.</w:t>
      </w:r>
    </w:p>
    <w:p>
      <w:pPr>
        <w:spacing w:after="0" w:line="174" w:lineRule="exact"/>
        <w:rPr>
          <w:sz w:val="20"/>
          <w:szCs w:val="20"/>
          <w:color w:val="auto"/>
        </w:rPr>
      </w:pPr>
    </w:p>
    <w:p>
      <w:pPr>
        <w:ind w:right="19" w:firstLine="648"/>
        <w:spacing w:after="0" w:line="275" w:lineRule="auto"/>
        <w:rPr>
          <w:sz w:val="20"/>
          <w:szCs w:val="20"/>
          <w:color w:val="auto"/>
        </w:rPr>
      </w:pPr>
      <w:r>
        <w:rPr>
          <w:rFonts w:ascii="Arial" w:cs="Arial" w:eastAsia="Arial" w:hAnsi="Arial"/>
          <w:sz w:val="19"/>
          <w:szCs w:val="19"/>
          <w:color w:val="auto"/>
        </w:rPr>
        <w:t xml:space="preserve">SECTION 510. </w:t>
      </w:r>
      <w:r>
        <w:rPr>
          <w:rFonts w:ascii="Arial" w:cs="Arial" w:eastAsia="Arial" w:hAnsi="Arial"/>
          <w:sz w:val="19"/>
          <w:szCs w:val="19"/>
          <w:u w:val="single" w:color="auto"/>
          <w:color w:val="auto"/>
        </w:rPr>
        <w:t>Rights and Remedies Cumulative</w:t>
      </w:r>
      <w:r>
        <w:rPr>
          <w:rFonts w:ascii="Arial" w:cs="Arial" w:eastAsia="Arial" w:hAnsi="Arial"/>
          <w:sz w:val="19"/>
          <w:szCs w:val="19"/>
          <w:color w:val="auto"/>
        </w:rPr>
        <w:t>. 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58" w:lineRule="exact"/>
        <w:rPr>
          <w:sz w:val="20"/>
          <w:szCs w:val="20"/>
          <w:color w:val="auto"/>
        </w:rPr>
      </w:pPr>
    </w:p>
    <w:p>
      <w:pPr>
        <w:ind w:right="139" w:firstLine="648"/>
        <w:spacing w:after="0" w:line="248" w:lineRule="auto"/>
        <w:rPr>
          <w:sz w:val="20"/>
          <w:szCs w:val="20"/>
          <w:color w:val="auto"/>
        </w:rPr>
      </w:pPr>
      <w:r>
        <w:rPr>
          <w:rFonts w:ascii="Arial" w:cs="Arial" w:eastAsia="Arial" w:hAnsi="Arial"/>
          <w:sz w:val="21"/>
          <w:szCs w:val="21"/>
          <w:color w:val="auto"/>
        </w:rPr>
        <w:t xml:space="preserve">SECTION 511. </w:t>
      </w:r>
      <w:r>
        <w:rPr>
          <w:rFonts w:ascii="Arial" w:cs="Arial" w:eastAsia="Arial" w:hAnsi="Arial"/>
          <w:sz w:val="21"/>
          <w:szCs w:val="21"/>
          <w:u w:val="single" w:color="auto"/>
          <w:color w:val="auto"/>
        </w:rPr>
        <w:t>Delay or Omission Not Waiver</w:t>
      </w:r>
      <w:r>
        <w:rPr>
          <w:rFonts w:ascii="Arial" w:cs="Arial" w:eastAsia="Arial" w:hAnsi="Arial"/>
          <w:sz w:val="21"/>
          <w:szCs w:val="21"/>
          <w:color w:val="auto"/>
        </w:rPr>
        <w:t>. 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or coupons, as the case may be.</w:t>
      </w:r>
    </w:p>
    <w:p>
      <w:pPr>
        <w:spacing w:after="0" w:line="177" w:lineRule="exact"/>
        <w:rPr>
          <w:sz w:val="20"/>
          <w:szCs w:val="20"/>
          <w:color w:val="auto"/>
        </w:rPr>
      </w:pPr>
    </w:p>
    <w:p>
      <w:pPr>
        <w:ind w:right="99" w:firstLine="648"/>
        <w:spacing w:after="0" w:line="287" w:lineRule="auto"/>
        <w:rPr>
          <w:sz w:val="20"/>
          <w:szCs w:val="20"/>
          <w:color w:val="auto"/>
        </w:rPr>
      </w:pPr>
      <w:r>
        <w:rPr>
          <w:rFonts w:ascii="Arial" w:cs="Arial" w:eastAsia="Arial" w:hAnsi="Arial"/>
          <w:sz w:val="19"/>
          <w:szCs w:val="19"/>
          <w:color w:val="auto"/>
        </w:rPr>
        <w:t xml:space="preserve">SECTION 512. </w:t>
      </w:r>
      <w:r>
        <w:rPr>
          <w:rFonts w:ascii="Arial" w:cs="Arial" w:eastAsia="Arial" w:hAnsi="Arial"/>
          <w:sz w:val="19"/>
          <w:szCs w:val="19"/>
          <w:u w:val="single" w:color="auto"/>
          <w:color w:val="auto"/>
        </w:rPr>
        <w:t>Control by Holders of Securities</w:t>
      </w:r>
      <w:r>
        <w:rPr>
          <w:rFonts w:ascii="Arial" w:cs="Arial" w:eastAsia="Arial" w:hAnsi="Arial"/>
          <w:sz w:val="19"/>
          <w:szCs w:val="19"/>
          <w:color w:val="auto"/>
        </w:rPr>
        <w:t xml:space="preserve">. 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43" w:lineRule="exact"/>
        <w:rPr>
          <w:sz w:val="20"/>
          <w:szCs w:val="20"/>
          <w:color w:val="auto"/>
        </w:rPr>
      </w:pPr>
    </w:p>
    <w:p>
      <w:pPr>
        <w:ind w:left="2000" w:hanging="701"/>
        <w:spacing w:after="0"/>
        <w:tabs>
          <w:tab w:leader="none" w:pos="200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such direction shall not be in conflict with any rule of law or with this Indenture,</w:t>
      </w:r>
    </w:p>
    <w:p>
      <w:pPr>
        <w:spacing w:after="0" w:line="240" w:lineRule="exact"/>
        <w:rPr>
          <w:rFonts w:ascii="Arial" w:cs="Arial" w:eastAsia="Arial" w:hAnsi="Arial"/>
          <w:sz w:val="19"/>
          <w:szCs w:val="19"/>
          <w:color w:val="auto"/>
        </w:rPr>
      </w:pPr>
    </w:p>
    <w:p>
      <w:pPr>
        <w:ind w:left="660" w:right="59" w:firstLine="639"/>
        <w:spacing w:after="0" w:line="251" w:lineRule="auto"/>
        <w:tabs>
          <w:tab w:leader="none" w:pos="2006"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Trustee may take any other action deemed proper by the Trustee which is not inconsistent with such direction, and</w:t>
      </w:r>
    </w:p>
    <w:p>
      <w:pPr>
        <w:spacing w:after="0" w:line="173" w:lineRule="exact"/>
        <w:rPr>
          <w:rFonts w:ascii="Arial" w:cs="Arial" w:eastAsia="Arial" w:hAnsi="Arial"/>
          <w:sz w:val="22"/>
          <w:szCs w:val="22"/>
          <w:color w:val="auto"/>
        </w:rPr>
      </w:pPr>
    </w:p>
    <w:p>
      <w:pPr>
        <w:ind w:left="660" w:right="179" w:firstLine="639"/>
        <w:spacing w:after="0" w:line="328" w:lineRule="auto"/>
        <w:tabs>
          <w:tab w:leader="none" w:pos="2006"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Trustee need not take any action which might involve it in personal liability or be unduly prejudicial to the Holders of Securities of such series not joining therein.</w:t>
      </w:r>
    </w:p>
    <w:p>
      <w:pPr>
        <w:spacing w:after="0" w:line="105" w:lineRule="exact"/>
        <w:rPr>
          <w:sz w:val="20"/>
          <w:szCs w:val="20"/>
          <w:color w:val="auto"/>
        </w:rPr>
      </w:pPr>
    </w:p>
    <w:p>
      <w:pPr>
        <w:ind w:right="139" w:firstLine="648"/>
        <w:spacing w:after="0" w:line="328" w:lineRule="auto"/>
        <w:rPr>
          <w:sz w:val="20"/>
          <w:szCs w:val="20"/>
          <w:color w:val="auto"/>
        </w:rPr>
      </w:pPr>
      <w:r>
        <w:rPr>
          <w:rFonts w:ascii="Arial" w:cs="Arial" w:eastAsia="Arial" w:hAnsi="Arial"/>
          <w:sz w:val="19"/>
          <w:szCs w:val="19"/>
          <w:color w:val="auto"/>
        </w:rPr>
        <w:t>Nothing in this Indenture shall impair the right of the Trustee in its discretion to take any action deemed proper by the Trustee and which is not inconsistent with such direction by Holders.</w:t>
      </w:r>
    </w:p>
    <w:p>
      <w:pPr>
        <w:spacing w:after="0" w:line="105" w:lineRule="exact"/>
        <w:rPr>
          <w:sz w:val="20"/>
          <w:szCs w:val="20"/>
          <w:color w:val="auto"/>
        </w:rPr>
      </w:pPr>
    </w:p>
    <w:p>
      <w:pPr>
        <w:jc w:val="both"/>
        <w:ind w:right="39" w:firstLine="648"/>
        <w:spacing w:after="0" w:line="238" w:lineRule="auto"/>
        <w:rPr>
          <w:sz w:val="20"/>
          <w:szCs w:val="20"/>
          <w:color w:val="auto"/>
        </w:rPr>
      </w:pPr>
      <w:r>
        <w:rPr>
          <w:rFonts w:ascii="Arial" w:cs="Arial" w:eastAsia="Arial" w:hAnsi="Arial"/>
          <w:sz w:val="22"/>
          <w:szCs w:val="22"/>
          <w:color w:val="auto"/>
        </w:rPr>
        <w:t xml:space="preserve">SECTION 513. </w:t>
      </w:r>
      <w:r>
        <w:rPr>
          <w:rFonts w:ascii="Arial" w:cs="Arial" w:eastAsia="Arial" w:hAnsi="Arial"/>
          <w:sz w:val="22"/>
          <w:szCs w:val="22"/>
          <w:u w:val="single" w:color="auto"/>
          <w:color w:val="auto"/>
        </w:rPr>
        <w:t>Waiver of Past Defaults</w:t>
      </w:r>
      <w:r>
        <w:rPr>
          <w:rFonts w:ascii="Arial" w:cs="Arial" w:eastAsia="Arial" w:hAnsi="Arial"/>
          <w:sz w:val="22"/>
          <w:szCs w:val="22"/>
          <w:color w:val="auto"/>
        </w:rPr>
        <w:t>. The Holders of not less than a majority in principal amount of the Outstanding Securities of any series may on behalf of the Holders of all the Securities of such series and any related coupons waive any past default hereunder with respect to such series and its consequences, except a default</w:t>
      </w:r>
    </w:p>
    <w:p>
      <w:pPr>
        <w:spacing w:after="0" w:line="185" w:lineRule="exact"/>
        <w:rPr>
          <w:sz w:val="20"/>
          <w:szCs w:val="20"/>
          <w:color w:val="auto"/>
        </w:rPr>
      </w:pPr>
    </w:p>
    <w:p>
      <w:pPr>
        <w:ind w:left="660" w:right="139" w:firstLine="639"/>
        <w:spacing w:after="0" w:line="251" w:lineRule="auto"/>
        <w:tabs>
          <w:tab w:leader="none" w:pos="2006" w:val="left"/>
        </w:tabs>
        <w:numPr>
          <w:ilvl w:val="0"/>
          <w:numId w:val="160"/>
        </w:numPr>
        <w:rPr>
          <w:rFonts w:ascii="Arial" w:cs="Arial" w:eastAsia="Arial" w:hAnsi="Arial"/>
          <w:sz w:val="22"/>
          <w:szCs w:val="22"/>
          <w:color w:val="auto"/>
        </w:rPr>
      </w:pPr>
      <w:r>
        <w:rPr>
          <w:rFonts w:ascii="Arial" w:cs="Arial" w:eastAsia="Arial" w:hAnsi="Arial"/>
          <w:sz w:val="22"/>
          <w:szCs w:val="22"/>
          <w:color w:val="auto"/>
        </w:rPr>
        <w:t>in the payment of the principal of (or premium or Make-Whole Amount, if any) or interest on any Security of such series or any related coupons, or</w:t>
      </w:r>
    </w:p>
    <w:p>
      <w:pPr>
        <w:spacing w:after="0" w:line="173" w:lineRule="exact"/>
        <w:rPr>
          <w:rFonts w:ascii="Arial" w:cs="Arial" w:eastAsia="Arial" w:hAnsi="Arial"/>
          <w:sz w:val="22"/>
          <w:szCs w:val="22"/>
          <w:color w:val="auto"/>
        </w:rPr>
      </w:pPr>
    </w:p>
    <w:p>
      <w:pPr>
        <w:ind w:left="660" w:right="139" w:firstLine="639"/>
        <w:spacing w:after="0"/>
        <w:tabs>
          <w:tab w:leader="none" w:pos="2006" w:val="left"/>
        </w:tabs>
        <w:numPr>
          <w:ilvl w:val="0"/>
          <w:numId w:val="160"/>
        </w:numPr>
        <w:rPr>
          <w:rFonts w:ascii="Arial" w:cs="Arial" w:eastAsia="Arial" w:hAnsi="Arial"/>
          <w:sz w:val="22"/>
          <w:szCs w:val="22"/>
          <w:color w:val="auto"/>
        </w:rPr>
      </w:pPr>
      <w:r>
        <w:rPr>
          <w:rFonts w:ascii="Arial" w:cs="Arial" w:eastAsia="Arial" w:hAnsi="Arial"/>
          <w:sz w:val="22"/>
          <w:szCs w:val="22"/>
          <w:color w:val="auto"/>
        </w:rPr>
        <w:t>in respect of a covenant or provision hereof which under Article Nine cannot be modified or amended without the consent of the Holder of each Outstanding Security of such series affected; or</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8" w:right="1440" w:bottom="1440" w:gutter="0" w:footer="0" w:header="0"/>
        </w:sectPr>
      </w:pPr>
    </w:p>
    <w:bookmarkStart w:id="200" w:name="page201"/>
    <w:bookmarkEnd w:id="200"/>
    <w:p>
      <w:pPr>
        <w:ind w:left="660" w:right="280" w:firstLine="639"/>
        <w:spacing w:after="0" w:line="251" w:lineRule="auto"/>
        <w:tabs>
          <w:tab w:leader="none" w:pos="2006" w:val="left"/>
        </w:tabs>
        <w:numPr>
          <w:ilvl w:val="0"/>
          <w:numId w:val="161"/>
        </w:numPr>
        <w:rPr>
          <w:rFonts w:ascii="Arial" w:cs="Arial" w:eastAsia="Arial" w:hAnsi="Arial"/>
          <w:sz w:val="22"/>
          <w:szCs w:val="22"/>
          <w:color w:val="auto"/>
        </w:rPr>
      </w:pPr>
      <w:r>
        <w:rPr>
          <w:rFonts w:ascii="Arial" w:cs="Arial" w:eastAsia="Arial" w:hAnsi="Arial"/>
          <w:sz w:val="22"/>
          <w:szCs w:val="22"/>
          <w:color w:val="auto"/>
        </w:rPr>
        <w:t>in respect of a covenant or provision hereof for the benefit or protection of the Trustee, without its express written consent.</w:t>
      </w:r>
    </w:p>
    <w:p>
      <w:pPr>
        <w:spacing w:after="0" w:line="174" w:lineRule="exact"/>
        <w:rPr>
          <w:sz w:val="20"/>
          <w:szCs w:val="20"/>
          <w:color w:val="auto"/>
        </w:rPr>
      </w:pPr>
    </w:p>
    <w:p>
      <w:pPr>
        <w:ind w:right="200" w:firstLine="648"/>
        <w:spacing w:after="0" w:line="238" w:lineRule="auto"/>
        <w:rPr>
          <w:sz w:val="20"/>
          <w:szCs w:val="20"/>
          <w:color w:val="auto"/>
        </w:rPr>
      </w:pPr>
      <w:r>
        <w:rPr>
          <w:rFonts w:ascii="Arial" w:cs="Arial" w:eastAsia="Arial" w:hAnsi="Arial"/>
          <w:sz w:val="22"/>
          <w:szCs w:val="22"/>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85"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 xml:space="preserve">SECTION 514. </w:t>
      </w:r>
      <w:r>
        <w:rPr>
          <w:rFonts w:ascii="Arial" w:cs="Arial" w:eastAsia="Arial" w:hAnsi="Arial"/>
          <w:sz w:val="21"/>
          <w:szCs w:val="21"/>
          <w:u w:val="single" w:color="auto"/>
          <w:color w:val="auto"/>
        </w:rPr>
        <w:t>Waiver of Usury, Stay or Extension Laws</w:t>
      </w:r>
      <w:r>
        <w:rPr>
          <w:rFonts w:ascii="Arial" w:cs="Arial" w:eastAsia="Arial" w:hAnsi="Arial"/>
          <w:sz w:val="21"/>
          <w:szCs w:val="21"/>
          <w:color w:val="auto"/>
        </w:rPr>
        <w:t>.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SECTION 515. </w:t>
      </w:r>
      <w:r>
        <w:rPr>
          <w:rFonts w:ascii="Arial" w:cs="Arial" w:eastAsia="Arial" w:hAnsi="Arial"/>
          <w:sz w:val="19"/>
          <w:szCs w:val="19"/>
          <w:u w:val="single" w:color="auto"/>
          <w:color w:val="auto"/>
        </w:rPr>
        <w:t>Undertaking for Costs</w:t>
      </w:r>
      <w:r>
        <w:rPr>
          <w:rFonts w:ascii="Arial" w:cs="Arial" w:eastAsia="Arial" w:hAnsi="Arial"/>
          <w:sz w:val="19"/>
          <w:szCs w:val="19"/>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premium or Make-Whole Amount, if any) or interest on any Security on or after the respective Stated Maturities expressed in such Security (or, in the case of redemption, on or after the Redemption Date)</w:t>
      </w:r>
      <w:r>
        <w:rPr>
          <w:rFonts w:ascii="Arial" w:cs="Arial" w:eastAsia="Arial" w:hAnsi="Arial"/>
          <w:sz w:val="19"/>
          <w:szCs w:val="19"/>
          <w:u w:val="single" w:color="auto"/>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SIX - THE TRUSTEE</w:t>
      </w:r>
    </w:p>
    <w:p>
      <w:pPr>
        <w:spacing w:after="0" w:line="206"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color w:val="auto"/>
        </w:rPr>
        <w:t xml:space="preserve">SECTION 601. </w:t>
      </w:r>
      <w:r>
        <w:rPr>
          <w:rFonts w:ascii="Arial" w:cs="Arial" w:eastAsia="Arial" w:hAnsi="Arial"/>
          <w:sz w:val="19"/>
          <w:szCs w:val="19"/>
          <w:u w:val="single" w:color="auto"/>
          <w:color w:val="auto"/>
        </w:rPr>
        <w:t>Notice of Defaults</w:t>
      </w:r>
      <w:r>
        <w:rPr>
          <w:rFonts w:ascii="Arial" w:cs="Arial" w:eastAsia="Arial" w:hAnsi="Arial"/>
          <w:sz w:val="19"/>
          <w:szCs w:val="19"/>
          <w:color w:val="auto"/>
        </w:rPr>
        <w:t>. Within 90 days after the occurrence of any default hereunder with respect to the Securities of any series, the Trustee shall transmit in the manner and to the extent provided in TIA Section 313(c), notice of such default hereunder known to the Trustee, unless such default shall have been cured or waived; provided, however, that, except in the case of a default in the payment of the principal of (or premium or Make-Whole Amount, if any) or interest on any Security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Holders of the Securities and coupons of such series; and provided further that in the case of any default or breach of the character specified in Section 501(4) with respect to the Securities and coupons of such series, no such notice to Holders shall be given until at least 60 days after the occurrence thereof. For the purpose of this Section, the term “default” means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01" w:name="page202"/>
    <w:bookmarkEnd w:id="201"/>
    <w:p>
      <w:pPr>
        <w:ind w:right="480"/>
        <w:spacing w:after="0" w:line="251" w:lineRule="auto"/>
        <w:rPr>
          <w:sz w:val="20"/>
          <w:szCs w:val="20"/>
          <w:color w:val="auto"/>
        </w:rPr>
      </w:pPr>
      <w:r>
        <w:rPr>
          <w:rFonts w:ascii="Arial" w:cs="Arial" w:eastAsia="Arial" w:hAnsi="Arial"/>
          <w:sz w:val="22"/>
          <w:szCs w:val="22"/>
          <w:color w:val="auto"/>
        </w:rPr>
        <w:t>any event which is, or after notice or lapse of time or both would become, an Event of Default with respect to the Securities of such series.</w:t>
      </w:r>
    </w:p>
    <w:p>
      <w:pPr>
        <w:spacing w:after="0" w:line="174"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u w:val="single" w:color="auto"/>
          <w:color w:val="auto"/>
        </w:rPr>
        <w:t>Certain Rights of Trustee</w:t>
      </w:r>
      <w:r>
        <w:rPr>
          <w:rFonts w:ascii="Arial" w:cs="Arial" w:eastAsia="Arial" w:hAnsi="Arial"/>
          <w:sz w:val="19"/>
          <w:szCs w:val="19"/>
          <w:color w:val="auto"/>
        </w:rPr>
        <w:t>. Subject to the provisions of TIA Section 315(a)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through 315(d):</w:t>
      </w:r>
    </w:p>
    <w:p>
      <w:pPr>
        <w:spacing w:after="0" w:line="188" w:lineRule="exact"/>
        <w:rPr>
          <w:sz w:val="20"/>
          <w:szCs w:val="20"/>
          <w:color w:val="auto"/>
        </w:rPr>
      </w:pPr>
    </w:p>
    <w:p>
      <w:pPr>
        <w:ind w:left="660" w:right="100" w:firstLine="639"/>
        <w:spacing w:after="0" w:line="249" w:lineRule="auto"/>
        <w:tabs>
          <w:tab w:leader="none" w:pos="2006" w:val="left"/>
        </w:tabs>
        <w:numPr>
          <w:ilvl w:val="0"/>
          <w:numId w:val="162"/>
        </w:numPr>
        <w:rPr>
          <w:rFonts w:ascii="Arial" w:cs="Arial" w:eastAsia="Arial" w:hAnsi="Arial"/>
          <w:sz w:val="21"/>
          <w:szCs w:val="21"/>
          <w:color w:val="auto"/>
        </w:rPr>
      </w:pPr>
      <w:r>
        <w:rPr>
          <w:rFonts w:ascii="Arial" w:cs="Arial" w:eastAsia="Arial" w:hAnsi="Arial"/>
          <w:sz w:val="21"/>
          <w:szCs w:val="21"/>
          <w:color w:val="auto"/>
        </w:rPr>
        <w:t>the Trustee may conclusively rely and shall be fully protected in acting or refraining from acting upon any resolution, certificate, statement, instrument, opinion, report, notice, request, direction, consent, order, bond, debenture, note, coupon or other paper or document (whether in its original or facsimile form) reasonably believed by it to be genuine and to have been signed or presented by the proper party or parties;</w:t>
      </w:r>
    </w:p>
    <w:p>
      <w:pPr>
        <w:spacing w:after="0" w:line="178" w:lineRule="exact"/>
        <w:rPr>
          <w:rFonts w:ascii="Arial" w:cs="Arial" w:eastAsia="Arial" w:hAnsi="Arial"/>
          <w:sz w:val="21"/>
          <w:szCs w:val="21"/>
          <w:color w:val="auto"/>
        </w:rPr>
      </w:pPr>
    </w:p>
    <w:p>
      <w:pPr>
        <w:ind w:left="660" w:right="260" w:firstLine="639"/>
        <w:spacing w:after="0" w:line="282" w:lineRule="auto"/>
        <w:tabs>
          <w:tab w:leader="none" w:pos="2006" w:val="left"/>
        </w:tabs>
        <w:numPr>
          <w:ilvl w:val="0"/>
          <w:numId w:val="162"/>
        </w:numPr>
        <w:rPr>
          <w:rFonts w:ascii="Arial" w:cs="Arial" w:eastAsia="Arial" w:hAnsi="Arial"/>
          <w:sz w:val="19"/>
          <w:szCs w:val="19"/>
          <w:color w:val="auto"/>
        </w:rPr>
      </w:pPr>
      <w:r>
        <w:rPr>
          <w:rFonts w:ascii="Arial" w:cs="Arial" w:eastAsia="Arial" w:hAnsi="Arial"/>
          <w:sz w:val="19"/>
          <w:szCs w:val="19"/>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147" w:lineRule="exact"/>
        <w:rPr>
          <w:rFonts w:ascii="Arial" w:cs="Arial" w:eastAsia="Arial" w:hAnsi="Arial"/>
          <w:sz w:val="19"/>
          <w:szCs w:val="19"/>
          <w:color w:val="auto"/>
        </w:rPr>
      </w:pPr>
    </w:p>
    <w:p>
      <w:pPr>
        <w:ind w:left="660" w:right="200" w:firstLine="639"/>
        <w:spacing w:after="0" w:line="252" w:lineRule="auto"/>
        <w:tabs>
          <w:tab w:leader="none" w:pos="2006" w:val="left"/>
        </w:tabs>
        <w:numPr>
          <w:ilvl w:val="0"/>
          <w:numId w:val="162"/>
        </w:numPr>
        <w:rPr>
          <w:rFonts w:ascii="Arial" w:cs="Arial" w:eastAsia="Arial" w:hAnsi="Arial"/>
          <w:sz w:val="21"/>
          <w:szCs w:val="21"/>
          <w:color w:val="auto"/>
        </w:rPr>
      </w:pPr>
      <w:r>
        <w:rPr>
          <w:rFonts w:ascii="Arial" w:cs="Arial" w:eastAsia="Arial" w:hAnsi="Arial"/>
          <w:sz w:val="21"/>
          <w:szCs w:val="21"/>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74" w:lineRule="exact"/>
        <w:rPr>
          <w:rFonts w:ascii="Arial" w:cs="Arial" w:eastAsia="Arial" w:hAnsi="Arial"/>
          <w:sz w:val="21"/>
          <w:szCs w:val="21"/>
          <w:color w:val="auto"/>
        </w:rPr>
      </w:pPr>
    </w:p>
    <w:p>
      <w:pPr>
        <w:ind w:left="660" w:right="80" w:firstLine="639"/>
        <w:spacing w:after="0" w:line="238" w:lineRule="auto"/>
        <w:tabs>
          <w:tab w:leader="none" w:pos="2006"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Trustee may consult with counsel of its own selection and the written advice of such counsel or any Opinion of Counsel shall be full and complete authorization and protection in respect of any action taken, suffered or omitted by it hereunder in good faith and in reliance thereon;</w:t>
      </w:r>
    </w:p>
    <w:p>
      <w:pPr>
        <w:spacing w:after="0" w:line="185" w:lineRule="exact"/>
        <w:rPr>
          <w:rFonts w:ascii="Arial" w:cs="Arial" w:eastAsia="Arial" w:hAnsi="Arial"/>
          <w:sz w:val="22"/>
          <w:szCs w:val="22"/>
          <w:color w:val="auto"/>
        </w:rPr>
      </w:pPr>
    </w:p>
    <w:p>
      <w:pPr>
        <w:ind w:left="660" w:right="40" w:firstLine="639"/>
        <w:spacing w:after="0" w:line="235" w:lineRule="auto"/>
        <w:tabs>
          <w:tab w:leader="none" w:pos="2006"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security or indemnity reasonably satisfactory to the Trustee against the costs, expenses and liabilities which might be incurred by it in compliance with such request or direction;</w:t>
      </w:r>
    </w:p>
    <w:p>
      <w:pPr>
        <w:spacing w:after="0" w:line="188" w:lineRule="exact"/>
        <w:rPr>
          <w:rFonts w:ascii="Arial" w:cs="Arial" w:eastAsia="Arial" w:hAnsi="Arial"/>
          <w:sz w:val="22"/>
          <w:szCs w:val="22"/>
          <w:color w:val="auto"/>
        </w:rPr>
      </w:pPr>
    </w:p>
    <w:p>
      <w:pPr>
        <w:ind w:left="660" w:firstLine="639"/>
        <w:spacing w:after="0" w:line="272" w:lineRule="auto"/>
        <w:tabs>
          <w:tab w:leader="none" w:pos="2006" w:val="left"/>
        </w:tabs>
        <w:numPr>
          <w:ilvl w:val="0"/>
          <w:numId w:val="162"/>
        </w:numPr>
        <w:rPr>
          <w:rFonts w:ascii="Arial" w:cs="Arial" w:eastAsia="Arial" w:hAnsi="Arial"/>
          <w:sz w:val="19"/>
          <w:szCs w:val="19"/>
          <w:color w:val="auto"/>
        </w:rPr>
      </w:pPr>
      <w:r>
        <w:rPr>
          <w:rFonts w:ascii="Arial" w:cs="Arial" w:eastAsia="Arial" w:hAnsi="Arial"/>
          <w:sz w:val="19"/>
          <w:szCs w:val="19"/>
          <w:color w:val="auto"/>
        </w:rPr>
        <w:t xml:space="preserve">the Trustee shall not be bound to make any investigation into the facts or matters stated in any resolution, certificate, statement, instrument, opinion, report, notice, request, direction, consent, order, bond, debenture, note, coupon or other paper or document, unless requested in writing so to do by the Holders of not less than a majority in aggregate principal amount of the Outstanding Securities of any series;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examination shall be paid by the Holders or, if paid by the Trustee, shall be repaid by the Holders upon demand. The Trustee, in its discretion, may make such further inquiry or investigation into such facts or matters as it may see fit, and, if the Trustee shall determine to make such further inquiry or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02" w:name="page203"/>
    <w:bookmarkEnd w:id="202"/>
    <w:p>
      <w:pPr>
        <w:ind w:left="660" w:right="180"/>
        <w:spacing w:after="0" w:line="238" w:lineRule="auto"/>
        <w:rPr>
          <w:sz w:val="20"/>
          <w:szCs w:val="20"/>
          <w:color w:val="auto"/>
        </w:rPr>
      </w:pPr>
      <w:r>
        <w:rPr>
          <w:rFonts w:ascii="Arial" w:cs="Arial" w:eastAsia="Arial" w:hAnsi="Arial"/>
          <w:sz w:val="22"/>
          <w:szCs w:val="22"/>
          <w:color w:val="auto"/>
        </w:rPr>
        <w:t>investigation, it shall be entitled to examine the books, records and premises of the Company, relevant to the facts or matters that are the subject of its inquiry, personally or by agent or attorney at the expense of the Company and shall incur no liability or additional liability of any kind by reason of such inquiry or investigation;</w:t>
      </w:r>
    </w:p>
    <w:p>
      <w:pPr>
        <w:spacing w:after="0" w:line="186" w:lineRule="exact"/>
        <w:rPr>
          <w:sz w:val="20"/>
          <w:szCs w:val="20"/>
          <w:color w:val="auto"/>
        </w:rPr>
      </w:pPr>
    </w:p>
    <w:p>
      <w:pPr>
        <w:ind w:left="660" w:right="40" w:firstLine="639"/>
        <w:spacing w:after="0" w:line="238" w:lineRule="auto"/>
        <w:tabs>
          <w:tab w:leader="none" w:pos="2006"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5" w:lineRule="exact"/>
        <w:rPr>
          <w:rFonts w:ascii="Arial" w:cs="Arial" w:eastAsia="Arial" w:hAnsi="Arial"/>
          <w:sz w:val="22"/>
          <w:szCs w:val="22"/>
          <w:color w:val="auto"/>
        </w:rPr>
      </w:pPr>
    </w:p>
    <w:p>
      <w:pPr>
        <w:ind w:left="660" w:right="320" w:firstLine="639"/>
        <w:spacing w:after="0"/>
        <w:tabs>
          <w:tab w:leader="none" w:pos="2006"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 Trustee shall not be liable for any action taken, suffered or omitted by it in good faith and reasonably believed by it to be authorized or within the discretion or rights or powers conferred upon it by this Indenture;</w:t>
      </w:r>
    </w:p>
    <w:p>
      <w:pPr>
        <w:spacing w:after="0" w:line="186" w:lineRule="exact"/>
        <w:rPr>
          <w:rFonts w:ascii="Arial" w:cs="Arial" w:eastAsia="Arial" w:hAnsi="Arial"/>
          <w:sz w:val="22"/>
          <w:szCs w:val="22"/>
          <w:color w:val="auto"/>
        </w:rPr>
      </w:pPr>
    </w:p>
    <w:p>
      <w:pPr>
        <w:ind w:left="660" w:firstLine="639"/>
        <w:spacing w:after="0" w:line="274" w:lineRule="auto"/>
        <w:tabs>
          <w:tab w:leader="none" w:pos="2006" w:val="left"/>
        </w:tabs>
        <w:numPr>
          <w:ilvl w:val="0"/>
          <w:numId w:val="163"/>
        </w:numPr>
        <w:rPr>
          <w:rFonts w:ascii="Arial" w:cs="Arial" w:eastAsia="Arial" w:hAnsi="Arial"/>
          <w:sz w:val="21"/>
          <w:szCs w:val="21"/>
          <w:color w:val="auto"/>
        </w:rPr>
      </w:pPr>
      <w:r>
        <w:rPr>
          <w:rFonts w:ascii="Arial" w:cs="Arial" w:eastAsia="Arial" w:hAnsi="Arial"/>
          <w:sz w:val="21"/>
          <w:szCs w:val="21"/>
          <w:color w:val="auto"/>
        </w:rPr>
        <w:t>any permissive right or power available to the Trustee under this Indenture or any supplement hereto shall not be construed to be a mandatory duty or obligation;</w:t>
      </w:r>
    </w:p>
    <w:p>
      <w:pPr>
        <w:spacing w:after="0" w:line="150" w:lineRule="exact"/>
        <w:rPr>
          <w:rFonts w:ascii="Arial" w:cs="Arial" w:eastAsia="Arial" w:hAnsi="Arial"/>
          <w:sz w:val="21"/>
          <w:szCs w:val="21"/>
          <w:color w:val="auto"/>
        </w:rPr>
      </w:pPr>
    </w:p>
    <w:p>
      <w:pPr>
        <w:ind w:left="660" w:right="220" w:firstLine="639"/>
        <w:spacing w:after="0" w:line="252" w:lineRule="auto"/>
        <w:tabs>
          <w:tab w:leader="none" w:pos="2046" w:val="left"/>
        </w:tabs>
        <w:numPr>
          <w:ilvl w:val="0"/>
          <w:numId w:val="163"/>
        </w:numPr>
        <w:rPr>
          <w:rFonts w:ascii="Arial" w:cs="Arial" w:eastAsia="Arial" w:hAnsi="Arial"/>
          <w:sz w:val="21"/>
          <w:szCs w:val="21"/>
          <w:color w:val="auto"/>
        </w:rPr>
      </w:pPr>
      <w:r>
        <w:rPr>
          <w:rFonts w:ascii="Arial" w:cs="Arial" w:eastAsia="Arial" w:hAnsi="Arial"/>
          <w:sz w:val="21"/>
          <w:szCs w:val="21"/>
          <w:color w:val="auto"/>
        </w:rPr>
        <w:t>the Trustee shall not be charged with knowledge of any matter (including any default, other than as described in Section 501(1), (2) or (3)) unless and except to the extent actually known to a Responsible Officer of the Trustee or to the extent written notice thereof is received by the Trustee at the Corporate Trust Office;</w:t>
      </w:r>
    </w:p>
    <w:p>
      <w:pPr>
        <w:spacing w:after="0" w:line="174" w:lineRule="exact"/>
        <w:rPr>
          <w:rFonts w:ascii="Arial" w:cs="Arial" w:eastAsia="Arial" w:hAnsi="Arial"/>
          <w:sz w:val="21"/>
          <w:szCs w:val="21"/>
          <w:color w:val="auto"/>
        </w:rPr>
      </w:pPr>
    </w:p>
    <w:p>
      <w:pPr>
        <w:ind w:left="660" w:right="40" w:firstLine="639"/>
        <w:spacing w:after="0"/>
        <w:tabs>
          <w:tab w:leader="none" w:pos="203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 Trustee shall have no liability for any inaccuracy in the books and records of, or for any actions or omissions of, DTC, Euroclear or Clearstream or any depository acting on behalf of any of them;</w:t>
      </w:r>
    </w:p>
    <w:p>
      <w:pPr>
        <w:spacing w:after="0" w:line="186" w:lineRule="exact"/>
        <w:rPr>
          <w:rFonts w:ascii="Arial" w:cs="Arial" w:eastAsia="Arial" w:hAnsi="Arial"/>
          <w:sz w:val="22"/>
          <w:szCs w:val="22"/>
          <w:color w:val="auto"/>
        </w:rPr>
      </w:pPr>
    </w:p>
    <w:p>
      <w:pPr>
        <w:ind w:left="660" w:right="180" w:firstLine="639"/>
        <w:spacing w:after="0" w:line="238" w:lineRule="auto"/>
        <w:tabs>
          <w:tab w:leader="none" w:pos="2046"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by the Trustee to act hereunder; and</w:t>
      </w:r>
    </w:p>
    <w:p>
      <w:pPr>
        <w:spacing w:after="0" w:line="185" w:lineRule="exact"/>
        <w:rPr>
          <w:rFonts w:ascii="Arial" w:cs="Arial" w:eastAsia="Arial" w:hAnsi="Arial"/>
          <w:sz w:val="22"/>
          <w:szCs w:val="22"/>
          <w:color w:val="auto"/>
        </w:rPr>
      </w:pPr>
    </w:p>
    <w:p>
      <w:pPr>
        <w:ind w:left="660" w:right="20" w:firstLine="639"/>
        <w:spacing w:after="0" w:line="249" w:lineRule="auto"/>
        <w:tabs>
          <w:tab w:leader="none" w:pos="2046" w:val="left"/>
        </w:tabs>
        <w:numPr>
          <w:ilvl w:val="0"/>
          <w:numId w:val="163"/>
        </w:numPr>
        <w:rPr>
          <w:rFonts w:ascii="Arial" w:cs="Arial" w:eastAsia="Arial" w:hAnsi="Arial"/>
          <w:sz w:val="21"/>
          <w:szCs w:val="21"/>
          <w:color w:val="auto"/>
        </w:rPr>
      </w:pPr>
      <w:r>
        <w:rPr>
          <w:rFonts w:ascii="Arial" w:cs="Arial" w:eastAsia="Arial" w:hAnsi="Arial"/>
          <w:sz w:val="21"/>
          <w:szCs w:val="21"/>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79"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85" w:lineRule="exact"/>
        <w:rPr>
          <w:sz w:val="20"/>
          <w:szCs w:val="20"/>
          <w:color w:val="auto"/>
        </w:rPr>
      </w:pPr>
    </w:p>
    <w:p>
      <w:pPr>
        <w:jc w:val="both"/>
        <w:ind w:right="220" w:firstLine="648"/>
        <w:spacing w:after="0"/>
        <w:rPr>
          <w:sz w:val="20"/>
          <w:szCs w:val="20"/>
          <w:color w:val="auto"/>
        </w:rPr>
      </w:pPr>
      <w:r>
        <w:rPr>
          <w:rFonts w:ascii="Arial" w:cs="Arial" w:eastAsia="Arial" w:hAnsi="Arial"/>
          <w:sz w:val="22"/>
          <w:szCs w:val="22"/>
          <w:color w:val="auto"/>
        </w:rPr>
        <w:t>Except during the continuance of an Event of Default, the Trustee undertakes to perform only such duties as are specifically set forth in this Indenture, and no implied covenants or obligations shall be read into this Indenture against the Trustee.</w:t>
      </w:r>
    </w:p>
    <w:p>
      <w:pPr>
        <w:spacing w:after="0" w:line="186" w:lineRule="exact"/>
        <w:rPr>
          <w:sz w:val="20"/>
          <w:szCs w:val="20"/>
          <w:color w:val="auto"/>
        </w:rPr>
      </w:pPr>
    </w:p>
    <w:p>
      <w:pPr>
        <w:ind w:right="540" w:firstLine="648"/>
        <w:spacing w:after="0" w:line="297" w:lineRule="auto"/>
        <w:rPr>
          <w:sz w:val="20"/>
          <w:szCs w:val="20"/>
          <w:color w:val="auto"/>
        </w:rPr>
      </w:pPr>
      <w:r>
        <w:rPr>
          <w:rFonts w:ascii="Arial" w:cs="Arial" w:eastAsia="Arial" w:hAnsi="Arial"/>
          <w:sz w:val="19"/>
          <w:szCs w:val="19"/>
          <w:color w:val="auto"/>
        </w:rPr>
        <w:t xml:space="preserve">SECTION 603. </w:t>
      </w:r>
      <w:r>
        <w:rPr>
          <w:rFonts w:ascii="Arial" w:cs="Arial" w:eastAsia="Arial" w:hAnsi="Arial"/>
          <w:sz w:val="19"/>
          <w:szCs w:val="19"/>
          <w:u w:val="single" w:color="auto"/>
          <w:color w:val="auto"/>
        </w:rPr>
        <w:t>Not Responsible for Recitals or Issuance of Securities</w:t>
      </w:r>
      <w:r>
        <w:rPr>
          <w:rFonts w:ascii="Arial" w:cs="Arial" w:eastAsia="Arial" w:hAnsi="Arial"/>
          <w:sz w:val="19"/>
          <w:szCs w:val="19"/>
          <w:color w:val="auto"/>
        </w:rPr>
        <w:t>. The recitals contained herein and in the Securities, except the Trustee’s certificate of authentication, and in any coupons shall be taken as the statements of the Company, and neither the Trustee nor any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03" w:name="page204"/>
    <w:bookmarkEnd w:id="203"/>
    <w:p>
      <w:pPr>
        <w:ind w:right="120"/>
        <w:spacing w:after="0" w:line="271" w:lineRule="auto"/>
        <w:rPr>
          <w:sz w:val="20"/>
          <w:szCs w:val="20"/>
          <w:color w:val="auto"/>
        </w:rPr>
      </w:pPr>
      <w:r>
        <w:rPr>
          <w:rFonts w:ascii="Arial" w:cs="Arial" w:eastAsia="Arial" w:hAnsi="Arial"/>
          <w:sz w:val="19"/>
          <w:szCs w:val="19"/>
          <w:color w:val="auto"/>
        </w:rPr>
        <w:t>Authenticating Agent assumes any responsibility for their correctness. The Trustee makes no representations as to the validity or sufficiency of this Indenture or of the Securities or coupons, except that the Trustee represents that it is duly authorized to execute and deliver this Indenture, authenticate the Securities and perform its obligations hereunder. Neither the Trustee nor any Authenticating Agent shall be accountable for the use or application by the Company of Securities or the proceeds</w:t>
      </w:r>
    </w:p>
    <w:p>
      <w:pPr>
        <w:spacing w:after="0" w:line="1"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thereof. The Trustee shall have no responsibility with respect to any information, statement or recital in any offering prospectus or other disclosure materials prepared or distributed with respect to the Securities.</w:t>
      </w:r>
    </w:p>
    <w:p>
      <w:pPr>
        <w:spacing w:after="0" w:line="187" w:lineRule="exact"/>
        <w:rPr>
          <w:sz w:val="20"/>
          <w:szCs w:val="20"/>
          <w:color w:val="auto"/>
        </w:rPr>
      </w:pPr>
    </w:p>
    <w:p>
      <w:pPr>
        <w:ind w:right="100" w:firstLine="648"/>
        <w:spacing w:after="0" w:line="249" w:lineRule="auto"/>
        <w:rPr>
          <w:sz w:val="20"/>
          <w:szCs w:val="20"/>
          <w:color w:val="auto"/>
        </w:rPr>
      </w:pPr>
      <w:r>
        <w:rPr>
          <w:rFonts w:ascii="Arial" w:cs="Arial" w:eastAsia="Arial" w:hAnsi="Arial"/>
          <w:sz w:val="21"/>
          <w:szCs w:val="21"/>
          <w:color w:val="auto"/>
        </w:rPr>
        <w:t xml:space="preserve">SECTION 604. </w:t>
      </w:r>
      <w:r>
        <w:rPr>
          <w:rFonts w:ascii="Arial" w:cs="Arial" w:eastAsia="Arial" w:hAnsi="Arial"/>
          <w:sz w:val="21"/>
          <w:szCs w:val="21"/>
          <w:u w:val="single" w:color="auto"/>
          <w:color w:val="auto"/>
        </w:rPr>
        <w:t>May Hold Securities</w:t>
      </w:r>
      <w:r>
        <w:rPr>
          <w:rFonts w:ascii="Arial" w:cs="Arial" w:eastAsia="Arial" w:hAnsi="Arial"/>
          <w:sz w:val="21"/>
          <w:szCs w:val="21"/>
          <w:color w:val="auto"/>
        </w:rPr>
        <w:t>. The Trustee, any Paying Agent, Security Registrar, Authenticating Agent or any other agent of the Company, in its individual or any other capacity, may become the owner or pledgee of Securities and coupons and, subject to TIA Sections 310(b) and 311, may otherwise deal with the Company with the same rights it would have if it were not Trustee, Paying Agent, Security Registrar, Authenticating Agent or such other agent.</w:t>
      </w:r>
    </w:p>
    <w:p>
      <w:pPr>
        <w:spacing w:after="0" w:line="179"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u w:val="single" w:color="auto"/>
          <w:color w:val="auto"/>
        </w:rPr>
        <w:t>Money Held in Trust</w:t>
      </w:r>
      <w:r>
        <w:rPr>
          <w:rFonts w:ascii="Arial" w:cs="Arial" w:eastAsia="Arial" w:hAnsi="Arial"/>
          <w:sz w:val="22"/>
          <w:szCs w:val="22"/>
          <w:color w:val="auto"/>
        </w:rPr>
        <w:t>.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85"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606.</w:t>
      </w:r>
      <w:r>
        <w:rPr>
          <w:sz w:val="20"/>
          <w:szCs w:val="20"/>
          <w:color w:val="auto"/>
        </w:rPr>
        <w:tab/>
      </w:r>
      <w:r>
        <w:rPr>
          <w:rFonts w:ascii="Arial" w:cs="Arial" w:eastAsia="Arial" w:hAnsi="Arial"/>
          <w:sz w:val="19"/>
          <w:szCs w:val="19"/>
          <w:u w:val="single" w:color="auto"/>
          <w:color w:val="auto"/>
        </w:rPr>
        <w:t>Compensation and Reimbursement</w:t>
      </w:r>
      <w:r>
        <w:rPr>
          <w:rFonts w:ascii="Arial" w:cs="Arial" w:eastAsia="Arial" w:hAnsi="Arial"/>
          <w:sz w:val="19"/>
          <w:szCs w:val="19"/>
          <w:color w:val="auto"/>
        </w:rPr>
        <w:t>. The Company agrees</w:t>
      </w:r>
      <w:r>
        <w:rPr>
          <w:rFonts w:ascii="Arial" w:cs="Arial" w:eastAsia="Arial" w:hAnsi="Arial"/>
          <w:sz w:val="19"/>
          <w:szCs w:val="19"/>
          <w:u w:val="single" w:color="auto"/>
          <w:color w:val="auto"/>
        </w:rPr>
        <w:t>:</w:t>
      </w:r>
    </w:p>
    <w:p>
      <w:pPr>
        <w:spacing w:after="0" w:line="206" w:lineRule="exact"/>
        <w:rPr>
          <w:sz w:val="20"/>
          <w:szCs w:val="20"/>
          <w:color w:val="auto"/>
        </w:rPr>
      </w:pPr>
    </w:p>
    <w:p>
      <w:pPr>
        <w:ind w:left="660" w:right="60" w:firstLine="639"/>
        <w:spacing w:after="0" w:line="297" w:lineRule="auto"/>
        <w:tabs>
          <w:tab w:leader="none" w:pos="2006" w:val="left"/>
        </w:tabs>
        <w:numPr>
          <w:ilvl w:val="0"/>
          <w:numId w:val="164"/>
        </w:numPr>
        <w:rPr>
          <w:rFonts w:ascii="Arial" w:cs="Arial" w:eastAsia="Arial" w:hAnsi="Arial"/>
          <w:sz w:val="19"/>
          <w:szCs w:val="19"/>
          <w:color w:val="auto"/>
        </w:rPr>
      </w:pPr>
      <w:r>
        <w:rPr>
          <w:rFonts w:ascii="Arial" w:cs="Arial" w:eastAsia="Arial" w:hAnsi="Arial"/>
          <w:sz w:val="19"/>
          <w:szCs w:val="19"/>
          <w:color w:val="auto"/>
        </w:rPr>
        <w:t>to pay to the Trustee as agreed upon in writing from time to time reasonable compensation for all services rendered by it hereunder (which compensation shall not be limited by any provision of law in regard to the compensation of a trustee of an express trust);</w:t>
      </w:r>
    </w:p>
    <w:p>
      <w:pPr>
        <w:spacing w:after="0" w:line="134" w:lineRule="exact"/>
        <w:rPr>
          <w:rFonts w:ascii="Arial" w:cs="Arial" w:eastAsia="Arial" w:hAnsi="Arial"/>
          <w:sz w:val="19"/>
          <w:szCs w:val="19"/>
          <w:color w:val="auto"/>
        </w:rPr>
      </w:pPr>
    </w:p>
    <w:p>
      <w:pPr>
        <w:ind w:left="660" w:right="180" w:firstLine="639"/>
        <w:spacing w:after="0" w:line="279" w:lineRule="auto"/>
        <w:tabs>
          <w:tab w:leader="none" w:pos="2006" w:val="left"/>
        </w:tabs>
        <w:numPr>
          <w:ilvl w:val="0"/>
          <w:numId w:val="164"/>
        </w:numPr>
        <w:rPr>
          <w:rFonts w:ascii="Arial" w:cs="Arial" w:eastAsia="Arial" w:hAnsi="Arial"/>
          <w:sz w:val="19"/>
          <w:szCs w:val="19"/>
          <w:color w:val="auto"/>
        </w:rPr>
      </w:pPr>
      <w:r>
        <w:rPr>
          <w:rFonts w:ascii="Arial" w:cs="Arial" w:eastAsia="Arial" w:hAnsi="Arial"/>
          <w:sz w:val="19"/>
          <w:szCs w:val="19"/>
          <w:color w:val="auto"/>
        </w:rPr>
        <w:t>except as otherwise expressly provided herein, to reimburse each of the Trustee and any predecessor Trustee upon its request for all reasonable expenses, and disbursements incurred by the Trustee in accordance with any provision of this Indenture (including the reasonable compensation and the reasonable expenses and disbursements of its agents and counsel), except any such expense or disbursement as shall be determined to have been caused by its own negligence, willful misconduct or bad faith; and</w:t>
      </w:r>
    </w:p>
    <w:p>
      <w:pPr>
        <w:spacing w:after="0" w:line="150" w:lineRule="exact"/>
        <w:rPr>
          <w:rFonts w:ascii="Arial" w:cs="Arial" w:eastAsia="Arial" w:hAnsi="Arial"/>
          <w:sz w:val="19"/>
          <w:szCs w:val="19"/>
          <w:color w:val="auto"/>
        </w:rPr>
      </w:pPr>
    </w:p>
    <w:p>
      <w:pPr>
        <w:ind w:left="660" w:right="80" w:firstLine="639"/>
        <w:spacing w:after="0" w:line="248" w:lineRule="auto"/>
        <w:tabs>
          <w:tab w:leader="none" w:pos="2006" w:val="left"/>
        </w:tabs>
        <w:numPr>
          <w:ilvl w:val="0"/>
          <w:numId w:val="164"/>
        </w:numPr>
        <w:rPr>
          <w:rFonts w:ascii="Arial" w:cs="Arial" w:eastAsia="Arial" w:hAnsi="Arial"/>
          <w:sz w:val="21"/>
          <w:szCs w:val="21"/>
          <w:color w:val="auto"/>
        </w:rPr>
      </w:pPr>
      <w:r>
        <w:rPr>
          <w:rFonts w:ascii="Arial" w:cs="Arial" w:eastAsia="Arial" w:hAnsi="Arial"/>
          <w:sz w:val="21"/>
          <w:szCs w:val="21"/>
          <w:color w:val="auto"/>
        </w:rPr>
        <w:t>to indemnify each of the Trustee and any predecessor Trustee for, and to hold it harmless against, any loss, liability, claim, damage or expense incurred without negligence, willful misconduct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77" w:lineRule="exact"/>
        <w:rPr>
          <w:sz w:val="20"/>
          <w:szCs w:val="20"/>
          <w:color w:val="auto"/>
        </w:rPr>
      </w:pPr>
    </w:p>
    <w:p>
      <w:pPr>
        <w:ind w:right="360" w:firstLine="648"/>
        <w:spacing w:after="0" w:line="287" w:lineRule="auto"/>
        <w:rPr>
          <w:sz w:val="20"/>
          <w:szCs w:val="20"/>
          <w:color w:val="auto"/>
        </w:rPr>
      </w:pPr>
      <w:r>
        <w:rPr>
          <w:rFonts w:ascii="Arial" w:cs="Arial" w:eastAsia="Arial" w:hAnsi="Arial"/>
          <w:sz w:val="19"/>
          <w:szCs w:val="19"/>
          <w:color w:val="auto"/>
        </w:rPr>
        <w:t>When the Trustee incurs expenses or renders services in connection with an Event of Default specified in Section 501(7) or Section 501(8),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43" w:lineRule="exact"/>
        <w:rPr>
          <w:sz w:val="20"/>
          <w:szCs w:val="20"/>
          <w:color w:val="auto"/>
        </w:rPr>
      </w:pPr>
    </w:p>
    <w:p>
      <w:pPr>
        <w:ind w:right="180" w:firstLine="648"/>
        <w:spacing w:after="0" w:line="297" w:lineRule="auto"/>
        <w:rPr>
          <w:sz w:val="20"/>
          <w:szCs w:val="20"/>
          <w:color w:val="auto"/>
        </w:rPr>
      </w:pPr>
      <w:r>
        <w:rPr>
          <w:rFonts w:ascii="Arial" w:cs="Arial" w:eastAsia="Arial" w:hAnsi="Arial"/>
          <w:sz w:val="19"/>
          <w:szCs w:val="19"/>
          <w:color w:val="auto"/>
        </w:rPr>
        <w:t>As security for the performance of the obligations of the Company under this Section, the Trustee shall have a lien for payment of the Trustee’s fees and expenses prior to the Securities upon all property and funds held or collected by the Trustee as such, except funds held in trust for the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04" w:name="page205"/>
    <w:bookmarkEnd w:id="204"/>
    <w:p>
      <w:pPr>
        <w:ind w:right="40"/>
        <w:spacing w:after="0" w:line="251" w:lineRule="auto"/>
        <w:rPr>
          <w:sz w:val="20"/>
          <w:szCs w:val="20"/>
          <w:color w:val="auto"/>
        </w:rPr>
      </w:pPr>
      <w:r>
        <w:rPr>
          <w:rFonts w:ascii="Arial" w:cs="Arial" w:eastAsia="Arial" w:hAnsi="Arial"/>
          <w:sz w:val="22"/>
          <w:szCs w:val="22"/>
          <w:color w:val="auto"/>
        </w:rPr>
        <w:t>payment of principal of (or premium or Make-Whole Amount, if any) or interest on particular Securities or any coupons.</w:t>
      </w:r>
    </w:p>
    <w:p>
      <w:pPr>
        <w:spacing w:after="0" w:line="174" w:lineRule="exact"/>
        <w:rPr>
          <w:sz w:val="20"/>
          <w:szCs w:val="20"/>
          <w:color w:val="auto"/>
        </w:rPr>
      </w:pPr>
    </w:p>
    <w:p>
      <w:pPr>
        <w:ind w:right="120" w:firstLine="648"/>
        <w:spacing w:after="0" w:line="251" w:lineRule="auto"/>
        <w:rPr>
          <w:sz w:val="20"/>
          <w:szCs w:val="20"/>
          <w:color w:val="auto"/>
        </w:rPr>
      </w:pPr>
      <w:r>
        <w:rPr>
          <w:rFonts w:ascii="Arial" w:cs="Arial" w:eastAsia="Arial" w:hAnsi="Arial"/>
          <w:sz w:val="22"/>
          <w:szCs w:val="22"/>
          <w:color w:val="auto"/>
        </w:rPr>
        <w:t>The provisions of this Section shall survive the termination of this Indenture and the resignation or removal of the Trustee.</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SECTION 607. </w:t>
      </w:r>
      <w:r>
        <w:rPr>
          <w:rFonts w:ascii="Arial" w:cs="Arial" w:eastAsia="Arial" w:hAnsi="Arial"/>
          <w:sz w:val="19"/>
          <w:szCs w:val="19"/>
          <w:u w:val="single" w:color="auto"/>
          <w:color w:val="auto"/>
        </w:rPr>
        <w:t>Corporate Trustee Required; Eligibility; Conflicting Interests</w:t>
      </w:r>
      <w:r>
        <w:rPr>
          <w:rFonts w:ascii="Arial" w:cs="Arial" w:eastAsia="Arial" w:hAnsi="Arial"/>
          <w:sz w:val="19"/>
          <w:szCs w:val="19"/>
          <w:color w:val="auto"/>
        </w:rPr>
        <w:t>. There shall at all times be a Trustee hereunder which shall be eligible to act as Trustee under TIA Section 310(a)(1) and shall have at all times a combined capital and surplus of at least $50,000,000 (or which shall have a combined capital and surplus of at least $10,000,000 and whose ultimate parent holding company shall have a combined capital and surplus of at least $50,000,000. If the Trustee publishes reports of condition at least annually, pursuant to law or the requirements of Federal, state, territorial or District of Columbia supervising or examining authority, then for the purposes of this Section, the combined capital and surplus of the Trustee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Neither the Company nor any Person directly or indirectly controlling, controlled by, or under common control with the Company shall serve as Trustee.</w:t>
      </w:r>
    </w:p>
    <w:p>
      <w:pPr>
        <w:spacing w:after="0" w:line="162"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608.</w:t>
      </w:r>
      <w:r>
        <w:rPr>
          <w:sz w:val="20"/>
          <w:szCs w:val="20"/>
          <w:color w:val="auto"/>
        </w:rPr>
        <w:tab/>
      </w:r>
      <w:r>
        <w:rPr>
          <w:rFonts w:ascii="Arial" w:cs="Arial" w:eastAsia="Arial" w:hAnsi="Arial"/>
          <w:sz w:val="19"/>
          <w:szCs w:val="19"/>
          <w:u w:val="single" w:color="auto"/>
          <w:color w:val="auto"/>
        </w:rPr>
        <w:t>Resignation and Removal</w:t>
      </w:r>
      <w:r>
        <w:rPr>
          <w:rFonts w:ascii="Arial" w:cs="Arial" w:eastAsia="Arial" w:hAnsi="Arial"/>
          <w:sz w:val="19"/>
          <w:szCs w:val="19"/>
          <w:color w:val="auto"/>
        </w:rPr>
        <w:t>; Appointment of Successor.</w:t>
      </w:r>
    </w:p>
    <w:p>
      <w:pPr>
        <w:spacing w:after="0" w:line="206" w:lineRule="exact"/>
        <w:rPr>
          <w:sz w:val="20"/>
          <w:szCs w:val="20"/>
          <w:color w:val="auto"/>
        </w:rPr>
      </w:pPr>
    </w:p>
    <w:p>
      <w:pPr>
        <w:ind w:right="580" w:firstLine="1299"/>
        <w:spacing w:after="0" w:line="297" w:lineRule="auto"/>
        <w:tabs>
          <w:tab w:leader="none" w:pos="1928" w:val="left"/>
        </w:tabs>
        <w:numPr>
          <w:ilvl w:val="0"/>
          <w:numId w:val="165"/>
        </w:numPr>
        <w:rPr>
          <w:rFonts w:ascii="Arial" w:cs="Arial" w:eastAsia="Arial" w:hAnsi="Arial"/>
          <w:sz w:val="19"/>
          <w:szCs w:val="19"/>
          <w:color w:val="auto"/>
        </w:rPr>
      </w:pPr>
      <w:r>
        <w:rPr>
          <w:rFonts w:ascii="Arial" w:cs="Arial" w:eastAsia="Arial" w:hAnsi="Arial"/>
          <w:sz w:val="19"/>
          <w:szCs w:val="19"/>
          <w:color w:val="auto"/>
        </w:rPr>
        <w:t>No resignation or removal of the Trustee and no appointment of a successor Trustee pursuant to this Article shall become effective until the acceptance of appointment by the successor Trustee in accordance with the applicable requirements of Section 609.</w:t>
      </w:r>
    </w:p>
    <w:p>
      <w:pPr>
        <w:spacing w:after="0" w:line="134" w:lineRule="exact"/>
        <w:rPr>
          <w:rFonts w:ascii="Arial" w:cs="Arial" w:eastAsia="Arial" w:hAnsi="Arial"/>
          <w:sz w:val="19"/>
          <w:szCs w:val="19"/>
          <w:color w:val="auto"/>
        </w:rPr>
      </w:pPr>
    </w:p>
    <w:p>
      <w:pPr>
        <w:ind w:right="160" w:firstLine="1299"/>
        <w:spacing w:after="0" w:line="249" w:lineRule="auto"/>
        <w:tabs>
          <w:tab w:leader="none" w:pos="1940" w:val="left"/>
        </w:tabs>
        <w:numPr>
          <w:ilvl w:val="0"/>
          <w:numId w:val="165"/>
        </w:numPr>
        <w:rPr>
          <w:rFonts w:ascii="Arial" w:cs="Arial" w:eastAsia="Arial" w:hAnsi="Arial"/>
          <w:sz w:val="21"/>
          <w:szCs w:val="21"/>
          <w:color w:val="auto"/>
        </w:rPr>
      </w:pPr>
      <w:r>
        <w:rPr>
          <w:rFonts w:ascii="Arial" w:cs="Arial" w:eastAsia="Arial" w:hAnsi="Arial"/>
          <w:sz w:val="21"/>
          <w:szCs w:val="21"/>
          <w:color w:val="auto"/>
        </w:rPr>
        <w:t>The Trustee may resign at any time with respect to the Securities of one or more series by giving written notice thereof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178" w:lineRule="exact"/>
        <w:rPr>
          <w:rFonts w:ascii="Arial" w:cs="Arial" w:eastAsia="Arial" w:hAnsi="Arial"/>
          <w:sz w:val="21"/>
          <w:szCs w:val="21"/>
          <w:color w:val="auto"/>
        </w:rPr>
      </w:pPr>
    </w:p>
    <w:p>
      <w:pPr>
        <w:ind w:right="160" w:firstLine="1299"/>
        <w:spacing w:after="0" w:line="248" w:lineRule="auto"/>
        <w:tabs>
          <w:tab w:leader="none" w:pos="1941" w:val="left"/>
        </w:tabs>
        <w:numPr>
          <w:ilvl w:val="0"/>
          <w:numId w:val="165"/>
        </w:numPr>
        <w:rPr>
          <w:rFonts w:ascii="Arial" w:cs="Arial" w:eastAsia="Arial" w:hAnsi="Arial"/>
          <w:sz w:val="21"/>
          <w:szCs w:val="21"/>
          <w:color w:val="auto"/>
        </w:rPr>
      </w:pPr>
      <w:r>
        <w:rPr>
          <w:rFonts w:ascii="Arial" w:cs="Arial" w:eastAsia="Arial" w:hAnsi="Arial"/>
          <w:sz w:val="21"/>
          <w:szCs w:val="21"/>
          <w:color w:val="auto"/>
        </w:rPr>
        <w:t>The Trustee may be removed at any time with respect to the Securities of any series by Act of the Holders of a majority in principal amount of the Outstanding Securities of such series delivered to the Trustee and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177" w:lineRule="exact"/>
        <w:rPr>
          <w:rFonts w:ascii="Arial" w:cs="Arial" w:eastAsia="Arial" w:hAnsi="Arial"/>
          <w:sz w:val="21"/>
          <w:szCs w:val="21"/>
          <w:color w:val="auto"/>
        </w:rPr>
      </w:pPr>
    </w:p>
    <w:p>
      <w:pPr>
        <w:ind w:left="1940" w:hanging="641"/>
        <w:spacing w:after="0"/>
        <w:tabs>
          <w:tab w:leader="none" w:pos="194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If at any time:</w:t>
      </w:r>
    </w:p>
    <w:p>
      <w:pPr>
        <w:spacing w:after="0" w:line="206" w:lineRule="exact"/>
        <w:rPr>
          <w:sz w:val="20"/>
          <w:szCs w:val="20"/>
          <w:color w:val="auto"/>
        </w:rPr>
      </w:pPr>
    </w:p>
    <w:p>
      <w:pPr>
        <w:ind w:left="660" w:right="240" w:firstLine="639"/>
        <w:spacing w:after="0"/>
        <w:tabs>
          <w:tab w:leader="none" w:pos="2006"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186" w:lineRule="exact"/>
        <w:rPr>
          <w:rFonts w:ascii="Arial" w:cs="Arial" w:eastAsia="Arial" w:hAnsi="Arial"/>
          <w:sz w:val="22"/>
          <w:szCs w:val="22"/>
          <w:color w:val="auto"/>
        </w:rPr>
      </w:pPr>
    </w:p>
    <w:p>
      <w:pPr>
        <w:jc w:val="both"/>
        <w:ind w:left="660" w:right="340" w:firstLine="639"/>
        <w:spacing w:after="0"/>
        <w:tabs>
          <w:tab w:leader="none" w:pos="2006"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05" w:name="page206"/>
    <w:bookmarkEnd w:id="205"/>
    <w:p>
      <w:pPr>
        <w:jc w:val="both"/>
        <w:ind w:left="660" w:right="220" w:firstLine="639"/>
        <w:spacing w:after="0" w:line="238" w:lineRule="auto"/>
        <w:tabs>
          <w:tab w:leader="none" w:pos="2006"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6" w:lineRule="exact"/>
        <w:rPr>
          <w:sz w:val="20"/>
          <w:szCs w:val="20"/>
          <w:color w:val="auto"/>
        </w:rPr>
      </w:pPr>
    </w:p>
    <w:p>
      <w:pPr>
        <w:ind w:right="160"/>
        <w:spacing w:after="0" w:line="235" w:lineRule="auto"/>
        <w:rPr>
          <w:sz w:val="20"/>
          <w:szCs w:val="20"/>
          <w:color w:val="auto"/>
        </w:rPr>
      </w:pPr>
      <w:r>
        <w:rPr>
          <w:rFonts w:ascii="Arial" w:cs="Arial" w:eastAsia="Arial" w:hAnsi="Arial"/>
          <w:sz w:val="22"/>
          <w:szCs w:val="22"/>
          <w:color w:val="auto"/>
        </w:rPr>
        <w:t>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88" w:lineRule="exact"/>
        <w:rPr>
          <w:sz w:val="20"/>
          <w:szCs w:val="20"/>
          <w:color w:val="auto"/>
        </w:rPr>
      </w:pPr>
    </w:p>
    <w:p>
      <w:pPr>
        <w:ind w:right="80" w:firstLine="1299"/>
        <w:spacing w:after="0" w:line="270" w:lineRule="auto"/>
        <w:tabs>
          <w:tab w:leader="none" w:pos="1928" w:val="left"/>
        </w:tabs>
        <w:numPr>
          <w:ilvl w:val="0"/>
          <w:numId w:val="168"/>
        </w:numPr>
        <w:rPr>
          <w:rFonts w:ascii="Arial" w:cs="Arial" w:eastAsia="Arial" w:hAnsi="Arial"/>
          <w:sz w:val="19"/>
          <w:szCs w:val="19"/>
          <w:color w:val="auto"/>
        </w:rPr>
      </w:pPr>
      <w:r>
        <w:rPr>
          <w:rFonts w:ascii="Arial" w:cs="Arial" w:eastAsia="Arial" w:hAnsi="Arial"/>
          <w:sz w:val="19"/>
          <w:szCs w:val="19"/>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170" w:lineRule="exact"/>
        <w:rPr>
          <w:rFonts w:ascii="Arial" w:cs="Arial" w:eastAsia="Arial" w:hAnsi="Arial"/>
          <w:sz w:val="19"/>
          <w:szCs w:val="19"/>
          <w:color w:val="auto"/>
        </w:rPr>
      </w:pPr>
    </w:p>
    <w:p>
      <w:pPr>
        <w:ind w:right="180" w:firstLine="1299"/>
        <w:spacing w:after="0" w:line="282" w:lineRule="auto"/>
        <w:tabs>
          <w:tab w:leader="none" w:pos="1958"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148"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609.</w:t>
      </w:r>
      <w:r>
        <w:rPr>
          <w:sz w:val="20"/>
          <w:szCs w:val="20"/>
          <w:color w:val="auto"/>
        </w:rPr>
        <w:tab/>
      </w:r>
      <w:r>
        <w:rPr>
          <w:rFonts w:ascii="Arial" w:cs="Arial" w:eastAsia="Arial" w:hAnsi="Arial"/>
          <w:sz w:val="19"/>
          <w:szCs w:val="19"/>
          <w:u w:val="single" w:color="auto"/>
          <w:color w:val="auto"/>
        </w:rPr>
        <w:t>Acceptance of Appointment by Successor.</w:t>
      </w:r>
    </w:p>
    <w:p>
      <w:pPr>
        <w:spacing w:after="0" w:line="206" w:lineRule="exact"/>
        <w:rPr>
          <w:sz w:val="20"/>
          <w:szCs w:val="20"/>
          <w:color w:val="auto"/>
        </w:rPr>
      </w:pPr>
    </w:p>
    <w:p>
      <w:pPr>
        <w:ind w:firstLine="1299"/>
        <w:spacing w:after="0" w:line="275" w:lineRule="auto"/>
        <w:tabs>
          <w:tab w:leader="none" w:pos="1928" w:val="left"/>
        </w:tabs>
        <w:numPr>
          <w:ilvl w:val="0"/>
          <w:numId w:val="169"/>
        </w:numPr>
        <w:rPr>
          <w:rFonts w:ascii="Arial" w:cs="Arial" w:eastAsia="Arial" w:hAnsi="Arial"/>
          <w:sz w:val="19"/>
          <w:szCs w:val="19"/>
          <w:color w:val="auto"/>
        </w:rPr>
      </w:pPr>
      <w:r>
        <w:rPr>
          <w:rFonts w:ascii="Arial" w:cs="Arial" w:eastAsia="Arial" w:hAnsi="Arial"/>
          <w:sz w:val="19"/>
          <w:szCs w:val="19"/>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06" w:name="page207"/>
    <w:bookmarkEnd w:id="206"/>
    <w:p>
      <w:pPr>
        <w:ind w:right="540"/>
        <w:spacing w:after="0" w:line="274" w:lineRule="auto"/>
        <w:rPr>
          <w:sz w:val="20"/>
          <w:szCs w:val="20"/>
          <w:color w:val="auto"/>
        </w:rPr>
      </w:pPr>
      <w:r>
        <w:rPr>
          <w:rFonts w:ascii="Arial" w:cs="Arial" w:eastAsia="Arial" w:hAnsi="Arial"/>
          <w:sz w:val="21"/>
          <w:szCs w:val="21"/>
          <w:color w:val="auto"/>
        </w:rPr>
        <w:t>transfer and deliver to such successor Trustee all property and money held by such retiring Trustee hereunder, subject nevertheless to its claim, if any, provided for in Section 606.</w:t>
      </w:r>
    </w:p>
    <w:p>
      <w:pPr>
        <w:spacing w:after="0" w:line="151" w:lineRule="exact"/>
        <w:rPr>
          <w:sz w:val="20"/>
          <w:szCs w:val="20"/>
          <w:color w:val="auto"/>
        </w:rPr>
      </w:pPr>
    </w:p>
    <w:p>
      <w:pPr>
        <w:ind w:right="20" w:firstLine="1299"/>
        <w:spacing w:after="0" w:line="245" w:lineRule="exact"/>
        <w:tabs>
          <w:tab w:leader="none" w:pos="194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pursuant to Article Nine hereof,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w:t>
      </w:r>
      <w:r>
        <w:rPr>
          <w:rFonts w:ascii="MS PGothic" w:cs="MS PGothic" w:eastAsia="MS PGothic" w:hAnsi="MS PGothic"/>
          <w:sz w:val="19"/>
          <w:szCs w:val="19"/>
          <w:color w:val="auto"/>
        </w:rPr>
        <w:t>‑</w:t>
      </w:r>
      <w:r>
        <w:rPr>
          <w:rFonts w:ascii="Arial" w:cs="Arial" w:eastAsia="Arial" w:hAnsi="Arial"/>
          <w:sz w:val="19"/>
          <w:szCs w:val="19"/>
          <w:color w:val="auto"/>
        </w:rPr>
        <w:t>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200" w:lineRule="exact"/>
        <w:rPr>
          <w:rFonts w:ascii="Arial" w:cs="Arial" w:eastAsia="Arial" w:hAnsi="Arial"/>
          <w:sz w:val="19"/>
          <w:szCs w:val="19"/>
          <w:color w:val="auto"/>
        </w:rPr>
      </w:pPr>
    </w:p>
    <w:p>
      <w:pPr>
        <w:spacing w:after="0" w:line="217" w:lineRule="exact"/>
        <w:rPr>
          <w:rFonts w:ascii="Arial" w:cs="Arial" w:eastAsia="Arial" w:hAnsi="Arial"/>
          <w:sz w:val="19"/>
          <w:szCs w:val="19"/>
          <w:color w:val="auto"/>
        </w:rPr>
      </w:pPr>
    </w:p>
    <w:p>
      <w:pPr>
        <w:jc w:val="both"/>
        <w:ind w:right="80" w:firstLine="1299"/>
        <w:spacing w:after="0" w:line="297" w:lineRule="auto"/>
        <w:tabs>
          <w:tab w:leader="none" w:pos="1941" w:val="left"/>
        </w:tabs>
        <w:numPr>
          <w:ilvl w:val="0"/>
          <w:numId w:val="170"/>
        </w:numPr>
        <w:rPr>
          <w:rFonts w:ascii="Arial" w:cs="Arial" w:eastAsia="Arial" w:hAnsi="Arial"/>
          <w:sz w:val="19"/>
          <w:szCs w:val="19"/>
          <w:color w:val="auto"/>
        </w:rPr>
      </w:pPr>
      <w:r>
        <w:rPr>
          <w:rFonts w:ascii="Arial" w:cs="Arial" w:eastAsia="Arial" w:hAnsi="Arial"/>
          <w:sz w:val="19"/>
          <w:szCs w:val="19"/>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609, as the case may be.</w:t>
      </w:r>
    </w:p>
    <w:p>
      <w:pPr>
        <w:spacing w:after="0" w:line="134" w:lineRule="exact"/>
        <w:rPr>
          <w:rFonts w:ascii="Arial" w:cs="Arial" w:eastAsia="Arial" w:hAnsi="Arial"/>
          <w:sz w:val="19"/>
          <w:szCs w:val="19"/>
          <w:color w:val="auto"/>
        </w:rPr>
      </w:pPr>
    </w:p>
    <w:p>
      <w:pPr>
        <w:ind w:right="580" w:firstLine="1299"/>
        <w:spacing w:after="0" w:line="328" w:lineRule="auto"/>
        <w:tabs>
          <w:tab w:leader="none" w:pos="194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No successor Trustee shall accept its appointment unless at the time of such acceptance such successor Trustee shall be qualified and eligible under this Article.</w:t>
      </w:r>
    </w:p>
    <w:p>
      <w:pPr>
        <w:spacing w:after="0" w:line="105"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SECTION 610. </w:t>
      </w:r>
      <w:r>
        <w:rPr>
          <w:rFonts w:ascii="Arial" w:cs="Arial" w:eastAsia="Arial" w:hAnsi="Arial"/>
          <w:sz w:val="19"/>
          <w:szCs w:val="19"/>
          <w:u w:val="single" w:color="auto"/>
          <w:color w:val="auto"/>
        </w:rPr>
        <w:t>Merger, Conversion, Consolidation or Succession to Business</w:t>
      </w:r>
      <w:r>
        <w:rPr>
          <w:rFonts w:ascii="Arial" w:cs="Arial" w:eastAsia="Arial" w:hAnsi="Arial"/>
          <w:sz w:val="19"/>
          <w:szCs w:val="19"/>
          <w:color w:val="auto"/>
        </w:rPr>
        <w:t>.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Securities or coupons shall not have been authenticated by such predecessor Trustee, any such successor Trustee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07" w:name="page208"/>
    <w:bookmarkEnd w:id="207"/>
    <w:p>
      <w:pPr>
        <w:spacing w:after="0" w:line="241" w:lineRule="auto"/>
        <w:rPr>
          <w:sz w:val="20"/>
          <w:szCs w:val="20"/>
          <w:color w:val="auto"/>
        </w:rPr>
      </w:pPr>
      <w:r>
        <w:rPr>
          <w:rFonts w:ascii="Arial" w:cs="Arial" w:eastAsia="Arial" w:hAnsi="Arial"/>
          <w:sz w:val="22"/>
          <w:szCs w:val="22"/>
          <w:color w:val="auto"/>
        </w:rPr>
        <w:t>may authenticate and deliver such Securities or coupons, in either its own name or that of its predecessor Trustee, with the full force and effect which this Indenture provides for the certificate of authentication of the Trustee.</w:t>
      </w:r>
    </w:p>
    <w:p>
      <w:pPr>
        <w:spacing w:after="0" w:line="184" w:lineRule="exact"/>
        <w:rPr>
          <w:sz w:val="20"/>
          <w:szCs w:val="20"/>
          <w:color w:val="auto"/>
        </w:rPr>
      </w:pPr>
    </w:p>
    <w:p>
      <w:pPr>
        <w:ind w:right="60" w:firstLine="648"/>
        <w:spacing w:after="0" w:line="269" w:lineRule="auto"/>
        <w:rPr>
          <w:sz w:val="20"/>
          <w:szCs w:val="20"/>
          <w:color w:val="auto"/>
        </w:rPr>
      </w:pPr>
      <w:r>
        <w:rPr>
          <w:rFonts w:ascii="Arial" w:cs="Arial" w:eastAsia="Arial" w:hAnsi="Arial"/>
          <w:sz w:val="19"/>
          <w:szCs w:val="19"/>
          <w:color w:val="auto"/>
        </w:rPr>
        <w:t xml:space="preserve">SECTION 611. </w:t>
      </w:r>
      <w:r>
        <w:rPr>
          <w:rFonts w:ascii="Arial" w:cs="Arial" w:eastAsia="Arial" w:hAnsi="Arial"/>
          <w:sz w:val="19"/>
          <w:szCs w:val="19"/>
          <w:u w:val="single" w:color="auto"/>
          <w:color w:val="auto"/>
        </w:rPr>
        <w:t>Appointment of Authenticating Agent</w:t>
      </w:r>
      <w:r>
        <w:rPr>
          <w:rFonts w:ascii="Arial" w:cs="Arial" w:eastAsia="Arial" w:hAnsi="Arial"/>
          <w:sz w:val="19"/>
          <w:szCs w:val="19"/>
          <w:color w:val="auto"/>
        </w:rPr>
        <w:t>. At any time when any of the Securities remain Outstanding, the Trustee may appoint an Authenticating Agent or Agents with respect to one or more series of Securities which shall be authorized to act on behalf of the Trustee to authenticate Securities of such series issued upon conversion or exchange, registration of transfer or partial redemption or repayment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$50,000,000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r>
        <w:rPr>
          <w:rFonts w:ascii="Arial" w:cs="Arial" w:eastAsia="Arial" w:hAnsi="Arial"/>
          <w:sz w:val="19"/>
          <w:szCs w:val="19"/>
          <w:u w:val="single" w:color="auto"/>
          <w:color w:val="auto"/>
        </w:rPr>
        <w:t>.</w:t>
      </w:r>
    </w:p>
    <w:p>
      <w:pPr>
        <w:spacing w:after="0" w:line="200" w:lineRule="exact"/>
        <w:rPr>
          <w:sz w:val="20"/>
          <w:szCs w:val="20"/>
          <w:color w:val="auto"/>
        </w:rPr>
      </w:pPr>
    </w:p>
    <w:p>
      <w:pPr>
        <w:spacing w:after="0" w:line="220"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51" w:lineRule="exact"/>
        <w:rPr>
          <w:sz w:val="20"/>
          <w:szCs w:val="20"/>
          <w:color w:val="auto"/>
        </w:rPr>
      </w:pPr>
    </w:p>
    <w:p>
      <w:pPr>
        <w:ind w:right="80" w:firstLine="648"/>
        <w:spacing w:after="0" w:line="273" w:lineRule="auto"/>
        <w:rPr>
          <w:sz w:val="20"/>
          <w:szCs w:val="20"/>
          <w:color w:val="auto"/>
        </w:rPr>
      </w:pPr>
      <w:r>
        <w:rPr>
          <w:rFonts w:ascii="Arial" w:cs="Arial" w:eastAsia="Arial" w:hAnsi="Arial"/>
          <w:sz w:val="19"/>
          <w:szCs w:val="19"/>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08" w:name="page209"/>
    <w:bookmarkEnd w:id="208"/>
    <w:p>
      <w:pPr>
        <w:ind w:right="440"/>
        <w:spacing w:after="0" w:line="251" w:lineRule="auto"/>
        <w:rPr>
          <w:sz w:val="20"/>
          <w:szCs w:val="20"/>
          <w:color w:val="auto"/>
        </w:rPr>
      </w:pPr>
      <w:r>
        <w:rPr>
          <w:rFonts w:ascii="Arial" w:cs="Arial" w:eastAsia="Arial" w:hAnsi="Arial"/>
          <w:sz w:val="22"/>
          <w:szCs w:val="22"/>
          <w:color w:val="auto"/>
        </w:rPr>
        <w:t>Authenticating Agent herein. No successor Authenticating Agent shall be appointed unless eligible under the provisions of this Section.</w:t>
      </w:r>
    </w:p>
    <w:p>
      <w:pPr>
        <w:spacing w:after="0" w:line="174" w:lineRule="exact"/>
        <w:rPr>
          <w:sz w:val="20"/>
          <w:szCs w:val="20"/>
          <w:color w:val="auto"/>
        </w:rPr>
      </w:pPr>
    </w:p>
    <w:p>
      <w:pPr>
        <w:ind w:right="340" w:firstLine="648"/>
        <w:spacing w:after="0"/>
        <w:rPr>
          <w:sz w:val="20"/>
          <w:szCs w:val="20"/>
          <w:color w:val="auto"/>
        </w:rPr>
      </w:pPr>
      <w:r>
        <w:rPr>
          <w:rFonts w:ascii="Arial" w:cs="Arial" w:eastAsia="Arial" w:hAnsi="Arial"/>
          <w:sz w:val="22"/>
          <w:szCs w:val="22"/>
          <w:color w:val="auto"/>
        </w:rPr>
        <w:t>The Company agrees to pay to each Authenticating Agent from time to time reasonable compensation including reimbursement of its reasonable expenses for its services under this Section, subject to Section 606.</w:t>
      </w:r>
    </w:p>
    <w:p>
      <w:pPr>
        <w:spacing w:after="0" w:line="186" w:lineRule="exact"/>
        <w:rPr>
          <w:sz w:val="20"/>
          <w:szCs w:val="20"/>
          <w:color w:val="auto"/>
        </w:rPr>
      </w:pPr>
    </w:p>
    <w:p>
      <w:pPr>
        <w:ind w:right="140" w:firstLine="648"/>
        <w:spacing w:after="0" w:line="297" w:lineRule="auto"/>
        <w:rPr>
          <w:sz w:val="20"/>
          <w:szCs w:val="20"/>
          <w:color w:val="auto"/>
        </w:rPr>
      </w:pPr>
      <w:r>
        <w:rPr>
          <w:rFonts w:ascii="Arial" w:cs="Arial" w:eastAsia="Arial" w:hAnsi="Arial"/>
          <w:sz w:val="19"/>
          <w:szCs w:val="19"/>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34" w:lineRule="exact"/>
        <w:rPr>
          <w:sz w:val="20"/>
          <w:szCs w:val="20"/>
          <w:color w:val="auto"/>
        </w:rPr>
      </w:pPr>
    </w:p>
    <w:p>
      <w:pPr>
        <w:ind w:right="120" w:firstLine="648"/>
        <w:spacing w:after="0" w:line="259" w:lineRule="exact"/>
        <w:rPr>
          <w:sz w:val="20"/>
          <w:szCs w:val="20"/>
          <w:color w:val="auto"/>
        </w:rPr>
      </w:pPr>
      <w:r>
        <w:rPr>
          <w:rFonts w:ascii="Arial" w:cs="Arial" w:eastAsia="Arial" w:hAnsi="Arial"/>
          <w:sz w:val="22"/>
          <w:szCs w:val="22"/>
          <w:color w:val="auto"/>
        </w:rPr>
        <w:t>This is one of the Securities of the series designated therein referred to in the within</w:t>
      </w:r>
      <w:r>
        <w:rPr>
          <w:rFonts w:ascii="MS PGothic" w:cs="MS PGothic" w:eastAsia="MS PGothic" w:hAnsi="MS PGothic"/>
          <w:sz w:val="22"/>
          <w:szCs w:val="22"/>
          <w:color w:val="auto"/>
        </w:rPr>
        <w:t>‑</w:t>
      </w:r>
      <w:r>
        <w:rPr>
          <w:rFonts w:ascii="Arial" w:cs="Arial" w:eastAsia="Arial" w:hAnsi="Arial"/>
          <w:sz w:val="22"/>
          <w:szCs w:val="22"/>
          <w:color w:val="auto"/>
        </w:rPr>
        <w:t xml:space="preserve"> mentioned Indenture.</w:t>
      </w:r>
    </w:p>
    <w:p>
      <w:pPr>
        <w:spacing w:after="0" w:line="157" w:lineRule="exact"/>
        <w:rPr>
          <w:sz w:val="20"/>
          <w:szCs w:val="20"/>
          <w:color w:val="auto"/>
        </w:rPr>
      </w:pPr>
    </w:p>
    <w:tbl>
      <w:tblPr>
        <w:tblLayout w:type="fixed"/>
        <w:tblInd w:w="4560" w:type="dxa"/>
        <w:tblCellMar>
          <w:top w:w="0" w:type="dxa"/>
          <w:left w:w="0" w:type="dxa"/>
          <w:bottom w:w="0" w:type="dxa"/>
          <w:right w:w="0" w:type="dxa"/>
        </w:tblCellMar>
      </w:tblPr>
      <w:tr>
        <w:trPr>
          <w:trHeight w:val="253"/>
        </w:trPr>
        <w:tc>
          <w:tcPr>
            <w:tcW w:w="60" w:type="dxa"/>
            <w:vAlign w:val="bottom"/>
          </w:tcPr>
          <w:p>
            <w:pPr>
              <w:spacing w:after="0"/>
              <w:rPr>
                <w:sz w:val="20"/>
                <w:szCs w:val="20"/>
                <w:color w:val="auto"/>
              </w:rPr>
            </w:pPr>
            <w:r>
              <w:rPr>
                <w:rFonts w:ascii="Arial" w:cs="Arial" w:eastAsia="Arial" w:hAnsi="Arial"/>
                <w:sz w:val="19"/>
                <w:szCs w:val="19"/>
                <w:color w:val="auto"/>
                <w:w w:val="74"/>
              </w:rPr>
              <w:t>[</w:t>
            </w:r>
          </w:p>
        </w:tc>
        <w:tc>
          <w:tcPr>
            <w:tcW w:w="13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22"/>
                <w:szCs w:val="22"/>
                <w:color w:val="auto"/>
                <w:w w:val="97"/>
              </w:rPr>
              <w:t>]</w:t>
            </w:r>
          </w:p>
        </w:tc>
      </w:tr>
      <w:tr>
        <w:trPr>
          <w:trHeight w:val="274"/>
        </w:trPr>
        <w:tc>
          <w:tcPr>
            <w:tcW w:w="1360" w:type="dxa"/>
            <w:vAlign w:val="bottom"/>
            <w:gridSpan w:val="2"/>
          </w:tcPr>
          <w:p>
            <w:pPr>
              <w:spacing w:after="0"/>
              <w:rPr>
                <w:sz w:val="20"/>
                <w:szCs w:val="20"/>
                <w:color w:val="auto"/>
              </w:rPr>
            </w:pPr>
            <w:r>
              <w:rPr>
                <w:rFonts w:ascii="Arial" w:cs="Arial" w:eastAsia="Arial" w:hAnsi="Arial"/>
                <w:sz w:val="22"/>
                <w:szCs w:val="22"/>
                <w:color w:val="auto"/>
              </w:rPr>
              <w:t>as Trustee</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pacing w:after="0" w:line="212" w:lineRule="exact"/>
        <w:rPr>
          <w:sz w:val="20"/>
          <w:szCs w:val="20"/>
          <w:color w:val="auto"/>
        </w:rPr>
      </w:pPr>
    </w:p>
    <w:p>
      <w:pPr>
        <w:spacing w:after="0"/>
        <w:tabs>
          <w:tab w:leader="none" w:pos="454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7620</wp:posOffset>
            </wp:positionV>
            <wp:extent cx="265874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658745" cy="8890"/>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7620</wp:posOffset>
            </wp:positionV>
            <wp:extent cx="102044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as Authenticating Agent</w:t>
      </w:r>
    </w:p>
    <w:p>
      <w:pPr>
        <w:spacing w:after="0" w:line="215" w:lineRule="exact"/>
        <w:rPr>
          <w:sz w:val="20"/>
          <w:szCs w:val="20"/>
          <w:color w:val="auto"/>
        </w:rPr>
      </w:pPr>
    </w:p>
    <w:p>
      <w:pPr>
        <w:spacing w:after="0"/>
        <w:tabs>
          <w:tab w:leader="none" w:pos="454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7620</wp:posOffset>
            </wp:positionV>
            <wp:extent cx="265874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58745" cy="8890"/>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7620</wp:posOffset>
            </wp:positionV>
            <wp:extent cx="102044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as Authenticating Agent</w:t>
      </w:r>
    </w:p>
    <w:p>
      <w:pPr>
        <w:spacing w:after="0" w:line="215"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612.</w:t>
      </w:r>
      <w:r>
        <w:rPr>
          <w:sz w:val="20"/>
          <w:szCs w:val="20"/>
          <w:color w:val="auto"/>
        </w:rPr>
        <w:tab/>
      </w:r>
      <w:r>
        <w:rPr>
          <w:rFonts w:ascii="Arial" w:cs="Arial" w:eastAsia="Arial" w:hAnsi="Arial"/>
          <w:sz w:val="19"/>
          <w:szCs w:val="19"/>
          <w:u w:val="single" w:color="auto"/>
          <w:color w:val="auto"/>
        </w:rPr>
        <w:t>Certain Duties and Responsibilities of the Trustee.</w:t>
      </w:r>
    </w:p>
    <w:p>
      <w:pPr>
        <w:spacing w:after="0" w:line="206" w:lineRule="exact"/>
        <w:rPr>
          <w:sz w:val="20"/>
          <w:szCs w:val="20"/>
          <w:color w:val="auto"/>
        </w:rPr>
      </w:pPr>
    </w:p>
    <w:p>
      <w:pPr>
        <w:ind w:left="660" w:right="200" w:firstLine="639"/>
        <w:spacing w:after="0" w:line="251" w:lineRule="auto"/>
        <w:tabs>
          <w:tab w:leader="none" w:pos="199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With respect to the Securities of any series, except during the continuance of an Event of Default with respect to the Securities of such series:</w:t>
      </w:r>
    </w:p>
    <w:p>
      <w:pPr>
        <w:spacing w:after="0" w:line="173" w:lineRule="exact"/>
        <w:rPr>
          <w:sz w:val="20"/>
          <w:szCs w:val="20"/>
          <w:color w:val="auto"/>
        </w:rPr>
      </w:pPr>
    </w:p>
    <w:p>
      <w:pPr>
        <w:ind w:left="660" w:right="60" w:firstLine="639"/>
        <w:spacing w:after="0"/>
        <w:tabs>
          <w:tab w:leader="none" w:pos="2006"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Trustee undertakes to perform such duties and only such duties as are specifically set forth in this Indenture, and no implied covenants or obligations shall be read into this Indenture against the Trustee; and</w:t>
      </w:r>
    </w:p>
    <w:p>
      <w:pPr>
        <w:spacing w:after="0" w:line="186" w:lineRule="exact"/>
        <w:rPr>
          <w:rFonts w:ascii="Arial" w:cs="Arial" w:eastAsia="Arial" w:hAnsi="Arial"/>
          <w:sz w:val="22"/>
          <w:szCs w:val="22"/>
          <w:color w:val="auto"/>
        </w:rPr>
      </w:pPr>
    </w:p>
    <w:p>
      <w:pPr>
        <w:ind w:left="660" w:firstLine="639"/>
        <w:spacing w:after="0" w:line="277" w:lineRule="auto"/>
        <w:tabs>
          <w:tab w:leader="none" w:pos="2006" w:val="left"/>
        </w:tabs>
        <w:numPr>
          <w:ilvl w:val="0"/>
          <w:numId w:val="172"/>
        </w:numPr>
        <w:rPr>
          <w:rFonts w:ascii="Arial" w:cs="Arial" w:eastAsia="Arial" w:hAnsi="Arial"/>
          <w:sz w:val="19"/>
          <w:szCs w:val="19"/>
          <w:color w:val="auto"/>
        </w:rPr>
      </w:pPr>
      <w:r>
        <w:rPr>
          <w:rFonts w:ascii="Arial" w:cs="Arial" w:eastAsia="Arial" w:hAnsi="Arial"/>
          <w:sz w:val="19"/>
          <w:szCs w:val="19"/>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shall not be under any duty to verify the contents or accuracy thereof.</w:t>
      </w:r>
    </w:p>
    <w:p>
      <w:pPr>
        <w:spacing w:after="0" w:line="153" w:lineRule="exact"/>
        <w:rPr>
          <w:sz w:val="20"/>
          <w:szCs w:val="20"/>
          <w:color w:val="auto"/>
        </w:rPr>
      </w:pPr>
    </w:p>
    <w:p>
      <w:pPr>
        <w:ind w:right="220" w:firstLine="1299"/>
        <w:spacing w:after="0" w:line="236" w:lineRule="auto"/>
        <w:tabs>
          <w:tab w:leader="none" w:pos="194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In case an Event of Default with respect to the Securities of any series has occurred and is continuing, the Trustee shall, with respect to Securities of such series, exercise such of the rights and powers vested in it by this Indenture, and use the same degree of care and skill in their exercise, as a prudent man would exercise or use under the circumstances in the conduct of his own affairs.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09" w:name="page210"/>
    <w:bookmarkEnd w:id="209"/>
    <w:p>
      <w:pPr>
        <w:jc w:val="both"/>
        <w:ind w:right="480" w:firstLine="1299"/>
        <w:spacing w:after="0" w:line="241" w:lineRule="auto"/>
        <w:tabs>
          <w:tab w:leader="none" w:pos="1941" w:val="left"/>
        </w:tabs>
        <w:numPr>
          <w:ilvl w:val="0"/>
          <w:numId w:val="174"/>
        </w:numPr>
        <w:rPr>
          <w:rFonts w:ascii="Arial" w:cs="Arial" w:eastAsia="Arial" w:hAnsi="Arial"/>
          <w:sz w:val="22"/>
          <w:szCs w:val="22"/>
          <w:color w:val="auto"/>
        </w:rPr>
      </w:pPr>
      <w:r>
        <w:rPr>
          <w:rFonts w:ascii="Arial" w:cs="Arial" w:eastAsia="Arial" w:hAnsi="Arial"/>
          <w:sz w:val="22"/>
          <w:szCs w:val="22"/>
          <w:color w:val="auto"/>
        </w:rPr>
        <w:t>No provision of this Indenture shall be construed to relieve the Trustee from liability for its own negligent action, its own negligent failure to act, or its own willful misconduct, except that:</w:t>
      </w:r>
    </w:p>
    <w:p>
      <w:pPr>
        <w:spacing w:after="0" w:line="184" w:lineRule="exact"/>
        <w:rPr>
          <w:sz w:val="20"/>
          <w:szCs w:val="20"/>
          <w:color w:val="auto"/>
        </w:rPr>
      </w:pPr>
    </w:p>
    <w:p>
      <w:pPr>
        <w:ind w:left="1940" w:hanging="641"/>
        <w:spacing w:after="0"/>
        <w:tabs>
          <w:tab w:leader="none" w:pos="194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this Subsection shall not be construed to limit the effect of Subsection (a) of this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Section;</w:t>
      </w:r>
    </w:p>
    <w:p>
      <w:pPr>
        <w:spacing w:after="0" w:line="188" w:lineRule="exact"/>
        <w:rPr>
          <w:sz w:val="20"/>
          <w:szCs w:val="20"/>
          <w:color w:val="auto"/>
        </w:rPr>
      </w:pPr>
    </w:p>
    <w:p>
      <w:pPr>
        <w:ind w:right="20" w:firstLine="1299"/>
        <w:spacing w:after="0"/>
        <w:tabs>
          <w:tab w:leader="none" w:pos="194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the Trustee shall not be liable for any error of judgment made in good faith by a Responsible Officer, unless it shall be proved that the Trustee was negligent in ascertaining the pertinent facts;</w:t>
      </w:r>
    </w:p>
    <w:p>
      <w:pPr>
        <w:spacing w:after="0" w:line="186" w:lineRule="exact"/>
        <w:rPr>
          <w:rFonts w:ascii="Arial" w:cs="Arial" w:eastAsia="Arial" w:hAnsi="Arial"/>
          <w:sz w:val="22"/>
          <w:szCs w:val="22"/>
          <w:color w:val="auto"/>
        </w:rPr>
      </w:pPr>
    </w:p>
    <w:p>
      <w:pPr>
        <w:ind w:right="40" w:firstLine="1299"/>
        <w:spacing w:after="0" w:line="282" w:lineRule="auto"/>
        <w:tabs>
          <w:tab w:leader="none" w:pos="194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the Trustee shall not be liable with respect to any action taken or omitted to be taken by it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and</w:t>
      </w:r>
    </w:p>
    <w:p>
      <w:pPr>
        <w:spacing w:after="0" w:line="147" w:lineRule="exact"/>
        <w:rPr>
          <w:rFonts w:ascii="Arial" w:cs="Arial" w:eastAsia="Arial" w:hAnsi="Arial"/>
          <w:sz w:val="19"/>
          <w:szCs w:val="19"/>
          <w:color w:val="auto"/>
        </w:rPr>
      </w:pPr>
    </w:p>
    <w:p>
      <w:pPr>
        <w:ind w:right="20" w:firstLine="1299"/>
        <w:spacing w:after="0" w:line="277" w:lineRule="auto"/>
        <w:tabs>
          <w:tab w:leader="none" w:pos="194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and, the Trustee shall be under no obligation to exercise any of its rights and powers under this Indenture at the request of any Holder, unless such Holder shall have offered to the Trustee security and indemnity satisfactory to it against any loss, liability or expense.</w:t>
      </w:r>
    </w:p>
    <w:p>
      <w:pPr>
        <w:spacing w:after="0" w:line="153" w:lineRule="exact"/>
        <w:rPr>
          <w:sz w:val="20"/>
          <w:szCs w:val="20"/>
          <w:color w:val="auto"/>
        </w:rPr>
      </w:pPr>
    </w:p>
    <w:p>
      <w:pPr>
        <w:ind w:right="120" w:firstLine="1299"/>
        <w:spacing w:after="0"/>
        <w:tabs>
          <w:tab w:leader="none" w:pos="194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Whether or not therein expressly so provided, every provision of this Indenture relating to the conduct or affecting the liability of or affording protection to the Trustee shall be subject to the provisions of this Section 612.</w:t>
      </w:r>
    </w:p>
    <w:p>
      <w:pPr>
        <w:spacing w:after="0" w:line="186" w:lineRule="exact"/>
        <w:rPr>
          <w:rFonts w:ascii="Arial" w:cs="Arial" w:eastAsia="Arial" w:hAnsi="Arial"/>
          <w:sz w:val="22"/>
          <w:szCs w:val="22"/>
          <w:color w:val="auto"/>
        </w:rPr>
      </w:pPr>
    </w:p>
    <w:p>
      <w:pPr>
        <w:ind w:right="460" w:firstLine="1299"/>
        <w:spacing w:after="0" w:line="297" w:lineRule="auto"/>
        <w:tabs>
          <w:tab w:leader="none" w:pos="1928" w:val="left"/>
        </w:tabs>
        <w:numPr>
          <w:ilvl w:val="0"/>
          <w:numId w:val="177"/>
        </w:numPr>
        <w:rPr>
          <w:rFonts w:ascii="Arial" w:cs="Arial" w:eastAsia="Arial" w:hAnsi="Arial"/>
          <w:sz w:val="19"/>
          <w:szCs w:val="19"/>
          <w:color w:val="auto"/>
        </w:rPr>
      </w:pPr>
      <w:r>
        <w:rPr>
          <w:rFonts w:ascii="Arial" w:cs="Arial" w:eastAsia="Arial" w:hAnsi="Arial"/>
          <w:sz w:val="19"/>
          <w:szCs w:val="19"/>
          <w:color w:val="auto"/>
        </w:rPr>
        <w:t>The Trustee shall not be liable for interest on any money or assets held by it except to the extent the Trustee may agree in writing with the Company. Assets held in trust by the Trustee need not be segregated from other assets except to the extent required by law.</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SEVEN - HOLDERS’ LISTS AND REPORTS BY TRUSTEE AND COMPANY</w:t>
      </w:r>
    </w:p>
    <w:p>
      <w:pPr>
        <w:spacing w:after="0" w:line="20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9"/>
          <w:szCs w:val="19"/>
          <w:color w:val="auto"/>
        </w:rPr>
        <w:t xml:space="preserve">SECTION 701. </w:t>
      </w:r>
      <w:r>
        <w:rPr>
          <w:rFonts w:ascii="Arial" w:cs="Arial" w:eastAsia="Arial" w:hAnsi="Arial"/>
          <w:sz w:val="19"/>
          <w:szCs w:val="19"/>
          <w:u w:val="single" w:color="auto"/>
          <w:color w:val="auto"/>
        </w:rPr>
        <w:t>Disclosure of Names and Addresses of Holders</w:t>
      </w:r>
      <w:r>
        <w:rPr>
          <w:rFonts w:ascii="Arial" w:cs="Arial" w:eastAsia="Arial" w:hAnsi="Arial"/>
          <w:sz w:val="19"/>
          <w:szCs w:val="19"/>
          <w:color w:val="auto"/>
        </w:rPr>
        <w:t>. Every Holder of Securities or coupons, by receiving and holding the same, agrees with the Company and the Trustee that neither the Company nor the Trustee nor any Authenticating Agent nor any Paying Agent nor any Security Registrar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any material pursuant to a request made under TIA Section 312(b).</w:t>
      </w:r>
    </w:p>
    <w:p>
      <w:pPr>
        <w:spacing w:after="0" w:line="153"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u w:val="single" w:color="auto"/>
          <w:color w:val="auto"/>
        </w:rPr>
        <w:t>Reports by Trustee</w:t>
      </w:r>
      <w:r>
        <w:rPr>
          <w:rFonts w:ascii="Arial" w:cs="Arial" w:eastAsia="Arial" w:hAnsi="Arial"/>
          <w:sz w:val="19"/>
          <w:szCs w:val="19"/>
          <w:color w:val="auto"/>
        </w:rPr>
        <w:t>. The Trustee shall transmit to Holders such reports concerning the Trustee and its actions under this Indenture as may be required by TIA Section 313 at the times and in the manner provided by the TIA, which shall initially be not less than every twelve months commencing on __________, 20__. A copy of each such report shall, at the time of such transmission</w:t>
      </w:r>
    </w:p>
    <w:p>
      <w:pPr>
        <w:spacing w:after="0" w:line="4" w:lineRule="exact"/>
        <w:rPr>
          <w:sz w:val="20"/>
          <w:szCs w:val="20"/>
          <w:color w:val="auto"/>
        </w:rPr>
      </w:pPr>
    </w:p>
    <w:p>
      <w:pPr>
        <w:ind w:right="440"/>
        <w:spacing w:after="0" w:line="308" w:lineRule="auto"/>
        <w:rPr>
          <w:sz w:val="20"/>
          <w:szCs w:val="20"/>
          <w:color w:val="auto"/>
        </w:rPr>
      </w:pPr>
      <w:r>
        <w:rPr>
          <w:rFonts w:ascii="Arial" w:cs="Arial" w:eastAsia="Arial" w:hAnsi="Arial"/>
          <w:sz w:val="19"/>
          <w:szCs w:val="19"/>
          <w:color w:val="auto"/>
        </w:rPr>
        <w:t>to Holders, be filed by the Trustee with each over-the-counter market or securities exchange, if any, upon which any Securities are quoted or listed, with the Commission and with the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10" w:name="page211"/>
    <w:bookmarkEnd w:id="210"/>
    <w:p>
      <w:pPr>
        <w:ind w:right="200"/>
        <w:spacing w:after="0" w:line="251" w:lineRule="auto"/>
        <w:rPr>
          <w:sz w:val="20"/>
          <w:szCs w:val="20"/>
          <w:color w:val="auto"/>
        </w:rPr>
      </w:pPr>
      <w:r>
        <w:rPr>
          <w:rFonts w:ascii="Arial" w:cs="Arial" w:eastAsia="Arial" w:hAnsi="Arial"/>
          <w:sz w:val="22"/>
          <w:szCs w:val="22"/>
          <w:color w:val="auto"/>
        </w:rPr>
        <w:t>Company. The Company will notify the Trustee when any Securities are quoted or listed on any over-the-counter market or securities exchange or delisted therefrom.</w:t>
      </w:r>
    </w:p>
    <w:p>
      <w:pPr>
        <w:spacing w:after="0" w:line="174"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703.</w:t>
      </w:r>
      <w:r>
        <w:rPr>
          <w:sz w:val="20"/>
          <w:szCs w:val="20"/>
          <w:color w:val="auto"/>
        </w:rPr>
        <w:tab/>
      </w:r>
      <w:r>
        <w:rPr>
          <w:rFonts w:ascii="Arial" w:cs="Arial" w:eastAsia="Arial" w:hAnsi="Arial"/>
          <w:sz w:val="19"/>
          <w:szCs w:val="19"/>
          <w:u w:val="single" w:color="auto"/>
          <w:color w:val="auto"/>
        </w:rPr>
        <w:t>Reports by Company</w:t>
      </w:r>
      <w:r>
        <w:rPr>
          <w:rFonts w:ascii="Arial" w:cs="Arial" w:eastAsia="Arial" w:hAnsi="Arial"/>
          <w:sz w:val="19"/>
          <w:szCs w:val="19"/>
          <w:color w:val="auto"/>
        </w:rPr>
        <w:t>. The Company will:</w:t>
      </w:r>
    </w:p>
    <w:p>
      <w:pPr>
        <w:spacing w:after="0" w:line="206" w:lineRule="exact"/>
        <w:rPr>
          <w:sz w:val="20"/>
          <w:szCs w:val="20"/>
          <w:color w:val="auto"/>
        </w:rPr>
      </w:pPr>
    </w:p>
    <w:p>
      <w:pPr>
        <w:ind w:left="660" w:firstLine="639"/>
        <w:spacing w:after="0" w:line="272" w:lineRule="auto"/>
        <w:tabs>
          <w:tab w:leader="none" w:pos="2006" w:val="left"/>
        </w:tabs>
        <w:numPr>
          <w:ilvl w:val="0"/>
          <w:numId w:val="178"/>
        </w:numPr>
        <w:rPr>
          <w:rFonts w:ascii="Arial" w:cs="Arial" w:eastAsia="Arial" w:hAnsi="Arial"/>
          <w:sz w:val="19"/>
          <w:szCs w:val="19"/>
          <w:color w:val="auto"/>
        </w:rPr>
      </w:pPr>
      <w:r>
        <w:rPr>
          <w:rFonts w:ascii="Arial" w:cs="Arial" w:eastAsia="Arial" w:hAnsi="Arial"/>
          <w:sz w:val="19"/>
          <w:szCs w:val="19"/>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as an accelerated filer with the Commission pursuant to Section 13 or Section 15(d) of the Exchange Act (and if the Company’s status as an accelerated filer changes, the Company shall provide written notice of such change to the Trustee); or, if the Company is not required to file information, documents or reports pursuant to either of such Sections, then it will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quoted or listed and registered on an over-the-counter market or national securities exchange as may be prescribed from time to time in such rules and regulations;</w:t>
      </w:r>
    </w:p>
    <w:p>
      <w:pPr>
        <w:spacing w:after="0" w:line="157" w:lineRule="exact"/>
        <w:rPr>
          <w:rFonts w:ascii="Arial" w:cs="Arial" w:eastAsia="Arial" w:hAnsi="Arial"/>
          <w:sz w:val="19"/>
          <w:szCs w:val="19"/>
          <w:color w:val="auto"/>
        </w:rPr>
      </w:pPr>
    </w:p>
    <w:p>
      <w:pPr>
        <w:ind w:left="660" w:right="140" w:firstLine="639"/>
        <w:spacing w:after="0" w:line="287" w:lineRule="auto"/>
        <w:tabs>
          <w:tab w:leader="none" w:pos="2006" w:val="left"/>
        </w:tabs>
        <w:numPr>
          <w:ilvl w:val="0"/>
          <w:numId w:val="178"/>
        </w:numPr>
        <w:rPr>
          <w:rFonts w:ascii="Arial" w:cs="Arial" w:eastAsia="Arial" w:hAnsi="Arial"/>
          <w:sz w:val="19"/>
          <w:szCs w:val="19"/>
          <w:color w:val="auto"/>
        </w:rPr>
      </w:pPr>
      <w:r>
        <w:rPr>
          <w:rFonts w:ascii="Arial" w:cs="Arial" w:eastAsia="Arial" w:hAnsi="Arial"/>
          <w:sz w:val="19"/>
          <w:szCs w:val="19"/>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w:t>
      </w:r>
    </w:p>
    <w:p>
      <w:pPr>
        <w:spacing w:after="0" w:line="143" w:lineRule="exact"/>
        <w:rPr>
          <w:rFonts w:ascii="Arial" w:cs="Arial" w:eastAsia="Arial" w:hAnsi="Arial"/>
          <w:sz w:val="19"/>
          <w:szCs w:val="19"/>
          <w:color w:val="auto"/>
        </w:rPr>
      </w:pPr>
    </w:p>
    <w:p>
      <w:pPr>
        <w:ind w:left="660" w:right="260" w:firstLine="639"/>
        <w:spacing w:after="0" w:line="249" w:lineRule="auto"/>
        <w:tabs>
          <w:tab w:leader="none" w:pos="2006" w:val="left"/>
        </w:tabs>
        <w:numPr>
          <w:ilvl w:val="0"/>
          <w:numId w:val="178"/>
        </w:numPr>
        <w:rPr>
          <w:rFonts w:ascii="Arial" w:cs="Arial" w:eastAsia="Arial" w:hAnsi="Arial"/>
          <w:sz w:val="21"/>
          <w:szCs w:val="21"/>
          <w:color w:val="auto"/>
        </w:rPr>
      </w:pPr>
      <w:r>
        <w:rPr>
          <w:rFonts w:ascii="Arial" w:cs="Arial" w:eastAsia="Arial" w:hAnsi="Arial"/>
          <w:sz w:val="21"/>
          <w:szCs w:val="21"/>
          <w:color w:val="auto"/>
        </w:rPr>
        <w:t>transmit by mail to the Holders of Securities, within 30 days after the filing thereof with the Trustee, in the manner and to the extent provided in TIA Section 313(c), such summaries of any information, documents and reports required to be filed by the Company pursuant to paragraphs (1) and (2) of this Section as may be required by rules and regulations prescribed from time to time by the Commission; and</w:t>
      </w:r>
    </w:p>
    <w:p>
      <w:pPr>
        <w:spacing w:after="0" w:line="178" w:lineRule="exact"/>
        <w:rPr>
          <w:rFonts w:ascii="Arial" w:cs="Arial" w:eastAsia="Arial" w:hAnsi="Arial"/>
          <w:sz w:val="21"/>
          <w:szCs w:val="21"/>
          <w:color w:val="auto"/>
        </w:rPr>
      </w:pPr>
    </w:p>
    <w:p>
      <w:pPr>
        <w:ind w:left="660" w:right="80" w:firstLine="639"/>
        <w:spacing w:after="0" w:line="249" w:lineRule="auto"/>
        <w:tabs>
          <w:tab w:leader="none" w:pos="2006" w:val="left"/>
        </w:tabs>
        <w:numPr>
          <w:ilvl w:val="0"/>
          <w:numId w:val="178"/>
        </w:numPr>
        <w:rPr>
          <w:rFonts w:ascii="Arial" w:cs="Arial" w:eastAsia="Arial" w:hAnsi="Arial"/>
          <w:sz w:val="21"/>
          <w:szCs w:val="21"/>
          <w:color w:val="auto"/>
        </w:rPr>
      </w:pPr>
      <w:r>
        <w:rPr>
          <w:rFonts w:ascii="Arial" w:cs="Arial" w:eastAsia="Arial" w:hAnsi="Arial"/>
          <w:sz w:val="21"/>
          <w:szCs w:val="21"/>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79" w:lineRule="exact"/>
        <w:rPr>
          <w:sz w:val="20"/>
          <w:szCs w:val="20"/>
          <w:color w:val="auto"/>
        </w:rPr>
      </w:pPr>
    </w:p>
    <w:p>
      <w:pPr>
        <w:ind w:right="820" w:firstLine="648"/>
        <w:spacing w:after="0" w:line="251" w:lineRule="auto"/>
        <w:rPr>
          <w:sz w:val="20"/>
          <w:szCs w:val="20"/>
          <w:color w:val="auto"/>
        </w:rPr>
      </w:pPr>
      <w:r>
        <w:rPr>
          <w:rFonts w:ascii="Arial" w:cs="Arial" w:eastAsia="Arial" w:hAnsi="Arial"/>
          <w:sz w:val="22"/>
          <w:szCs w:val="22"/>
          <w:color w:val="auto"/>
        </w:rPr>
        <w:t xml:space="preserve">SECTION 704. </w:t>
      </w:r>
      <w:r>
        <w:rPr>
          <w:rFonts w:ascii="Arial" w:cs="Arial" w:eastAsia="Arial" w:hAnsi="Arial"/>
          <w:sz w:val="22"/>
          <w:szCs w:val="22"/>
          <w:u w:val="single" w:color="auto"/>
          <w:color w:val="auto"/>
        </w:rPr>
        <w:t>Company to Furnish Trustee Names and Addresses of Holders</w:t>
      </w:r>
      <w:r>
        <w:rPr>
          <w:rFonts w:ascii="Arial" w:cs="Arial" w:eastAsia="Arial" w:hAnsi="Arial"/>
          <w:sz w:val="22"/>
          <w:szCs w:val="22"/>
          <w:color w:val="auto"/>
        </w:rPr>
        <w:t>. The Company will furnish or cause to be furnished to the Trustee:</w:t>
      </w:r>
    </w:p>
    <w:p>
      <w:pPr>
        <w:spacing w:after="0" w:line="173" w:lineRule="exact"/>
        <w:rPr>
          <w:sz w:val="20"/>
          <w:szCs w:val="20"/>
          <w:color w:val="auto"/>
        </w:rPr>
      </w:pPr>
    </w:p>
    <w:p>
      <w:pPr>
        <w:ind w:right="60" w:firstLine="1299"/>
        <w:spacing w:after="0" w:line="282" w:lineRule="auto"/>
        <w:tabs>
          <w:tab w:leader="none" w:pos="1928" w:val="left"/>
        </w:tabs>
        <w:numPr>
          <w:ilvl w:val="0"/>
          <w:numId w:val="179"/>
        </w:numPr>
        <w:rPr>
          <w:rFonts w:ascii="Arial" w:cs="Arial" w:eastAsia="Arial" w:hAnsi="Arial"/>
          <w:sz w:val="19"/>
          <w:szCs w:val="19"/>
          <w:color w:val="auto"/>
        </w:rPr>
      </w:pPr>
      <w:r>
        <w:rPr>
          <w:rFonts w:ascii="Arial" w:cs="Arial" w:eastAsia="Arial" w:hAnsi="Arial"/>
          <w:sz w:val="19"/>
          <w:szCs w:val="19"/>
          <w:color w:val="auto"/>
        </w:rPr>
        <w:t>semiannually, not later than 15 days after the Regular Record Date for interest for each series of Securities, a list, in such form as the Trustee may reasonably require, of the names and addresses of the Holders of Registered Securities of such series as of such Regular Record Date, or if there is no Regular Record Date for interest for such series of Securities, semiannually, upon such dates as are set forth in the Board Resolution or indenture supplemental hereto authorizing such series,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11" w:name="page212"/>
    <w:bookmarkEnd w:id="211"/>
    <w:p>
      <w:pPr>
        <w:jc w:val="both"/>
        <w:ind w:right="20" w:firstLine="1299"/>
        <w:spacing w:after="0" w:line="241" w:lineRule="auto"/>
        <w:tabs>
          <w:tab w:leader="none" w:pos="194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84" w:lineRule="exact"/>
        <w:rPr>
          <w:sz w:val="20"/>
          <w:szCs w:val="20"/>
          <w:color w:val="auto"/>
        </w:rPr>
      </w:pPr>
    </w:p>
    <w:p>
      <w:pPr>
        <w:spacing w:after="0" w:line="251"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so long as the Trustee is the Security Registrar, no such list shall be required to be furnished.</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22"/>
          <w:szCs w:val="22"/>
          <w:color w:val="auto"/>
        </w:rPr>
        <w:t>ARTICLE EIGHT - CONSOLIDATION, MERGER, SALE, LEASE OR CONVEYANCE</w:t>
      </w:r>
    </w:p>
    <w:p>
      <w:pPr>
        <w:spacing w:after="0" w:line="206"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SECTION 801. </w:t>
      </w:r>
      <w:r>
        <w:rPr>
          <w:rFonts w:ascii="Arial" w:cs="Arial" w:eastAsia="Arial" w:hAnsi="Arial"/>
          <w:sz w:val="19"/>
          <w:szCs w:val="19"/>
          <w:u w:val="single" w:color="auto"/>
          <w:color w:val="auto"/>
        </w:rPr>
        <w:t>Consolidations and Mergers of Company and Sales, Leases 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Conveyances Permitted Subject to Certain Conditions</w:t>
      </w:r>
      <w:r>
        <w:rPr>
          <w:rFonts w:ascii="Arial" w:cs="Arial" w:eastAsia="Arial" w:hAnsi="Arial"/>
          <w:sz w:val="19"/>
          <w:szCs w:val="19"/>
          <w:color w:val="auto"/>
        </w:rPr>
        <w:t>. The Company may consolidate with, or sell, lease or convey all or substantially all of its assets to, or merge with or into any other corporation, provided that in any such case, (1) either the Company shall be the continuing corporation, or the successor corporation shall be a corporation organized and existing under the laws of the United States or a State thereof and such successor corporation shall expressly assume the due and punctual payment of the principal of (and premium or Make-Whole Amount, if any) and any interest on all of the Securities, according to their tenor, and the due and punctual performance and observance of all of the covenants and conditions of this Indenture to be performed by the Company by supplemental indenture, complying with Article Nine hereof, satisfactory to the Trustee, executed and delivered to the Trustee by such corporation, (2) immediately after giving effect to such transaction and treating any indebtedness which becomes an obligation of the Company or any Subsidiary as a result thereof as having been incurred by the Company or such Subsidiary at the time of such transaction, no Event of Default, and no event which, after notice or the lapse of time, or both, would become an Event of Default, shall have occurred and be continuing and (3) the Company shall have delivered to the Trustee the Officer’s Certificate and Opinion of Counsel required pursuant to Section 803 below.</w:t>
      </w:r>
    </w:p>
    <w:p>
      <w:pPr>
        <w:spacing w:after="0" w:line="158" w:lineRule="exact"/>
        <w:rPr>
          <w:sz w:val="20"/>
          <w:szCs w:val="20"/>
          <w:color w:val="auto"/>
        </w:rPr>
      </w:pPr>
    </w:p>
    <w:p>
      <w:pPr>
        <w:ind w:right="20" w:firstLine="648"/>
        <w:spacing w:after="0" w:line="271"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u w:val="single" w:color="auto"/>
          <w:color w:val="auto"/>
        </w:rPr>
        <w:t>Rights and Duties of Successor Corporation</w:t>
      </w:r>
      <w:r>
        <w:rPr>
          <w:rFonts w:ascii="Arial" w:cs="Arial" w:eastAsia="Arial" w:hAnsi="Arial"/>
          <w:sz w:val="19"/>
          <w:szCs w:val="19"/>
          <w:color w:val="auto"/>
        </w:rPr>
        <w:t>. In case of any such consolidation, merger, sale, lease or conveyance and upon any such assumption by the successor corporation, such successor corporation shall succeed to and be substituted for the Company, with the same effect as if it had been named herein as the party of the first part, and the predecessor corporation, except in the event of a lease, shall be relieved of any further obligation under this Indenture and the Securities. Such successor corporation thereupon may cause to be signed, and may issue either in its own name or in the name of the Company, any or all of the Securities 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shall deliver any Securities which previously shall have been signed and delivered by the officers of the Company to the Trustee for authentication, and any Securities which such successor corporation thereafter shall cause to be signed and delivered to the Trustee for that purpose.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200" w:lineRule="exact"/>
        <w:rPr>
          <w:sz w:val="20"/>
          <w:szCs w:val="20"/>
          <w:color w:val="auto"/>
        </w:rPr>
      </w:pPr>
    </w:p>
    <w:p>
      <w:pPr>
        <w:spacing w:after="0" w:line="205" w:lineRule="exact"/>
        <w:rPr>
          <w:sz w:val="20"/>
          <w:szCs w:val="20"/>
          <w:color w:val="auto"/>
        </w:rPr>
      </w:pPr>
    </w:p>
    <w:p>
      <w:pPr>
        <w:ind w:right="380" w:firstLine="648"/>
        <w:spacing w:after="0"/>
        <w:rPr>
          <w:sz w:val="20"/>
          <w:szCs w:val="20"/>
          <w:color w:val="auto"/>
        </w:rPr>
      </w:pPr>
      <w:r>
        <w:rPr>
          <w:rFonts w:ascii="Arial" w:cs="Arial" w:eastAsia="Arial" w:hAnsi="Arial"/>
          <w:sz w:val="22"/>
          <w:szCs w:val="22"/>
          <w:color w:val="auto"/>
        </w:rPr>
        <w:t>In case of any such consolidation, merger, sale, lease or conveyance, such changes in phraseology and form (but not in substance) may be made in the Securities thereafter to be issued as may be appropriate.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12" w:name="page213"/>
    <w:bookmarkEnd w:id="212"/>
    <w:p>
      <w:pPr>
        <w:ind w:right="159" w:firstLine="648"/>
        <w:spacing w:after="0" w:line="248" w:lineRule="auto"/>
        <w:rPr>
          <w:sz w:val="20"/>
          <w:szCs w:val="20"/>
          <w:color w:val="auto"/>
        </w:rPr>
      </w:pPr>
      <w:r>
        <w:rPr>
          <w:rFonts w:ascii="Arial" w:cs="Arial" w:eastAsia="Arial" w:hAnsi="Arial"/>
          <w:sz w:val="21"/>
          <w:szCs w:val="21"/>
          <w:color w:val="auto"/>
        </w:rPr>
        <w:t xml:space="preserve">SECTION 803. </w:t>
      </w:r>
      <w:r>
        <w:rPr>
          <w:rFonts w:ascii="Arial" w:cs="Arial" w:eastAsia="Arial" w:hAnsi="Arial"/>
          <w:sz w:val="21"/>
          <w:szCs w:val="21"/>
          <w:u w:val="single" w:color="auto"/>
          <w:color w:val="auto"/>
        </w:rPr>
        <w:t>Officers’ Certificate and Opinion of Counsel</w:t>
      </w:r>
      <w:r>
        <w:rPr>
          <w:rFonts w:ascii="Arial" w:cs="Arial" w:eastAsia="Arial" w:hAnsi="Arial"/>
          <w:sz w:val="21"/>
          <w:szCs w:val="21"/>
          <w:color w:val="auto"/>
        </w:rPr>
        <w:t>. Any consolidation, merger, sale, lease or conveyance permitted under Section 801 is also subject to the condition that the Trustee receive an Officers’ Certificate and an Opinion of Counsel to the effect that any such consolidation, merger, sale, lease or conveyance, and the assumption by any successor corporation, complies with the provisions of this Article and that all conditions precedent herein provided for relating to such transaction have been complied with.</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ARTICLE NINE - SUPPLEMENTAL INDENTURES</w:t>
      </w:r>
    </w:p>
    <w:p>
      <w:pPr>
        <w:spacing w:after="0" w:line="206" w:lineRule="exact"/>
        <w:rPr>
          <w:sz w:val="20"/>
          <w:szCs w:val="20"/>
          <w:color w:val="auto"/>
        </w:rPr>
      </w:pPr>
    </w:p>
    <w:p>
      <w:pPr>
        <w:ind w:right="139" w:firstLine="648"/>
        <w:spacing w:after="0" w:line="287" w:lineRule="auto"/>
        <w:rPr>
          <w:sz w:val="20"/>
          <w:szCs w:val="20"/>
          <w:color w:val="auto"/>
        </w:rPr>
      </w:pPr>
      <w:r>
        <w:rPr>
          <w:rFonts w:ascii="Arial" w:cs="Arial" w:eastAsia="Arial" w:hAnsi="Arial"/>
          <w:sz w:val="19"/>
          <w:szCs w:val="19"/>
          <w:color w:val="auto"/>
        </w:rPr>
        <w:t xml:space="preserve">SECTION 901. </w:t>
      </w:r>
      <w:r>
        <w:rPr>
          <w:rFonts w:ascii="Arial" w:cs="Arial" w:eastAsia="Arial" w:hAnsi="Arial"/>
          <w:sz w:val="19"/>
          <w:szCs w:val="19"/>
          <w:u w:val="single" w:color="auto"/>
          <w:color w:val="auto"/>
        </w:rPr>
        <w:t>Supplemental Indentures Without Consent of Holders</w:t>
      </w:r>
      <w:r>
        <w:rPr>
          <w:rFonts w:ascii="Arial" w:cs="Arial" w:eastAsia="Arial" w:hAnsi="Arial"/>
          <w:sz w:val="19"/>
          <w:szCs w:val="19"/>
          <w:color w:val="auto"/>
        </w:rPr>
        <w:t>. Without the consent of any Holders of Securities or coupons, the Company, when authorized by or pursuant to a Board Resolution, and the Trustee, at any time and from time to time, may enter into one or more indentures supplemental hereto, in form satisfactory to the Trustee, for any of the following purposes:</w:t>
      </w:r>
    </w:p>
    <w:p>
      <w:pPr>
        <w:spacing w:after="0" w:line="143" w:lineRule="exact"/>
        <w:rPr>
          <w:sz w:val="20"/>
          <w:szCs w:val="20"/>
          <w:color w:val="auto"/>
        </w:rPr>
      </w:pPr>
    </w:p>
    <w:p>
      <w:pPr>
        <w:ind w:left="660" w:right="19" w:firstLine="639"/>
        <w:spacing w:after="0"/>
        <w:tabs>
          <w:tab w:leader="none" w:pos="2006"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to evidence the succession of another Person to the Company and the assumption by any such successor of the covenants of the Company contained herein and in the Securities; or</w:t>
      </w:r>
    </w:p>
    <w:p>
      <w:pPr>
        <w:spacing w:after="0" w:line="186" w:lineRule="exact"/>
        <w:rPr>
          <w:rFonts w:ascii="Arial" w:cs="Arial" w:eastAsia="Arial" w:hAnsi="Arial"/>
          <w:sz w:val="22"/>
          <w:szCs w:val="22"/>
          <w:color w:val="auto"/>
        </w:rPr>
      </w:pPr>
    </w:p>
    <w:p>
      <w:pPr>
        <w:jc w:val="both"/>
        <w:ind w:left="660" w:right="59" w:firstLine="639"/>
        <w:spacing w:after="0" w:line="287" w:lineRule="auto"/>
        <w:tabs>
          <w:tab w:leader="none" w:pos="2006" w:val="left"/>
        </w:tabs>
        <w:numPr>
          <w:ilvl w:val="0"/>
          <w:numId w:val="181"/>
        </w:numPr>
        <w:rPr>
          <w:rFonts w:ascii="Arial" w:cs="Arial" w:eastAsia="Arial" w:hAnsi="Arial"/>
          <w:sz w:val="19"/>
          <w:szCs w:val="19"/>
          <w:color w:val="auto"/>
        </w:rPr>
      </w:pPr>
      <w:r>
        <w:rPr>
          <w:rFonts w:ascii="Arial" w:cs="Arial" w:eastAsia="Arial" w:hAnsi="Arial"/>
          <w:sz w:val="19"/>
          <w:szCs w:val="19"/>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43" w:lineRule="exact"/>
        <w:rPr>
          <w:rFonts w:ascii="Arial" w:cs="Arial" w:eastAsia="Arial" w:hAnsi="Arial"/>
          <w:sz w:val="19"/>
          <w:szCs w:val="19"/>
          <w:color w:val="auto"/>
        </w:rPr>
      </w:pPr>
    </w:p>
    <w:p>
      <w:pPr>
        <w:ind w:left="660" w:right="119" w:firstLine="639"/>
        <w:spacing w:after="0" w:line="273" w:lineRule="auto"/>
        <w:tabs>
          <w:tab w:leader="none" w:pos="2006" w:val="left"/>
        </w:tabs>
        <w:numPr>
          <w:ilvl w:val="0"/>
          <w:numId w:val="181"/>
        </w:numPr>
        <w:rPr>
          <w:rFonts w:ascii="Arial" w:cs="Arial" w:eastAsia="Arial" w:hAnsi="Arial"/>
          <w:sz w:val="19"/>
          <w:szCs w:val="19"/>
          <w:color w:val="auto"/>
        </w:rPr>
      </w:pPr>
      <w:r>
        <w:rPr>
          <w:rFonts w:ascii="Arial" w:cs="Arial" w:eastAsia="Arial" w:hAnsi="Arial"/>
          <w:sz w:val="19"/>
          <w:szCs w:val="19"/>
          <w:color w:val="auto"/>
        </w:rPr>
        <w:t xml:space="preserve">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161" w:lineRule="exact"/>
        <w:rPr>
          <w:rFonts w:ascii="Arial" w:cs="Arial" w:eastAsia="Arial" w:hAnsi="Arial"/>
          <w:sz w:val="19"/>
          <w:szCs w:val="19"/>
          <w:color w:val="auto"/>
        </w:rPr>
      </w:pPr>
    </w:p>
    <w:p>
      <w:pPr>
        <w:ind w:left="660" w:right="79" w:firstLine="639"/>
        <w:spacing w:after="0" w:line="275" w:lineRule="auto"/>
        <w:tabs>
          <w:tab w:leader="none" w:pos="2006" w:val="left"/>
        </w:tabs>
        <w:numPr>
          <w:ilvl w:val="0"/>
          <w:numId w:val="181"/>
        </w:numPr>
        <w:rPr>
          <w:rFonts w:ascii="Arial" w:cs="Arial" w:eastAsia="Arial" w:hAnsi="Arial"/>
          <w:sz w:val="19"/>
          <w:szCs w:val="19"/>
          <w:color w:val="auto"/>
        </w:rPr>
      </w:pPr>
      <w:r>
        <w:rPr>
          <w:rFonts w:ascii="Arial" w:cs="Arial" w:eastAsia="Arial" w:hAnsi="Arial"/>
          <w:sz w:val="19"/>
          <w:szCs w:val="19"/>
          <w:color w:val="auto"/>
        </w:rPr>
        <w:t xml:space="preserve">to add to or change any of the provisions of this Indenture to provide that Bearer Securities may be registrable as to principal, to change or eliminate any restrictions on the payment of principal of or premium or Make-Whole Amount, if any,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action shall not adversely affect the interests of the Holders of Securities of any series or any related coupons in any material respect; or</w:t>
      </w:r>
    </w:p>
    <w:p>
      <w:pPr>
        <w:spacing w:after="0" w:line="158" w:lineRule="exact"/>
        <w:rPr>
          <w:rFonts w:ascii="Arial" w:cs="Arial" w:eastAsia="Arial" w:hAnsi="Arial"/>
          <w:sz w:val="19"/>
          <w:szCs w:val="19"/>
          <w:color w:val="auto"/>
        </w:rPr>
      </w:pPr>
    </w:p>
    <w:p>
      <w:pPr>
        <w:ind w:left="660" w:right="19" w:firstLine="639"/>
        <w:spacing w:after="0" w:line="238" w:lineRule="auto"/>
        <w:tabs>
          <w:tab w:leader="none" w:pos="2006" w:val="left"/>
        </w:tabs>
        <w:numPr>
          <w:ilvl w:val="0"/>
          <w:numId w:val="181"/>
        </w:numPr>
        <w:rPr>
          <w:rFonts w:ascii="Arial" w:cs="Arial" w:eastAsia="Arial" w:hAnsi="Arial"/>
          <w:sz w:val="22"/>
          <w:szCs w:val="22"/>
          <w:color w:val="auto"/>
        </w:rPr>
      </w:pPr>
      <w:r>
        <w:rPr>
          <w:rFonts w:ascii="Arial" w:cs="Arial" w:eastAsia="Arial" w:hAnsi="Arial"/>
          <w:sz w:val="22"/>
          <w:szCs w:val="22"/>
          <w:color w:val="auto"/>
        </w:rPr>
        <w:t xml:space="preserve">to change or eliminate any of the provisions of this Indenture,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change or elimination shall become effective only when there is no Security Outstanding of any series created prior to the execution of such supplemental indenture which is entitled to the benefit of such provision; or</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8" w:right="1440" w:bottom="1440" w:gutter="0" w:footer="0" w:header="0"/>
        </w:sectPr>
      </w:pPr>
    </w:p>
    <w:bookmarkStart w:id="213" w:name="page214"/>
    <w:bookmarkEnd w:id="213"/>
    <w:p>
      <w:pPr>
        <w:ind w:left="2000" w:hanging="701"/>
        <w:spacing w:after="0"/>
        <w:tabs>
          <w:tab w:leader="none" w:pos="200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to secure the Securities; or</w:t>
      </w:r>
    </w:p>
    <w:p>
      <w:pPr>
        <w:spacing w:after="0" w:line="206" w:lineRule="exact"/>
        <w:rPr>
          <w:rFonts w:ascii="Arial" w:cs="Arial" w:eastAsia="Arial" w:hAnsi="Arial"/>
          <w:sz w:val="22"/>
          <w:szCs w:val="22"/>
          <w:color w:val="auto"/>
        </w:rPr>
      </w:pPr>
    </w:p>
    <w:p>
      <w:pPr>
        <w:ind w:left="660" w:right="60" w:firstLine="639"/>
        <w:spacing w:after="0" w:line="251" w:lineRule="auto"/>
        <w:tabs>
          <w:tab w:leader="none" w:pos="2006" w:val="left"/>
        </w:tabs>
        <w:numPr>
          <w:ilvl w:val="0"/>
          <w:numId w:val="182"/>
        </w:numPr>
        <w:rPr>
          <w:rFonts w:ascii="Arial" w:cs="Arial" w:eastAsia="Arial" w:hAnsi="Arial"/>
          <w:sz w:val="22"/>
          <w:szCs w:val="22"/>
          <w:color w:val="auto"/>
        </w:rPr>
      </w:pPr>
      <w:r>
        <w:rPr>
          <w:rFonts w:ascii="Arial" w:cs="Arial" w:eastAsia="Arial" w:hAnsi="Arial"/>
          <w:sz w:val="22"/>
          <w:szCs w:val="22"/>
          <w:color w:val="auto"/>
        </w:rPr>
        <w:t>to establish the form or terms of Securities of any series and any related coupons as permitted or contemplated by Sections 201 and 301; or</w:t>
      </w:r>
    </w:p>
    <w:p>
      <w:pPr>
        <w:spacing w:after="0" w:line="173" w:lineRule="exact"/>
        <w:rPr>
          <w:rFonts w:ascii="Arial" w:cs="Arial" w:eastAsia="Arial" w:hAnsi="Arial"/>
          <w:sz w:val="22"/>
          <w:szCs w:val="22"/>
          <w:color w:val="auto"/>
        </w:rPr>
      </w:pPr>
    </w:p>
    <w:p>
      <w:pPr>
        <w:ind w:left="660" w:firstLine="639"/>
        <w:spacing w:after="0" w:line="252" w:lineRule="auto"/>
        <w:tabs>
          <w:tab w:leader="none" w:pos="2006" w:val="left"/>
        </w:tabs>
        <w:numPr>
          <w:ilvl w:val="0"/>
          <w:numId w:val="182"/>
        </w:numPr>
        <w:rPr>
          <w:rFonts w:ascii="Arial" w:cs="Arial" w:eastAsia="Arial" w:hAnsi="Arial"/>
          <w:sz w:val="21"/>
          <w:szCs w:val="21"/>
          <w:color w:val="auto"/>
        </w:rPr>
      </w:pPr>
      <w:r>
        <w:rPr>
          <w:rFonts w:ascii="Arial" w:cs="Arial" w:eastAsia="Arial" w:hAnsi="Arial"/>
          <w:sz w:val="21"/>
          <w:szCs w:val="21"/>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74" w:lineRule="exact"/>
        <w:rPr>
          <w:rFonts w:ascii="Arial" w:cs="Arial" w:eastAsia="Arial" w:hAnsi="Arial"/>
          <w:sz w:val="21"/>
          <w:szCs w:val="21"/>
          <w:color w:val="auto"/>
        </w:rPr>
      </w:pPr>
    </w:p>
    <w:p>
      <w:pPr>
        <w:ind w:left="660" w:firstLine="639"/>
        <w:spacing w:after="0" w:line="235" w:lineRule="auto"/>
        <w:tabs>
          <w:tab w:leader="none" w:pos="2006" w:val="left"/>
        </w:tabs>
        <w:numPr>
          <w:ilvl w:val="0"/>
          <w:numId w:val="182"/>
        </w:numPr>
        <w:rPr>
          <w:rFonts w:ascii="Arial" w:cs="Arial" w:eastAsia="Arial" w:hAnsi="Arial"/>
          <w:sz w:val="22"/>
          <w:szCs w:val="22"/>
          <w:color w:val="auto"/>
        </w:rPr>
      </w:pPr>
      <w:r>
        <w:rPr>
          <w:rFonts w:ascii="Arial" w:cs="Arial" w:eastAsia="Arial" w:hAnsi="Arial"/>
          <w:sz w:val="22"/>
          <w:szCs w:val="22"/>
          <w:color w:val="auto"/>
        </w:rPr>
        <w:t xml:space="preserve">to cure any ambiguity, to correct or supplement any provision herein which may be defective or inconsistent with any other provision herein, or to make any other provisions with respect to matters or questions arising under this Indenture which shall not be inconsistent with the provisions of this Indenture,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such provisions shall not adversely affect the interests of the Holders of Securities of any series or any related coupons in any material respect; or</w:t>
      </w:r>
    </w:p>
    <w:p>
      <w:pPr>
        <w:spacing w:after="0" w:line="188" w:lineRule="exact"/>
        <w:rPr>
          <w:rFonts w:ascii="Arial" w:cs="Arial" w:eastAsia="Arial" w:hAnsi="Arial"/>
          <w:sz w:val="22"/>
          <w:szCs w:val="22"/>
          <w:color w:val="auto"/>
        </w:rPr>
      </w:pPr>
    </w:p>
    <w:p>
      <w:pPr>
        <w:ind w:left="660" w:firstLine="639"/>
        <w:spacing w:after="0" w:line="236" w:lineRule="auto"/>
        <w:tabs>
          <w:tab w:leader="none" w:pos="2046" w:val="left"/>
        </w:tabs>
        <w:numPr>
          <w:ilvl w:val="0"/>
          <w:numId w:val="182"/>
        </w:numPr>
        <w:rPr>
          <w:rFonts w:ascii="Arial" w:cs="Arial" w:eastAsia="Arial" w:hAnsi="Arial"/>
          <w:sz w:val="22"/>
          <w:szCs w:val="22"/>
          <w:color w:val="auto"/>
        </w:rPr>
      </w:pPr>
      <w:r>
        <w:rPr>
          <w:rFonts w:ascii="Arial" w:cs="Arial" w:eastAsia="Arial" w:hAnsi="Arial"/>
          <w:sz w:val="22"/>
          <w:szCs w:val="22"/>
          <w:color w:val="auto"/>
        </w:rPr>
        <w:t xml:space="preserve">to supplement any of the provisions of this Indenture to such extent as shall be necessary to permit or facilitate the Defeasance and discharge of any series of Securities pursuant to Sections 401, 1402 and 1403;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action shall not adversely affect the interests of the Holders of Securities of such series and any related coupons or any other series of Securities in any material respect; or</w:t>
      </w:r>
    </w:p>
    <w:p>
      <w:pPr>
        <w:spacing w:after="0" w:line="187" w:lineRule="exact"/>
        <w:rPr>
          <w:rFonts w:ascii="Arial" w:cs="Arial" w:eastAsia="Arial" w:hAnsi="Arial"/>
          <w:sz w:val="22"/>
          <w:szCs w:val="22"/>
          <w:color w:val="auto"/>
        </w:rPr>
      </w:pPr>
    </w:p>
    <w:p>
      <w:pPr>
        <w:ind w:left="660" w:right="120" w:firstLine="639"/>
        <w:spacing w:after="0" w:line="251" w:lineRule="auto"/>
        <w:tabs>
          <w:tab w:leader="none" w:pos="2038" w:val="left"/>
        </w:tabs>
        <w:numPr>
          <w:ilvl w:val="0"/>
          <w:numId w:val="182"/>
        </w:numPr>
        <w:rPr>
          <w:rFonts w:ascii="Arial" w:cs="Arial" w:eastAsia="Arial" w:hAnsi="Arial"/>
          <w:sz w:val="22"/>
          <w:szCs w:val="22"/>
          <w:color w:val="auto"/>
        </w:rPr>
      </w:pPr>
      <w:r>
        <w:rPr>
          <w:rFonts w:ascii="Arial" w:cs="Arial" w:eastAsia="Arial" w:hAnsi="Arial"/>
          <w:sz w:val="22"/>
          <w:szCs w:val="22"/>
          <w:color w:val="auto"/>
        </w:rPr>
        <w:t>to make provisions with respect to Holders’ rights of conversion with respect to any series of Securities pursuant to Article Seventeen.</w:t>
      </w:r>
    </w:p>
    <w:p>
      <w:pPr>
        <w:spacing w:after="0" w:line="173" w:lineRule="exact"/>
        <w:rPr>
          <w:sz w:val="20"/>
          <w:szCs w:val="20"/>
          <w:color w:val="auto"/>
        </w:rPr>
      </w:pPr>
    </w:p>
    <w:p>
      <w:pPr>
        <w:ind w:right="20" w:firstLine="648"/>
        <w:spacing w:after="0" w:line="245" w:lineRule="auto"/>
        <w:rPr>
          <w:sz w:val="20"/>
          <w:szCs w:val="20"/>
          <w:color w:val="auto"/>
        </w:rPr>
      </w:pPr>
      <w:r>
        <w:rPr>
          <w:rFonts w:ascii="Arial" w:cs="Arial" w:eastAsia="Arial" w:hAnsi="Arial"/>
          <w:sz w:val="21"/>
          <w:szCs w:val="21"/>
          <w:color w:val="auto"/>
        </w:rPr>
        <w:t xml:space="preserve">SECTION 902. </w:t>
      </w:r>
      <w:r>
        <w:rPr>
          <w:rFonts w:ascii="Arial" w:cs="Arial" w:eastAsia="Arial" w:hAnsi="Arial"/>
          <w:sz w:val="21"/>
          <w:szCs w:val="21"/>
          <w:u w:val="single" w:color="auto"/>
          <w:color w:val="auto"/>
        </w:rPr>
        <w:t>Supplemental Indentures with Consent of Holders</w:t>
      </w:r>
      <w:r>
        <w:rPr>
          <w:rFonts w:ascii="Arial" w:cs="Arial" w:eastAsia="Arial" w:hAnsi="Arial"/>
          <w:sz w:val="21"/>
          <w:szCs w:val="21"/>
          <w:color w:val="auto"/>
        </w:rPr>
        <w:t>. With the consent of the Holders of not less than a majority in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and any related coupons under this Indenture; provided, however, that no such supplemental indenture shall, without the consent of the Holder of each Outstanding Security affected thereby:</w:t>
      </w:r>
    </w:p>
    <w:p>
      <w:pPr>
        <w:spacing w:after="0" w:line="185" w:lineRule="exact"/>
        <w:rPr>
          <w:sz w:val="20"/>
          <w:szCs w:val="20"/>
          <w:color w:val="auto"/>
        </w:rPr>
      </w:pPr>
    </w:p>
    <w:p>
      <w:pPr>
        <w:ind w:left="660" w:firstLine="639"/>
        <w:spacing w:after="0" w:line="272" w:lineRule="auto"/>
        <w:tabs>
          <w:tab w:leader="none" w:pos="2006" w:val="left"/>
        </w:tabs>
        <w:numPr>
          <w:ilvl w:val="0"/>
          <w:numId w:val="183"/>
        </w:numPr>
        <w:rPr>
          <w:rFonts w:ascii="Arial" w:cs="Arial" w:eastAsia="Arial" w:hAnsi="Arial"/>
          <w:sz w:val="19"/>
          <w:szCs w:val="19"/>
          <w:color w:val="auto"/>
        </w:rPr>
      </w:pPr>
      <w:r>
        <w:rPr>
          <w:rFonts w:ascii="Arial" w:cs="Arial" w:eastAsia="Arial" w:hAnsi="Arial"/>
          <w:sz w:val="19"/>
          <w:szCs w:val="19"/>
          <w:color w:val="auto"/>
        </w:rPr>
        <w:t>change the Stated Maturity of the principal of (or premium or Make-Whole Amount, if any, on) or any installment of principal of or interest on, any Security; or reduce the principal amount thereof or the rate or amount of interest thereon, or any premium or Make-Whole Amount payable upon the redemption thereof, or reduce the amount of the principal of an Original Issue Discount Security that would be due and payable upon a declaration of acceleration of the Maturity thereof pursuant to Section 502 or the amount thereof provable in bankruptcy pursuant to Section 504, or adversely affect any right of repayment at the option of the Holder of any Security, or change any Place of Payment where, or the currency or currencies, currency unit or units or composite currency or currencies in which, any Security or any premium or Make-Whole Amount or the interest thereon is payable, or impair the right to institute suit for the enforcement of any such payment on or after the Stated Maturity thereof (or, in the case of redemption or repayment at the option of the Holder, on or after the Redemption Date or the Repayment Date, as the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14" w:name="page215"/>
    <w:bookmarkEnd w:id="214"/>
    <w:p>
      <w:pPr>
        <w:ind w:left="660" w:right="40"/>
        <w:spacing w:after="0" w:line="238" w:lineRule="auto"/>
        <w:rPr>
          <w:sz w:val="20"/>
          <w:szCs w:val="20"/>
          <w:color w:val="auto"/>
        </w:rPr>
      </w:pPr>
      <w:r>
        <w:rPr>
          <w:rFonts w:ascii="Arial" w:cs="Arial" w:eastAsia="Arial" w:hAnsi="Arial"/>
          <w:sz w:val="22"/>
          <w:szCs w:val="22"/>
          <w:color w:val="auto"/>
        </w:rPr>
        <w:t>case may be), or (if Securities of such series are convertible) adversely affect the right of the Holder to convert any Security as provided in Article Seventeen, or modify the provisions of this Indenture with respect to the subordination of the Securities in a manner materially adverse to the Holders; or</w:t>
      </w:r>
    </w:p>
    <w:p>
      <w:pPr>
        <w:spacing w:after="0" w:line="185" w:lineRule="exact"/>
        <w:rPr>
          <w:sz w:val="20"/>
          <w:szCs w:val="20"/>
          <w:color w:val="auto"/>
        </w:rPr>
      </w:pPr>
    </w:p>
    <w:p>
      <w:pPr>
        <w:ind w:left="660" w:right="100" w:firstLine="639"/>
        <w:spacing w:after="0" w:line="235" w:lineRule="auto"/>
        <w:tabs>
          <w:tab w:leader="none" w:pos="2006" w:val="left"/>
        </w:tabs>
        <w:numPr>
          <w:ilvl w:val="0"/>
          <w:numId w:val="184"/>
        </w:numPr>
        <w:rPr>
          <w:rFonts w:ascii="Arial" w:cs="Arial" w:eastAsia="Arial" w:hAnsi="Arial"/>
          <w:sz w:val="22"/>
          <w:szCs w:val="22"/>
          <w:color w:val="auto"/>
        </w:rPr>
      </w:pPr>
      <w:r>
        <w:rPr>
          <w:rFonts w:ascii="Arial" w:cs="Arial" w:eastAsia="Arial" w:hAnsi="Arial"/>
          <w:sz w:val="22"/>
          <w:szCs w:val="22"/>
          <w:color w:val="auto"/>
        </w:rPr>
        <w:t>reduce the percentage in principal amount of the Outstanding Securities of any series, the consent of whose Holders is required for any such supplemental indenture, or the consent of whose Holders is required for any waiver with respect to such series (or compliance with certain provisions of this Indenture or certain defaults hereunder and their consequences) provided for in this Indenture, or reduce the requirements of Section 1504 for quorum or voting, or</w:t>
      </w:r>
    </w:p>
    <w:p>
      <w:pPr>
        <w:spacing w:after="0" w:line="188" w:lineRule="exact"/>
        <w:rPr>
          <w:rFonts w:ascii="Arial" w:cs="Arial" w:eastAsia="Arial" w:hAnsi="Arial"/>
          <w:sz w:val="22"/>
          <w:szCs w:val="22"/>
          <w:color w:val="auto"/>
        </w:rPr>
      </w:pPr>
    </w:p>
    <w:p>
      <w:pPr>
        <w:ind w:left="660" w:right="40" w:firstLine="639"/>
        <w:spacing w:after="0" w:line="277" w:lineRule="auto"/>
        <w:tabs>
          <w:tab w:leader="none" w:pos="2006" w:val="left"/>
        </w:tabs>
        <w:numPr>
          <w:ilvl w:val="0"/>
          <w:numId w:val="184"/>
        </w:numPr>
        <w:rPr>
          <w:rFonts w:ascii="Arial" w:cs="Arial" w:eastAsia="Arial" w:hAnsi="Arial"/>
          <w:sz w:val="19"/>
          <w:szCs w:val="19"/>
          <w:color w:val="auto"/>
        </w:rPr>
      </w:pPr>
      <w:r>
        <w:rPr>
          <w:rFonts w:ascii="Arial" w:cs="Arial" w:eastAsia="Arial" w:hAnsi="Arial"/>
          <w:sz w:val="19"/>
          <w:szCs w:val="19"/>
          <w:color w:val="auto"/>
        </w:rPr>
        <w:t xml:space="preserve">modify any of the provisions of this Section, Section 513 or Section 1009, except to increase the required percentage to effect such action or to provide that certain other provisions of this Indenture cannot be modified or waived without the consent of the Holder of each Outstanding Security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clause shall not be deemed to require the consent of any Holder with respect to changes in the references to “the Trustee” and concomitant changes in this Section 902 and Section 1009, or the deletion of this proviso, in accordance with the requirements of Sections 609(b) and 901(11).</w:t>
      </w:r>
    </w:p>
    <w:p>
      <w:pPr>
        <w:spacing w:after="0" w:line="153"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It shall not be necessary for any Act of Holders under this Section 902 to approve the particular form of any proposed supplemental indenture, but it shall be sufficient if such Act shall approve the substance thereof.</w:t>
      </w:r>
    </w:p>
    <w:p>
      <w:pPr>
        <w:spacing w:after="0" w:line="186" w:lineRule="exact"/>
        <w:rPr>
          <w:sz w:val="20"/>
          <w:szCs w:val="20"/>
          <w:color w:val="auto"/>
        </w:rPr>
      </w:pPr>
    </w:p>
    <w:p>
      <w:pPr>
        <w:jc w:val="both"/>
        <w:ind w:right="140" w:firstLine="648"/>
        <w:spacing w:after="0" w:line="236" w:lineRule="auto"/>
        <w:rPr>
          <w:sz w:val="20"/>
          <w:szCs w:val="20"/>
          <w:color w:val="auto"/>
        </w:rPr>
      </w:pPr>
      <w:r>
        <w:rPr>
          <w:rFonts w:ascii="Arial" w:cs="Arial" w:eastAsia="Arial" w:hAnsi="Arial"/>
          <w:sz w:val="22"/>
          <w:szCs w:val="22"/>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 xml:space="preserve">SECTION 903. </w:t>
      </w:r>
      <w:r>
        <w:rPr>
          <w:rFonts w:ascii="Arial" w:cs="Arial" w:eastAsia="Arial" w:hAnsi="Arial"/>
          <w:sz w:val="19"/>
          <w:szCs w:val="19"/>
          <w:u w:val="single" w:color="auto"/>
          <w:color w:val="auto"/>
        </w:rPr>
        <w:t>Execution of Supplemental Indentures</w:t>
      </w:r>
      <w:r>
        <w:rPr>
          <w:rFonts w:ascii="Arial" w:cs="Arial" w:eastAsia="Arial" w:hAnsi="Arial"/>
          <w:sz w:val="19"/>
          <w:szCs w:val="19"/>
          <w:color w:val="auto"/>
        </w:rPr>
        <w:t>. In executing, or accepting the additional trusts created by, any supplemental indenture permitted by this Article or the modification thereby of the trusts created by this Indenture, the Trustee shall be entitled to receive, and (subject to Section 612)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53"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color w:val="auto"/>
        </w:rPr>
        <w:t xml:space="preserve">SECTION 904. </w:t>
      </w:r>
      <w:r>
        <w:rPr>
          <w:rFonts w:ascii="Arial" w:cs="Arial" w:eastAsia="Arial" w:hAnsi="Arial"/>
          <w:sz w:val="22"/>
          <w:szCs w:val="22"/>
          <w:u w:val="single" w:color="auto"/>
          <w:color w:val="auto"/>
        </w:rPr>
        <w:t>Effect of Supplemental Indentures.</w:t>
      </w:r>
      <w:r>
        <w:rPr>
          <w:rFonts w:ascii="Arial" w:cs="Arial" w:eastAsia="Arial" w:hAnsi="Arial"/>
          <w:sz w:val="22"/>
          <w:szCs w:val="22"/>
          <w:color w:val="auto"/>
        </w:rPr>
        <w:t xml:space="preserve">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w:t>
      </w:r>
    </w:p>
    <w:p>
      <w:pPr>
        <w:spacing w:after="0" w:line="188"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 xml:space="preserve">SECTION 905. </w:t>
      </w:r>
      <w:r>
        <w:rPr>
          <w:rFonts w:ascii="Arial" w:cs="Arial" w:eastAsia="Arial" w:hAnsi="Arial"/>
          <w:sz w:val="22"/>
          <w:szCs w:val="22"/>
          <w:u w:val="single" w:color="auto"/>
          <w:color w:val="auto"/>
        </w:rPr>
        <w:t>Conformity with Trust Indenture Act</w:t>
      </w:r>
      <w:r>
        <w:rPr>
          <w:rFonts w:ascii="Arial" w:cs="Arial" w:eastAsia="Arial" w:hAnsi="Arial"/>
          <w:sz w:val="22"/>
          <w:szCs w:val="22"/>
          <w:color w:val="auto"/>
        </w:rPr>
        <w:t>. Every supplemental indenture executed pursuant to this Article shall conform to the requirements of the Trust Indenture Act as then in effect.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15" w:name="page216"/>
    <w:bookmarkEnd w:id="215"/>
    <w:p>
      <w:pPr>
        <w:ind w:right="60" w:firstLine="648"/>
        <w:spacing w:after="0" w:line="277" w:lineRule="auto"/>
        <w:rPr>
          <w:sz w:val="20"/>
          <w:szCs w:val="20"/>
          <w:color w:val="auto"/>
        </w:rPr>
      </w:pPr>
      <w:r>
        <w:rPr>
          <w:rFonts w:ascii="Arial" w:cs="Arial" w:eastAsia="Arial" w:hAnsi="Arial"/>
          <w:sz w:val="19"/>
          <w:szCs w:val="19"/>
          <w:color w:val="auto"/>
        </w:rPr>
        <w:t xml:space="preserve">SECTION 906. </w:t>
      </w:r>
      <w:r>
        <w:rPr>
          <w:rFonts w:ascii="Arial" w:cs="Arial" w:eastAsia="Arial" w:hAnsi="Arial"/>
          <w:sz w:val="19"/>
          <w:szCs w:val="19"/>
          <w:u w:val="single" w:color="auto"/>
          <w:color w:val="auto"/>
        </w:rPr>
        <w:t>Reference in Securities to Supplemental Indentures</w:t>
      </w:r>
      <w:r>
        <w:rPr>
          <w:rFonts w:ascii="Arial" w:cs="Arial" w:eastAsia="Arial" w:hAnsi="Arial"/>
          <w:sz w:val="19"/>
          <w:szCs w:val="19"/>
          <w:color w:val="auto"/>
        </w:rPr>
        <w: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TEN - COVENANTS</w:t>
      </w:r>
    </w:p>
    <w:p>
      <w:pPr>
        <w:spacing w:after="0" w:line="206"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 xml:space="preserve">SECTION 1001. </w:t>
      </w:r>
      <w:r>
        <w:rPr>
          <w:rFonts w:ascii="Arial" w:cs="Arial" w:eastAsia="Arial" w:hAnsi="Arial"/>
          <w:sz w:val="19"/>
          <w:szCs w:val="19"/>
          <w:u w:val="single" w:color="auto"/>
          <w:color w:val="auto"/>
        </w:rPr>
        <w:t>Payment of Principal, Premium or Make-Whole Amount, if any; 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Interest</w:t>
      </w:r>
      <w:r>
        <w:rPr>
          <w:rFonts w:ascii="Arial" w:cs="Arial" w:eastAsia="Arial" w:hAnsi="Arial"/>
          <w:sz w:val="19"/>
          <w:szCs w:val="19"/>
          <w:color w:val="auto"/>
        </w:rPr>
        <w:t>. The Company covenants and agrees for the benefit of the Holders of each series of Securities that it will duly and punctually pay the principal of (and premium or Make-Whole Amount, if any) and interest on the Securities of that series in accordance with the terms of such series of Securities, any coupons appertaining thereto and this Indenture.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 Unless otherwise specified with respect to Securities of any series pursuant to Section 301, at the option of the Company (upon written notice to the Trustee), all payments of principal may be paid by check to the registered Holder of the Registered Security or other Person entitled thereto against surrender of such Security.</w:t>
      </w:r>
    </w:p>
    <w:p>
      <w:pPr>
        <w:spacing w:after="0" w:line="156"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 xml:space="preserve">SECTION 1002. </w:t>
      </w:r>
      <w:r>
        <w:rPr>
          <w:rFonts w:ascii="Arial" w:cs="Arial" w:eastAsia="Arial" w:hAnsi="Arial"/>
          <w:sz w:val="19"/>
          <w:szCs w:val="19"/>
          <w:u w:val="single" w:color="auto"/>
          <w:color w:val="auto"/>
        </w:rPr>
        <w:t>Maintenance of Office or Agency</w:t>
      </w:r>
      <w:r>
        <w:rPr>
          <w:rFonts w:ascii="Arial" w:cs="Arial" w:eastAsia="Arial" w:hAnsi="Arial"/>
          <w:sz w:val="19"/>
          <w:szCs w:val="19"/>
          <w:color w:val="auto"/>
        </w:rPr>
        <w:t>. If Securities of a series are issuable only as Registered Securities, the Company shall maintain in each Place of Payment for any series of Securities an office or agency where Securities of that series may be presented or surrendered for payment or conversion, where Securities of that series may be surrendered for registration of transfer or conversion or exchange and where notices and demands to or upon the Company in respect of the Securities of that series and this Indenture may be served. If Securities of a series are issuable as Bearer Securities, the Company will maintain: (A) in the Borough of Manhattan, The City of New York, an office or agency where any Registered Securities of that series may be presented or surrendered for payment or conversion, where any Registered Securities of that series may be surrendered for registration of transfer, where Securities of that series may be surrendered for conversion or exchange, where notices and demands to or upon the Company in respect of the Securities of that series and this Indenture may be served and where Bearer Securities of that series and related coupons may be presented or surrendered for payment or conversion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provided, however, that if the Securities of that series are listed on any stock exchange located outside the United States and such stock exchange shall so require, the Company will maintain a Paying Agent for the Securities of that series in any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conversion or exchange and where notices and demands to or upon the Company in respect of the Securities of that series and this Indenture may be served. The Company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16" w:name="page217"/>
    <w:bookmarkEnd w:id="216"/>
    <w:p>
      <w:pPr>
        <w:ind w:right="20"/>
        <w:spacing w:after="0" w:line="245" w:lineRule="auto"/>
        <w:rPr>
          <w:sz w:val="20"/>
          <w:szCs w:val="20"/>
          <w:color w:val="auto"/>
        </w:rPr>
      </w:pPr>
      <w:r>
        <w:rPr>
          <w:rFonts w:ascii="Arial" w:cs="Arial" w:eastAsia="Arial" w:hAnsi="Arial"/>
          <w:sz w:val="21"/>
          <w:szCs w:val="21"/>
          <w:color w:val="auto"/>
        </w:rPr>
        <w:t>will give prompt written notice to the Trustee of the location, and any change in the location, of each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except that Bearer Securities of that series and the related coupons may be presented and surrendered for payment or conversion at the offices specified in the Security, in London, England, and the Company hereby appoints the same as its agent to receive such respective presentations, surrenders, notices and demands, and the Company hereby appoints the Trustee its agent to receive all such presentations, surrenders, notices and demands.</w:t>
      </w:r>
    </w:p>
    <w:p>
      <w:pPr>
        <w:spacing w:after="0" w:line="186"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 xml:space="preserve">Unless otherwise specified with respect to any Securities pursuant to Section 301, no payment of principal, premium or Make-Whole Amount or interest on Bearer Securities shall be made at any office or agency of the Company in the United States or by check mailed to any address in the United States or by transfer to an account maintained with a bank located in the United States;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Securities of a series are payable in Dollars, payment of principal of and any premium or Make-Whole Amount and interest on any Bearer Security shall be made at the office of the Company’s Paying Agent in the Borough of Manhattan, The City of New York, if (but only if) payment in Dollars of the full amount of such principal, premium or Make-Whole Amount, or interest, as the case may be, at all offices or agencies outside the United States maintained for the purpose by the Company in accordance with this Indenture, is illegal or effectively precluded by exchange controls or other similar restrictions.</w:t>
      </w:r>
    </w:p>
    <w:p>
      <w:pPr>
        <w:spacing w:after="0" w:line="162" w:lineRule="exact"/>
        <w:rPr>
          <w:sz w:val="20"/>
          <w:szCs w:val="20"/>
          <w:color w:val="auto"/>
        </w:rPr>
      </w:pPr>
    </w:p>
    <w:p>
      <w:pPr>
        <w:ind w:right="100" w:firstLine="648"/>
        <w:spacing w:after="0" w:line="271" w:lineRule="auto"/>
        <w:rPr>
          <w:sz w:val="20"/>
          <w:szCs w:val="20"/>
          <w:color w:val="auto"/>
        </w:rPr>
      </w:pPr>
      <w:r>
        <w:rPr>
          <w:rFonts w:ascii="Arial" w:cs="Arial" w:eastAsia="Arial" w:hAnsi="Arial"/>
          <w:sz w:val="19"/>
          <w:szCs w:val="19"/>
          <w:color w:val="auto"/>
        </w:rPr>
        <w:t xml:space="preserve">The Company may from time to time designate one or more other offices or agencies (in or outside the Place of Payment) where the Securities of one or more series may be presented or surrendered for any or all of such purposes, and may from time to time rescind such designations;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each of (i) the office or agency of the Company in the Borough of Manhattan, The City of New York, and (ii) the Corporate Trust Office of the Trustee (as Paying Agent); and the Company hereby initially appoints the Trustee at its Corporate Trust Office as Paying Agent in such city; and the Company hereby initially appoints as its agent to receive all such presentations, surrenders, notices and demands each of the Trustee, at its Corporate Trust Office.</w:t>
      </w:r>
    </w:p>
    <w:p>
      <w:pPr>
        <w:spacing w:after="0" w:line="165" w:lineRule="exact"/>
        <w:rPr>
          <w:sz w:val="20"/>
          <w:szCs w:val="20"/>
          <w:color w:val="auto"/>
        </w:rPr>
      </w:pPr>
    </w:p>
    <w:p>
      <w:pPr>
        <w:ind w:right="80" w:firstLine="648"/>
        <w:spacing w:after="0" w:line="282" w:lineRule="auto"/>
        <w:rPr>
          <w:sz w:val="20"/>
          <w:szCs w:val="20"/>
          <w:color w:val="auto"/>
        </w:rPr>
      </w:pPr>
      <w:r>
        <w:rPr>
          <w:rFonts w:ascii="Arial" w:cs="Arial" w:eastAsia="Arial" w:hAnsi="Arial"/>
          <w:sz w:val="19"/>
          <w:szCs w:val="19"/>
          <w:color w:val="auto"/>
        </w:rPr>
        <w:t>Unless otherwise specified with respect to any Securities pursuant to Section 301, if and so long as the Securities of any series (i) are denominated in a Foreign Currency or (ii) may be payable in a Foreign Currency, or so long as it is required under any other provision of the Indenture, then the Company will maintain with respect to each such series of Securities, or as so required, at least one exchange rate agent (of which it shall give written notice to the Trustee).</w:t>
      </w:r>
    </w:p>
    <w:p>
      <w:pPr>
        <w:spacing w:after="0" w:line="148"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 xml:space="preserve">SECTION 1003. </w:t>
      </w:r>
      <w:r>
        <w:rPr>
          <w:rFonts w:ascii="Arial" w:cs="Arial" w:eastAsia="Arial" w:hAnsi="Arial"/>
          <w:sz w:val="19"/>
          <w:szCs w:val="19"/>
          <w:u w:val="single" w:color="auto"/>
          <w:color w:val="auto"/>
        </w:rPr>
        <w:t>Money for Securities Payments to Be Held in Trust.</w:t>
      </w:r>
      <w:r>
        <w:rPr>
          <w:rFonts w:ascii="Arial" w:cs="Arial" w:eastAsia="Arial" w:hAnsi="Arial"/>
          <w:sz w:val="19"/>
          <w:szCs w:val="19"/>
          <w:color w:val="auto"/>
        </w:rPr>
        <w:t xml:space="preserve"> If the Company shall at any time act as its own Paying Agent with respect to any series of any Securities and any related coupons, it will, on or before each due date of the principal of (and premium or Make-Whole Amount, if any), or interest on any of the Securities of that series, segregate and hold in trust for the benefit of the Persons entitled thereto a sum in the currency or currencies, currency unit or units or</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17" w:name="page218"/>
    <w:bookmarkEnd w:id="217"/>
    <w:p>
      <w:pPr>
        <w:ind w:right="60"/>
        <w:spacing w:after="0" w:line="236" w:lineRule="auto"/>
        <w:rPr>
          <w:sz w:val="20"/>
          <w:szCs w:val="20"/>
          <w:color w:val="auto"/>
        </w:rPr>
      </w:pPr>
      <w:r>
        <w:rPr>
          <w:rFonts w:ascii="Arial" w:cs="Arial" w:eastAsia="Arial" w:hAnsi="Arial"/>
          <w:sz w:val="22"/>
          <w:szCs w:val="22"/>
          <w:color w:val="auto"/>
        </w:rPr>
        <w:t>composite currency or currencies in which the Securities of such series are payable (except as otherwise specified pursuant to Section 301 for the Securities of such series) sufficient to pay the principal (and premium or Make-Whole Amount, if any) or interest so becoming due until such sums shall be paid to such Persons or otherwise disposed of as herein provided, and will promptly notify the Trustee of its action or failure so to act.</w:t>
      </w:r>
    </w:p>
    <w:p>
      <w:pPr>
        <w:spacing w:after="0" w:line="188"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Whenever the Company shall have one or more Paying Agents for any series of Securities and any related coupons, it will, on or before each due date of the principal of (and premium or Make-Whole Amount, if any), or interest on any Securities of that series, deposit with a Paying Agent a sum (in the currency or currencies, currency unit or units or composite currency or currencies described in the preceding paragraph) sufficient to pay the principal (and premium or Make-Whole Amount, if any) or interest so becoming due, such sum to be held in trust for the benefit of the Persons entitled to such principal, premium or Make-Whole Amount, if any, or interest and (unless such Paying Agent is the Trustee) the Company will promptly notify the Trustee of its action or failure so to act.</w:t>
      </w:r>
    </w:p>
    <w:p>
      <w:pPr>
        <w:spacing w:after="0" w:line="158" w:lineRule="exact"/>
        <w:rPr>
          <w:sz w:val="20"/>
          <w:szCs w:val="20"/>
          <w:color w:val="auto"/>
        </w:rPr>
      </w:pPr>
    </w:p>
    <w:p>
      <w:pPr>
        <w:ind w:right="60" w:firstLine="648"/>
        <w:spacing w:after="0" w:line="258" w:lineRule="auto"/>
        <w:rPr>
          <w:sz w:val="20"/>
          <w:szCs w:val="20"/>
          <w:color w:val="auto"/>
        </w:rPr>
      </w:pPr>
      <w:r>
        <w:rPr>
          <w:rFonts w:ascii="Arial" w:cs="Arial" w:eastAsia="Arial" w:hAnsi="Arial"/>
          <w:sz w:val="21"/>
          <w:szCs w:val="21"/>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167" w:lineRule="exact"/>
        <w:rPr>
          <w:sz w:val="20"/>
          <w:szCs w:val="20"/>
          <w:color w:val="auto"/>
        </w:rPr>
      </w:pPr>
    </w:p>
    <w:p>
      <w:pPr>
        <w:ind w:left="660" w:right="200" w:firstLine="639"/>
        <w:spacing w:after="0" w:line="238" w:lineRule="auto"/>
        <w:tabs>
          <w:tab w:leader="none" w:pos="2006" w:val="left"/>
        </w:tabs>
        <w:numPr>
          <w:ilvl w:val="0"/>
          <w:numId w:val="185"/>
        </w:numPr>
        <w:rPr>
          <w:rFonts w:ascii="Arial" w:cs="Arial" w:eastAsia="Arial" w:hAnsi="Arial"/>
          <w:sz w:val="22"/>
          <w:szCs w:val="22"/>
          <w:color w:val="auto"/>
        </w:rPr>
      </w:pPr>
      <w:r>
        <w:rPr>
          <w:rFonts w:ascii="Arial" w:cs="Arial" w:eastAsia="Arial" w:hAnsi="Arial"/>
          <w:sz w:val="22"/>
          <w:szCs w:val="22"/>
          <w:color w:val="auto"/>
        </w:rPr>
        <w:t>hold all sums held by it for the payment of principal of (and premium or Make-Whole Amount, if any) or interest on Securities in trust for the benefit of the Persons entitled thereto until such sums shall be paid to such Persons or otherwise disposed of as herein provided;</w:t>
      </w:r>
    </w:p>
    <w:p>
      <w:pPr>
        <w:spacing w:after="0" w:line="185" w:lineRule="exact"/>
        <w:rPr>
          <w:rFonts w:ascii="Arial" w:cs="Arial" w:eastAsia="Arial" w:hAnsi="Arial"/>
          <w:sz w:val="22"/>
          <w:szCs w:val="22"/>
          <w:color w:val="auto"/>
        </w:rPr>
      </w:pPr>
    </w:p>
    <w:p>
      <w:pPr>
        <w:ind w:left="660" w:right="20" w:firstLine="639"/>
        <w:spacing w:after="0" w:line="258" w:lineRule="auto"/>
        <w:tabs>
          <w:tab w:leader="none" w:pos="2006" w:val="left"/>
        </w:tabs>
        <w:numPr>
          <w:ilvl w:val="0"/>
          <w:numId w:val="185"/>
        </w:numPr>
        <w:rPr>
          <w:rFonts w:ascii="Arial" w:cs="Arial" w:eastAsia="Arial" w:hAnsi="Arial"/>
          <w:sz w:val="21"/>
          <w:szCs w:val="21"/>
          <w:color w:val="auto"/>
        </w:rPr>
      </w:pPr>
      <w:r>
        <w:rPr>
          <w:rFonts w:ascii="Arial" w:cs="Arial" w:eastAsia="Arial" w:hAnsi="Arial"/>
          <w:sz w:val="21"/>
          <w:szCs w:val="21"/>
          <w:color w:val="auto"/>
        </w:rPr>
        <w:t>give the Trustee notice of any default by the Company (or any other obligor upon the Securities) in the making of any such payment of principal (and premium or Make-Whole Amount, if any) or interest on the Securities of that series; and</w:t>
      </w:r>
    </w:p>
    <w:p>
      <w:pPr>
        <w:spacing w:after="0" w:line="166" w:lineRule="exact"/>
        <w:rPr>
          <w:rFonts w:ascii="Arial" w:cs="Arial" w:eastAsia="Arial" w:hAnsi="Arial"/>
          <w:sz w:val="21"/>
          <w:szCs w:val="21"/>
          <w:color w:val="auto"/>
        </w:rPr>
      </w:pPr>
    </w:p>
    <w:p>
      <w:pPr>
        <w:ind w:left="660" w:right="220" w:firstLine="639"/>
        <w:spacing w:after="0" w:line="328" w:lineRule="auto"/>
        <w:tabs>
          <w:tab w:leader="none" w:pos="2006" w:val="left"/>
        </w:tabs>
        <w:numPr>
          <w:ilvl w:val="0"/>
          <w:numId w:val="185"/>
        </w:numPr>
        <w:rPr>
          <w:rFonts w:ascii="Arial" w:cs="Arial" w:eastAsia="Arial" w:hAnsi="Arial"/>
          <w:sz w:val="19"/>
          <w:szCs w:val="19"/>
          <w:color w:val="auto"/>
        </w:rPr>
      </w:pPr>
      <w:r>
        <w:rPr>
          <w:rFonts w:ascii="Arial" w:cs="Arial" w:eastAsia="Arial" w:hAnsi="Arial"/>
          <w:sz w:val="19"/>
          <w:szCs w:val="19"/>
          <w:color w:val="auto"/>
        </w:rPr>
        <w:t>at any time during the continuance of any such default upon the written request of the Trustee, forthwith pay to the Trustee all sums so held in trust by such Paying Agent.</w:t>
      </w:r>
    </w:p>
    <w:p>
      <w:pPr>
        <w:spacing w:after="0" w:line="105" w:lineRule="exact"/>
        <w:rPr>
          <w:sz w:val="20"/>
          <w:szCs w:val="20"/>
          <w:color w:val="auto"/>
        </w:rPr>
      </w:pPr>
    </w:p>
    <w:p>
      <w:pPr>
        <w:ind w:right="20" w:firstLine="648"/>
        <w:spacing w:after="0" w:line="248" w:lineRule="auto"/>
        <w:rPr>
          <w:sz w:val="20"/>
          <w:szCs w:val="20"/>
          <w:color w:val="auto"/>
        </w:rPr>
      </w:pPr>
      <w:r>
        <w:rPr>
          <w:rFonts w:ascii="Arial" w:cs="Arial" w:eastAsia="Arial" w:hAnsi="Arial"/>
          <w:sz w:val="21"/>
          <w:szCs w:val="21"/>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77"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Except as otherwise provided in the Securities of any series, and subject to applicable laws, any money deposited with the Trustee or any Paying Agent, or then held by the Company, in trust for the payment of the principal of (and premium or Make-Whole Amount, if any) or interest on any Security of any series and remaining unclaimed for two years after such principal (and premium or Make-Whole Amount, if any) or interest has become due and payable shall be paid to the Company upon Company Request or (if then held by the Company) shall be discharged from such trust; and the Holder of such Security shall thereafter, as an unsecured general creditor, look only to the Company for payment of such principal of (and premium or Make-Whole Amount, if any) or interest on any Security, without interest thereon, and all liability of the Trustee or such Paying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18" w:name="page219"/>
    <w:bookmarkEnd w:id="218"/>
    <w:p>
      <w:pPr>
        <w:spacing w:after="0" w:line="248" w:lineRule="auto"/>
        <w:rPr>
          <w:sz w:val="20"/>
          <w:szCs w:val="20"/>
          <w:color w:val="auto"/>
        </w:rPr>
      </w:pPr>
      <w:r>
        <w:rPr>
          <w:rFonts w:ascii="Arial" w:cs="Arial" w:eastAsia="Arial" w:hAnsi="Arial"/>
          <w:sz w:val="21"/>
          <w:szCs w:val="21"/>
          <w:color w:val="auto"/>
        </w:rPr>
        <w:t xml:space="preserve">Agent with respect to such trust money, and all liability of the Company as trustee thereof, shall thereupon cease;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will be repaid to the Company.</w:t>
      </w:r>
    </w:p>
    <w:p>
      <w:pPr>
        <w:spacing w:after="0" w:line="178" w:lineRule="exact"/>
        <w:rPr>
          <w:sz w:val="20"/>
          <w:szCs w:val="20"/>
          <w:color w:val="auto"/>
        </w:rPr>
      </w:pPr>
    </w:p>
    <w:p>
      <w:pPr>
        <w:ind w:firstLine="648"/>
        <w:spacing w:after="0" w:line="248" w:lineRule="exact"/>
        <w:rPr>
          <w:sz w:val="20"/>
          <w:szCs w:val="20"/>
          <w:color w:val="auto"/>
        </w:rPr>
      </w:pPr>
      <w:r>
        <w:rPr>
          <w:rFonts w:ascii="Arial" w:cs="Arial" w:eastAsia="Arial" w:hAnsi="Arial"/>
          <w:sz w:val="22"/>
          <w:szCs w:val="22"/>
          <w:color w:val="auto"/>
        </w:rPr>
        <w:t xml:space="preserve">SECTION 1004. </w:t>
      </w:r>
      <w:r>
        <w:rPr>
          <w:rFonts w:ascii="Arial" w:cs="Arial" w:eastAsia="Arial" w:hAnsi="Arial"/>
          <w:sz w:val="22"/>
          <w:szCs w:val="22"/>
          <w:u w:val="single" w:color="auto"/>
          <w:color w:val="auto"/>
        </w:rPr>
        <w:t>Existence.</w:t>
      </w:r>
      <w:r>
        <w:rPr>
          <w:rFonts w:ascii="Arial" w:cs="Arial" w:eastAsia="Arial" w:hAnsi="Arial"/>
          <w:sz w:val="22"/>
          <w:szCs w:val="22"/>
          <w:color w:val="auto"/>
        </w:rPr>
        <w:t xml:space="preserve"> Subject to Article Eight, the Company will do or cause to be done all things necessary to preserve and keep in full force and effect its corporate existence, all material rights (by articles of incorporation, by</w:t>
      </w:r>
      <w:r>
        <w:rPr>
          <w:rFonts w:ascii="MS PGothic" w:cs="MS PGothic" w:eastAsia="MS PGothic" w:hAnsi="MS PGothic"/>
          <w:sz w:val="22"/>
          <w:szCs w:val="22"/>
          <w:color w:val="auto"/>
        </w:rPr>
        <w:t>‑</w:t>
      </w:r>
      <w:r>
        <w:rPr>
          <w:rFonts w:ascii="Arial" w:cs="Arial" w:eastAsia="Arial" w:hAnsi="Arial"/>
          <w:sz w:val="22"/>
          <w:szCs w:val="22"/>
          <w:color w:val="auto"/>
        </w:rPr>
        <w:t>laws and statute) and material franchises; provided, however, that the Company shall not be required to preserve any such right or franchise if the Board of Directors shall determine that the preservation thereof is no longer desirable in the conduct of the business of the Company.</w:t>
      </w:r>
    </w:p>
    <w:p>
      <w:pPr>
        <w:spacing w:after="0" w:line="188" w:lineRule="exact"/>
        <w:rPr>
          <w:sz w:val="20"/>
          <w:szCs w:val="20"/>
          <w:color w:val="auto"/>
        </w:rPr>
      </w:pPr>
    </w:p>
    <w:p>
      <w:pPr>
        <w:ind w:right="40" w:firstLine="648"/>
        <w:spacing w:after="0" w:line="272" w:lineRule="auto"/>
        <w:rPr>
          <w:sz w:val="20"/>
          <w:szCs w:val="20"/>
          <w:color w:val="auto"/>
        </w:rPr>
      </w:pPr>
      <w:r>
        <w:rPr>
          <w:rFonts w:ascii="Arial" w:cs="Arial" w:eastAsia="Arial" w:hAnsi="Arial"/>
          <w:sz w:val="19"/>
          <w:szCs w:val="19"/>
          <w:color w:val="auto"/>
        </w:rPr>
        <w:t xml:space="preserve">SECTION 1005. </w:t>
      </w:r>
      <w:r>
        <w:rPr>
          <w:rFonts w:ascii="Arial" w:cs="Arial" w:eastAsia="Arial" w:hAnsi="Arial"/>
          <w:sz w:val="19"/>
          <w:szCs w:val="19"/>
          <w:u w:val="single" w:color="auto"/>
          <w:color w:val="auto"/>
        </w:rPr>
        <w:t>Maintenance of Properties</w:t>
      </w:r>
      <w:r>
        <w:rPr>
          <w:rFonts w:ascii="Arial" w:cs="Arial" w:eastAsia="Arial" w:hAnsi="Arial"/>
          <w:sz w:val="19"/>
          <w:szCs w:val="19"/>
          <w:color w:val="auto"/>
        </w:rPr>
        <w:t>. The Company will cause all of its material properties used or useful in the conduct of its business or the business of any Subsidiary to be maintained and kept in good condition, repair and working order, normal wear and tear, casualty and condemnation excepted, and supplied with all necessary equipment and will cause to be made all necessary repairs, renewals, replacements, betterments and improvements thereof (and the Company may take out of service for a period of time, any of its properties that have been condemned or suffered any loss due to casualty in order to make such repairs, betterments and improvements), all as in the judgment of the Company may be necessary so that the business carried on in connection therewith may be properly and advantageously conducted at all times; provided, however, that the Company and its Subsidiaries shall not be prevented from (i) removing permanently any property that has been condemned or suffered a loss due to casualty based on the Company’s reasonable judgment that such removal is in the best interest of the Company, or (ii) selling or otherwise disposing of their properties for value in the ordinary course of business.</w:t>
      </w:r>
    </w:p>
    <w:p>
      <w:pPr>
        <w:spacing w:after="0" w:line="200" w:lineRule="exact"/>
        <w:rPr>
          <w:sz w:val="20"/>
          <w:szCs w:val="20"/>
          <w:color w:val="auto"/>
        </w:rPr>
      </w:pPr>
    </w:p>
    <w:p>
      <w:pPr>
        <w:spacing w:after="0" w:line="205"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 xml:space="preserve">SECTION 1006. </w:t>
      </w:r>
      <w:r>
        <w:rPr>
          <w:rFonts w:ascii="Arial" w:cs="Arial" w:eastAsia="Arial" w:hAnsi="Arial"/>
          <w:sz w:val="22"/>
          <w:szCs w:val="22"/>
          <w:u w:val="single" w:color="auto"/>
          <w:color w:val="auto"/>
        </w:rPr>
        <w:t>Insurance</w:t>
      </w:r>
      <w:r>
        <w:rPr>
          <w:rFonts w:ascii="Arial" w:cs="Arial" w:eastAsia="Arial" w:hAnsi="Arial"/>
          <w:sz w:val="22"/>
          <w:szCs w:val="22"/>
          <w:color w:val="auto"/>
        </w:rPr>
        <w:t>. The Company will cause each of its and its Subsidiaries’ insurable properties to be insured against loss or damage in an amount deemed reasonable by the Board of Directors with insurers of recognized responsibility.</w:t>
      </w:r>
    </w:p>
    <w:p>
      <w:pPr>
        <w:spacing w:after="0" w:line="186" w:lineRule="exact"/>
        <w:rPr>
          <w:sz w:val="20"/>
          <w:szCs w:val="20"/>
          <w:color w:val="auto"/>
        </w:rPr>
      </w:pPr>
    </w:p>
    <w:p>
      <w:pPr>
        <w:ind w:right="200" w:firstLine="648"/>
        <w:spacing w:after="0" w:line="275" w:lineRule="auto"/>
        <w:rPr>
          <w:sz w:val="20"/>
          <w:szCs w:val="20"/>
          <w:color w:val="auto"/>
        </w:rPr>
      </w:pPr>
      <w:r>
        <w:rPr>
          <w:rFonts w:ascii="Arial" w:cs="Arial" w:eastAsia="Arial" w:hAnsi="Arial"/>
          <w:sz w:val="19"/>
          <w:szCs w:val="19"/>
          <w:color w:val="auto"/>
        </w:rPr>
        <w:t xml:space="preserve">SECTION 1007. </w:t>
      </w:r>
      <w:r>
        <w:rPr>
          <w:rFonts w:ascii="Arial" w:cs="Arial" w:eastAsia="Arial" w:hAnsi="Arial"/>
          <w:sz w:val="19"/>
          <w:szCs w:val="19"/>
          <w:u w:val="single" w:color="auto"/>
          <w:color w:val="auto"/>
        </w:rPr>
        <w:t>Payment of Taxes and Other Claims.</w:t>
      </w:r>
      <w:r>
        <w:rPr>
          <w:rFonts w:ascii="Arial" w:cs="Arial" w:eastAsia="Arial" w:hAnsi="Arial"/>
          <w:sz w:val="19"/>
          <w:szCs w:val="19"/>
          <w:color w:val="auto"/>
        </w:rPr>
        <w:t xml:space="preserve"> The Company will pay or discharge or cause to be paid or discharged, before the same shall become delinquent, (1) all taxes, assessments and governmental charges levied or imposed upon it or any Subsidiary or upon the income, profits or property of the Company or any Subsidiary, and (2) all lawful claims for labor, materials and supplies which, if unpaid, might by law become a lien upon the property of the Company or any Subsidiary; provided, however, that the Company shall not be required to pay or discharge or cause to be paid or discharged any such tax, assessment, charge or claim whose amount, applicability or validity is being contested in good faith by appropriate proceedings.</w:t>
      </w:r>
    </w:p>
    <w:p>
      <w:pPr>
        <w:spacing w:after="0" w:line="158" w:lineRule="exact"/>
        <w:rPr>
          <w:sz w:val="20"/>
          <w:szCs w:val="20"/>
          <w:color w:val="auto"/>
        </w:rPr>
      </w:pPr>
    </w:p>
    <w:p>
      <w:pPr>
        <w:ind w:right="20" w:firstLine="648"/>
        <w:spacing w:after="0" w:line="247" w:lineRule="auto"/>
        <w:rPr>
          <w:sz w:val="20"/>
          <w:szCs w:val="20"/>
          <w:color w:val="auto"/>
        </w:rPr>
      </w:pPr>
      <w:r>
        <w:rPr>
          <w:rFonts w:ascii="Arial" w:cs="Arial" w:eastAsia="Arial" w:hAnsi="Arial"/>
          <w:sz w:val="21"/>
          <w:szCs w:val="21"/>
          <w:color w:val="auto"/>
        </w:rPr>
        <w:t xml:space="preserve">SECTION 1008. </w:t>
      </w:r>
      <w:r>
        <w:rPr>
          <w:rFonts w:ascii="Arial" w:cs="Arial" w:eastAsia="Arial" w:hAnsi="Arial"/>
          <w:sz w:val="21"/>
          <w:szCs w:val="21"/>
          <w:u w:val="single" w:color="auto"/>
          <w:color w:val="auto"/>
        </w:rPr>
        <w:t>Statement as to Compliance</w:t>
      </w:r>
      <w:r>
        <w:rPr>
          <w:rFonts w:ascii="Arial" w:cs="Arial" w:eastAsia="Arial" w:hAnsi="Arial"/>
          <w:sz w:val="21"/>
          <w:szCs w:val="21"/>
          <w:color w:val="auto"/>
        </w:rPr>
        <w:t>. The Company will deliver to the Trustee, within 120 days after the end of each fiscal year, a brief certificate from the principal executive officer, principal financial officer or principal accounting officer as to his or her knowledge of the Company’s compliance with all conditions and covenants under this Indenture and, in the event of any noncompliance, specifying such noncompliance and the nature and status thereof. For purposes of this Section 1008, such compliance shall be determined without regard to any period of grace or requirement of notice under this Indenture.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19" w:name="page220"/>
    <w:bookmarkEnd w:id="219"/>
    <w:p>
      <w:pPr>
        <w:ind w:firstLine="648"/>
        <w:spacing w:after="0" w:line="275" w:lineRule="auto"/>
        <w:rPr>
          <w:sz w:val="20"/>
          <w:szCs w:val="20"/>
          <w:color w:val="auto"/>
        </w:rPr>
      </w:pPr>
      <w:r>
        <w:rPr>
          <w:rFonts w:ascii="Arial" w:cs="Arial" w:eastAsia="Arial" w:hAnsi="Arial"/>
          <w:sz w:val="19"/>
          <w:szCs w:val="19"/>
          <w:color w:val="auto"/>
        </w:rPr>
        <w:t xml:space="preserve">SECTION 1009. </w:t>
      </w:r>
      <w:r>
        <w:rPr>
          <w:rFonts w:ascii="Arial" w:cs="Arial" w:eastAsia="Arial" w:hAnsi="Arial"/>
          <w:sz w:val="19"/>
          <w:szCs w:val="19"/>
          <w:u w:val="single" w:color="auto"/>
          <w:color w:val="auto"/>
        </w:rPr>
        <w:t>Waiver of Certain Covenants</w:t>
      </w:r>
      <w:r>
        <w:rPr>
          <w:rFonts w:ascii="Arial" w:cs="Arial" w:eastAsia="Arial" w:hAnsi="Arial"/>
          <w:sz w:val="19"/>
          <w:szCs w:val="19"/>
          <w:color w:val="auto"/>
        </w:rPr>
        <w:t>. The Company may omit in any particular instance to comply with any term, provision or condition set forth in Sections 1004 to 1008, inclusive, if before or after the time for such compliance the Holders of at least a majority in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ELEVEN - REDEMPTION OF SECURITIES</w:t>
      </w:r>
    </w:p>
    <w:p>
      <w:pPr>
        <w:spacing w:after="0" w:line="20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 xml:space="preserve">SECTION 1101. </w:t>
      </w:r>
      <w:r>
        <w:rPr>
          <w:rFonts w:ascii="Arial" w:cs="Arial" w:eastAsia="Arial" w:hAnsi="Arial"/>
          <w:sz w:val="19"/>
          <w:szCs w:val="19"/>
          <w:u w:val="single" w:color="auto"/>
          <w:color w:val="auto"/>
        </w:rPr>
        <w:t>Applicability of Article</w:t>
      </w:r>
      <w:r>
        <w:rPr>
          <w:rFonts w:ascii="Arial" w:cs="Arial" w:eastAsia="Arial" w:hAnsi="Arial"/>
          <w:sz w:val="19"/>
          <w:szCs w:val="19"/>
          <w:color w:val="auto"/>
        </w:rPr>
        <w:t>. 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34" w:lineRule="exact"/>
        <w:rPr>
          <w:sz w:val="20"/>
          <w:szCs w:val="20"/>
          <w:color w:val="auto"/>
        </w:rPr>
      </w:pPr>
    </w:p>
    <w:p>
      <w:pPr>
        <w:ind w:right="160" w:firstLine="648"/>
        <w:spacing w:after="0" w:line="274" w:lineRule="auto"/>
        <w:rPr>
          <w:sz w:val="20"/>
          <w:szCs w:val="20"/>
          <w:color w:val="auto"/>
        </w:rPr>
      </w:pPr>
      <w:r>
        <w:rPr>
          <w:rFonts w:ascii="Arial" w:cs="Arial" w:eastAsia="Arial" w:hAnsi="Arial"/>
          <w:sz w:val="19"/>
          <w:szCs w:val="19"/>
          <w:color w:val="auto"/>
        </w:rPr>
        <w:t xml:space="preserve">SECTION 1102. </w:t>
      </w:r>
      <w:r>
        <w:rPr>
          <w:rFonts w:ascii="Arial" w:cs="Arial" w:eastAsia="Arial" w:hAnsi="Arial"/>
          <w:sz w:val="19"/>
          <w:szCs w:val="19"/>
          <w:u w:val="single" w:color="auto"/>
          <w:color w:val="auto"/>
        </w:rPr>
        <w:t>Election to Redeem; Notice to Trustee</w:t>
      </w:r>
      <w:r>
        <w:rPr>
          <w:rFonts w:ascii="Arial" w:cs="Arial" w:eastAsia="Arial" w:hAnsi="Arial"/>
          <w:sz w:val="19"/>
          <w:szCs w:val="19"/>
          <w:color w:val="auto"/>
        </w:rPr>
        <w:t>. The election of the Company to redeem any Securities shall be evidenced by or pursuant to a Board Resolution. In case of any redemption at the election of the Company of less than all of the Securities of any series, the Company shall, at least 45 days prior to the giving of the notice of redemption in Section 1104 (unless a shorter notice shall be satisfactory to the Trustee), notify the Trustee of such Redemption Date and of the principal amount of Securities of such series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59" w:lineRule="exact"/>
        <w:rPr>
          <w:sz w:val="20"/>
          <w:szCs w:val="20"/>
          <w:color w:val="auto"/>
        </w:rPr>
      </w:pPr>
    </w:p>
    <w:p>
      <w:pPr>
        <w:ind w:right="200" w:firstLine="648"/>
        <w:spacing w:after="0" w:line="245" w:lineRule="auto"/>
        <w:rPr>
          <w:sz w:val="20"/>
          <w:szCs w:val="20"/>
          <w:color w:val="auto"/>
        </w:rPr>
      </w:pPr>
      <w:r>
        <w:rPr>
          <w:rFonts w:ascii="Arial" w:cs="Arial" w:eastAsia="Arial" w:hAnsi="Arial"/>
          <w:sz w:val="21"/>
          <w:szCs w:val="21"/>
          <w:color w:val="auto"/>
        </w:rPr>
        <w:t xml:space="preserve">SECTION 1103. </w:t>
      </w:r>
      <w:r>
        <w:rPr>
          <w:rFonts w:ascii="Arial" w:cs="Arial" w:eastAsia="Arial" w:hAnsi="Arial"/>
          <w:sz w:val="21"/>
          <w:szCs w:val="21"/>
          <w:u w:val="single" w:color="auto"/>
          <w:color w:val="auto"/>
        </w:rPr>
        <w:t>Selection by Trustee of Securities to Be Redeemed</w:t>
      </w:r>
      <w:r>
        <w:rPr>
          <w:rFonts w:ascii="Arial" w:cs="Arial" w:eastAsia="Arial" w:hAnsi="Arial"/>
          <w:sz w:val="21"/>
          <w:szCs w:val="21"/>
          <w:color w:val="auto"/>
        </w:rPr>
        <w:t>. If less than all the Securities of any series issued on the same day with the same terms are to be redeemed, the particular Securities to be redeemed shall be selected not more than 60 days prior to the Redemption Date by the Trustee, from the Outstanding Securities of such series issued on such date with the same terms not previously called for redemption, by such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85"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8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34" w:lineRule="exact"/>
        <w:rPr>
          <w:sz w:val="20"/>
          <w:szCs w:val="20"/>
          <w:color w:val="auto"/>
        </w:rPr>
      </w:pPr>
    </w:p>
    <w:p>
      <w:pPr>
        <w:ind w:right="140" w:firstLine="648"/>
        <w:spacing w:after="0" w:line="258" w:lineRule="auto"/>
        <w:rPr>
          <w:sz w:val="20"/>
          <w:szCs w:val="20"/>
          <w:color w:val="auto"/>
        </w:rPr>
      </w:pPr>
      <w:r>
        <w:rPr>
          <w:rFonts w:ascii="Arial" w:cs="Arial" w:eastAsia="Arial" w:hAnsi="Arial"/>
          <w:sz w:val="21"/>
          <w:szCs w:val="21"/>
          <w:color w:val="auto"/>
        </w:rPr>
        <w:t xml:space="preserve">SECTION 1104. </w:t>
      </w:r>
      <w:r>
        <w:rPr>
          <w:rFonts w:ascii="Arial" w:cs="Arial" w:eastAsia="Arial" w:hAnsi="Arial"/>
          <w:sz w:val="21"/>
          <w:szCs w:val="21"/>
          <w:u w:val="single" w:color="auto"/>
          <w:color w:val="auto"/>
        </w:rPr>
        <w:t>Notice of Redemption</w:t>
      </w:r>
      <w:r>
        <w:rPr>
          <w:rFonts w:ascii="Arial" w:cs="Arial" w:eastAsia="Arial" w:hAnsi="Arial"/>
          <w:sz w:val="21"/>
          <w:szCs w:val="21"/>
          <w:color w:val="auto"/>
        </w:rPr>
        <w:t>. Notice of redemption shall be given in the manner provided in Section 106, not less than 30 days nor more than 60 days prior to the Redemption Date, unless a shorter period is specified by the terms of such series established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20" w:name="page221"/>
    <w:bookmarkEnd w:id="220"/>
    <w:p>
      <w:pPr>
        <w:ind w:right="220"/>
        <w:spacing w:after="0" w:line="252" w:lineRule="auto"/>
        <w:rPr>
          <w:sz w:val="20"/>
          <w:szCs w:val="20"/>
          <w:color w:val="auto"/>
        </w:rPr>
      </w:pPr>
      <w:r>
        <w:rPr>
          <w:rFonts w:ascii="Arial" w:cs="Arial" w:eastAsia="Arial" w:hAnsi="Arial"/>
          <w:sz w:val="21"/>
          <w:szCs w:val="21"/>
          <w:color w:val="auto"/>
        </w:rPr>
        <w:t>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75" w:lineRule="exact"/>
        <w:rPr>
          <w:sz w:val="20"/>
          <w:szCs w:val="20"/>
          <w:color w:val="auto"/>
        </w:rPr>
      </w:pPr>
    </w:p>
    <w:p>
      <w:pPr>
        <w:jc w:val="both"/>
        <w:ind w:right="180" w:firstLine="648"/>
        <w:spacing w:after="0" w:line="328" w:lineRule="auto"/>
        <w:rPr>
          <w:sz w:val="20"/>
          <w:szCs w:val="20"/>
          <w:color w:val="auto"/>
        </w:rPr>
      </w:pPr>
      <w:r>
        <w:rPr>
          <w:rFonts w:ascii="Arial" w:cs="Arial" w:eastAsia="Arial" w:hAnsi="Arial"/>
          <w:sz w:val="19"/>
          <w:szCs w:val="19"/>
          <w:color w:val="auto"/>
        </w:rPr>
        <w:t>Any notice that is mailed to the Holders of Registered Securities in the manner herein provided shall be conclusively presumed to have been duly given, whether or not the Holder receives the notice.</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All notices of redemption shall state:</w:t>
      </w:r>
    </w:p>
    <w:p>
      <w:pPr>
        <w:spacing w:after="0" w:line="206" w:lineRule="exact"/>
        <w:rPr>
          <w:sz w:val="20"/>
          <w:szCs w:val="20"/>
          <w:color w:val="auto"/>
        </w:rPr>
      </w:pPr>
    </w:p>
    <w:p>
      <w:pPr>
        <w:ind w:left="2000" w:hanging="701"/>
        <w:spacing w:after="0"/>
        <w:tabs>
          <w:tab w:leader="none" w:pos="200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06" w:lineRule="exact"/>
        <w:rPr>
          <w:rFonts w:ascii="Arial" w:cs="Arial" w:eastAsia="Arial" w:hAnsi="Arial"/>
          <w:sz w:val="22"/>
          <w:szCs w:val="22"/>
          <w:color w:val="auto"/>
        </w:rPr>
      </w:pPr>
    </w:p>
    <w:p>
      <w:pPr>
        <w:ind w:left="660" w:right="640" w:firstLine="639"/>
        <w:spacing w:after="0" w:line="251" w:lineRule="auto"/>
        <w:tabs>
          <w:tab w:leader="none" w:pos="2006"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Redemption Price, accrued interest to the Redemption Date payable as provided in Section 1106, if any,</w:t>
      </w:r>
    </w:p>
    <w:p>
      <w:pPr>
        <w:spacing w:after="0" w:line="173" w:lineRule="exact"/>
        <w:rPr>
          <w:rFonts w:ascii="Arial" w:cs="Arial" w:eastAsia="Arial" w:hAnsi="Arial"/>
          <w:sz w:val="22"/>
          <w:szCs w:val="22"/>
          <w:color w:val="auto"/>
        </w:rPr>
      </w:pPr>
    </w:p>
    <w:p>
      <w:pPr>
        <w:ind w:left="660" w:right="520" w:firstLine="639"/>
        <w:spacing w:after="0"/>
        <w:tabs>
          <w:tab w:leader="none" w:pos="2006" w:val="left"/>
        </w:tabs>
        <w:numPr>
          <w:ilvl w:val="0"/>
          <w:numId w:val="186"/>
        </w:numPr>
        <w:rPr>
          <w:rFonts w:ascii="Arial" w:cs="Arial" w:eastAsia="Arial" w:hAnsi="Arial"/>
          <w:sz w:val="22"/>
          <w:szCs w:val="22"/>
          <w:color w:val="auto"/>
        </w:rPr>
      </w:pPr>
      <w:r>
        <w:rPr>
          <w:rFonts w:ascii="Arial" w:cs="Arial" w:eastAsia="Arial" w:hAnsi="Arial"/>
          <w:sz w:val="22"/>
          <w:szCs w:val="22"/>
          <w:color w:val="auto"/>
        </w:rPr>
        <w:t>if less than all Outstanding Securities of any series are to be redeemed, the identification (and, in the case of partial redemption, the principal amount) of the particular Security or Securities to be redeemed,</w:t>
      </w:r>
    </w:p>
    <w:p>
      <w:pPr>
        <w:spacing w:after="0" w:line="186" w:lineRule="exact"/>
        <w:rPr>
          <w:rFonts w:ascii="Arial" w:cs="Arial" w:eastAsia="Arial" w:hAnsi="Arial"/>
          <w:sz w:val="22"/>
          <w:szCs w:val="22"/>
          <w:color w:val="auto"/>
        </w:rPr>
      </w:pPr>
    </w:p>
    <w:p>
      <w:pPr>
        <w:ind w:left="660" w:right="60" w:firstLine="639"/>
        <w:spacing w:after="0" w:line="287" w:lineRule="auto"/>
        <w:tabs>
          <w:tab w:leader="none" w:pos="2006" w:val="left"/>
        </w:tabs>
        <w:numPr>
          <w:ilvl w:val="0"/>
          <w:numId w:val="186"/>
        </w:numPr>
        <w:rPr>
          <w:rFonts w:ascii="Arial" w:cs="Arial" w:eastAsia="Arial" w:hAnsi="Arial"/>
          <w:sz w:val="19"/>
          <w:szCs w:val="19"/>
          <w:color w:val="auto"/>
        </w:rPr>
      </w:pPr>
      <w:r>
        <w:rPr>
          <w:rFonts w:ascii="Arial" w:cs="Arial" w:eastAsia="Arial" w:hAnsi="Arial"/>
          <w:sz w:val="19"/>
          <w:szCs w:val="19"/>
          <w:color w:val="auto"/>
        </w:rPr>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143" w:lineRule="exact"/>
        <w:rPr>
          <w:rFonts w:ascii="Arial" w:cs="Arial" w:eastAsia="Arial" w:hAnsi="Arial"/>
          <w:sz w:val="19"/>
          <w:szCs w:val="19"/>
          <w:color w:val="auto"/>
        </w:rPr>
      </w:pPr>
    </w:p>
    <w:p>
      <w:pPr>
        <w:ind w:left="660" w:firstLine="639"/>
        <w:spacing w:after="0" w:line="238" w:lineRule="auto"/>
        <w:tabs>
          <w:tab w:leader="none" w:pos="2006"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that on the Redemption Date the Redemption Price and accrued interest to the Redemption Date payable as provided in Section 1106, if any, will become due and payable upon each such Security, or the portion thereof, to be redeemed and, if applicable, that interest thereon shall cease to accrue on and after said date,</w:t>
      </w:r>
    </w:p>
    <w:p>
      <w:pPr>
        <w:spacing w:after="0" w:line="185" w:lineRule="exact"/>
        <w:rPr>
          <w:rFonts w:ascii="Arial" w:cs="Arial" w:eastAsia="Arial" w:hAnsi="Arial"/>
          <w:sz w:val="22"/>
          <w:szCs w:val="22"/>
          <w:color w:val="auto"/>
        </w:rPr>
      </w:pPr>
    </w:p>
    <w:p>
      <w:pPr>
        <w:ind w:left="660" w:right="140" w:firstLine="639"/>
        <w:spacing w:after="0" w:line="238" w:lineRule="auto"/>
        <w:tabs>
          <w:tab w:leader="none" w:pos="2006"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Place or Places of Payment where such Securities, together in the case of Bearer Securities with all coupons appertaining thereto, if any, maturing after the Redemption Date, are to be surrendered for payment of the Redemption Price and accrued interest, if any, or for conversion,</w:t>
      </w:r>
    </w:p>
    <w:p>
      <w:pPr>
        <w:spacing w:after="0" w:line="185" w:lineRule="exact"/>
        <w:rPr>
          <w:rFonts w:ascii="Arial" w:cs="Arial" w:eastAsia="Arial" w:hAnsi="Arial"/>
          <w:sz w:val="22"/>
          <w:szCs w:val="22"/>
          <w:color w:val="auto"/>
        </w:rPr>
      </w:pPr>
    </w:p>
    <w:p>
      <w:pPr>
        <w:ind w:left="2000" w:hanging="701"/>
        <w:spacing w:after="0"/>
        <w:tabs>
          <w:tab w:leader="none" w:pos="200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that the redemption is for a sinking fund, if such is the case,</w:t>
      </w:r>
    </w:p>
    <w:p>
      <w:pPr>
        <w:spacing w:after="0" w:line="206" w:lineRule="exact"/>
        <w:rPr>
          <w:rFonts w:ascii="Arial" w:cs="Arial" w:eastAsia="Arial" w:hAnsi="Arial"/>
          <w:sz w:val="22"/>
          <w:szCs w:val="22"/>
          <w:color w:val="auto"/>
        </w:rPr>
      </w:pPr>
    </w:p>
    <w:p>
      <w:pPr>
        <w:ind w:left="660" w:firstLine="639"/>
        <w:spacing w:after="0" w:line="282" w:lineRule="auto"/>
        <w:tabs>
          <w:tab w:leader="none" w:pos="2006" w:val="left"/>
        </w:tabs>
        <w:numPr>
          <w:ilvl w:val="0"/>
          <w:numId w:val="186"/>
        </w:numPr>
        <w:rPr>
          <w:rFonts w:ascii="Arial" w:cs="Arial" w:eastAsia="Arial" w:hAnsi="Arial"/>
          <w:sz w:val="19"/>
          <w:szCs w:val="19"/>
          <w:color w:val="auto"/>
        </w:rPr>
      </w:pPr>
      <w:r>
        <w:rPr>
          <w:rFonts w:ascii="Arial" w:cs="Arial" w:eastAsia="Arial" w:hAnsi="Arial"/>
          <w:sz w:val="19"/>
          <w:szCs w:val="19"/>
          <w:color w:val="auto"/>
        </w:rPr>
        <w:t>that, unless otherwise specified in such notice, Bearer Securities of any series, if any, surrendered for redemption must be accompanied by all coupons maturing subsequent to the date fixed for redemption or the amount of any such missing coupon or coupons will be deducted from the Redemption Price, unless security or indemnity satisfactory to the Company, the Trustee for such series and any Paying Agent is furnished,</w:t>
      </w:r>
    </w:p>
    <w:p>
      <w:pPr>
        <w:spacing w:after="0" w:line="147" w:lineRule="exact"/>
        <w:rPr>
          <w:rFonts w:ascii="Arial" w:cs="Arial" w:eastAsia="Arial" w:hAnsi="Arial"/>
          <w:sz w:val="19"/>
          <w:szCs w:val="19"/>
          <w:color w:val="auto"/>
        </w:rPr>
      </w:pPr>
    </w:p>
    <w:p>
      <w:pPr>
        <w:ind w:left="660" w:right="40" w:firstLine="639"/>
        <w:spacing w:after="0" w:line="236" w:lineRule="auto"/>
        <w:tabs>
          <w:tab w:leader="none" w:pos="2006" w:val="left"/>
        </w:tabs>
        <w:numPr>
          <w:ilvl w:val="0"/>
          <w:numId w:val="186"/>
        </w:numPr>
        <w:rPr>
          <w:rFonts w:ascii="Arial" w:cs="Arial" w:eastAsia="Arial" w:hAnsi="Arial"/>
          <w:sz w:val="22"/>
          <w:szCs w:val="22"/>
          <w:color w:val="auto"/>
        </w:rPr>
      </w:pPr>
      <w:r>
        <w:rPr>
          <w:rFonts w:ascii="Arial" w:cs="Arial" w:eastAsia="Arial" w:hAnsi="Arial"/>
          <w:sz w:val="22"/>
          <w:szCs w:val="22"/>
          <w:color w:val="auto"/>
        </w:rPr>
        <w:t>if Bearer Securities of any series are to be redeemed and any Registered Securities of such series are not to be redeemed, and if such Bearer Securities may be exchanged for Registered Securities not subject to redemption on this Redemption Date pursuant to Section 305 or otherwise, the last date, as determined by the Company, on which such exchanges may be made,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21" w:name="page222"/>
    <w:bookmarkEnd w:id="221"/>
    <w:p>
      <w:pPr>
        <w:ind w:left="2040" w:hanging="741"/>
        <w:spacing w:after="0"/>
        <w:tabs>
          <w:tab w:leader="none" w:pos="204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CUSIP number of such Security, if any, and</w:t>
      </w:r>
    </w:p>
    <w:p>
      <w:pPr>
        <w:spacing w:after="0" w:line="206" w:lineRule="exact"/>
        <w:rPr>
          <w:rFonts w:ascii="Arial" w:cs="Arial" w:eastAsia="Arial" w:hAnsi="Arial"/>
          <w:sz w:val="22"/>
          <w:szCs w:val="22"/>
          <w:color w:val="auto"/>
        </w:rPr>
      </w:pPr>
    </w:p>
    <w:p>
      <w:pPr>
        <w:ind w:left="660" w:right="220" w:firstLine="639"/>
        <w:spacing w:after="0" w:line="287" w:lineRule="auto"/>
        <w:tabs>
          <w:tab w:leader="none" w:pos="2038" w:val="left"/>
        </w:tabs>
        <w:numPr>
          <w:ilvl w:val="0"/>
          <w:numId w:val="187"/>
        </w:numPr>
        <w:rPr>
          <w:rFonts w:ascii="Arial" w:cs="Arial" w:eastAsia="Arial" w:hAnsi="Arial"/>
          <w:sz w:val="19"/>
          <w:szCs w:val="19"/>
          <w:color w:val="auto"/>
        </w:rPr>
      </w:pPr>
      <w:r>
        <w:rPr>
          <w:rFonts w:ascii="Arial" w:cs="Arial" w:eastAsia="Arial" w:hAnsi="Arial"/>
          <w:sz w:val="19"/>
          <w:szCs w:val="19"/>
          <w:color w:val="auto"/>
        </w:rPr>
        <w:t>if applicable, that a Holder of Securities who desires to convert Securities for redemption must satisfy the requirements for conversion contained in such Securities, the then existing conversion price or rate, the place or places where such Securities may be surrendered for conversion, and the date and time when the option to convert shall expire.</w:t>
      </w:r>
    </w:p>
    <w:p>
      <w:pPr>
        <w:spacing w:after="0" w:line="143"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Notice of redemption of Securities to be redeemed at the election of the Company shall be given by the Company or, at the Company’s request, by the Trustee in the name and at the expense of the Company.</w:t>
      </w:r>
    </w:p>
    <w:p>
      <w:pPr>
        <w:spacing w:after="0" w:line="186" w:lineRule="exact"/>
        <w:rPr>
          <w:sz w:val="20"/>
          <w:szCs w:val="20"/>
          <w:color w:val="auto"/>
        </w:rPr>
      </w:pPr>
    </w:p>
    <w:p>
      <w:pPr>
        <w:ind w:right="120" w:firstLine="648"/>
        <w:spacing w:after="0" w:line="245" w:lineRule="auto"/>
        <w:rPr>
          <w:sz w:val="20"/>
          <w:szCs w:val="20"/>
          <w:color w:val="auto"/>
        </w:rPr>
      </w:pPr>
      <w:r>
        <w:rPr>
          <w:rFonts w:ascii="Arial" w:cs="Arial" w:eastAsia="Arial" w:hAnsi="Arial"/>
          <w:sz w:val="21"/>
          <w:szCs w:val="21"/>
          <w:color w:val="auto"/>
        </w:rPr>
        <w:t xml:space="preserve">SECTION 1105. </w:t>
      </w:r>
      <w:r>
        <w:rPr>
          <w:rFonts w:ascii="Arial" w:cs="Arial" w:eastAsia="Arial" w:hAnsi="Arial"/>
          <w:sz w:val="21"/>
          <w:szCs w:val="21"/>
          <w:u w:val="single" w:color="auto"/>
          <w:color w:val="auto"/>
        </w:rPr>
        <w:t>Deposit of Redemption Price</w:t>
      </w:r>
      <w:r>
        <w:rPr>
          <w:rFonts w:ascii="Arial" w:cs="Arial" w:eastAsia="Arial" w:hAnsi="Arial"/>
          <w:sz w:val="21"/>
          <w:szCs w:val="21"/>
          <w:color w:val="auto"/>
        </w:rPr>
        <w:t>. On or prior to any Redemption Date, the Company shall deposit with the Trustee or with a Paying Agent (or, if the Company is acting as its own Paying Agent, which it may not do in the case of a sinking fund payment under Article Twelve,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on the Redemption Date the Redemption Price of, and (except if the Redemption Date shall be an Interest Payment Date) accrued interest on, all the Securities or portions thereof which are to be redeemed on that date.</w:t>
      </w:r>
    </w:p>
    <w:p>
      <w:pPr>
        <w:spacing w:after="0" w:line="185"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If any Securities called for redemption are converted, any money deposited with the Trustee or with any Paying Agent or so segregated and held in trust for the redemption of such Security shall be paid to the Company upon Company Request or, if then held by the Company, shall be discharged from such trust.</w:t>
      </w:r>
    </w:p>
    <w:p>
      <w:pPr>
        <w:spacing w:after="0" w:line="185" w:lineRule="exact"/>
        <w:rPr>
          <w:sz w:val="20"/>
          <w:szCs w:val="20"/>
          <w:color w:val="auto"/>
        </w:rPr>
      </w:pPr>
    </w:p>
    <w:p>
      <w:pPr>
        <w:ind w:firstLine="648"/>
        <w:spacing w:after="0" w:line="246" w:lineRule="exact"/>
        <w:rPr>
          <w:sz w:val="20"/>
          <w:szCs w:val="20"/>
          <w:color w:val="auto"/>
        </w:rPr>
      </w:pPr>
      <w:r>
        <w:rPr>
          <w:rFonts w:ascii="Arial" w:cs="Arial" w:eastAsia="Arial" w:hAnsi="Arial"/>
          <w:sz w:val="19"/>
          <w:szCs w:val="19"/>
          <w:color w:val="auto"/>
        </w:rPr>
        <w:t xml:space="preserve">SECTION 1106. </w:t>
      </w:r>
      <w:r>
        <w:rPr>
          <w:rFonts w:ascii="Arial" w:cs="Arial" w:eastAsia="Arial" w:hAnsi="Arial"/>
          <w:sz w:val="19"/>
          <w:szCs w:val="19"/>
          <w:u w:val="single" w:color="auto"/>
          <w:color w:val="auto"/>
        </w:rPr>
        <w:t>Securities Payable on Redemption Date</w:t>
      </w:r>
      <w:r>
        <w:rPr>
          <w:rFonts w:ascii="Arial" w:cs="Arial" w:eastAsia="Arial" w:hAnsi="Arial"/>
          <w:sz w:val="19"/>
          <w:szCs w:val="19"/>
          <w:color w:val="auto"/>
        </w:rPr>
        <w:t>. Notice of redemption having been given as aforesaid, the Securities so to be redeemed shall, on the Redemption Date, become due and payable at the Redemption Price therein specified in the currency or currencies, currency unit or units or composite currency or currencies in which the Securities of such series are payable (except as otherwise specified pursuant to Section 301 for the Securities of such series) (together with accrued interest, if any, to the Redemption Date), and from and after such date (unless the Company shall default in the payment of the Redemption Price and accrued interest) such Securities shall, if the same were interest</w:t>
      </w:r>
      <w:r>
        <w:rPr>
          <w:rFonts w:ascii="MS PGothic" w:cs="MS PGothic" w:eastAsia="MS PGothic" w:hAnsi="MS PGothic"/>
          <w:sz w:val="19"/>
          <w:szCs w:val="19"/>
          <w:color w:val="auto"/>
        </w:rPr>
        <w:t>‑</w:t>
      </w:r>
      <w:r>
        <w:rPr>
          <w:rFonts w:ascii="Arial" w:cs="Arial" w:eastAsia="Arial" w:hAnsi="Arial"/>
          <w:sz w:val="19"/>
          <w:szCs w:val="19"/>
          <w:color w:val="auto"/>
        </w:rPr>
        <w: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provided, however,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and provided further that except as otherwise provided with respect to Securities convertible into the Company’s Common Stock or Preferred Stock,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22" w:name="page223"/>
    <w:bookmarkEnd w:id="222"/>
    <w:p>
      <w:pPr>
        <w:ind w:right="120" w:firstLine="648"/>
        <w:spacing w:after="0" w:line="273" w:lineRule="auto"/>
        <w:rPr>
          <w:sz w:val="20"/>
          <w:szCs w:val="20"/>
          <w:color w:val="auto"/>
        </w:rPr>
      </w:pPr>
      <w:r>
        <w:rPr>
          <w:rFonts w:ascii="Arial" w:cs="Arial" w:eastAsia="Arial" w:hAnsi="Arial"/>
          <w:sz w:val="19"/>
          <w:szCs w:val="19"/>
          <w:color w:val="auto"/>
        </w:rPr>
        <w:t xml:space="preserve">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57"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If any Security called for redemption shall not be so paid upon surrender thereof for redemption, the principal (and premium or Make-Whole Amount, if any) shall, until paid, bear interest from the Redemption Date at the rate borne by the Security.</w:t>
      </w:r>
    </w:p>
    <w:p>
      <w:pPr>
        <w:spacing w:after="0" w:line="18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9"/>
          <w:szCs w:val="19"/>
          <w:color w:val="auto"/>
        </w:rPr>
        <w:t xml:space="preserve">SECTION 1107. </w:t>
      </w:r>
      <w:r>
        <w:rPr>
          <w:rFonts w:ascii="Arial" w:cs="Arial" w:eastAsia="Arial" w:hAnsi="Arial"/>
          <w:sz w:val="19"/>
          <w:szCs w:val="19"/>
          <w:u w:val="single" w:color="auto"/>
          <w:color w:val="auto"/>
        </w:rPr>
        <w:t>Securities Redeemed in Part</w:t>
      </w:r>
      <w:r>
        <w:rPr>
          <w:rFonts w:ascii="Arial" w:cs="Arial" w:eastAsia="Arial" w:hAnsi="Arial"/>
          <w:sz w:val="19"/>
          <w:szCs w:val="19"/>
          <w:color w:val="auto"/>
        </w:rPr>
        <w:t>. Any Registered Security 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 If a Global Security is so surrendered, the Company shall execute and the Trustee shall authenticate and deliver to the depository, without service charge, a new Global Security in a denomination equal to and in exchange for the unredeemed portion of the principal of the Global Security so surrendered.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TWELVE - SINKING FUNDS</w:t>
      </w:r>
    </w:p>
    <w:p>
      <w:pPr>
        <w:spacing w:after="0" w:line="206" w:lineRule="exact"/>
        <w:rPr>
          <w:sz w:val="20"/>
          <w:szCs w:val="20"/>
          <w:color w:val="auto"/>
        </w:rPr>
      </w:pPr>
    </w:p>
    <w:p>
      <w:pPr>
        <w:ind w:right="180" w:firstLine="648"/>
        <w:spacing w:after="0"/>
        <w:rPr>
          <w:sz w:val="20"/>
          <w:szCs w:val="20"/>
          <w:color w:val="auto"/>
        </w:rPr>
      </w:pPr>
      <w:r>
        <w:rPr>
          <w:rFonts w:ascii="Arial" w:cs="Arial" w:eastAsia="Arial" w:hAnsi="Arial"/>
          <w:sz w:val="22"/>
          <w:szCs w:val="22"/>
          <w:color w:val="auto"/>
        </w:rPr>
        <w:t xml:space="preserve">SECTION 1201. </w:t>
      </w:r>
      <w:r>
        <w:rPr>
          <w:rFonts w:ascii="Arial" w:cs="Arial" w:eastAsia="Arial" w:hAnsi="Arial"/>
          <w:sz w:val="22"/>
          <w:szCs w:val="22"/>
          <w:u w:val="single" w:color="auto"/>
          <w:color w:val="auto"/>
        </w:rPr>
        <w:t>Applicability of Article</w:t>
      </w:r>
      <w:r>
        <w:rPr>
          <w:rFonts w:ascii="Arial" w:cs="Arial" w:eastAsia="Arial" w:hAnsi="Arial"/>
          <w:sz w:val="22"/>
          <w:szCs w:val="22"/>
          <w:color w:val="auto"/>
        </w:rPr>
        <w:t>. The provisions of this Article shall be applicable to any sinking fund for the retirement of Securities of a series except as otherwise specified as contemplated by Section 301 for Securities of such series</w:t>
      </w:r>
      <w:r>
        <w:rPr>
          <w:rFonts w:ascii="Arial" w:cs="Arial" w:eastAsia="Arial" w:hAnsi="Arial"/>
          <w:sz w:val="22"/>
          <w:szCs w:val="22"/>
          <w:u w:val="single" w:color="auto"/>
          <w:color w:val="auto"/>
        </w:rPr>
        <w:t>.</w:t>
      </w:r>
    </w:p>
    <w:p>
      <w:pPr>
        <w:spacing w:after="0" w:line="186" w:lineRule="exact"/>
        <w:rPr>
          <w:sz w:val="20"/>
          <w:szCs w:val="20"/>
          <w:color w:val="auto"/>
        </w:rPr>
      </w:pPr>
    </w:p>
    <w:p>
      <w:pPr>
        <w:ind w:right="40" w:firstLine="648"/>
        <w:spacing w:after="0" w:line="277" w:lineRule="auto"/>
        <w:rPr>
          <w:sz w:val="20"/>
          <w:szCs w:val="20"/>
          <w:color w:val="auto"/>
        </w:rPr>
      </w:pPr>
      <w:r>
        <w:rPr>
          <w:rFonts w:ascii="Arial" w:cs="Arial" w:eastAsia="Arial" w:hAnsi="Arial"/>
          <w:sz w:val="19"/>
          <w:szCs w:val="19"/>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53"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SECTION 1202. </w:t>
      </w:r>
      <w:r>
        <w:rPr>
          <w:rFonts w:ascii="Arial" w:cs="Arial" w:eastAsia="Arial" w:hAnsi="Arial"/>
          <w:sz w:val="19"/>
          <w:szCs w:val="19"/>
          <w:u w:val="single" w:color="auto"/>
          <w:color w:val="auto"/>
        </w:rPr>
        <w:t>Satisfaction of Sinking Fund Payments with Securities</w:t>
      </w:r>
      <w:r>
        <w:rPr>
          <w:rFonts w:ascii="Arial" w:cs="Arial" w:eastAsia="Arial" w:hAnsi="Arial"/>
          <w:sz w:val="19"/>
          <w:szCs w:val="19"/>
          <w:color w:val="auto"/>
        </w:rPr>
        <w:t>. The Company may, in satisfaction of all or any part of any mandatory sinking fund payment with respect to the Securities of a series, (1) deliver Outstanding Securities of such series (other than any previously called for redemption) together in the case of any Bearer Securities of such series with all unmatured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23" w:name="page224"/>
    <w:bookmarkEnd w:id="223"/>
    <w:p>
      <w:pPr>
        <w:ind w:right="220"/>
        <w:spacing w:after="0" w:line="275" w:lineRule="auto"/>
        <w:rPr>
          <w:sz w:val="20"/>
          <w:szCs w:val="20"/>
          <w:color w:val="auto"/>
        </w:rPr>
      </w:pPr>
      <w:r>
        <w:rPr>
          <w:rFonts w:ascii="Arial" w:cs="Arial" w:eastAsia="Arial" w:hAnsi="Arial"/>
          <w:sz w:val="19"/>
          <w:szCs w:val="19"/>
          <w:color w:val="auto"/>
        </w:rPr>
        <w:t>coupons appertaining thereto and (2)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or which have otherwise been acquired by the Company; provided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-48260</wp:posOffset>
            </wp:positionV>
            <wp:extent cx="342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39"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 xml:space="preserve">SECTION 1203. </w:t>
      </w:r>
      <w:r>
        <w:rPr>
          <w:rFonts w:ascii="Arial" w:cs="Arial" w:eastAsia="Arial" w:hAnsi="Arial"/>
          <w:sz w:val="19"/>
          <w:szCs w:val="19"/>
          <w:u w:val="single" w:color="auto"/>
          <w:color w:val="auto"/>
        </w:rPr>
        <w:t>Redemption of Securities for Sinking Fund</w:t>
      </w:r>
      <w:r>
        <w:rPr>
          <w:rFonts w:ascii="Arial" w:cs="Arial" w:eastAsia="Arial" w:hAnsi="Arial"/>
          <w:sz w:val="19"/>
          <w:szCs w:val="19"/>
          <w:color w:val="auto"/>
        </w:rPr>
        <w:t>. Not less than 60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or currencies, currency unit or units or composite currency or currencies in which the Securities of such series are payable (except as otherwise specified pursuant to Section 301 for the Securities of such series)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r>
        <w:rPr>
          <w:rFonts w:ascii="Arial" w:cs="Arial" w:eastAsia="Arial" w:hAnsi="Arial"/>
          <w:sz w:val="19"/>
          <w:szCs w:val="19"/>
          <w:u w:val="single" w:color="auto"/>
          <w:color w:val="auto"/>
        </w:rPr>
        <w: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THIRTEEN - REPAYMENT AT THE OPTION OF HOLDERS</w:t>
      </w:r>
    </w:p>
    <w:p>
      <w:pPr>
        <w:spacing w:after="0" w:line="206"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 xml:space="preserve">SECTION 1301. </w:t>
      </w:r>
      <w:r>
        <w:rPr>
          <w:rFonts w:ascii="Arial" w:cs="Arial" w:eastAsia="Arial" w:hAnsi="Arial"/>
          <w:sz w:val="22"/>
          <w:szCs w:val="22"/>
          <w:u w:val="single" w:color="auto"/>
          <w:color w:val="auto"/>
        </w:rPr>
        <w:t>Applicability of Article</w:t>
      </w:r>
      <w:r>
        <w:rPr>
          <w:rFonts w:ascii="Arial" w:cs="Arial" w:eastAsia="Arial" w:hAnsi="Arial"/>
          <w:sz w:val="22"/>
          <w:szCs w:val="22"/>
          <w:color w:val="auto"/>
        </w:rPr>
        <w:t>. Repayment of Securities of any series before their Stated Maturity at the option of Holders thereof shall be made in accordance with the terms of such Securities, if any, and (except as otherwise specified by the terms of such series established pursuant to Section 301) in accordance with this Article.</w:t>
      </w:r>
    </w:p>
    <w:p>
      <w:pPr>
        <w:spacing w:after="0" w:line="185" w:lineRule="exact"/>
        <w:rPr>
          <w:sz w:val="20"/>
          <w:szCs w:val="20"/>
          <w:color w:val="auto"/>
        </w:rPr>
      </w:pPr>
    </w:p>
    <w:p>
      <w:pPr>
        <w:ind w:right="60" w:firstLine="648"/>
        <w:spacing w:after="0" w:line="273" w:lineRule="auto"/>
        <w:rPr>
          <w:sz w:val="20"/>
          <w:szCs w:val="20"/>
          <w:color w:val="auto"/>
        </w:rPr>
      </w:pPr>
      <w:r>
        <w:rPr>
          <w:rFonts w:ascii="Arial" w:cs="Arial" w:eastAsia="Arial" w:hAnsi="Arial"/>
          <w:sz w:val="19"/>
          <w:szCs w:val="19"/>
          <w:color w:val="auto"/>
        </w:rPr>
        <w:t xml:space="preserve">SECTION 1302. </w:t>
      </w:r>
      <w:r>
        <w:rPr>
          <w:rFonts w:ascii="Arial" w:cs="Arial" w:eastAsia="Arial" w:hAnsi="Arial"/>
          <w:sz w:val="19"/>
          <w:szCs w:val="19"/>
          <w:u w:val="single" w:color="auto"/>
          <w:color w:val="auto"/>
        </w:rPr>
        <w:t>Repayment of Securities</w:t>
      </w:r>
      <w:r>
        <w:rPr>
          <w:rFonts w:ascii="Arial" w:cs="Arial" w:eastAsia="Arial" w:hAnsi="Arial"/>
          <w:sz w:val="19"/>
          <w:szCs w:val="19"/>
          <w:color w:val="auto"/>
        </w:rPr>
        <w:t>. Securities of any series subject to repayment in whole or in part at the option of the Holders thereof will, unless otherwise provided in the terms of such Securities, be repaid at a price equal to the principal amount thereof, together with interest, if any, thereon accrued to the Repayment Date specified in or pursuant to the terms of such Securities. The Company covenants that on or prior to the Repayment Date it will deposit with the Trustee or with a Paying Agent (or, if the Company is acting as its own Paying Agent,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the principal (or, if so provided by the terms of the Securities of any series, a percentage of the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24" w:name="page225"/>
    <w:bookmarkEnd w:id="224"/>
    <w:p>
      <w:pPr>
        <w:ind w:right="100"/>
        <w:spacing w:after="0" w:line="275" w:lineRule="auto"/>
        <w:rPr>
          <w:sz w:val="20"/>
          <w:szCs w:val="20"/>
          <w:color w:val="auto"/>
        </w:rPr>
      </w:pPr>
      <w:r>
        <w:rPr>
          <w:rFonts w:ascii="Arial" w:cs="Arial" w:eastAsia="Arial" w:hAnsi="Arial"/>
          <w:sz w:val="21"/>
          <w:szCs w:val="21"/>
          <w:color w:val="auto"/>
        </w:rPr>
        <w:t>principal) of, and (except if the Repayment Date shall be an Interest Payment Date) accrued interest on, all the Securities or portions thereof, as the case may be, to be repaid on such date.</w:t>
      </w:r>
    </w:p>
    <w:p>
      <w:pPr>
        <w:spacing w:after="0" w:line="149"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 xml:space="preserve">SECTION 1303. </w:t>
      </w:r>
      <w:r>
        <w:rPr>
          <w:rFonts w:ascii="Arial" w:cs="Arial" w:eastAsia="Arial" w:hAnsi="Arial"/>
          <w:sz w:val="19"/>
          <w:szCs w:val="19"/>
          <w:u w:val="single" w:color="auto"/>
          <w:color w:val="auto"/>
        </w:rPr>
        <w:t>Exercise of Option</w:t>
      </w:r>
      <w:r>
        <w:rPr>
          <w:rFonts w:ascii="Arial" w:cs="Arial" w:eastAsia="Arial" w:hAnsi="Arial"/>
          <w:sz w:val="19"/>
          <w:szCs w:val="19"/>
          <w:color w:val="auto"/>
        </w:rPr>
        <w:t>. Securities of any series subject to repayment at the option of the Holders thereof will contain an “Option to Elect Repayment” form on the reverse of such Securities. In order for any Security to be repaid at the option of the Holder, the Trustee must receive at the Place of Payment therefor specified in the terms of such Security (or at such other place or places of which the Company shall from time to time notify the Holders of such Securities) not earlier than 60 days nor later than 30 days prior to the Repayment Date (1) the Security so providing for such repayment together with the “Option to Elect Repayment” form on the reverse thereof duly completed by the Holder (or by the Holder’s attorney duly authorized in writing) or (2) a telegram, telex, facsimile transmission or a letter from a member of a national securities exchange, or the FINRA, or a commercial bank or trust company in the United States setting forth the name of the Holder of the Security, the principal amount of the Security, the principal amount of the Security to be repaid, the CUSIP number, if any, or a description of the tenor and terms of the Security, a statement that the option to elect repayment is being exercised thereby and a guarantee that the Security to be repaid, together with the duly completed form entitled “Option to Elect Repayment” on the reverse of the Security, will be received by the Trustee not later than the fifth Business Day after the date of such telegram, telex, facsimile transmission or letter; provided, however, that such telegram, telex, facsimile transmission or letter shall only be effective if such Security and form duly completed are received by the Trustee by such fifth Business Day. If less than the entire principal amount of such Security is to be repaid in accordance with the terms of such Security, the principal amount of such Security to be repaid, in increments of the minimum denomination for Securities of such series,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168" w:lineRule="exact"/>
        <w:rPr>
          <w:sz w:val="20"/>
          <w:szCs w:val="20"/>
          <w:color w:val="auto"/>
        </w:rPr>
      </w:pPr>
    </w:p>
    <w:p>
      <w:pPr>
        <w:ind w:right="20" w:firstLine="648"/>
        <w:spacing w:after="0" w:line="245" w:lineRule="exact"/>
        <w:rPr>
          <w:sz w:val="20"/>
          <w:szCs w:val="20"/>
          <w:color w:val="auto"/>
        </w:rPr>
      </w:pPr>
      <w:r>
        <w:rPr>
          <w:rFonts w:ascii="Arial" w:cs="Arial" w:eastAsia="Arial" w:hAnsi="Arial"/>
          <w:sz w:val="19"/>
          <w:szCs w:val="19"/>
          <w:color w:val="auto"/>
        </w:rPr>
        <w:t xml:space="preserve">SECTION 1304. </w:t>
      </w:r>
      <w:r>
        <w:rPr>
          <w:rFonts w:ascii="Arial" w:cs="Arial" w:eastAsia="Arial" w:hAnsi="Arial"/>
          <w:sz w:val="19"/>
          <w:szCs w:val="19"/>
          <w:u w:val="single" w:color="auto"/>
          <w:color w:val="auto"/>
        </w:rPr>
        <w:t>When Securities Presented for Repayment Become Due and Payable</w:t>
      </w:r>
      <w:r>
        <w:rPr>
          <w:rFonts w:ascii="Arial" w:cs="Arial" w:eastAsia="Arial" w:hAnsi="Arial"/>
          <w:sz w:val="19"/>
          <w:szCs w:val="19"/>
          <w:color w:val="auto"/>
        </w:rPr>
        <w:t>. 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w:t>
      </w:r>
      <w:r>
        <w:rPr>
          <w:rFonts w:ascii="MS PGothic" w:cs="MS PGothic" w:eastAsia="MS PGothic" w:hAnsi="MS PGothic"/>
          <w:sz w:val="19"/>
          <w:szCs w:val="19"/>
          <w:color w:val="auto"/>
        </w:rPr>
        <w:t>‑</w:t>
      </w:r>
      <w:r>
        <w:rPr>
          <w:rFonts w:ascii="Arial" w:cs="Arial" w:eastAsia="Arial" w:hAnsi="Arial"/>
          <w:sz w:val="19"/>
          <w:szCs w:val="19"/>
          <w:color w:val="auto"/>
        </w:rPr>
        <w:t>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principal amount of such Security so to be repaid shall be paid by the Company, together with accrued interest, if any, to the Repayment Date; provided, however, that coupons whose Stated Maturity is on or prior to the Repayment Date shall be payable only at an office or agency located outside the United States (except as otherwise provided in Section 1002) and, unless otherwise specified pursuant to Section 301, only upon presentation and surrender of such coupons; and provided further that, in the case of Registered Securities, installments of interest,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25" w:name="page226"/>
    <w:bookmarkEnd w:id="225"/>
    <w:p>
      <w:pPr>
        <w:ind w:right="40"/>
        <w:spacing w:after="0" w:line="252" w:lineRule="auto"/>
        <w:rPr>
          <w:sz w:val="20"/>
          <w:szCs w:val="20"/>
          <w:color w:val="auto"/>
        </w:rPr>
      </w:pPr>
      <w:r>
        <w:rPr>
          <w:rFonts w:ascii="Arial" w:cs="Arial" w:eastAsia="Arial" w:hAnsi="Arial"/>
          <w:sz w:val="21"/>
          <w:szCs w:val="21"/>
          <w:color w:val="auto"/>
        </w:rPr>
        <w:t>if any, whose Stated Maturity is on or prior to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75"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 xml:space="preserve">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87" w:lineRule="exact"/>
        <w:rPr>
          <w:sz w:val="20"/>
          <w:szCs w:val="20"/>
          <w:color w:val="auto"/>
        </w:rPr>
      </w:pPr>
    </w:p>
    <w:p>
      <w:pPr>
        <w:ind w:right="100" w:firstLine="648"/>
        <w:spacing w:after="0" w:line="287" w:lineRule="auto"/>
        <w:rPr>
          <w:sz w:val="20"/>
          <w:szCs w:val="20"/>
          <w:color w:val="auto"/>
        </w:rPr>
      </w:pPr>
      <w:r>
        <w:rPr>
          <w:rFonts w:ascii="Arial" w:cs="Arial" w:eastAsia="Arial" w:hAnsi="Arial"/>
          <w:sz w:val="19"/>
          <w:szCs w:val="19"/>
          <w:color w:val="auto"/>
        </w:rPr>
        <w:t>If the principal amount of any Security surrendered for repayment shall not be so repaid upon surrender thereof, such principal amount (together with interest, if any, thereon accrued to such Repayment Date) shall, until paid, bear interest from the Repayment Date at the rate of interest or Yield to Maturity (in the case of Original Issue Discount Securities) set forth in such Security.</w:t>
      </w:r>
    </w:p>
    <w:p>
      <w:pPr>
        <w:spacing w:after="0" w:line="143" w:lineRule="exact"/>
        <w:rPr>
          <w:sz w:val="20"/>
          <w:szCs w:val="20"/>
          <w:color w:val="auto"/>
        </w:rPr>
      </w:pPr>
    </w:p>
    <w:p>
      <w:pPr>
        <w:ind w:right="60" w:firstLine="648"/>
        <w:spacing w:after="0" w:line="279" w:lineRule="auto"/>
        <w:rPr>
          <w:sz w:val="20"/>
          <w:szCs w:val="20"/>
          <w:color w:val="auto"/>
        </w:rPr>
      </w:pPr>
      <w:r>
        <w:rPr>
          <w:rFonts w:ascii="Arial" w:cs="Arial" w:eastAsia="Arial" w:hAnsi="Arial"/>
          <w:sz w:val="19"/>
          <w:szCs w:val="19"/>
          <w:color w:val="auto"/>
        </w:rPr>
        <w:t xml:space="preserve">SECTION 1305. </w:t>
      </w:r>
      <w:r>
        <w:rPr>
          <w:rFonts w:ascii="Arial" w:cs="Arial" w:eastAsia="Arial" w:hAnsi="Arial"/>
          <w:sz w:val="19"/>
          <w:szCs w:val="19"/>
          <w:u w:val="single" w:color="auto"/>
          <w:color w:val="auto"/>
        </w:rPr>
        <w:t>Securities Repaid in Part</w:t>
      </w:r>
      <w:r>
        <w:rPr>
          <w:rFonts w:ascii="Arial" w:cs="Arial" w:eastAsia="Arial" w:hAnsi="Arial"/>
          <w:sz w:val="19"/>
          <w:szCs w:val="19"/>
          <w:color w:val="auto"/>
        </w:rPr>
        <w:t>. Upon surrender of any Registered Security which is to be repaid in part only, the Company shall execute and the Trustee shall authenticate and deliver to the Holder of such Security, without service charge and at the expense of the Company, a new Registered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FOURTEEN - DEFEASANCE AND COVENANT DEFEASANCE</w:t>
      </w:r>
    </w:p>
    <w:p>
      <w:pPr>
        <w:spacing w:after="0" w:line="206" w:lineRule="exact"/>
        <w:rPr>
          <w:sz w:val="20"/>
          <w:szCs w:val="20"/>
          <w:color w:val="auto"/>
        </w:rPr>
      </w:pPr>
    </w:p>
    <w:p>
      <w:pPr>
        <w:ind w:right="80" w:firstLine="648"/>
        <w:spacing w:after="0" w:line="244" w:lineRule="auto"/>
        <w:rPr>
          <w:sz w:val="20"/>
          <w:szCs w:val="20"/>
          <w:color w:val="auto"/>
        </w:rPr>
      </w:pPr>
      <w:r>
        <w:rPr>
          <w:rFonts w:ascii="Arial" w:cs="Arial" w:eastAsia="Arial" w:hAnsi="Arial"/>
          <w:sz w:val="21"/>
          <w:szCs w:val="21"/>
          <w:color w:val="auto"/>
        </w:rPr>
        <w:t xml:space="preserve">SECTION 1401. </w:t>
      </w:r>
      <w:r>
        <w:rPr>
          <w:rFonts w:ascii="Arial" w:cs="Arial" w:eastAsia="Arial" w:hAnsi="Arial"/>
          <w:sz w:val="21"/>
          <w:szCs w:val="21"/>
          <w:u w:val="single" w:color="auto"/>
          <w:color w:val="auto"/>
        </w:rPr>
        <w:t>Applicability of Article; Company’s Option to Effect Defeasance or</w:t>
      </w:r>
      <w:r>
        <w:rPr>
          <w:rFonts w:ascii="Arial" w:cs="Arial" w:eastAsia="Arial" w:hAnsi="Arial"/>
          <w:sz w:val="21"/>
          <w:szCs w:val="21"/>
          <w:color w:val="auto"/>
        </w:rPr>
        <w:t xml:space="preserve"> </w:t>
      </w:r>
      <w:r>
        <w:rPr>
          <w:rFonts w:ascii="Arial" w:cs="Arial" w:eastAsia="Arial" w:hAnsi="Arial"/>
          <w:sz w:val="21"/>
          <w:szCs w:val="21"/>
          <w:u w:val="single" w:color="auto"/>
          <w:color w:val="auto"/>
        </w:rPr>
        <w:t>Covenant Defeasance</w:t>
      </w:r>
      <w:r>
        <w:rPr>
          <w:rFonts w:ascii="Arial" w:cs="Arial" w:eastAsia="Arial" w:hAnsi="Arial"/>
          <w:sz w:val="21"/>
          <w:szCs w:val="21"/>
          <w:color w:val="auto"/>
        </w:rPr>
        <w:t>. If, pursuant to Section 301, provision is made for either or both of (a) Defeasance of the Securities of or within a series under Section 1402 or (b) 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any coupons appertaining thereto, and the Company may at its option by Board Resolution, at any time, with respect to such Securities and any coupons appertaining thereto, elect to have Section 1402 (if applicable) or Section 1403 (if applicable) be applied to such Outstanding Securities and any coupons appertaining thereto upon compliance with the conditions set forth below in this Article.</w:t>
      </w:r>
    </w:p>
    <w:p>
      <w:pPr>
        <w:spacing w:after="0" w:line="190" w:lineRule="exact"/>
        <w:rPr>
          <w:sz w:val="20"/>
          <w:szCs w:val="20"/>
          <w:color w:val="auto"/>
        </w:rPr>
      </w:pPr>
    </w:p>
    <w:p>
      <w:pPr>
        <w:ind w:right="80" w:firstLine="648"/>
        <w:spacing w:after="0" w:line="287" w:lineRule="auto"/>
        <w:rPr>
          <w:sz w:val="20"/>
          <w:szCs w:val="20"/>
          <w:color w:val="auto"/>
        </w:rPr>
      </w:pPr>
      <w:r>
        <w:rPr>
          <w:rFonts w:ascii="Arial" w:cs="Arial" w:eastAsia="Arial" w:hAnsi="Arial"/>
          <w:sz w:val="19"/>
          <w:szCs w:val="19"/>
          <w:color w:val="auto"/>
        </w:rPr>
        <w:t xml:space="preserve">SECTION 1402. </w:t>
      </w:r>
      <w:r>
        <w:rPr>
          <w:rFonts w:ascii="Arial" w:cs="Arial" w:eastAsia="Arial" w:hAnsi="Arial"/>
          <w:sz w:val="19"/>
          <w:szCs w:val="19"/>
          <w:u w:val="single" w:color="auto"/>
          <w:color w:val="auto"/>
        </w:rPr>
        <w:t>Defeasance and Discharge</w:t>
      </w:r>
      <w:r>
        <w:rPr>
          <w:rFonts w:ascii="Arial" w:cs="Arial" w:eastAsia="Arial" w:hAnsi="Arial"/>
          <w:sz w:val="19"/>
          <w:szCs w:val="19"/>
          <w:color w:val="auto"/>
        </w:rPr>
        <w:t>. Upon the Company’s exercise of the above option applicable to this Section with respect to any Securities of or within a series, the Company shall be deemed to have been discharged from its obligations with respect to such Outstanding Securities and any coupons appertaining thereto on the date the conditions set forth in Section 1404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26" w:name="page227"/>
    <w:bookmarkEnd w:id="226"/>
    <w:p>
      <w:pPr>
        <w:spacing w:after="0" w:line="270" w:lineRule="auto"/>
        <w:rPr>
          <w:sz w:val="20"/>
          <w:szCs w:val="20"/>
          <w:color w:val="auto"/>
        </w:rPr>
      </w:pPr>
      <w:r>
        <w:rPr>
          <w:rFonts w:ascii="Arial" w:cs="Arial" w:eastAsia="Arial" w:hAnsi="Arial"/>
          <w:sz w:val="19"/>
          <w:szCs w:val="19"/>
          <w:color w:val="auto"/>
        </w:rPr>
        <w:t>are satisfied (hereinafter, “Defeasance”). For this purpose, such Defeasance means that the Company shall be deemed to have paid and discharged the entire indebtedness represented by such Outstanding Securities and any coupons appertaining thereto, which shall thereafter be deemed to be “Outstanding” only for the purposes of Section 1405 and the other Sections of this Indenture referred to in clauses (A) and (B) below, and to have satisfied all of its other obligations under such Securities and any coupons appertaining thereto and this Indenture insofar as such Securities and any coupons appertaining thereto are concerned (and the Trustee, at the expense of the Company, shall execute proper instruments acknowledging the same), except for the following which shall survive until otherwise terminated or discharged hereunder: (A) the rights of Holders of such Outstanding Securities and any coupons appertaining thereto to receive, solely from the trust fund described in Section 1404 and as more fully set forth in such Section, payments in respect of the principal of (and premium or Make-Whole Amount, if any) and interest, if any, on such Securities and any coupons appertaining thereto when such payments are due, (B) the Company’s obligations with respect to such Securities under Sections 305, 306, 1002 and 1003, and the Company’s obligations under Section 606 hereof (C) the rights, powers, trusts, duties and immunities of the Trustee hereunder and (D) this Article. Subject to compliance with this Article Fourteen, the Company may exercise its option under this Section notwithstanding the prior exercise of its option under Section 1403 with respect to such Securities and any coupons appertaining thereto.</w:t>
      </w:r>
    </w:p>
    <w:p>
      <w:pPr>
        <w:spacing w:after="0" w:line="171" w:lineRule="exact"/>
        <w:rPr>
          <w:sz w:val="20"/>
          <w:szCs w:val="20"/>
          <w:color w:val="auto"/>
        </w:rPr>
      </w:pPr>
    </w:p>
    <w:p>
      <w:pPr>
        <w:ind w:right="20" w:firstLine="648"/>
        <w:spacing w:after="0" w:line="270" w:lineRule="auto"/>
        <w:rPr>
          <w:sz w:val="20"/>
          <w:szCs w:val="20"/>
          <w:color w:val="auto"/>
        </w:rPr>
      </w:pPr>
      <w:r>
        <w:rPr>
          <w:rFonts w:ascii="Arial" w:cs="Arial" w:eastAsia="Arial" w:hAnsi="Arial"/>
          <w:sz w:val="19"/>
          <w:szCs w:val="19"/>
          <w:color w:val="auto"/>
        </w:rPr>
        <w:t xml:space="preserve">SECTION 1403. </w:t>
      </w:r>
      <w:r>
        <w:rPr>
          <w:rFonts w:ascii="Arial" w:cs="Arial" w:eastAsia="Arial" w:hAnsi="Arial"/>
          <w:sz w:val="19"/>
          <w:szCs w:val="19"/>
          <w:u w:val="single" w:color="auto"/>
          <w:color w:val="auto"/>
        </w:rPr>
        <w:t>Covenant Defeasance.</w:t>
      </w:r>
      <w:r>
        <w:rPr>
          <w:rFonts w:ascii="Arial" w:cs="Arial" w:eastAsia="Arial" w:hAnsi="Arial"/>
          <w:sz w:val="19"/>
          <w:szCs w:val="19"/>
          <w:color w:val="auto"/>
        </w:rPr>
        <w:t xml:space="preserve"> Upon the Company’s exercise of the above option applicable to this Section with respect to any Securities of or within a series, the Company shall be released from its obligations under Sections 1004 to 1009, inclusive, and, if specified pursuant to Section 301, its obligations under any other covenant contained herein or in any indenture supplemental hereto,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Sections 1004 to 1009, inclusive, or such other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501(8) or otherwise, as the case may be, but, except as specified above, the remainder of this Indenture and such Securities and any coupons appertaining thereto shall be unaffected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1049655</wp:posOffset>
            </wp:positionH>
            <wp:positionV relativeFrom="paragraph">
              <wp:posOffset>111125</wp:posOffset>
            </wp:positionV>
            <wp:extent cx="342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91" w:lineRule="exact"/>
        <w:rPr>
          <w:sz w:val="20"/>
          <w:szCs w:val="20"/>
          <w:color w:val="auto"/>
        </w:rPr>
      </w:pPr>
    </w:p>
    <w:p>
      <w:pPr>
        <w:jc w:val="both"/>
        <w:ind w:right="80" w:firstLine="648"/>
        <w:spacing w:after="0"/>
        <w:rPr>
          <w:sz w:val="20"/>
          <w:szCs w:val="20"/>
          <w:color w:val="auto"/>
        </w:rPr>
      </w:pPr>
      <w:r>
        <w:rPr>
          <w:rFonts w:ascii="Arial" w:cs="Arial" w:eastAsia="Arial" w:hAnsi="Arial"/>
          <w:sz w:val="22"/>
          <w:szCs w:val="22"/>
          <w:color w:val="auto"/>
        </w:rPr>
        <w:t xml:space="preserve">SECTION 1404. </w:t>
      </w:r>
      <w:r>
        <w:rPr>
          <w:rFonts w:ascii="Arial" w:cs="Arial" w:eastAsia="Arial" w:hAnsi="Arial"/>
          <w:sz w:val="22"/>
          <w:szCs w:val="22"/>
          <w:u w:val="single" w:color="auto"/>
          <w:color w:val="auto"/>
        </w:rPr>
        <w:t>Conditions to Defeasance or Covenant Defeasance.</w:t>
      </w:r>
      <w:r>
        <w:rPr>
          <w:rFonts w:ascii="Arial" w:cs="Arial" w:eastAsia="Arial" w:hAnsi="Arial"/>
          <w:sz w:val="22"/>
          <w:szCs w:val="22"/>
          <w:color w:val="auto"/>
        </w:rPr>
        <w:t xml:space="preserve"> The following shall be the conditions to application of Section 1402 or Section 1403 to any Outstanding Securities of or within a series and any coupons appertaining thereto:</w:t>
      </w:r>
    </w:p>
    <w:p>
      <w:pPr>
        <w:spacing w:after="0" w:line="186" w:lineRule="exact"/>
        <w:rPr>
          <w:sz w:val="20"/>
          <w:szCs w:val="20"/>
          <w:color w:val="auto"/>
        </w:rPr>
      </w:pPr>
    </w:p>
    <w:p>
      <w:pPr>
        <w:ind w:right="20" w:firstLine="651"/>
        <w:spacing w:after="0" w:line="282" w:lineRule="auto"/>
        <w:tabs>
          <w:tab w:leader="none" w:pos="128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The Company shall irrevocably have deposited or caused to be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and dedicated solely to, the benefit of the Holders of such Securities and any coupons appertaining thereto, (1) an amount in</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27" w:name="page228"/>
    <w:bookmarkEnd w:id="227"/>
    <w:p>
      <w:pPr>
        <w:ind w:right="19"/>
        <w:spacing w:after="0" w:line="270" w:lineRule="auto"/>
        <w:rPr>
          <w:sz w:val="20"/>
          <w:szCs w:val="20"/>
          <w:color w:val="auto"/>
        </w:rPr>
      </w:pPr>
      <w:r>
        <w:rPr>
          <w:rFonts w:ascii="Arial" w:cs="Arial" w:eastAsia="Arial" w:hAnsi="Arial"/>
          <w:sz w:val="19"/>
          <w:szCs w:val="19"/>
          <w:color w:val="auto"/>
        </w:rPr>
        <w:t>such currency, currencies or currency unit in which such Securities and any coupons appertaining thereto are then specified as payable at Stated Maturity, or (2) Government Obligations applicable to such Securities and coupons appertaining thereto (determined on the basis of the currency, currencies or currency unit in which such Securities and coupons appertaining thereto are then specified as payable at Stated Maturity) which through the scheduled payment of principal and interest in respect thereof in accordance with their terms will provide, not later than the due date of any payment of principal of (and premium or Make-Whole Amount, if any) and interest, if any, on such Securities and any coupons appertaining thereto, money in an amount, or (3) a combination thereof, in any case, in an amount, sufficient, without consideration of any reinvestment of such principal and interest,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or Make-Whole Amount,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171" w:lineRule="exact"/>
        <w:rPr>
          <w:sz w:val="20"/>
          <w:szCs w:val="20"/>
          <w:color w:val="auto"/>
        </w:rPr>
      </w:pPr>
    </w:p>
    <w:p>
      <w:pPr>
        <w:ind w:right="199" w:firstLine="651"/>
        <w:spacing w:after="0"/>
        <w:tabs>
          <w:tab w:leader="none" w:pos="1292" w:val="left"/>
        </w:tabs>
        <w:numPr>
          <w:ilvl w:val="0"/>
          <w:numId w:val="189"/>
        </w:numPr>
        <w:rPr>
          <w:rFonts w:ascii="Arial" w:cs="Arial" w:eastAsia="Arial" w:hAnsi="Arial"/>
          <w:sz w:val="22"/>
          <w:szCs w:val="22"/>
          <w:color w:val="auto"/>
        </w:rPr>
      </w:pPr>
      <w:r>
        <w:rPr>
          <w:rFonts w:ascii="Arial" w:cs="Arial" w:eastAsia="Arial" w:hAnsi="Arial"/>
          <w:sz w:val="22"/>
          <w:szCs w:val="22"/>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186" w:lineRule="exact"/>
        <w:rPr>
          <w:rFonts w:ascii="Arial" w:cs="Arial" w:eastAsia="Arial" w:hAnsi="Arial"/>
          <w:sz w:val="22"/>
          <w:szCs w:val="22"/>
          <w:color w:val="auto"/>
        </w:rPr>
      </w:pPr>
    </w:p>
    <w:p>
      <w:pPr>
        <w:ind w:right="199" w:firstLine="651"/>
        <w:spacing w:after="0" w:line="282" w:lineRule="auto"/>
        <w:tabs>
          <w:tab w:leader="none" w:pos="1293" w:val="left"/>
        </w:tabs>
        <w:numPr>
          <w:ilvl w:val="0"/>
          <w:numId w:val="189"/>
        </w:numPr>
        <w:rPr>
          <w:rFonts w:ascii="Arial" w:cs="Arial" w:eastAsia="Arial" w:hAnsi="Arial"/>
          <w:sz w:val="19"/>
          <w:szCs w:val="19"/>
          <w:color w:val="auto"/>
        </w:rPr>
      </w:pPr>
      <w:r>
        <w:rPr>
          <w:rFonts w:ascii="Arial" w:cs="Arial" w:eastAsia="Arial" w:hAnsi="Arial"/>
          <w:sz w:val="19"/>
          <w:szCs w:val="19"/>
          <w:color w:val="auto"/>
        </w:rPr>
        <w:t>No Event of Default or event which with notice or lapse of time or both would become an Event of Default with respect to such Securities and any coupons appertaining thereto shall have occurred and be continuing on the date of such deposit or, insofar as Sections 501(6) and 501(7) are concerned, at any time during the period ending on the 91st day after the date of such deposit (it being understood that this condition shall not be deemed satisfied until the expiration of such period).</w:t>
      </w:r>
    </w:p>
    <w:p>
      <w:pPr>
        <w:spacing w:after="0" w:line="147" w:lineRule="exact"/>
        <w:rPr>
          <w:rFonts w:ascii="Arial" w:cs="Arial" w:eastAsia="Arial" w:hAnsi="Arial"/>
          <w:sz w:val="19"/>
          <w:szCs w:val="19"/>
          <w:color w:val="auto"/>
        </w:rPr>
      </w:pPr>
    </w:p>
    <w:p>
      <w:pPr>
        <w:ind w:right="39" w:firstLine="651"/>
        <w:spacing w:after="0" w:line="275" w:lineRule="auto"/>
        <w:tabs>
          <w:tab w:leader="none" w:pos="1292" w:val="left"/>
        </w:tabs>
        <w:numPr>
          <w:ilvl w:val="0"/>
          <w:numId w:val="189"/>
        </w:numPr>
        <w:rPr>
          <w:rFonts w:ascii="Arial" w:cs="Arial" w:eastAsia="Arial" w:hAnsi="Arial"/>
          <w:sz w:val="19"/>
          <w:szCs w:val="19"/>
          <w:color w:val="auto"/>
        </w:rPr>
      </w:pPr>
      <w:r>
        <w:rPr>
          <w:rFonts w:ascii="Arial" w:cs="Arial" w:eastAsia="Arial" w:hAnsi="Arial"/>
          <w:sz w:val="19"/>
          <w:szCs w:val="19"/>
          <w:color w:val="auto"/>
        </w:rPr>
        <w:t>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Outstanding Securities and any coupons appertaining thereto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58" w:lineRule="exact"/>
        <w:rPr>
          <w:rFonts w:ascii="Arial" w:cs="Arial" w:eastAsia="Arial" w:hAnsi="Arial"/>
          <w:sz w:val="19"/>
          <w:szCs w:val="19"/>
          <w:color w:val="auto"/>
        </w:rPr>
      </w:pPr>
    </w:p>
    <w:p>
      <w:pPr>
        <w:ind w:right="19" w:firstLine="651"/>
        <w:spacing w:after="0" w:line="235" w:lineRule="auto"/>
        <w:tabs>
          <w:tab w:leader="none" w:pos="128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In the case of an election under Section 1403, the Company shall have delivered to the Trustee an Opinion of Counsel to the effect that the Holders of such Outstanding Securities and any coupons appertaining thereto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8" w:right="1440" w:bottom="1440" w:gutter="0" w:footer="0" w:header="0"/>
        </w:sectPr>
      </w:pPr>
    </w:p>
    <w:bookmarkStart w:id="228" w:name="page229"/>
    <w:bookmarkEnd w:id="228"/>
    <w:p>
      <w:pPr>
        <w:ind w:right="40" w:firstLine="651"/>
        <w:spacing w:after="0" w:line="275" w:lineRule="auto"/>
        <w:tabs>
          <w:tab w:leader="none" w:pos="131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 Officers’ Certificate and an Opinion of Counsel, each stating that all conditions precedent to the Defeasance under Section 1402 or the Covenant Defeasance under Section 1403 (as the case may be) have been complied with and an Opinion of Counsel to the effect that either (i) as a result of a deposit pursuant to subsection (a) above and the related exercise of the Company’s option under Section 1402 or Section 1403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spacing w:after="0" w:line="158" w:lineRule="exact"/>
        <w:rPr>
          <w:rFonts w:ascii="Arial" w:cs="Arial" w:eastAsia="Arial" w:hAnsi="Arial"/>
          <w:sz w:val="19"/>
          <w:szCs w:val="19"/>
          <w:color w:val="auto"/>
        </w:rPr>
      </w:pPr>
    </w:p>
    <w:p>
      <w:pPr>
        <w:ind w:right="340" w:firstLine="651"/>
        <w:spacing w:after="0" w:line="297" w:lineRule="auto"/>
        <w:tabs>
          <w:tab w:leader="none" w:pos="1292" w:val="left"/>
        </w:tabs>
        <w:numPr>
          <w:ilvl w:val="0"/>
          <w:numId w:val="190"/>
        </w:numPr>
        <w:rPr>
          <w:rFonts w:ascii="Arial" w:cs="Arial" w:eastAsia="Arial" w:hAnsi="Arial"/>
          <w:sz w:val="19"/>
          <w:szCs w:val="19"/>
          <w:color w:val="auto"/>
        </w:rPr>
      </w:pPr>
      <w:r>
        <w:rPr>
          <w:rFonts w:ascii="Arial" w:cs="Arial" w:eastAsia="Arial" w:hAnsi="Arial"/>
          <w:sz w:val="19"/>
          <w:szCs w:val="19"/>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134" w:lineRule="exact"/>
        <w:rPr>
          <w:rFonts w:ascii="Arial" w:cs="Arial" w:eastAsia="Arial" w:hAnsi="Arial"/>
          <w:sz w:val="19"/>
          <w:szCs w:val="19"/>
          <w:color w:val="auto"/>
        </w:rPr>
      </w:pPr>
    </w:p>
    <w:p>
      <w:pPr>
        <w:ind w:firstLine="651"/>
        <w:spacing w:after="0" w:line="251" w:lineRule="auto"/>
        <w:tabs>
          <w:tab w:leader="none" w:pos="1292" w:val="left"/>
        </w:tabs>
        <w:numPr>
          <w:ilvl w:val="0"/>
          <w:numId w:val="190"/>
        </w:numPr>
        <w:rPr>
          <w:rFonts w:ascii="Arial" w:cs="Arial" w:eastAsia="Arial" w:hAnsi="Arial"/>
          <w:sz w:val="22"/>
          <w:szCs w:val="22"/>
          <w:color w:val="auto"/>
        </w:rPr>
      </w:pPr>
      <w:r>
        <w:rPr>
          <w:rFonts w:ascii="Arial" w:cs="Arial" w:eastAsia="Arial" w:hAnsi="Arial"/>
          <w:sz w:val="22"/>
          <w:szCs w:val="22"/>
          <w:color w:val="auto"/>
        </w:rPr>
        <w:t>The payment of amounts payable to the Trustee pursuant to this Indenture shall be paid or provided for to the reasonable satisfaction of the Trustee.</w:t>
      </w:r>
    </w:p>
    <w:p>
      <w:pPr>
        <w:spacing w:after="0" w:line="173" w:lineRule="exact"/>
        <w:rPr>
          <w:sz w:val="20"/>
          <w:szCs w:val="20"/>
          <w:color w:val="auto"/>
        </w:rPr>
      </w:pPr>
    </w:p>
    <w:p>
      <w:pPr>
        <w:ind w:right="40" w:firstLine="648"/>
        <w:spacing w:after="0" w:line="272" w:lineRule="auto"/>
        <w:rPr>
          <w:sz w:val="20"/>
          <w:szCs w:val="20"/>
          <w:color w:val="auto"/>
        </w:rPr>
      </w:pPr>
      <w:r>
        <w:rPr>
          <w:rFonts w:ascii="Arial" w:cs="Arial" w:eastAsia="Arial" w:hAnsi="Arial"/>
          <w:sz w:val="19"/>
          <w:szCs w:val="19"/>
          <w:color w:val="auto"/>
        </w:rPr>
        <w:t xml:space="preserve">SECTION 1405. </w:t>
      </w:r>
      <w:r>
        <w:rPr>
          <w:rFonts w:ascii="Arial" w:cs="Arial" w:eastAsia="Arial" w:hAnsi="Arial"/>
          <w:sz w:val="19"/>
          <w:szCs w:val="19"/>
          <w:u w:val="single" w:color="auto"/>
          <w:color w:val="auto"/>
        </w:rPr>
        <w:t>Deposited Money and Government Obligations to Be Held in Trust; Other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Miscellaneous Provisions</w:t>
      </w:r>
      <w:r>
        <w:rPr>
          <w:rFonts w:ascii="Arial" w:cs="Arial" w:eastAsia="Arial" w:hAnsi="Arial"/>
          <w:sz w:val="19"/>
          <w:szCs w:val="19"/>
          <w:color w:val="auto"/>
        </w:rPr>
        <w:t>. 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1405, the “Trustee”) pursuant to Section 1404 in respect of any Outstanding Securities of any series and any coupons appertaining thereto shall be held in trust and applied by the Trustee, in accordance with the provisions of such Securities and any coupons appertaining thereto and this Indenture, to the payment, either directly or through any Paying Agent (including the Company acting as its own Paying Agent) as the Trustee may determine, to the Holders of such Securities and any coupons appertaining thereto of all sums due and to become due thereon in respect of principal (and premium or Make-Whole Amount, if any) and interest, but such money need not be segregated from other funds except to the extent required by law.</w:t>
      </w:r>
    </w:p>
    <w:p>
      <w:pPr>
        <w:spacing w:after="0" w:line="162" w:lineRule="exact"/>
        <w:rPr>
          <w:sz w:val="20"/>
          <w:szCs w:val="20"/>
          <w:color w:val="auto"/>
        </w:rPr>
      </w:pPr>
    </w:p>
    <w:p>
      <w:pPr>
        <w:ind w:right="20" w:firstLine="648"/>
        <w:spacing w:after="0" w:line="271" w:lineRule="auto"/>
        <w:rPr>
          <w:sz w:val="20"/>
          <w:szCs w:val="20"/>
          <w:color w:val="auto"/>
        </w:rPr>
      </w:pPr>
      <w:r>
        <w:rPr>
          <w:rFonts w:ascii="Arial" w:cs="Arial" w:eastAsia="Arial" w:hAnsi="Arial"/>
          <w:sz w:val="19"/>
          <w:szCs w:val="19"/>
          <w:color w:val="auto"/>
        </w:rPr>
        <w:t>Unless otherwise specified with respect to any Security pursuant to Section 301, if, after a deposit referred to in Section 1404(a) has been made, (a) the Holder of a Security in respect of which such deposit was made is entitled to, and does, elect pursuant to Section 301 or the terms of such Security to receive payment in a currency or currency unit other than that in which the deposit pursuant to Section 1404(a) has been made in respect of such Security, or (b) a Conversion Event occurs in respect of the currency or currency unit in which the deposit pursuant to Section 1404(a) has been made, the indebtedness represented by such Security and any coupons appertaining thereto shall be deemed to have been, and will be, fully discharged and satisfied through the payment of the principal of (and premium or Make-Whole Amount, if any), and interest, if any, on such Security as the same becomes due out of the proceeds yielded by converting (from time to time as specified below in the case of any such election) the amount or other property deposited in respect of such Security into the currency or currency unit in which such Security becomes payable as a result of such election or Conversion Event based on the applicable market exchange rate for such currency or currency unit in effect on the second Business Day prior to each payment date, except, with respect to a Conversion Event, for such currency or currency unit in effect (as nearly as feasible) at the time of the Conversion Event.</w:t>
      </w:r>
    </w:p>
    <w:p>
      <w:pPr>
        <w:spacing w:after="0" w:line="162" w:lineRule="exact"/>
        <w:rPr>
          <w:sz w:val="20"/>
          <w:szCs w:val="20"/>
          <w:color w:val="auto"/>
        </w:rPr>
      </w:pPr>
    </w:p>
    <w:p>
      <w:pPr>
        <w:ind w:right="160" w:firstLine="648"/>
        <w:spacing w:after="0" w:line="328" w:lineRule="auto"/>
        <w:rPr>
          <w:sz w:val="20"/>
          <w:szCs w:val="20"/>
          <w:color w:val="auto"/>
        </w:rPr>
      </w:pPr>
      <w:r>
        <w:rPr>
          <w:rFonts w:ascii="Arial" w:cs="Arial" w:eastAsia="Arial" w:hAnsi="Arial"/>
          <w:sz w:val="19"/>
          <w:szCs w:val="19"/>
          <w:color w:val="auto"/>
        </w:rPr>
        <w:t>The Company shall pay and indemnify the Trustee against any tax, fee or other charge imposed on or assessed against the Government Obligations deposited pursuant to Section 1404 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29" w:name="page230"/>
    <w:bookmarkEnd w:id="229"/>
    <w:p>
      <w:pPr>
        <w:jc w:val="both"/>
        <w:ind w:right="180"/>
        <w:spacing w:after="0" w:line="241" w:lineRule="auto"/>
        <w:rPr>
          <w:sz w:val="20"/>
          <w:szCs w:val="20"/>
          <w:color w:val="auto"/>
        </w:rPr>
      </w:pPr>
      <w:r>
        <w:rPr>
          <w:rFonts w:ascii="Arial" w:cs="Arial" w:eastAsia="Arial" w:hAnsi="Arial"/>
          <w:sz w:val="22"/>
          <w:szCs w:val="22"/>
          <w:color w:val="auto"/>
        </w:rPr>
        <w:t>the principal and interest received in respect thereof other than any such tax, fee or other charge which by law is for the account of the Holders of such Outstanding Securities and any coupons appertaining thereto.</w:t>
      </w:r>
    </w:p>
    <w:p>
      <w:pPr>
        <w:spacing w:after="0" w:line="184" w:lineRule="exact"/>
        <w:rPr>
          <w:sz w:val="20"/>
          <w:szCs w:val="20"/>
          <w:color w:val="auto"/>
        </w:rPr>
      </w:pPr>
    </w:p>
    <w:p>
      <w:pPr>
        <w:ind w:right="20" w:firstLine="648"/>
        <w:spacing w:after="0" w:line="247" w:lineRule="auto"/>
        <w:rPr>
          <w:sz w:val="20"/>
          <w:szCs w:val="20"/>
          <w:color w:val="auto"/>
        </w:rPr>
      </w:pPr>
      <w:r>
        <w:rPr>
          <w:rFonts w:ascii="Arial" w:cs="Arial" w:eastAsia="Arial" w:hAnsi="Arial"/>
          <w:sz w:val="21"/>
          <w:szCs w:val="21"/>
          <w:color w:val="auto"/>
        </w:rPr>
        <w:t>Anything in this Article to the contrary notwithstanding, subject to Section 606,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FIFTEEN - MEETINGS OF HOLDERS OF SECURITIES</w:t>
      </w:r>
    </w:p>
    <w:p>
      <w:pPr>
        <w:spacing w:after="0" w:line="206"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SECTION 1501. </w:t>
      </w:r>
      <w:r>
        <w:rPr>
          <w:rFonts w:ascii="Arial" w:cs="Arial" w:eastAsia="Arial" w:hAnsi="Arial"/>
          <w:sz w:val="19"/>
          <w:szCs w:val="19"/>
          <w:u w:val="single" w:color="auto"/>
          <w:color w:val="auto"/>
        </w:rPr>
        <w:t>Purposes for Which Meetings May Be Called</w:t>
      </w:r>
      <w:r>
        <w:rPr>
          <w:rFonts w:ascii="Arial" w:cs="Arial" w:eastAsia="Arial" w:hAnsi="Arial"/>
          <w:sz w:val="19"/>
          <w:szCs w:val="19"/>
          <w:color w:val="auto"/>
        </w:rPr>
        <w:t>. A meeting of Holders of Securities of any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43" w:lineRule="exact"/>
        <w:rPr>
          <w:sz w:val="20"/>
          <w:szCs w:val="20"/>
          <w:color w:val="auto"/>
        </w:rPr>
      </w:pPr>
    </w:p>
    <w:p>
      <w:pPr>
        <w:ind w:left="660"/>
        <w:spacing w:after="0"/>
        <w:tabs>
          <w:tab w:leader="none" w:pos="2460" w:val="left"/>
        </w:tabs>
        <w:rPr>
          <w:sz w:val="20"/>
          <w:szCs w:val="20"/>
          <w:color w:val="auto"/>
        </w:rPr>
      </w:pPr>
      <w:r>
        <w:rPr>
          <w:rFonts w:ascii="Arial" w:cs="Arial" w:eastAsia="Arial" w:hAnsi="Arial"/>
          <w:sz w:val="22"/>
          <w:szCs w:val="22"/>
          <w:color w:val="auto"/>
        </w:rPr>
        <w:t>SECTION 1502.</w:t>
      </w:r>
      <w:r>
        <w:rPr>
          <w:sz w:val="20"/>
          <w:szCs w:val="20"/>
          <w:color w:val="auto"/>
        </w:rPr>
        <w:tab/>
      </w:r>
      <w:r>
        <w:rPr>
          <w:rFonts w:ascii="Arial" w:cs="Arial" w:eastAsia="Arial" w:hAnsi="Arial"/>
          <w:sz w:val="19"/>
          <w:szCs w:val="19"/>
          <w:u w:val="single" w:color="auto"/>
          <w:color w:val="auto"/>
        </w:rPr>
        <w:t>Call, Notice and Place of Meetings.</w:t>
      </w:r>
    </w:p>
    <w:p>
      <w:pPr>
        <w:spacing w:after="0" w:line="206" w:lineRule="exact"/>
        <w:rPr>
          <w:sz w:val="20"/>
          <w:szCs w:val="20"/>
          <w:color w:val="auto"/>
        </w:rPr>
      </w:pPr>
    </w:p>
    <w:p>
      <w:pPr>
        <w:ind w:right="60" w:firstLine="1299"/>
        <w:spacing w:after="0" w:line="235" w:lineRule="auto"/>
        <w:tabs>
          <w:tab w:leader="none" w:pos="1928" w:val="left"/>
        </w:tabs>
        <w:numPr>
          <w:ilvl w:val="0"/>
          <w:numId w:val="191"/>
        </w:numPr>
        <w:rPr>
          <w:rFonts w:ascii="Arial" w:cs="Arial" w:eastAsia="Arial" w:hAnsi="Arial"/>
          <w:sz w:val="22"/>
          <w:szCs w:val="22"/>
          <w:color w:val="auto"/>
        </w:rPr>
      </w:pPr>
      <w:r>
        <w:rPr>
          <w:rFonts w:ascii="Arial" w:cs="Arial" w:eastAsia="Arial" w:hAnsi="Arial"/>
          <w:sz w:val="22"/>
          <w:szCs w:val="22"/>
          <w:color w:val="auto"/>
        </w:rPr>
        <w:t>The Trustee may at any time call a meeting of Holders of Securities of any series for any purpose specified in Section 1501, to be held at such time and at such place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20 nor more than 180 days prior to the date fixed for the meeting.</w:t>
      </w:r>
    </w:p>
    <w:p>
      <w:pPr>
        <w:spacing w:after="0" w:line="188" w:lineRule="exact"/>
        <w:rPr>
          <w:rFonts w:ascii="Arial" w:cs="Arial" w:eastAsia="Arial" w:hAnsi="Arial"/>
          <w:sz w:val="22"/>
          <w:szCs w:val="22"/>
          <w:color w:val="auto"/>
        </w:rPr>
      </w:pPr>
    </w:p>
    <w:p>
      <w:pPr>
        <w:ind w:right="20" w:firstLine="1299"/>
        <w:spacing w:after="0" w:line="274" w:lineRule="auto"/>
        <w:tabs>
          <w:tab w:leader="none" w:pos="1940" w:val="left"/>
        </w:tabs>
        <w:numPr>
          <w:ilvl w:val="0"/>
          <w:numId w:val="191"/>
        </w:numPr>
        <w:rPr>
          <w:rFonts w:ascii="Arial" w:cs="Arial" w:eastAsia="Arial" w:hAnsi="Arial"/>
          <w:sz w:val="19"/>
          <w:szCs w:val="19"/>
          <w:color w:val="auto"/>
        </w:rPr>
      </w:pPr>
      <w:r>
        <w:rPr>
          <w:rFonts w:ascii="Arial" w:cs="Arial" w:eastAsia="Arial" w:hAnsi="Arial"/>
          <w:sz w:val="19"/>
          <w:szCs w:val="19"/>
          <w:color w:val="auto"/>
        </w:rPr>
        <w:t>In case at any time the Company, pursuant to a Board Resolution, or the Holders of at least 25%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of the notice of such meeting within 20 days after receipt of such request or shall not thereafter proceed to cause the meeting to be held as provided herein, then the Company or the Holders of Securities of such series in the amount above specified, as the case may be, may determine the time and the place for such meeting and may call such meeting for such purposes by giving notice thereof as provided in subsection (a) of this Section.</w:t>
      </w:r>
    </w:p>
    <w:p>
      <w:pPr>
        <w:spacing w:after="0" w:line="15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9"/>
          <w:szCs w:val="19"/>
          <w:color w:val="auto"/>
        </w:rPr>
        <w:t xml:space="preserve">SECTION 1503. </w:t>
      </w:r>
      <w:r>
        <w:rPr>
          <w:rFonts w:ascii="Arial" w:cs="Arial" w:eastAsia="Arial" w:hAnsi="Arial"/>
          <w:sz w:val="19"/>
          <w:szCs w:val="19"/>
          <w:u w:val="single" w:color="auto"/>
          <w:color w:val="auto"/>
        </w:rPr>
        <w:t>Persons Entitled to Vote at Meetings</w:t>
      </w:r>
      <w:r>
        <w:rPr>
          <w:rFonts w:ascii="Arial" w:cs="Arial" w:eastAsia="Arial" w:hAnsi="Arial"/>
          <w:sz w:val="19"/>
          <w:szCs w:val="19"/>
          <w:color w:val="auto"/>
        </w:rPr>
        <w:t>. 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30" w:name="page231"/>
    <w:bookmarkEnd w:id="230"/>
    <w:p>
      <w:pPr>
        <w:spacing w:after="0"/>
        <w:rPr>
          <w:sz w:val="20"/>
          <w:szCs w:val="20"/>
          <w:color w:val="auto"/>
        </w:rPr>
      </w:pPr>
      <w:r>
        <w:rPr>
          <w:rFonts w:ascii="Arial" w:cs="Arial" w:eastAsia="Arial" w:hAnsi="Arial"/>
          <w:sz w:val="19"/>
          <w:szCs w:val="19"/>
          <w:color w:val="auto"/>
        </w:rPr>
        <w:t>representatives of the Trustee and its counsel and any representatives of the Company and its counsel.</w:t>
      </w:r>
    </w:p>
    <w:p>
      <w:pPr>
        <w:spacing w:after="0" w:line="241" w:lineRule="exact"/>
        <w:rPr>
          <w:sz w:val="20"/>
          <w:szCs w:val="20"/>
          <w:color w:val="auto"/>
        </w:rPr>
      </w:pPr>
    </w:p>
    <w:p>
      <w:pPr>
        <w:ind w:right="20" w:firstLine="648"/>
        <w:spacing w:after="0" w:line="270" w:lineRule="auto"/>
        <w:rPr>
          <w:sz w:val="20"/>
          <w:szCs w:val="20"/>
          <w:color w:val="auto"/>
        </w:rPr>
      </w:pPr>
      <w:r>
        <w:rPr>
          <w:rFonts w:ascii="Arial" w:cs="Arial" w:eastAsia="Arial" w:hAnsi="Arial"/>
          <w:sz w:val="19"/>
          <w:szCs w:val="19"/>
          <w:color w:val="auto"/>
        </w:rPr>
        <w:t xml:space="preserve">SECTION 1504. </w:t>
      </w:r>
      <w:r>
        <w:rPr>
          <w:rFonts w:ascii="Arial" w:cs="Arial" w:eastAsia="Arial" w:hAnsi="Arial"/>
          <w:sz w:val="19"/>
          <w:szCs w:val="19"/>
          <w:u w:val="single" w:color="auto"/>
          <w:color w:val="auto"/>
        </w:rPr>
        <w:t>Quorum; Action</w:t>
      </w:r>
      <w:r>
        <w:rPr>
          <w:rFonts w:ascii="Arial" w:cs="Arial" w:eastAsia="Arial" w:hAnsi="Arial"/>
          <w:sz w:val="19"/>
          <w:szCs w:val="19"/>
          <w:color w:val="auto"/>
        </w:rPr>
        <w:t>. The Persons entitled to vote a majority in principal amount of the Outstanding Securities of a series shall constitute a quorum for a meeting of Holders of Securities of such series; provided, however, that if any action is to be taken at such 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after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the reconvening of any such adjourned meeting, such adjourned meeting may be further adjourned for a period of not less than 10 days; at the reconvening of any meeting adjourned or further adjourned for lack of a quorum, the Persons entitled to vote 25% in aggregate principal amount of the then Outstanding Securities shall constitute a quorum for the taking of any action set forth in the notice of the original meeting. Notice of the reconvening of any adjourned meeting shall be given as provided in Section 1502(a), except that such notice need be given only once not less than five days prior to the date on which the meeting is scheduled to be reconvened.</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9"/>
          <w:szCs w:val="19"/>
          <w:color w:val="auto"/>
        </w:rPr>
        <w:t xml:space="preserve">Except as limited by the proviso to Section 902, any resolution presented to a meeting or adjourned meeting duly reconvened at which a quorum is present as aforesaid may be adopted by the affirmative vote of the Persons entitled to vote a majority in aggregate principal amount of the Outstanding Securities represented at such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62" w:lineRule="exact"/>
        <w:rPr>
          <w:sz w:val="20"/>
          <w:szCs w:val="20"/>
          <w:color w:val="auto"/>
        </w:rPr>
      </w:pPr>
    </w:p>
    <w:p>
      <w:pPr>
        <w:ind w:right="80" w:firstLine="648"/>
        <w:spacing w:after="0" w:line="258" w:lineRule="auto"/>
        <w:rPr>
          <w:sz w:val="20"/>
          <w:szCs w:val="20"/>
          <w:color w:val="auto"/>
        </w:rPr>
      </w:pPr>
      <w:r>
        <w:rPr>
          <w:rFonts w:ascii="Arial" w:cs="Arial" w:eastAsia="Arial" w:hAnsi="Arial"/>
          <w:sz w:val="21"/>
          <w:szCs w:val="21"/>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67"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Notwithstanding the foregoing provisions of this Section 1504, if any action is to be taken at a meeting of Holders of Securities of any series with respect to any request, demand, authorization, direction, notice, consent, waiver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148" w:lineRule="exact"/>
        <w:rPr>
          <w:sz w:val="20"/>
          <w:szCs w:val="20"/>
          <w:color w:val="auto"/>
        </w:rPr>
      </w:pPr>
    </w:p>
    <w:p>
      <w:pPr>
        <w:ind w:left="2600" w:hanging="652"/>
        <w:spacing w:after="0"/>
        <w:tabs>
          <w:tab w:leader="none" w:pos="260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there shall be no minimum quorum requirement for such meeting; and</w:t>
      </w:r>
    </w:p>
    <w:p>
      <w:pPr>
        <w:spacing w:after="0" w:line="240" w:lineRule="exact"/>
        <w:rPr>
          <w:rFonts w:ascii="Arial" w:cs="Arial" w:eastAsia="Arial" w:hAnsi="Arial"/>
          <w:sz w:val="19"/>
          <w:szCs w:val="19"/>
          <w:color w:val="auto"/>
        </w:rPr>
      </w:pPr>
    </w:p>
    <w:p>
      <w:pPr>
        <w:ind w:left="1300" w:right="60" w:firstLine="648"/>
        <w:spacing w:after="0" w:line="328" w:lineRule="auto"/>
        <w:tabs>
          <w:tab w:leader="none" w:pos="259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the principal amount of the Outstanding Securities of such series that vote in favor of such request, demand, authorization, direction, notice, consent,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31" w:name="page232"/>
    <w:bookmarkEnd w:id="231"/>
    <w:p>
      <w:pPr>
        <w:jc w:val="both"/>
        <w:ind w:left="1300" w:right="160"/>
        <w:spacing w:after="0" w:line="241" w:lineRule="auto"/>
        <w:rPr>
          <w:sz w:val="20"/>
          <w:szCs w:val="20"/>
          <w:color w:val="auto"/>
        </w:rPr>
      </w:pPr>
      <w:r>
        <w:rPr>
          <w:rFonts w:ascii="Arial" w:cs="Arial" w:eastAsia="Arial" w:hAnsi="Arial"/>
          <w:sz w:val="22"/>
          <w:szCs w:val="22"/>
          <w:color w:val="auto"/>
        </w:rPr>
        <w:t>waiver or other action shall be taken into account in determining whether such request, demand, authorization, direction, notice, consent, waiver or other action has been made, given or taken under this Indenture.</w:t>
      </w:r>
    </w:p>
    <w:p>
      <w:pPr>
        <w:spacing w:after="0" w:line="184" w:lineRule="exact"/>
        <w:rPr>
          <w:sz w:val="20"/>
          <w:szCs w:val="20"/>
          <w:color w:val="auto"/>
        </w:rPr>
      </w:pPr>
    </w:p>
    <w:p>
      <w:pPr>
        <w:ind w:left="660"/>
        <w:spacing w:after="0"/>
        <w:tabs>
          <w:tab w:leader="none" w:pos="2460" w:val="left"/>
        </w:tabs>
        <w:rPr>
          <w:sz w:val="20"/>
          <w:szCs w:val="20"/>
          <w:color w:val="auto"/>
        </w:rPr>
      </w:pPr>
      <w:r>
        <w:rPr>
          <w:rFonts w:ascii="Arial" w:cs="Arial" w:eastAsia="Arial" w:hAnsi="Arial"/>
          <w:sz w:val="22"/>
          <w:szCs w:val="22"/>
          <w:color w:val="auto"/>
        </w:rPr>
        <w:t>SECTION 1505.</w:t>
      </w:r>
      <w:r>
        <w:rPr>
          <w:sz w:val="20"/>
          <w:szCs w:val="20"/>
          <w:color w:val="auto"/>
        </w:rPr>
        <w:tab/>
      </w:r>
      <w:r>
        <w:rPr>
          <w:rFonts w:ascii="Arial" w:cs="Arial" w:eastAsia="Arial" w:hAnsi="Arial"/>
          <w:sz w:val="19"/>
          <w:szCs w:val="19"/>
          <w:u w:val="single" w:color="auto"/>
          <w:color w:val="auto"/>
        </w:rPr>
        <w:t>Determination of Voting Rights; Conduct and Adjournment of Meetings.</w:t>
      </w:r>
    </w:p>
    <w:p>
      <w:pPr>
        <w:spacing w:after="0" w:line="206" w:lineRule="exact"/>
        <w:rPr>
          <w:sz w:val="20"/>
          <w:szCs w:val="20"/>
          <w:color w:val="auto"/>
        </w:rPr>
      </w:pPr>
    </w:p>
    <w:p>
      <w:pPr>
        <w:ind w:firstLine="1299"/>
        <w:spacing w:after="0" w:line="272" w:lineRule="auto"/>
        <w:tabs>
          <w:tab w:leader="none" w:pos="1928" w:val="left"/>
        </w:tabs>
        <w:numPr>
          <w:ilvl w:val="0"/>
          <w:numId w:val="193"/>
        </w:numPr>
        <w:rPr>
          <w:rFonts w:ascii="Arial" w:cs="Arial" w:eastAsia="Arial" w:hAnsi="Arial"/>
          <w:sz w:val="19"/>
          <w:szCs w:val="19"/>
          <w:color w:val="auto"/>
        </w:rPr>
      </w:pPr>
      <w:r>
        <w:rPr>
          <w:rFonts w:ascii="Arial" w:cs="Arial" w:eastAsia="Arial" w:hAnsi="Arial"/>
          <w:sz w:val="19"/>
          <w:szCs w:val="19"/>
          <w:color w:val="auto"/>
        </w:rPr>
        <w:t>Notwithstanding any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61" w:lineRule="exact"/>
        <w:rPr>
          <w:rFonts w:ascii="Arial" w:cs="Arial" w:eastAsia="Arial" w:hAnsi="Arial"/>
          <w:sz w:val="19"/>
          <w:szCs w:val="19"/>
          <w:color w:val="auto"/>
        </w:rPr>
      </w:pPr>
    </w:p>
    <w:p>
      <w:pPr>
        <w:ind w:right="20" w:firstLine="1299"/>
        <w:spacing w:after="0" w:line="234" w:lineRule="auto"/>
        <w:tabs>
          <w:tab w:leader="none" w:pos="194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91" w:lineRule="exact"/>
        <w:rPr>
          <w:rFonts w:ascii="Arial" w:cs="Arial" w:eastAsia="Arial" w:hAnsi="Arial"/>
          <w:sz w:val="22"/>
          <w:szCs w:val="22"/>
          <w:color w:val="auto"/>
        </w:rPr>
      </w:pPr>
    </w:p>
    <w:p>
      <w:pPr>
        <w:ind w:right="80" w:firstLine="1299"/>
        <w:spacing w:after="0" w:line="235" w:lineRule="auto"/>
        <w:tabs>
          <w:tab w:leader="none" w:pos="1941" w:val="left"/>
        </w:tabs>
        <w:numPr>
          <w:ilvl w:val="0"/>
          <w:numId w:val="193"/>
        </w:numPr>
        <w:rPr>
          <w:rFonts w:ascii="Arial" w:cs="Arial" w:eastAsia="Arial" w:hAnsi="Arial"/>
          <w:sz w:val="22"/>
          <w:szCs w:val="22"/>
          <w:color w:val="auto"/>
        </w:rPr>
      </w:pPr>
      <w:r>
        <w:rPr>
          <w:rFonts w:ascii="Arial" w:cs="Arial" w:eastAsia="Arial" w:hAnsi="Arial"/>
          <w:sz w:val="22"/>
          <w:szCs w:val="22"/>
          <w:color w:val="auto"/>
        </w:rPr>
        <w:t xml:space="preserve">At any meeting each Holder of a Security of such series or proxy shall be entitled to one vote for each $1,000 principal amount of the Outstanding Securities of such series held or represented by him;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88" w:lineRule="exact"/>
        <w:rPr>
          <w:rFonts w:ascii="Arial" w:cs="Arial" w:eastAsia="Arial" w:hAnsi="Arial"/>
          <w:sz w:val="22"/>
          <w:szCs w:val="22"/>
          <w:color w:val="auto"/>
        </w:rPr>
      </w:pPr>
    </w:p>
    <w:p>
      <w:pPr>
        <w:ind w:firstLine="1299"/>
        <w:spacing w:after="0" w:line="252" w:lineRule="auto"/>
        <w:tabs>
          <w:tab w:leader="none" w:pos="1940" w:val="left"/>
        </w:tabs>
        <w:numPr>
          <w:ilvl w:val="0"/>
          <w:numId w:val="193"/>
        </w:numPr>
        <w:rPr>
          <w:rFonts w:ascii="Arial" w:cs="Arial" w:eastAsia="Arial" w:hAnsi="Arial"/>
          <w:sz w:val="21"/>
          <w:szCs w:val="21"/>
          <w:color w:val="auto"/>
        </w:rPr>
      </w:pPr>
      <w:r>
        <w:rPr>
          <w:rFonts w:ascii="Arial" w:cs="Arial" w:eastAsia="Arial" w:hAnsi="Arial"/>
          <w:sz w:val="21"/>
          <w:szCs w:val="21"/>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74" w:lineRule="exact"/>
        <w:rPr>
          <w:sz w:val="20"/>
          <w:szCs w:val="20"/>
          <w:color w:val="auto"/>
        </w:rPr>
      </w:pPr>
    </w:p>
    <w:p>
      <w:pPr>
        <w:ind w:right="140" w:firstLine="648"/>
        <w:spacing w:after="0" w:line="275" w:lineRule="auto"/>
        <w:rPr>
          <w:sz w:val="20"/>
          <w:szCs w:val="20"/>
          <w:color w:val="auto"/>
        </w:rPr>
      </w:pPr>
      <w:r>
        <w:rPr>
          <w:rFonts w:ascii="Arial" w:cs="Arial" w:eastAsia="Arial" w:hAnsi="Arial"/>
          <w:sz w:val="19"/>
          <w:szCs w:val="19"/>
          <w:color w:val="auto"/>
        </w:rPr>
        <w:t xml:space="preserve">SECTION 1506. </w:t>
      </w:r>
      <w:r>
        <w:rPr>
          <w:rFonts w:ascii="Arial" w:cs="Arial" w:eastAsia="Arial" w:hAnsi="Arial"/>
          <w:sz w:val="19"/>
          <w:szCs w:val="19"/>
          <w:u w:val="single" w:color="auto"/>
          <w:color w:val="auto"/>
        </w:rPr>
        <w:t>Counting Votes and Recording Action of Meetings</w:t>
      </w:r>
      <w:r>
        <w:rPr>
          <w:rFonts w:ascii="Arial" w:cs="Arial" w:eastAsia="Arial" w:hAnsi="Arial"/>
          <w:sz w:val="19"/>
          <w:szCs w:val="19"/>
          <w:color w:val="auto"/>
        </w:rPr>
        <w:t>. 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32" w:name="page233"/>
    <w:bookmarkEnd w:id="232"/>
    <w:p>
      <w:pPr>
        <w:spacing w:after="0" w:line="275" w:lineRule="auto"/>
        <w:rPr>
          <w:sz w:val="20"/>
          <w:szCs w:val="20"/>
          <w:color w:val="auto"/>
        </w:rPr>
      </w:pPr>
      <w:r>
        <w:rPr>
          <w:rFonts w:ascii="Arial" w:cs="Arial" w:eastAsia="Arial" w:hAnsi="Arial"/>
          <w:sz w:val="19"/>
          <w:szCs w:val="19"/>
          <w:color w:val="auto"/>
        </w:rPr>
        <w:t>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SIXTEEN - SUBORDINATION OF SECURITIES</w:t>
      </w:r>
    </w:p>
    <w:p>
      <w:pPr>
        <w:spacing w:after="0" w:line="206" w:lineRule="exact"/>
        <w:rPr>
          <w:sz w:val="20"/>
          <w:szCs w:val="20"/>
          <w:color w:val="auto"/>
        </w:rPr>
      </w:pPr>
    </w:p>
    <w:p>
      <w:pPr>
        <w:ind w:right="100" w:firstLine="648"/>
        <w:spacing w:after="0" w:line="279" w:lineRule="auto"/>
        <w:rPr>
          <w:sz w:val="20"/>
          <w:szCs w:val="20"/>
          <w:color w:val="auto"/>
        </w:rPr>
      </w:pPr>
      <w:r>
        <w:rPr>
          <w:rFonts w:ascii="Arial" w:cs="Arial" w:eastAsia="Arial" w:hAnsi="Arial"/>
          <w:sz w:val="19"/>
          <w:szCs w:val="19"/>
          <w:color w:val="auto"/>
        </w:rPr>
        <w:t xml:space="preserve">SECTION 1601. </w:t>
      </w:r>
      <w:r>
        <w:rPr>
          <w:rFonts w:ascii="Arial" w:cs="Arial" w:eastAsia="Arial" w:hAnsi="Arial"/>
          <w:sz w:val="19"/>
          <w:szCs w:val="19"/>
          <w:u w:val="single" w:color="auto"/>
          <w:color w:val="auto"/>
        </w:rPr>
        <w:t>Agreement to Subordinate</w:t>
      </w:r>
      <w:r>
        <w:rPr>
          <w:rFonts w:ascii="Arial" w:cs="Arial" w:eastAsia="Arial" w:hAnsi="Arial"/>
          <w:sz w:val="19"/>
          <w:szCs w:val="19"/>
          <w:color w:val="auto"/>
        </w:rPr>
        <w:t>. Notwithstanding anything in this Indenture to the contrary (other than Article Four of this Indenture), the Company covenants and agrees, and each Holder of a Security, by his acceptance thereof, likewise covenants and agrees, that, to the extent and in the manner hereinafter set forth in this Article, the Indebtedness represented by the Securities and the payment of any Obligations with respect to each and all of the Securities are hereby expressly made subordinate and subject in right of payment to the prior payment in full of all Senior Indebtedness.</w:t>
      </w:r>
    </w:p>
    <w:p>
      <w:pPr>
        <w:spacing w:after="0" w:line="151" w:lineRule="exact"/>
        <w:rPr>
          <w:sz w:val="20"/>
          <w:szCs w:val="20"/>
          <w:color w:val="auto"/>
        </w:rPr>
      </w:pPr>
    </w:p>
    <w:p>
      <w:pPr>
        <w:ind w:right="60" w:firstLine="648"/>
        <w:spacing w:after="0" w:line="246" w:lineRule="auto"/>
        <w:rPr>
          <w:sz w:val="20"/>
          <w:szCs w:val="20"/>
          <w:color w:val="auto"/>
        </w:rPr>
      </w:pPr>
      <w:r>
        <w:rPr>
          <w:rFonts w:ascii="Arial" w:cs="Arial" w:eastAsia="Arial" w:hAnsi="Arial"/>
          <w:sz w:val="21"/>
          <w:szCs w:val="21"/>
          <w:color w:val="auto"/>
        </w:rPr>
        <w:t xml:space="preserve">SECTION 1602. </w:t>
      </w:r>
      <w:r>
        <w:rPr>
          <w:rFonts w:ascii="Arial" w:cs="Arial" w:eastAsia="Arial" w:hAnsi="Arial"/>
          <w:sz w:val="21"/>
          <w:szCs w:val="21"/>
          <w:u w:val="single" w:color="auto"/>
          <w:color w:val="auto"/>
        </w:rPr>
        <w:t>Payment Over of Proceeds upon Dissolution, Etc</w:t>
      </w:r>
      <w:r>
        <w:rPr>
          <w:rFonts w:ascii="Arial" w:cs="Arial" w:eastAsia="Arial" w:hAnsi="Arial"/>
          <w:sz w:val="21"/>
          <w:szCs w:val="21"/>
          <w:color w:val="auto"/>
        </w:rPr>
        <w:t>. In the event of (a) any insolvency or bankruptcy case or Proceeding, or any receivership, liquidation, reorganization or other similar case or Proceeding in connection therewith, relative to the Company or to its creditors, as such, or to its assets, or (b) any liquidation, dissolution or other winding up of the Company, whether voluntary or involuntary and whether or not involving insolvency or bankruptcy, or (c) any assignment for the benefit of creditors or any other marshaling of assets and liabilities of the Company, then and in any such event specified in (a), (b) or (c) above (each such event, if any, herein sometimes referred to as a “Proceeding”).</w:t>
      </w:r>
    </w:p>
    <w:p>
      <w:pPr>
        <w:spacing w:after="0" w:line="181" w:lineRule="exact"/>
        <w:rPr>
          <w:sz w:val="20"/>
          <w:szCs w:val="20"/>
          <w:color w:val="auto"/>
        </w:rPr>
      </w:pPr>
    </w:p>
    <w:p>
      <w:pPr>
        <w:ind w:left="660" w:right="180" w:firstLine="1288"/>
        <w:spacing w:after="0" w:line="275" w:lineRule="auto"/>
        <w:tabs>
          <w:tab w:leader="none" w:pos="260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the holders of Senior Indebtedness shall first be entitled to receive payment in full of all Obligations due or to become due on or in respect of all Senior Indebtedness, or provision shall be made for such payment in cash or cash equivalents or otherwise in a manner satisfactory to the holders of Senior Indebtedness, before the Holders of the Securities are entitled to receive any payment or distribution on account of principal of or premium, if any, or interest on or other Obligations in respect of the Securities or on account of any purchase, redemption or other acquisition of Securities by the Company or any Subsidiary (individually and collectively, a “Securities Payment”), and</w:t>
      </w:r>
    </w:p>
    <w:p>
      <w:pPr>
        <w:spacing w:after="0" w:line="158" w:lineRule="exact"/>
        <w:rPr>
          <w:rFonts w:ascii="Arial" w:cs="Arial" w:eastAsia="Arial" w:hAnsi="Arial"/>
          <w:sz w:val="19"/>
          <w:szCs w:val="19"/>
          <w:color w:val="auto"/>
        </w:rPr>
      </w:pPr>
    </w:p>
    <w:p>
      <w:pPr>
        <w:ind w:left="660" w:right="80" w:firstLine="1288"/>
        <w:spacing w:after="0" w:line="273" w:lineRule="auto"/>
        <w:tabs>
          <w:tab w:leader="none" w:pos="260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any payment or distribution of assets of the Company of any kind or character, whether in cash, property or securities (other than Capital Stock or securities of the Company as reorganized or readjusted, or securities of the Company or any other corporation provided for by a plan of reorganization or readjustment, the payment of which is subordinate, at least to the extent provided in this Article Sixteen with respect to the Securities, to the payment in full, without diminution or modification by such plan, of all Senior Indebtedness), to which the Holders would be entitled except for the provisions of this Article Sixteen, shall be paid by the liquidating trustee or agent or other person making such a payment or distribution, directly to the holders of Senior Indebtedness) (or their representative(s) or trustee(s) acting on their behalf), ratably according to the aggregate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33" w:name="page234"/>
    <w:bookmarkEnd w:id="233"/>
    <w:p>
      <w:pPr>
        <w:ind w:left="660" w:right="20"/>
        <w:spacing w:after="0" w:line="252" w:lineRule="auto"/>
        <w:rPr>
          <w:sz w:val="20"/>
          <w:szCs w:val="20"/>
          <w:color w:val="auto"/>
        </w:rPr>
      </w:pPr>
      <w:r>
        <w:rPr>
          <w:rFonts w:ascii="Arial" w:cs="Arial" w:eastAsia="Arial" w:hAnsi="Arial"/>
          <w:sz w:val="21"/>
          <w:szCs w:val="21"/>
          <w:color w:val="auto"/>
        </w:rPr>
        <w:t>amounts remaining unpaid on account of the principal of or interest on and other amounts due on the Senior Indebtedness held or represented by each, to the extent necessary to make payment in full of all Senior Indebtedness remaining unpaid, after giving effect to any concurrent payment or distribution to the holders of such Senior Indebtedness.</w:t>
      </w:r>
    </w:p>
    <w:p>
      <w:pPr>
        <w:spacing w:after="0" w:line="175"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color w:val="auto"/>
        </w:rPr>
        <w:t>In the event that, notwithstanding the foregoing provisions of this Section 1602, the Trustee or the Holder of any Security shall have received any payment or distribution of assets of the Company of any kind or character, whether in cash, property or securities (other than Capital Stock or securities of the Company as reorganized or readjusted, or securities of the Company or any other corporation provided for by a plan of reorganization or readjustment, the payment of which is subordinate, at least to the extent provided in this Article with respect to the Securities, to the payment in full, without diminution or modification by such plan, of Senior Indebtedness), before all Senior Indebtedness is paid in full or payment thereof provided for in cash or cash equivalents or otherwise in a manner satisfactory to the holders of Senior Indebtedness, such payment or distribution shall be held in trust for the benefit of, and be paid over to, the holders of the Senior Indebtedness remaining unpaid (or their representative(s) or trustee(s) acting on their behalf), ratably as aforesaid, for application to the payment of such Senior Indebtedness until such Senior Indebtedness shall have been paid in full, after giving effect to any concurrent payment or distribution to the holders of such Senior Indebtedness.</w:t>
      </w:r>
    </w:p>
    <w:p>
      <w:pPr>
        <w:spacing w:after="0" w:line="157"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The consolidation of the Company with, or the merger of the Company into, another Person or the liquidation or dissolution of the Company following the conveyance or transfer of all or substantially all of its properties and assets as an entirety to another Person upon the terms and conditions set forth in Article Eight shall not be deemed a Proceeding for the purposes of this Section 1602 if the Person formed by such consolidation or into which the Company is merged or the Person which acquires by conveyance or transfer such properties and assets as an entirety, as the case may be, shall, as a part of such consolidation, merger, conveyance or transfer, comply with the conditions set forth in Article Eight.</w:t>
      </w:r>
    </w:p>
    <w:p>
      <w:pPr>
        <w:spacing w:after="0" w:line="188" w:lineRule="exact"/>
        <w:rPr>
          <w:sz w:val="20"/>
          <w:szCs w:val="20"/>
          <w:color w:val="auto"/>
        </w:rPr>
      </w:pPr>
    </w:p>
    <w:p>
      <w:pPr>
        <w:ind w:right="140" w:firstLine="648"/>
        <w:spacing w:after="0" w:line="270" w:lineRule="auto"/>
        <w:rPr>
          <w:sz w:val="20"/>
          <w:szCs w:val="20"/>
          <w:color w:val="auto"/>
        </w:rPr>
      </w:pPr>
      <w:r>
        <w:rPr>
          <w:rFonts w:ascii="Arial" w:cs="Arial" w:eastAsia="Arial" w:hAnsi="Arial"/>
          <w:sz w:val="19"/>
          <w:szCs w:val="19"/>
          <w:color w:val="auto"/>
        </w:rPr>
        <w:t xml:space="preserve">SECTION 1603. </w:t>
      </w:r>
      <w:r>
        <w:rPr>
          <w:rFonts w:ascii="Arial" w:cs="Arial" w:eastAsia="Arial" w:hAnsi="Arial"/>
          <w:sz w:val="19"/>
          <w:szCs w:val="19"/>
          <w:u w:val="single" w:color="auto"/>
          <w:color w:val="auto"/>
        </w:rPr>
        <w:t>No Payment When Senior Indebtedness in Default</w:t>
      </w:r>
      <w:r>
        <w:rPr>
          <w:rFonts w:ascii="Arial" w:cs="Arial" w:eastAsia="Arial" w:hAnsi="Arial"/>
          <w:sz w:val="19"/>
          <w:szCs w:val="19"/>
          <w:color w:val="auto"/>
        </w:rPr>
        <w:t>. Anything in this Indenture to the contrary notwithstanding, no payment on account of principal of or redemption of, interest on or other amounts due on the Securities, and no redemption, purchase, or other acquisition of the Securities, shall be made by or on behalf of the Company (i) unless full payment of amounts then due for principal and interest and of all other obligations then due on all Senior Indebtedness has been made or duly provided for pursuant to the terms of the instrument governing such Senior Indebtedness,</w:t>
      </w:r>
    </w:p>
    <w:p>
      <w:pPr>
        <w:spacing w:after="0" w:line="2" w:lineRule="exact"/>
        <w:rPr>
          <w:sz w:val="20"/>
          <w:szCs w:val="20"/>
          <w:color w:val="auto"/>
        </w:rPr>
      </w:pPr>
    </w:p>
    <w:p>
      <w:pPr>
        <w:ind w:right="40" w:firstLine="3"/>
        <w:spacing w:after="0" w:line="267" w:lineRule="auto"/>
        <w:tabs>
          <w:tab w:leader="none" w:pos="318" w:val="left"/>
        </w:tabs>
        <w:numPr>
          <w:ilvl w:val="0"/>
          <w:numId w:val="195"/>
        </w:numPr>
        <w:rPr>
          <w:rFonts w:ascii="Arial" w:cs="Arial" w:eastAsia="Arial" w:hAnsi="Arial"/>
          <w:sz w:val="19"/>
          <w:szCs w:val="19"/>
          <w:color w:val="auto"/>
        </w:rPr>
      </w:pPr>
      <w:r>
        <w:rPr>
          <w:rFonts w:ascii="Arial" w:cs="Arial" w:eastAsia="Arial" w:hAnsi="Arial"/>
          <w:sz w:val="19"/>
          <w:szCs w:val="19"/>
          <w:color w:val="auto"/>
        </w:rPr>
        <w:t>if, at the time of such payment, redemption, purchase or other acquisition, or immediately after giving effect thereto, there shall exist under any Senior Indebtedness, or any agreement pursuant to which any Senior Indebtedness is issued, any default, which default shall not have been cured or waived and which default shall have resulted in the full amount of such Senior Indebtedness being declared due and payable or (iii) if, at the time of such payment, redemption, purchase or other acquisition, the Trustee shall have received written notice from the holder or holders of any Senior Indebtedness or their representative or representatives (a “Payment Blockage Notice”) that there exists under such Senior Indebtedness, or any agreement pursuant to which such Senior Indebtedness is issued, any default, which default shall not have been cured or waived, permitting the holders thereof to declare the full amount of such Senior Indebtedness due and payable, but only for the period (the “Payment Blockage Period”) commencing on the date of receipt of the Payment Blockage Notice and ending (unless earlier terminated by notice given to the Trustee by the Holders of such Senior Indebtedness) on the earlier of</w:t>
      </w:r>
    </w:p>
    <w:p>
      <w:pPr>
        <w:spacing w:after="0"/>
        <w:rPr>
          <w:rFonts w:ascii="Arial" w:cs="Arial" w:eastAsia="Arial" w:hAnsi="Arial"/>
          <w:sz w:val="19"/>
          <w:szCs w:val="19"/>
          <w:color w:val="auto"/>
        </w:rPr>
      </w:pPr>
      <w:r>
        <w:rPr>
          <w:rFonts w:ascii="Arial" w:cs="Arial" w:eastAsia="Arial" w:hAnsi="Arial"/>
          <w:sz w:val="22"/>
          <w:szCs w:val="22"/>
          <w:color w:val="auto"/>
        </w:rPr>
        <w:t>(A) the date on which such event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34" w:name="page235"/>
    <w:bookmarkEnd w:id="234"/>
    <w:p>
      <w:pPr>
        <w:ind w:right="60"/>
        <w:spacing w:after="0" w:line="272" w:lineRule="auto"/>
        <w:rPr>
          <w:sz w:val="20"/>
          <w:szCs w:val="20"/>
          <w:color w:val="auto"/>
        </w:rPr>
      </w:pPr>
      <w:r>
        <w:rPr>
          <w:rFonts w:ascii="Arial" w:cs="Arial" w:eastAsia="Arial" w:hAnsi="Arial"/>
          <w:sz w:val="19"/>
          <w:szCs w:val="19"/>
          <w:color w:val="auto"/>
        </w:rPr>
        <w:t>default shall have been cured or waived or (B) 180 days from the receipt of the Payment Blockage Notice. Upon termination of a Payment Blockage Period, payments on account of principal of or interest on the Securities and redemptions, purchases or other acquisitions may be made by or on behalf of the Company. Notwithstanding anything herein to the contrary, (A) only one Payment Blockage Notice may be given during any period of 360 consecutive days with respect to the same event of default and any other events of default on the same issue of Senior Indebtedness existing and known to the person giving such notice at the time of such notice and (B) no new Payment Blockage Period may be commenced by the holder or holders of the same issue of Senior Indebtedness or their representative or representatives during any period of 360 consecutive days unless all events of default which were the object of the immediately preceding Payment Blockage Notice, and any other event of default on the same issue of Senior Indebtedness existing and known to the person giving such notice at the time of such notice, have been cured or waived.</w:t>
      </w:r>
    </w:p>
    <w:p>
      <w:pPr>
        <w:spacing w:after="0" w:line="162" w:lineRule="exact"/>
        <w:rPr>
          <w:sz w:val="20"/>
          <w:szCs w:val="20"/>
          <w:color w:val="auto"/>
        </w:rPr>
      </w:pPr>
    </w:p>
    <w:p>
      <w:pPr>
        <w:ind w:right="100" w:firstLine="648"/>
        <w:spacing w:after="0" w:line="274" w:lineRule="auto"/>
        <w:rPr>
          <w:sz w:val="20"/>
          <w:szCs w:val="20"/>
          <w:color w:val="auto"/>
        </w:rPr>
      </w:pPr>
      <w:r>
        <w:rPr>
          <w:rFonts w:ascii="Arial" w:cs="Arial" w:eastAsia="Arial" w:hAnsi="Arial"/>
          <w:sz w:val="19"/>
          <w:szCs w:val="19"/>
          <w:color w:val="auto"/>
        </w:rPr>
        <w:t>In the event that, notwithstanding the provisions of this Section 1603, payments are made by or on behalf of the Company in contravention of the provisions of this Section 1603, such payments shall be held by the Trustee, any Paying Agent or the Holders, as applicable, in trust for the benefit of, and shall be paid over to and delivered to, the holders of Senior Indebtedness or their representative or the trustee under the indenture or other agreement (if any), pursuant to which any instruments evidencing any Senior Indebtedness may have been issued, as their respective interests may appear, for application to the payment of all Senior Indebtedness remaining unpaid to the extent necessary to pay all Senior Indebtedness in full in accordance with the terms of such Senior Indebtedness, after giving effect to any concurrent payment or distribution to or for the holders of Senior Indebtedness.</w:t>
      </w:r>
    </w:p>
    <w:p>
      <w:pPr>
        <w:spacing w:after="0" w:line="15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provisions of this Section shall not apply to any payment with respect to which Section 1602 would be applicable.</w:t>
      </w:r>
    </w:p>
    <w:p>
      <w:pPr>
        <w:spacing w:after="0" w:line="173" w:lineRule="exact"/>
        <w:rPr>
          <w:sz w:val="20"/>
          <w:szCs w:val="20"/>
          <w:color w:val="auto"/>
        </w:rPr>
      </w:pPr>
    </w:p>
    <w:p>
      <w:pPr>
        <w:ind w:right="100" w:firstLine="648"/>
        <w:spacing w:after="0" w:line="246" w:lineRule="auto"/>
        <w:rPr>
          <w:sz w:val="20"/>
          <w:szCs w:val="20"/>
          <w:color w:val="auto"/>
        </w:rPr>
      </w:pPr>
      <w:r>
        <w:rPr>
          <w:rFonts w:ascii="Arial" w:cs="Arial" w:eastAsia="Arial" w:hAnsi="Arial"/>
          <w:sz w:val="21"/>
          <w:szCs w:val="21"/>
          <w:color w:val="auto"/>
        </w:rPr>
        <w:t xml:space="preserve">SECTION 1604. </w:t>
      </w:r>
      <w:r>
        <w:rPr>
          <w:rFonts w:ascii="Arial" w:cs="Arial" w:eastAsia="Arial" w:hAnsi="Arial"/>
          <w:sz w:val="21"/>
          <w:szCs w:val="21"/>
          <w:u w:val="single" w:color="auto"/>
          <w:color w:val="auto"/>
        </w:rPr>
        <w:t>Reliance by Senior Indebtedness on Subordination Provisions</w:t>
      </w:r>
      <w:r>
        <w:rPr>
          <w:rFonts w:ascii="Arial" w:cs="Arial" w:eastAsia="Arial" w:hAnsi="Arial"/>
          <w:sz w:val="21"/>
          <w:szCs w:val="21"/>
          <w:color w:val="auto"/>
        </w:rPr>
        <w:t>. Each Holder of any Security by his acceptance thereof acknowledges and agrees that the foregoing subordination provisions are, and are intended to be, an inducement and a consideration for each holder of any Senior Indebtedness, whether such Senior Indebtedness was created or acquired before or after the issuance of the Securities, to acquire and continue to hold, or to continue to hold, such Senior Indebtedness, and such holder of Senior Indebtedness shall be deemed conclusively to have relied on such subordination provisions in acquiring and continuing to hold or in continuing to hold such Senior Indebtedness.</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SECTION 1605. </w:t>
      </w:r>
      <w:r>
        <w:rPr>
          <w:rFonts w:ascii="Arial" w:cs="Arial" w:eastAsia="Arial" w:hAnsi="Arial"/>
          <w:sz w:val="19"/>
          <w:szCs w:val="19"/>
          <w:u w:val="single" w:color="auto"/>
          <w:color w:val="auto"/>
        </w:rPr>
        <w:t>Subrogation to Rights of Holders of Senior Indebtedness</w:t>
      </w:r>
      <w:r>
        <w:rPr>
          <w:rFonts w:ascii="Arial" w:cs="Arial" w:eastAsia="Arial" w:hAnsi="Arial"/>
          <w:sz w:val="19"/>
          <w:szCs w:val="19"/>
          <w:color w:val="auto"/>
        </w:rPr>
        <w:t>. Subject to the payment in full of all Obligations due or to become due on or in respect of Senior Indebtedness, or the provision for such payment in cash or cash equivalents or otherwise in a manner satisfactory to the holders of Senior Indebtedness, the Holders of the Securities shall be subrogated to the extent of the payments or distributions made to the holders of such Senior Indebtedness pursuant to the provisions of this Article Sixteen to the rights of the holders of such Senior Indebtedness to receive payments and distributions of cash, property and securities applicable to the Senior Indebtedness until the principal of and premium, if any, and interest on the Securities shall be paid in full. For purposes of such subrogation, no payments or distributions to the holders of the Senior Indebtedness of any cash, property or securities to which the Holders of the Securities or the Trustee would be entitled except for the provisions of this Article Sixteen, and no payments over pursuant to the provisions of this Article Sixteen to the holders of Senior Indebtedness by Holders of the Securities</w:t>
      </w:r>
    </w:p>
    <w:p>
      <w:pPr>
        <w:spacing w:after="0" w:line="162"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35" w:name="page236"/>
    <w:bookmarkEnd w:id="235"/>
    <w:p>
      <w:pPr>
        <w:ind w:right="80"/>
        <w:spacing w:after="0" w:line="241" w:lineRule="auto"/>
        <w:rPr>
          <w:sz w:val="20"/>
          <w:szCs w:val="20"/>
          <w:color w:val="auto"/>
        </w:rPr>
      </w:pPr>
      <w:r>
        <w:rPr>
          <w:rFonts w:ascii="Arial" w:cs="Arial" w:eastAsia="Arial" w:hAnsi="Arial"/>
          <w:sz w:val="22"/>
          <w:szCs w:val="22"/>
          <w:color w:val="auto"/>
        </w:rPr>
        <w:t>or the Trustee, shall, as among the Company, its creditors other than holders of Senior Indebtedness and the Holders of the Securities, be deemed to be a payment or distribution by the Company to or on account of the Senior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1956435</wp:posOffset>
            </wp:positionH>
            <wp:positionV relativeFrom="paragraph">
              <wp:posOffset>-31750</wp:posOffset>
            </wp:positionV>
            <wp:extent cx="342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4" w:lineRule="exact"/>
        <w:rPr>
          <w:sz w:val="20"/>
          <w:szCs w:val="20"/>
          <w:color w:val="auto"/>
        </w:rPr>
      </w:pPr>
    </w:p>
    <w:p>
      <w:pPr>
        <w:ind w:right="160" w:firstLine="648"/>
        <w:spacing w:after="0" w:line="271" w:lineRule="auto"/>
        <w:rPr>
          <w:sz w:val="20"/>
          <w:szCs w:val="20"/>
          <w:color w:val="auto"/>
        </w:rPr>
      </w:pPr>
      <w:r>
        <w:rPr>
          <w:rFonts w:ascii="Arial" w:cs="Arial" w:eastAsia="Arial" w:hAnsi="Arial"/>
          <w:sz w:val="19"/>
          <w:szCs w:val="19"/>
          <w:color w:val="auto"/>
        </w:rPr>
        <w:t xml:space="preserve">SECTION 1606. </w:t>
      </w:r>
      <w:r>
        <w:rPr>
          <w:rFonts w:ascii="Arial" w:cs="Arial" w:eastAsia="Arial" w:hAnsi="Arial"/>
          <w:sz w:val="19"/>
          <w:szCs w:val="19"/>
          <w:u w:val="single" w:color="auto"/>
          <w:color w:val="auto"/>
        </w:rPr>
        <w:t>Provisions Solely to Define Relative Rights</w:t>
      </w:r>
      <w:r>
        <w:rPr>
          <w:rFonts w:ascii="Arial" w:cs="Arial" w:eastAsia="Arial" w:hAnsi="Arial"/>
          <w:sz w:val="19"/>
          <w:szCs w:val="19"/>
          <w:color w:val="auto"/>
        </w:rPr>
        <w:t>. The provisions of this Article Sixteen are and are intended solely for the purpose of defining the relative rights of the Holders of the Securities on the one hand and the holders of Senior Indebtedness on the other hand. Nothing contained in this Article or elsewhere in this Indenture or in the Securities is intended to or shall</w:t>
      </w:r>
    </w:p>
    <w:p>
      <w:pPr>
        <w:spacing w:after="0" w:line="4" w:lineRule="exact"/>
        <w:rPr>
          <w:sz w:val="20"/>
          <w:szCs w:val="20"/>
          <w:color w:val="auto"/>
        </w:rPr>
      </w:pPr>
    </w:p>
    <w:p>
      <w:pPr>
        <w:ind w:right="40" w:firstLine="3"/>
        <w:spacing w:after="0" w:line="271" w:lineRule="auto"/>
        <w:tabs>
          <w:tab w:leader="none" w:pos="294" w:val="left"/>
        </w:tabs>
        <w:numPr>
          <w:ilvl w:val="0"/>
          <w:numId w:val="196"/>
        </w:numPr>
        <w:rPr>
          <w:rFonts w:ascii="Arial" w:cs="Arial" w:eastAsia="Arial" w:hAnsi="Arial"/>
          <w:sz w:val="19"/>
          <w:szCs w:val="19"/>
          <w:color w:val="auto"/>
        </w:rPr>
      </w:pPr>
      <w:r>
        <w:rPr>
          <w:rFonts w:ascii="Arial" w:cs="Arial" w:eastAsia="Arial" w:hAnsi="Arial"/>
          <w:sz w:val="19"/>
          <w:szCs w:val="19"/>
          <w:color w:val="auto"/>
        </w:rPr>
        <w:t>impair, as among the Company, its creditors other than holders of Senior Indebtedness and the Holders of the Securities, the obligation of the Company, which is absolute and unconditional (and which, subject to the rights under this Article Sixteen of the holders of Senior Indebtedness, is intended to rank equally with all other general obligations of the Company), to pay to the Holders of the Securities the principal of and premium, if any, and interest on the Securities as and when the same shall become due and payable in accordance with their terms; or (b) affect the relative rights against the Company of the Holders of the Securities and creditors of the Company other than the holders of Senior Indebtedness; or (c) prevent the Trustee or the Holder of any Security from exercising all remedies otherwise permitted by applicable law upon default under this Indenture, subject to the rights, if any, under this Article of the holders of Senior Indebtedness to receive cash, property and securities otherwise payable or deliverable to the Trustee or such Holder.</w:t>
      </w:r>
    </w:p>
    <w:p>
      <w:pPr>
        <w:spacing w:after="0" w:line="158"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SECTION 1607. </w:t>
      </w:r>
      <w:r>
        <w:rPr>
          <w:rFonts w:ascii="Arial" w:cs="Arial" w:eastAsia="Arial" w:hAnsi="Arial"/>
          <w:sz w:val="19"/>
          <w:szCs w:val="19"/>
          <w:u w:val="single" w:color="auto"/>
          <w:color w:val="auto"/>
        </w:rPr>
        <w:t>Trustee to Effectuate Subordination.</w:t>
      </w:r>
      <w:r>
        <w:rPr>
          <w:rFonts w:ascii="Arial" w:cs="Arial" w:eastAsia="Arial" w:hAnsi="Arial"/>
          <w:sz w:val="19"/>
          <w:szCs w:val="19"/>
          <w:color w:val="auto"/>
        </w:rPr>
        <w:t xml:space="preserve"> Each Holder of a Security by his acceptance thereof authorizes and directs the Trustee on his behalf to take such action as may be necessary or appropriate to effectuate, as between the Holders of the Securities and the holders of Senior Indebtedness, the subordination provided in this Article Sixteen and appoints the Trustee his attorney-in-fact for any and all such purposes, including, in the event of any dissolution, winding up or liquidation or reorganization under any applicable bankruptcy law of the Company (whether in bankruptcy, insolvency or receivership Proceedings or otherwise), the timely filing of a claim for the unpaid balance of such Holder’s Securities in the form required in such Proceedings and the causing of such claim to be approved. If the Trustee does not file a claim or proof of debt in the form required in such Proceedings prior to 30 days before the expiration of the time to file such claims or proofs, then the holders of Senior Indebtedness, jointly, or their representatives shall have the right to file an appropriate claim for and on behalf of the Holders and to demand, sue for, collect, receive and receipt for the payments and distributions in respect of the Securities which are required to be paid or delivered to the holders of Senior Indebtedness as provided in this Article Sixteen and to take all such other action in the name of the Holders or otherwise, as such holder of Senior Indebtedness or representative thereof may determine to be necessary or appropriate for the enforcement of the provisions of this Article Sixteen.</w:t>
      </w:r>
    </w:p>
    <w:p>
      <w:pPr>
        <w:spacing w:after="0" w:line="158" w:lineRule="exact"/>
        <w:rPr>
          <w:sz w:val="20"/>
          <w:szCs w:val="20"/>
          <w:color w:val="auto"/>
        </w:rPr>
      </w:pPr>
    </w:p>
    <w:p>
      <w:pPr>
        <w:ind w:left="660"/>
        <w:spacing w:after="0"/>
        <w:tabs>
          <w:tab w:leader="none" w:pos="2460" w:val="left"/>
        </w:tabs>
        <w:rPr>
          <w:sz w:val="20"/>
          <w:szCs w:val="20"/>
          <w:color w:val="auto"/>
        </w:rPr>
      </w:pPr>
      <w:r>
        <w:rPr>
          <w:rFonts w:ascii="Arial" w:cs="Arial" w:eastAsia="Arial" w:hAnsi="Arial"/>
          <w:sz w:val="22"/>
          <w:szCs w:val="22"/>
          <w:color w:val="auto"/>
        </w:rPr>
        <w:t>SECTION 1608.</w:t>
      </w:r>
      <w:r>
        <w:rPr>
          <w:sz w:val="20"/>
          <w:szCs w:val="20"/>
          <w:color w:val="auto"/>
        </w:rPr>
        <w:tab/>
      </w:r>
      <w:r>
        <w:rPr>
          <w:rFonts w:ascii="Arial" w:cs="Arial" w:eastAsia="Arial" w:hAnsi="Arial"/>
          <w:sz w:val="19"/>
          <w:szCs w:val="19"/>
          <w:u w:val="single" w:color="auto"/>
          <w:color w:val="auto"/>
        </w:rPr>
        <w:t>No Waiver of Subordination Provisions</w:t>
      </w:r>
      <w:r>
        <w:rPr>
          <w:rFonts w:ascii="Arial" w:cs="Arial" w:eastAsia="Arial" w:hAnsi="Arial"/>
          <w:sz w:val="19"/>
          <w:szCs w:val="19"/>
          <w:color w:val="auto"/>
        </w:rPr>
        <w:t>. No right of any present or future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holder of any Senior Indebtedness to enforce subordination as herein provided shall at any time in any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way be prejudiced or impaired by any act or failure to act on the part of the Company or by any act or</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failure to act, in good faith, by any such holder or any representative or trustee therefor, or by any</w:t>
      </w:r>
    </w:p>
    <w:p>
      <w:pPr>
        <w:spacing w:after="0" w:line="2" w:lineRule="exact"/>
        <w:rPr>
          <w:sz w:val="20"/>
          <w:szCs w:val="20"/>
          <w:color w:val="auto"/>
        </w:rPr>
      </w:pPr>
    </w:p>
    <w:p>
      <w:pPr>
        <w:spacing w:after="0" w:line="219" w:lineRule="exact"/>
        <w:rPr>
          <w:sz w:val="20"/>
          <w:szCs w:val="20"/>
          <w:color w:val="auto"/>
        </w:rPr>
      </w:pPr>
      <w:r>
        <w:rPr>
          <w:rFonts w:ascii="Arial" w:cs="Arial" w:eastAsia="Arial" w:hAnsi="Arial"/>
          <w:sz w:val="19"/>
          <w:szCs w:val="19"/>
          <w:color w:val="auto"/>
        </w:rPr>
        <w:t>non</w:t>
      </w:r>
      <w:r>
        <w:rPr>
          <w:rFonts w:ascii="MS PGothic" w:cs="MS PGothic" w:eastAsia="MS PGothic" w:hAnsi="MS PGothic"/>
          <w:sz w:val="19"/>
          <w:szCs w:val="19"/>
          <w:color w:val="auto"/>
        </w:rPr>
        <w:t>‑</w:t>
      </w:r>
      <w:r>
        <w:rPr>
          <w:rFonts w:ascii="Arial" w:cs="Arial" w:eastAsia="Arial" w:hAnsi="Arial"/>
          <w:sz w:val="19"/>
          <w:szCs w:val="19"/>
          <w:color w:val="auto"/>
        </w:rPr>
        <w:t>compliance by the Company with the terms, provisions and covenants of this Indenture, regardless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of any knowledge thereof any such holder may have or be otherwise charged with.</w:t>
      </w:r>
    </w:p>
    <w:p>
      <w:pPr>
        <w:spacing w:after="0" w:line="188" w:lineRule="exact"/>
        <w:rPr>
          <w:sz w:val="20"/>
          <w:szCs w:val="20"/>
          <w:color w:val="auto"/>
        </w:rPr>
      </w:pPr>
    </w:p>
    <w:p>
      <w:pPr>
        <w:ind w:right="460" w:firstLine="648"/>
        <w:spacing w:after="0" w:line="328" w:lineRule="auto"/>
        <w:rPr>
          <w:sz w:val="20"/>
          <w:szCs w:val="20"/>
          <w:color w:val="auto"/>
        </w:rPr>
      </w:pPr>
      <w:r>
        <w:rPr>
          <w:rFonts w:ascii="Arial" w:cs="Arial" w:eastAsia="Arial" w:hAnsi="Arial"/>
          <w:sz w:val="19"/>
          <w:szCs w:val="19"/>
          <w:color w:val="auto"/>
        </w:rPr>
        <w:t>Without in any way limiting the generality of the foregoing paragraph, the holders of Senior Indebtedness may, at any time from time to time, without the consent of or notice to the Trustee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36" w:name="page237"/>
    <w:bookmarkEnd w:id="236"/>
    <w:p>
      <w:pPr>
        <w:ind w:right="20"/>
        <w:spacing w:after="0" w:line="272" w:lineRule="auto"/>
        <w:rPr>
          <w:sz w:val="20"/>
          <w:szCs w:val="20"/>
          <w:color w:val="auto"/>
        </w:rPr>
      </w:pPr>
      <w:r>
        <w:rPr>
          <w:rFonts w:ascii="Arial" w:cs="Arial" w:eastAsia="Arial" w:hAnsi="Arial"/>
          <w:sz w:val="19"/>
          <w:szCs w:val="19"/>
          <w:color w:val="auto"/>
        </w:rPr>
        <w:t>the Holders of the Securities, without incurring responsibility to the Holders of the Securities and without impairing or releasing the subordination provided in this Article Sixteen or the obligations hereunder of the Holders of the Securities to the holders of Senior Indebtedness, do any one or more of the following: (i) change the manner, place or terms of payment or extend the time of payment of, or renew or alter, Senior Indebtedness, or otherwise amend or supplement in any manner Senior Indebtedness or any instrument evidencing the same or any agreement under which Senior Indebtedness is outstanding; (ii) sell, exchange, release or otherwise deal with any property pledged, mortgaged or otherwise securing Senior Indebtedness; (iii) release any Person liable in any manner for the collection of Senior Indebtedness and settle or compromise Senior Indebtedness (which, to the extent so settled and compromised, shall be deemed to have been paid in full for all purposes hereof); (iv) apply any amounts received to any liability of the Company owing to holders of Senior Indebtedness; and (v) exercise or refrain from exercising any rights against the Company and any other Person.</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 xml:space="preserve">SECTION 1609. </w:t>
      </w:r>
      <w:r>
        <w:rPr>
          <w:rFonts w:ascii="Arial" w:cs="Arial" w:eastAsia="Arial" w:hAnsi="Arial"/>
          <w:sz w:val="19"/>
          <w:szCs w:val="19"/>
          <w:u w:val="single" w:color="auto"/>
          <w:color w:val="auto"/>
        </w:rPr>
        <w:t>Notice to Trustee</w:t>
      </w:r>
      <w:r>
        <w:rPr>
          <w:rFonts w:ascii="Arial" w:cs="Arial" w:eastAsia="Arial" w:hAnsi="Arial"/>
          <w:sz w:val="19"/>
          <w:szCs w:val="19"/>
          <w:color w:val="auto"/>
        </w:rPr>
        <w:t>. The Company shall give prompt written notice to the Trustee of any default or event of default with respect to any Senior Indebtedness or of any fact known to the Company which would prohibit the making of any payment to or by the Trustee in respect of the Securities pursuant to the provisions of this Article Sixteen. Notwithstanding the provisions of this Article Sixteen or any other provision of this Indenture, the Trustee shall not be charged with knowledge of the existence of any facts which would prohibit the making of any payment to or by the Trustee in respect of the Securities, unless and until the Trustee shall have received written notice thereof from the Company or a holder of Senior Indebtedness or from any representative or trustee acting on their behalf; and, prior to the receipt of any such written notice, the Trustee, subject to the provisions of Section 612, shall be entitled in all respects to assume that no such facts exist; provided, however, that if the Trustee shall not have received the notice provided for in this Section at least three Business Days prior to the date upon which by the terms hereof any money may become payable for any purpose (including, without limitation, the payment of the principal of and premium, if any, or interest on any Security),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within three Business Days prior to such date. Nothing contained in this Article Sixteen or any other Article of this Indenture or in any of the Securities shall prevent (a) the Company, at any time except during the pendency of any Proceeding, or under the conditions described in Section 1603, from making payments at any time in respect of the Securities, or (b) the application by the Trustee of any money deposited with it hereunder to the payment of or on account of the Securities, or the retention thereof by any Holder, if the Trustee did not have notice, as provided in this Section 1609, that such payment would have been prohibited by the provisions of this Article Sixteen.</w:t>
      </w:r>
    </w:p>
    <w:p>
      <w:pPr>
        <w:spacing w:after="0" w:line="200" w:lineRule="exact"/>
        <w:rPr>
          <w:sz w:val="20"/>
          <w:szCs w:val="20"/>
          <w:color w:val="auto"/>
        </w:rPr>
      </w:pPr>
    </w:p>
    <w:p>
      <w:pPr>
        <w:spacing w:after="0" w:line="220" w:lineRule="exact"/>
        <w:rPr>
          <w:sz w:val="20"/>
          <w:szCs w:val="20"/>
          <w:color w:val="auto"/>
        </w:rPr>
      </w:pPr>
    </w:p>
    <w:p>
      <w:pPr>
        <w:ind w:right="80" w:firstLine="648"/>
        <w:spacing w:after="0" w:line="274" w:lineRule="auto"/>
        <w:rPr>
          <w:sz w:val="20"/>
          <w:szCs w:val="20"/>
          <w:color w:val="auto"/>
        </w:rPr>
      </w:pPr>
      <w:r>
        <w:rPr>
          <w:rFonts w:ascii="Arial" w:cs="Arial" w:eastAsia="Arial" w:hAnsi="Arial"/>
          <w:sz w:val="19"/>
          <w:szCs w:val="19"/>
          <w:color w:val="auto"/>
        </w:rPr>
        <w:t>Subject to the provisions of Section 612, the Trustee shall be entitled to rely on the delivery to it of a written notice by a Person representing himself to be a holder of Senior Indebtedness (or a representative or trustee therefor) to establish that such notice has been given by a holder of Senior Indebtedness (or a trustee therefor). In the event that the Trustee determines in good faith that further evidence is required with respect to the right of any Person as a holder of Senior Indebtedness to participate in any payment or distribution pursuant to this Article Sixteen,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37" w:name="page238"/>
    <w:bookmarkEnd w:id="237"/>
    <w:p>
      <w:pPr>
        <w:ind w:right="120"/>
        <w:spacing w:after="0" w:line="241" w:lineRule="auto"/>
        <w:rPr>
          <w:sz w:val="20"/>
          <w:szCs w:val="20"/>
          <w:color w:val="auto"/>
        </w:rPr>
      </w:pPr>
      <w:r>
        <w:rPr>
          <w:rFonts w:ascii="Arial" w:cs="Arial" w:eastAsia="Arial" w:hAnsi="Arial"/>
          <w:sz w:val="22"/>
          <w:szCs w:val="22"/>
          <w:color w:val="auto"/>
        </w:rPr>
        <w:t>such Person under this Article Sixteen, and if such evidence is not furnished, the Trustee may defer any payment to such Person pending judicial determination as to the right of such Person to receive such payment.</w:t>
      </w:r>
    </w:p>
    <w:p>
      <w:pPr>
        <w:spacing w:after="0" w:line="184"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 xml:space="preserve">SECTION 1610. </w:t>
      </w:r>
      <w:r>
        <w:rPr>
          <w:rFonts w:ascii="Arial" w:cs="Arial" w:eastAsia="Arial" w:hAnsi="Arial"/>
          <w:sz w:val="19"/>
          <w:szCs w:val="19"/>
          <w:u w:val="single" w:color="auto"/>
          <w:color w:val="auto"/>
        </w:rPr>
        <w:t>Reliance on Judicial Order or Certificate of Liquidating Agent.</w:t>
      </w:r>
      <w:r>
        <w:rPr>
          <w:rFonts w:ascii="Arial" w:cs="Arial" w:eastAsia="Arial" w:hAnsi="Arial"/>
          <w:sz w:val="19"/>
          <w:szCs w:val="19"/>
          <w:color w:val="auto"/>
        </w:rPr>
        <w:t xml:space="preserve"> Upon any payment or distribution of assets of the Company referred to in this Article Sixteen, the Trustee, subject to the provisions of Section 612, and the Holders of the Securities shall be entitled to rely upon any order or decree entered by any court of competent jurisdiction in which any Proceeding is pending, or a certificate of the trustee in bankruptcy, receiver, liquidating trustee, custodian, assignee for the benefit of creditors, agent or other Person making such payment or distribution, delivered to the Trustee or to the Holders of Securities, for the purpose of ascertaining the Persons entitled to participate in such payment or distribution, the holders of the Senior Indebtedness and other indebtedness of the Company, the amount thereof or payable thereon, the amount or amounts paid or distributed thereon and all other facts pertinent thereto or to this Article.</w:t>
      </w:r>
    </w:p>
    <w:p>
      <w:pPr>
        <w:spacing w:after="0" w:line="162" w:lineRule="exact"/>
        <w:rPr>
          <w:sz w:val="20"/>
          <w:szCs w:val="20"/>
          <w:color w:val="auto"/>
        </w:rPr>
      </w:pPr>
    </w:p>
    <w:p>
      <w:pPr>
        <w:ind w:right="40" w:firstLine="648"/>
        <w:spacing w:after="0" w:line="275" w:lineRule="auto"/>
        <w:rPr>
          <w:sz w:val="20"/>
          <w:szCs w:val="20"/>
          <w:color w:val="auto"/>
        </w:rPr>
      </w:pPr>
      <w:r>
        <w:rPr>
          <w:rFonts w:ascii="Arial" w:cs="Arial" w:eastAsia="Arial" w:hAnsi="Arial"/>
          <w:sz w:val="19"/>
          <w:szCs w:val="19"/>
          <w:color w:val="auto"/>
        </w:rPr>
        <w:t xml:space="preserve">SECTION 1611. </w:t>
      </w:r>
      <w:r>
        <w:rPr>
          <w:rFonts w:ascii="Arial" w:cs="Arial" w:eastAsia="Arial" w:hAnsi="Arial"/>
          <w:sz w:val="19"/>
          <w:szCs w:val="19"/>
          <w:u w:val="single" w:color="auto"/>
          <w:color w:val="auto"/>
        </w:rPr>
        <w:t>Trustee Not Fiduciary for Holders of Senior Indebtedness</w:t>
      </w:r>
      <w:r>
        <w:rPr>
          <w:rFonts w:ascii="Arial" w:cs="Arial" w:eastAsia="Arial" w:hAnsi="Arial"/>
          <w:sz w:val="19"/>
          <w:szCs w:val="19"/>
          <w:color w:val="auto"/>
        </w:rPr>
        <w:t>. The Trustee shall not be deemed to owe any fiduciary duty to the holders of Senior Indebtedness. Nothing contained in this Article Sixteen or elsewhere in this Indenture, or in any of the Securities, shall prevent the application by the Trustee of any moneys which were deposited with it hereunder, prior to its receipt of written notice of facts which would prohibit such application, for the purpose of the payment of or on account of the principal of or interest on, the Securities unless, prior to the date on which such application is made by the Trustee, the Trustee shall be charged with notice under Section 1609 hereof of the facts which would prohibit the making of such application.</w:t>
      </w:r>
    </w:p>
    <w:p>
      <w:pPr>
        <w:spacing w:after="0" w:line="158"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 xml:space="preserve">SECTION 1612. </w:t>
      </w:r>
      <w:r>
        <w:rPr>
          <w:rFonts w:ascii="Arial" w:cs="Arial" w:eastAsia="Arial" w:hAnsi="Arial"/>
          <w:sz w:val="22"/>
          <w:szCs w:val="22"/>
          <w:u w:val="single" w:color="auto"/>
          <w:color w:val="auto"/>
        </w:rPr>
        <w:t>Rights of Trustee as Holder of Senior Indebtedness; Preservation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Trustee’s Rights</w:t>
      </w:r>
      <w:r>
        <w:rPr>
          <w:rFonts w:ascii="Arial" w:cs="Arial" w:eastAsia="Arial" w:hAnsi="Arial"/>
          <w:sz w:val="22"/>
          <w:szCs w:val="22"/>
          <w:color w:val="auto"/>
        </w:rPr>
        <w:t>. The Trustee in its individual capacity shall be entitled to all the rights set forth in this Article Sixteen with respect to any Senior Indebtedness which may at any time be held by it, to the same extent as any other holder of Senior Indebtedness, and nothing in this Indenture shall deprive the Trustee of any of its rights as such holder. Nothing in this Article shall apply to claims of, or payments to, the Trustee under or pursuant to Section 606.</w:t>
      </w:r>
    </w:p>
    <w:p>
      <w:pPr>
        <w:spacing w:after="0" w:line="188" w:lineRule="exact"/>
        <w:rPr>
          <w:sz w:val="20"/>
          <w:szCs w:val="20"/>
          <w:color w:val="auto"/>
        </w:rPr>
      </w:pPr>
    </w:p>
    <w:p>
      <w:pPr>
        <w:ind w:firstLine="648"/>
        <w:spacing w:after="0" w:line="247" w:lineRule="auto"/>
        <w:rPr>
          <w:sz w:val="20"/>
          <w:szCs w:val="20"/>
          <w:color w:val="auto"/>
        </w:rPr>
      </w:pPr>
      <w:r>
        <w:rPr>
          <w:rFonts w:ascii="Arial" w:cs="Arial" w:eastAsia="Arial" w:hAnsi="Arial"/>
          <w:sz w:val="21"/>
          <w:szCs w:val="21"/>
          <w:color w:val="auto"/>
        </w:rPr>
        <w:t xml:space="preserve">SECTION 1613. </w:t>
      </w:r>
      <w:r>
        <w:rPr>
          <w:rFonts w:ascii="Arial" w:cs="Arial" w:eastAsia="Arial" w:hAnsi="Arial"/>
          <w:sz w:val="21"/>
          <w:szCs w:val="21"/>
          <w:u w:val="single" w:color="auto"/>
          <w:color w:val="auto"/>
        </w:rPr>
        <w:t>Article Applicable to Paying Agents</w:t>
      </w:r>
      <w:r>
        <w:rPr>
          <w:rFonts w:ascii="Arial" w:cs="Arial" w:eastAsia="Arial" w:hAnsi="Arial"/>
          <w:sz w:val="21"/>
          <w:szCs w:val="21"/>
          <w:color w:val="auto"/>
        </w:rPr>
        <w:t>. In case at any time any Paying Agent other than the Trustee shall have been appointed by the Company and be then acting hereunder, the term “Trustee” as used in this Article Sixteen shall in such case (unless the context otherwise requires) be construed as extending to and including such Paying Agent within its meaning as fully for all intents and purposes as if such Paying Agent were named in this Article in addition to or in place of the Trustee; provided, however, that Section 1612 shall not apply to the Company or any Affiliate of the Company if it or such Affiliate acts as Paying Agent.</w:t>
      </w:r>
    </w:p>
    <w:p>
      <w:pPr>
        <w:spacing w:after="0" w:line="178"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ARTICLE SEVENTEEN - CONVERSION OF SECURITIES</w:t>
      </w:r>
    </w:p>
    <w:p>
      <w:pPr>
        <w:spacing w:after="0" w:line="206" w:lineRule="exact"/>
        <w:rPr>
          <w:sz w:val="20"/>
          <w:szCs w:val="20"/>
          <w:color w:val="auto"/>
        </w:rPr>
      </w:pPr>
    </w:p>
    <w:p>
      <w:pPr>
        <w:ind w:left="660"/>
        <w:spacing w:after="0"/>
        <w:tabs>
          <w:tab w:leader="none" w:pos="2460" w:val="left"/>
        </w:tabs>
        <w:rPr>
          <w:sz w:val="20"/>
          <w:szCs w:val="20"/>
          <w:color w:val="auto"/>
        </w:rPr>
      </w:pPr>
      <w:r>
        <w:rPr>
          <w:rFonts w:ascii="Arial" w:cs="Arial" w:eastAsia="Arial" w:hAnsi="Arial"/>
          <w:sz w:val="22"/>
          <w:szCs w:val="22"/>
          <w:color w:val="auto"/>
        </w:rPr>
        <w:t>SECTION 1701.</w:t>
      </w:r>
      <w:r>
        <w:rPr>
          <w:sz w:val="20"/>
          <w:szCs w:val="20"/>
          <w:color w:val="auto"/>
        </w:rPr>
        <w:tab/>
      </w:r>
      <w:r>
        <w:rPr>
          <w:rFonts w:ascii="Arial" w:cs="Arial" w:eastAsia="Arial" w:hAnsi="Arial"/>
          <w:sz w:val="19"/>
          <w:szCs w:val="19"/>
          <w:u w:val="single" w:color="auto"/>
          <w:color w:val="auto"/>
        </w:rPr>
        <w:t>Applicability of Article; Conversion Privilege and Conversion</w:t>
      </w:r>
    </w:p>
    <w:p>
      <w:pPr>
        <w:spacing w:after="0" w:line="8" w:lineRule="exact"/>
        <w:rPr>
          <w:sz w:val="20"/>
          <w:szCs w:val="20"/>
          <w:color w:val="auto"/>
        </w:rPr>
      </w:pPr>
    </w:p>
    <w:p>
      <w:pPr>
        <w:ind w:right="100"/>
        <w:spacing w:after="0" w:line="275" w:lineRule="auto"/>
        <w:rPr>
          <w:sz w:val="20"/>
          <w:szCs w:val="20"/>
          <w:color w:val="auto"/>
        </w:rPr>
      </w:pPr>
      <w:r>
        <w:rPr>
          <w:rFonts w:ascii="Arial" w:cs="Arial" w:eastAsia="Arial" w:hAnsi="Arial"/>
          <w:sz w:val="19"/>
          <w:szCs w:val="19"/>
          <w:u w:val="single" w:color="auto"/>
          <w:color w:val="auto"/>
        </w:rPr>
        <w:t>Price</w:t>
      </w:r>
      <w:r>
        <w:rPr>
          <w:rFonts w:ascii="Arial" w:cs="Arial" w:eastAsia="Arial" w:hAnsi="Arial"/>
          <w:sz w:val="19"/>
          <w:szCs w:val="19"/>
          <w:color w:val="auto"/>
        </w:rPr>
        <w:t>. Securities of any series which are convertible shall be convertible in accordance with their terms and (except as otherwise specified as contemplated by Section 301 for Securities of any series) in accordance with this Article Seventeen. Subject to and upon compliance with the provisions of this Article Seventeen, at any time during the period specified in the Securities, at the option of the Holder thereof, any Security or any portion of the principal amount thereof which is $1,000 or an integral multiple of $1,000 may be converted at the principal amount thereof, or of such portion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38" w:name="page239"/>
    <w:bookmarkEnd w:id="238"/>
    <w:p>
      <w:pPr>
        <w:ind w:right="80"/>
        <w:spacing w:after="0" w:line="277" w:lineRule="auto"/>
        <w:rPr>
          <w:sz w:val="20"/>
          <w:szCs w:val="20"/>
          <w:color w:val="auto"/>
        </w:rPr>
      </w:pPr>
      <w:r>
        <w:rPr>
          <w:rFonts w:ascii="Arial" w:cs="Arial" w:eastAsia="Arial" w:hAnsi="Arial"/>
          <w:sz w:val="19"/>
          <w:szCs w:val="19"/>
          <w:color w:val="auto"/>
        </w:rPr>
        <w:t>thereof, into fully paid and nonassessable shares (calculated as to each conversion to the nearest 1/100 of a share) of Common Stock of the Company, at the Conversion Price, determined as hereinafter provided, in effect at the time of conversion. In case a Security or portion thereof is called for redemption, such conversion right in respect of the Security or portion so called shall expire at the close of business on the Business Day immediately preceding the Redemption Date, unless the Company defaults in making the payment due upon redemption, in which case such conversion right shall terminate on the date such default is cured.</w:t>
      </w:r>
    </w:p>
    <w:p>
      <w:pPr>
        <w:spacing w:after="0" w:line="153" w:lineRule="exact"/>
        <w:rPr>
          <w:sz w:val="20"/>
          <w:szCs w:val="20"/>
          <w:color w:val="auto"/>
        </w:rPr>
      </w:pPr>
    </w:p>
    <w:p>
      <w:pPr>
        <w:ind w:right="20" w:firstLine="648"/>
        <w:spacing w:after="0" w:line="258" w:lineRule="auto"/>
        <w:rPr>
          <w:sz w:val="20"/>
          <w:szCs w:val="20"/>
          <w:color w:val="auto"/>
        </w:rPr>
      </w:pPr>
      <w:r>
        <w:rPr>
          <w:rFonts w:ascii="Arial" w:cs="Arial" w:eastAsia="Arial" w:hAnsi="Arial"/>
          <w:sz w:val="21"/>
          <w:szCs w:val="21"/>
          <w:color w:val="auto"/>
        </w:rPr>
        <w:t>The price at which shares of Common Stock shall be delivered upon conversion (herein called the “Conversion Price”) of Securities of any series shall be specified in such Securities. The Conversion Price shall be adjusted in certain instances as provided in Section 1704.</w:t>
      </w:r>
    </w:p>
    <w:p>
      <w:pPr>
        <w:spacing w:after="0" w:line="167" w:lineRule="exact"/>
        <w:rPr>
          <w:sz w:val="20"/>
          <w:szCs w:val="20"/>
          <w:color w:val="auto"/>
        </w:rPr>
      </w:pPr>
    </w:p>
    <w:p>
      <w:pPr>
        <w:ind w:right="260" w:firstLine="648"/>
        <w:spacing w:after="0" w:line="270" w:lineRule="auto"/>
        <w:rPr>
          <w:sz w:val="20"/>
          <w:szCs w:val="20"/>
          <w:color w:val="auto"/>
        </w:rPr>
      </w:pPr>
      <w:r>
        <w:rPr>
          <w:rFonts w:ascii="Arial" w:cs="Arial" w:eastAsia="Arial" w:hAnsi="Arial"/>
          <w:sz w:val="19"/>
          <w:szCs w:val="19"/>
          <w:color w:val="auto"/>
        </w:rPr>
        <w:t>In case the Company shall, by dividend or otherwise, declare or make a distribution on its Common Stock referred to in paragraph (4) of Section 1704, the Holder of each Security, upon the conversion thereof pursuant to this Article Seventeen subsequent to the close of business on the date fixed for the determination of stockholders entitled to receive such distribution and prior to the effectiveness of the Conversion Price adjustment in respect of such distribution pursuant to paragraph</w:t>
      </w:r>
    </w:p>
    <w:p>
      <w:pPr>
        <w:spacing w:after="0" w:line="4" w:lineRule="exact"/>
        <w:rPr>
          <w:sz w:val="20"/>
          <w:szCs w:val="20"/>
          <w:color w:val="auto"/>
        </w:rPr>
      </w:pPr>
    </w:p>
    <w:p>
      <w:pPr>
        <w:ind w:firstLine="3"/>
        <w:spacing w:after="0" w:line="269" w:lineRule="auto"/>
        <w:tabs>
          <w:tab w:leader="none" w:pos="306"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of Section 1704, shall be entitled to receive for each share of Common Stock into which such Security is converted, the portion of the evidence of indebtedness, shares of Capital Stock or assets so distributed applicable to one share of Common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at the election of the Company (whose election shall be evidenced by a Board Resolution filed with the Trustee) with respect to all Holders so converting, the Company may, in lieu of distributing to such Holder any portion of such distribution not consisting of cash or securities of the Company, pay such Holder an amount in cash equal to the fair market value thereof (as determined in good faith by the Board of Directors, whose determination shall be conclusive and described in a Board Resolution filed with the Trustee). If any conversion of a Security entitled to the benefits described in the immediately preceding sentence occurs prior to the payment date for a distribution to holders of Common Stock which the Holder of the Security so converted is entitled to receive in accordance with the immediately preceding sentence, the Company may elect (such election to be evidenced by a Board Resolution filed with the Trustee) to distribute to such Holder a due bill for the evidences of indebtedness, shares of Capital Stock or assets to which such Holder is so entitled, provided that such due bill (i) meets any applicable requirements of the principal over-the-counter market or national securities exchange or other market on which the Common Stock is then traded, and (ii) requires payment or delivery of such evidences of indebtedness or assets no later than the date of payment or delivery thereof to holders of Common Stock receiving such distribution.</w:t>
      </w:r>
    </w:p>
    <w:p>
      <w:pPr>
        <w:spacing w:after="0" w:line="200" w:lineRule="exact"/>
        <w:rPr>
          <w:sz w:val="20"/>
          <w:szCs w:val="20"/>
          <w:color w:val="auto"/>
        </w:rPr>
      </w:pPr>
    </w:p>
    <w:p>
      <w:pPr>
        <w:spacing w:after="0" w:line="211" w:lineRule="exact"/>
        <w:rPr>
          <w:sz w:val="20"/>
          <w:szCs w:val="20"/>
          <w:color w:val="auto"/>
        </w:rPr>
      </w:pPr>
    </w:p>
    <w:p>
      <w:pPr>
        <w:ind w:right="140" w:firstLine="648"/>
        <w:spacing w:after="0" w:line="272" w:lineRule="auto"/>
        <w:rPr>
          <w:sz w:val="20"/>
          <w:szCs w:val="20"/>
          <w:color w:val="auto"/>
        </w:rPr>
      </w:pPr>
      <w:r>
        <w:rPr>
          <w:rFonts w:ascii="Arial" w:cs="Arial" w:eastAsia="Arial" w:hAnsi="Arial"/>
          <w:sz w:val="19"/>
          <w:szCs w:val="19"/>
          <w:color w:val="auto"/>
        </w:rPr>
        <w:t xml:space="preserve">SECTION 1702. </w:t>
      </w:r>
      <w:r>
        <w:rPr>
          <w:rFonts w:ascii="Arial" w:cs="Arial" w:eastAsia="Arial" w:hAnsi="Arial"/>
          <w:sz w:val="19"/>
          <w:szCs w:val="19"/>
          <w:u w:val="single" w:color="auto"/>
          <w:color w:val="auto"/>
        </w:rPr>
        <w:t>Exercise of Conversion Privilege</w:t>
      </w:r>
      <w:r>
        <w:rPr>
          <w:rFonts w:ascii="Arial" w:cs="Arial" w:eastAsia="Arial" w:hAnsi="Arial"/>
          <w:sz w:val="19"/>
          <w:szCs w:val="19"/>
          <w:color w:val="auto"/>
        </w:rPr>
        <w:t>. In order to exercise the conversion privilege, the Holder of any Security to be converted shall surrender such Security, duly endorsed or assigned to the Company or in blank, at any office or agency maintained by the Company pursuant to Section 1002, accompanied by written notice to the Company at such office or agency that the Holder elects to convert such Security or, if less than the entire principal amount thereof is to be converted, the portion thereof to be converted and shall comply with any additional requirements set forth in such Security. Securities surrendered for conversion during the period from the close of business on any Regular Record Date next preceding any Interest Payment Date to the opening of business on such Interest Payment Date shall (except for Securities the Maturity of which is prior to such Interest Payment Date) be accompanied by payment in funds acceptable to the Company of an amount equal to the interest payable on such Interest Payment Date on the principal amount of Securities being surrendered for conversion and such interest shall be paid on such Interest Payment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39" w:name="page240"/>
    <w:bookmarkEnd w:id="239"/>
    <w:p>
      <w:pPr>
        <w:ind w:right="500"/>
        <w:spacing w:after="0" w:line="238" w:lineRule="auto"/>
        <w:rPr>
          <w:sz w:val="20"/>
          <w:szCs w:val="20"/>
          <w:color w:val="auto"/>
        </w:rPr>
      </w:pPr>
      <w:r>
        <w:rPr>
          <w:rFonts w:ascii="Arial" w:cs="Arial" w:eastAsia="Arial" w:hAnsi="Arial"/>
          <w:sz w:val="22"/>
          <w:szCs w:val="22"/>
          <w:color w:val="auto"/>
        </w:rPr>
        <w:t>Date as provided in Section 307. Except as provided in the preceding sentence, no payment or adjustment shall be made upon any conversion on account of any interest accrued on the Securities surrendered for conversion or on account of any dividends on the Common Stock issued upon conversion.</w:t>
      </w:r>
    </w:p>
    <w:p>
      <w:pPr>
        <w:spacing w:after="0" w:line="185" w:lineRule="exact"/>
        <w:rPr>
          <w:sz w:val="20"/>
          <w:szCs w:val="20"/>
          <w:color w:val="auto"/>
        </w:rPr>
      </w:pPr>
    </w:p>
    <w:p>
      <w:pPr>
        <w:ind w:right="40" w:firstLine="648"/>
        <w:spacing w:after="0" w:line="277" w:lineRule="auto"/>
        <w:rPr>
          <w:sz w:val="20"/>
          <w:szCs w:val="20"/>
          <w:color w:val="auto"/>
        </w:rPr>
      </w:pPr>
      <w:r>
        <w:rPr>
          <w:rFonts w:ascii="Arial" w:cs="Arial" w:eastAsia="Arial" w:hAnsi="Arial"/>
          <w:sz w:val="19"/>
          <w:szCs w:val="19"/>
          <w:color w:val="auto"/>
        </w:rPr>
        <w:t>The Company’s delivery to the Holder of the fixed number of shares of the Common Stock of the Company (and any cash in lieu of any fractional share of Common Stock) into which the Security is convertible shall be deemed to satisfy the Company’s obligation to pay the principal amount of the Security and all accrued interest and original issue discount that has not previously been paid. The shares of Common Stock of the Company so delivered shall be treated as issued first in payment of accrued interest and original issue discount and then in payment of principal. Thus, accrued interest and original issue discount shall be treated as paid, rather than canceled, extinguished or forfeited.</w:t>
      </w:r>
    </w:p>
    <w:p>
      <w:pPr>
        <w:spacing w:after="0" w:line="153" w:lineRule="exact"/>
        <w:rPr>
          <w:sz w:val="20"/>
          <w:szCs w:val="20"/>
          <w:color w:val="auto"/>
        </w:rPr>
      </w:pPr>
    </w:p>
    <w:p>
      <w:pPr>
        <w:ind w:right="40" w:firstLine="648"/>
        <w:spacing w:after="0" w:line="275" w:lineRule="auto"/>
        <w:rPr>
          <w:sz w:val="20"/>
          <w:szCs w:val="20"/>
          <w:color w:val="auto"/>
        </w:rPr>
      </w:pPr>
      <w:r>
        <w:rPr>
          <w:rFonts w:ascii="Arial" w:cs="Arial" w:eastAsia="Arial" w:hAnsi="Arial"/>
          <w:sz w:val="19"/>
          <w:szCs w:val="19"/>
          <w:color w:val="auto"/>
        </w:rPr>
        <w:t>Securities shall be deemed to have been converted immediately prior to the close of business on the day of surrender of such Securities for conversion in accordance with the foregoing provisions, and at such time the rights of the Holders of such Securities as Holders shall cease, and the Person or Persons entitled to receive the Common Stock issuable upon conversion shall be treated for all purposes as the record holder or holders of such Common Stock at such time. As promptly as practicable on or after the conversion date, the Company shall issue and shall deliver at such office or agency a certificate or certificates for the number of full shares of Common Stock issuable upon conversion, together with payment in lieu of any fraction of a share, as provided in Section 1703.</w:t>
      </w:r>
    </w:p>
    <w:p>
      <w:pPr>
        <w:spacing w:after="0" w:line="158" w:lineRule="exact"/>
        <w:rPr>
          <w:sz w:val="20"/>
          <w:szCs w:val="20"/>
          <w:color w:val="auto"/>
        </w:rPr>
      </w:pPr>
    </w:p>
    <w:p>
      <w:pPr>
        <w:ind w:right="20" w:firstLine="648"/>
        <w:spacing w:after="0" w:line="282" w:lineRule="auto"/>
        <w:rPr>
          <w:sz w:val="20"/>
          <w:szCs w:val="20"/>
          <w:color w:val="auto"/>
        </w:rPr>
      </w:pPr>
      <w:r>
        <w:rPr>
          <w:rFonts w:ascii="Arial" w:cs="Arial" w:eastAsia="Arial" w:hAnsi="Arial"/>
          <w:sz w:val="19"/>
          <w:szCs w:val="19"/>
          <w:color w:val="auto"/>
        </w:rPr>
        <w:t>In the case of any Security which is converted in part only, as promptly as practicable on or after the conversion date the Company shall execute and the Trustee shall authenticate and make available for delivery to the Holder thereof (or the Depositary in the case of a Global Security), at the expense of the Company, a new Security or Securities, of authorized denominations in aggregate principal amount equal to the unconverted portion of the principal amount of such Security.</w:t>
      </w:r>
    </w:p>
    <w:p>
      <w:pPr>
        <w:spacing w:after="0" w:line="148"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 xml:space="preserve">SECTION 1703. </w:t>
      </w:r>
      <w:r>
        <w:rPr>
          <w:rFonts w:ascii="Arial" w:cs="Arial" w:eastAsia="Arial" w:hAnsi="Arial"/>
          <w:sz w:val="21"/>
          <w:szCs w:val="21"/>
          <w:u w:val="single" w:color="auto"/>
          <w:color w:val="auto"/>
        </w:rPr>
        <w:t>Fractions of Shares</w:t>
      </w:r>
      <w:r>
        <w:rPr>
          <w:rFonts w:ascii="Arial" w:cs="Arial" w:eastAsia="Arial" w:hAnsi="Arial"/>
          <w:sz w:val="21"/>
          <w:szCs w:val="21"/>
          <w:color w:val="auto"/>
        </w:rPr>
        <w:t>. No fractional shares of Common Stock shall be issued upon conversion of Securities. If more than one Security shall be surrendered for conversion at one time by the same Holder, the number of full shares of Common Stock which shall be issuable upon conversion thereof shall be computed on the basis of the aggregate principal amount of the Securities (or specified portions thereof) so surrendered. Instead of any fractional share of Common Stock which would otherwise be issuable upon conversion of any Security or Securities (or specified portions thereof), the Company shall pay a cash adjustment (rounded to the nearest cent) in respect of such fraction in an amount equal to the same fraction of the Closing Price per share of the Common Stock on the day of conversion (or, if such day is not a Trading Day, on the Trading Day immediately preceding such day).</w:t>
      </w:r>
    </w:p>
    <w:p>
      <w:pPr>
        <w:spacing w:after="0" w:line="182" w:lineRule="exact"/>
        <w:rPr>
          <w:sz w:val="20"/>
          <w:szCs w:val="20"/>
          <w:color w:val="auto"/>
        </w:rPr>
      </w:pPr>
    </w:p>
    <w:p>
      <w:pPr>
        <w:ind w:right="140" w:firstLine="648"/>
        <w:spacing w:after="0" w:line="251" w:lineRule="auto"/>
        <w:rPr>
          <w:sz w:val="20"/>
          <w:szCs w:val="20"/>
          <w:color w:val="auto"/>
        </w:rPr>
      </w:pPr>
      <w:r>
        <w:rPr>
          <w:rFonts w:ascii="Arial" w:cs="Arial" w:eastAsia="Arial" w:hAnsi="Arial"/>
          <w:sz w:val="22"/>
          <w:szCs w:val="22"/>
          <w:color w:val="auto"/>
        </w:rPr>
        <w:t xml:space="preserve">SECTION 1704. </w:t>
      </w:r>
      <w:r>
        <w:rPr>
          <w:rFonts w:ascii="Arial" w:cs="Arial" w:eastAsia="Arial" w:hAnsi="Arial"/>
          <w:sz w:val="22"/>
          <w:szCs w:val="22"/>
          <w:u w:val="single" w:color="auto"/>
          <w:color w:val="auto"/>
        </w:rPr>
        <w:t>Adjustment of Conversion Price.</w:t>
      </w:r>
      <w:r>
        <w:rPr>
          <w:rFonts w:ascii="Arial" w:cs="Arial" w:eastAsia="Arial" w:hAnsi="Arial"/>
          <w:sz w:val="22"/>
          <w:szCs w:val="22"/>
          <w:color w:val="auto"/>
        </w:rPr>
        <w:t xml:space="preserve"> The Conversion Price shall be subject to adjustment from time to time as follows:</w:t>
      </w:r>
    </w:p>
    <w:p>
      <w:pPr>
        <w:spacing w:after="0" w:line="173" w:lineRule="exact"/>
        <w:rPr>
          <w:sz w:val="20"/>
          <w:szCs w:val="20"/>
          <w:color w:val="auto"/>
        </w:rPr>
      </w:pPr>
    </w:p>
    <w:p>
      <w:pPr>
        <w:ind w:left="660" w:right="240" w:firstLine="639"/>
        <w:spacing w:after="0" w:line="287" w:lineRule="auto"/>
        <w:tabs>
          <w:tab w:leader="none" w:pos="2006" w:val="left"/>
        </w:tabs>
        <w:numPr>
          <w:ilvl w:val="0"/>
          <w:numId w:val="198"/>
        </w:numPr>
        <w:rPr>
          <w:rFonts w:ascii="Arial" w:cs="Arial" w:eastAsia="Arial" w:hAnsi="Arial"/>
          <w:sz w:val="19"/>
          <w:szCs w:val="19"/>
          <w:color w:val="auto"/>
        </w:rPr>
      </w:pPr>
      <w:r>
        <w:rPr>
          <w:rFonts w:ascii="Arial" w:cs="Arial" w:eastAsia="Arial" w:hAnsi="Arial"/>
          <w:sz w:val="19"/>
          <w:szCs w:val="19"/>
          <w:color w:val="auto"/>
        </w:rPr>
        <w:t>If the Company pays or makes a dividend or other distribution (a) on its Common Stock exclusively in Common Stock or (b) on any other class of Capital Stock of the Company, which dividend or distribution includes Common Stock of the Company, the Conversion Price in effect at the opening of business on the day following the date fixed for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40" w:name="page241"/>
    <w:bookmarkEnd w:id="240"/>
    <w:p>
      <w:pPr>
        <w:ind w:left="640" w:right="19"/>
        <w:spacing w:after="0" w:line="272" w:lineRule="auto"/>
        <w:rPr>
          <w:sz w:val="20"/>
          <w:szCs w:val="20"/>
          <w:color w:val="auto"/>
        </w:rPr>
      </w:pPr>
      <w:r>
        <w:rPr>
          <w:rFonts w:ascii="Arial" w:cs="Arial" w:eastAsia="Arial" w:hAnsi="Arial"/>
          <w:sz w:val="19"/>
          <w:szCs w:val="19"/>
          <w:color w:val="auto"/>
        </w:rPr>
        <w:t>the determination of stockholders entitled to receive such dividend or other distribution (the “Dividend Record Date”) shall be reduced by multiplying such Conversion Price by a fraction of which the numerator shall be the number of shares of Common Stock of the Company outstanding at the close of business on the Dividend Record Date and the denominator shall be the sum of such number of shares and the total number of shares constituting such dividend or other distribution. Such reduction shall become effective immediately after the opening of business on the day following the date fixed for such determination. For the purposes of this paragraph (1), the number of shares of Common Stock of the Company at any time outstanding shall not include shares held in the treasury of the Company, but shall include shares issuable in respect of scrip certificates issued in lieu of fractions of shares of Common Stock. The Company shall not pay any dividend or make any distribution on shares of Common Stock held in the treasury of the Company.</w:t>
      </w:r>
    </w:p>
    <w:p>
      <w:pPr>
        <w:spacing w:after="0" w:line="200" w:lineRule="exact"/>
        <w:rPr>
          <w:sz w:val="20"/>
          <w:szCs w:val="20"/>
          <w:color w:val="auto"/>
        </w:rPr>
      </w:pPr>
    </w:p>
    <w:p>
      <w:pPr>
        <w:spacing w:after="0" w:line="210" w:lineRule="exact"/>
        <w:rPr>
          <w:sz w:val="20"/>
          <w:szCs w:val="20"/>
          <w:color w:val="auto"/>
        </w:rPr>
      </w:pPr>
    </w:p>
    <w:p>
      <w:pPr>
        <w:ind w:left="640" w:right="19" w:firstLine="639"/>
        <w:spacing w:after="0" w:line="269" w:lineRule="auto"/>
        <w:tabs>
          <w:tab w:leader="none" w:pos="1986" w:val="left"/>
        </w:tabs>
        <w:numPr>
          <w:ilvl w:val="0"/>
          <w:numId w:val="199"/>
        </w:numPr>
        <w:rPr>
          <w:rFonts w:ascii="Arial" w:cs="Arial" w:eastAsia="Arial" w:hAnsi="Arial"/>
          <w:sz w:val="19"/>
          <w:szCs w:val="19"/>
          <w:color w:val="auto"/>
        </w:rPr>
      </w:pPr>
      <w:r>
        <w:rPr>
          <w:rFonts w:ascii="Arial" w:cs="Arial" w:eastAsia="Arial" w:hAnsi="Arial"/>
          <w:sz w:val="19"/>
          <w:szCs w:val="19"/>
          <w:color w:val="auto"/>
        </w:rPr>
        <w:t>Subject to paragraph (6) of this Section, if the Company pays or makes a dividend or other distribution on its Common Stock consisting exclusively of Short Term Rights (as defined below), or otherwise issues Short Term Rights to all holders of its Common Stock, the Conversion Price in effect at the opening of business on the day following the record date for the determination of holders of Common Stock entitled to receive such Short Term Rights (the “Rights Record Date”) shall be reduced by multiplying such Conversion Price by a fraction of which the numerator shall be the number of shares of Common Stock of the Company outstanding at the close of business on the Rights Record Date plus the number of shares of Common Stock of the Company which the aggregate of the offering price of the total number of shares of Common Stock so offered for subscription or purchase would purchase at such current market price and the denominator shall be the number of shares of Common Stock of the Company outstanding at the close of business on the Rights Record Date plus the number of shares of Common Stock so offered for subscription or purchase. Such reduction shall become effective immediately after the opening of business on the day following the Rights Record Date. For the purposes of this paragraph (2), the number of shares of Common Stock of the Company at any time outstanding shall not include shares held in the treasury of the Company, but shall include shares issuable in respect of scrip certificates issued in lieu of fractions of shares of Common Stock of the Company. The Company shall not issue any rights, options or warrants in respect of shares of its Common Stock held in the treasury of the Company. When used in this Section 1704, the term “Short Term Rights” shall mean rights, warrants or options entitling the holders thereof (for a period commencing no earlier than the Rights Record Date and expiring not more than 45 days after the Rights Record Date) to subscribe for or purchase shares of Common Stock of the Company at a price per share less than the current market price per share (determined as provided in paragraph (7) of this Section 1704) of the Common Stock of the Company on the Rights Record Date.</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640" w:right="99" w:firstLine="639"/>
        <w:spacing w:after="0" w:line="275" w:lineRule="auto"/>
        <w:tabs>
          <w:tab w:leader="none" w:pos="1986" w:val="left"/>
        </w:tabs>
        <w:numPr>
          <w:ilvl w:val="0"/>
          <w:numId w:val="199"/>
        </w:numPr>
        <w:rPr>
          <w:rFonts w:ascii="Arial" w:cs="Arial" w:eastAsia="Arial" w:hAnsi="Arial"/>
          <w:sz w:val="19"/>
          <w:szCs w:val="19"/>
          <w:color w:val="auto"/>
        </w:rPr>
      </w:pPr>
      <w:r>
        <w:rPr>
          <w:rFonts w:ascii="Arial" w:cs="Arial" w:eastAsia="Arial" w:hAnsi="Arial"/>
          <w:sz w:val="19"/>
          <w:szCs w:val="19"/>
          <w:color w:val="auto"/>
        </w:rPr>
        <w:t>In case outstanding shares of Common Stock of the Company shall be subdivided into a greater number of shares of Common Stock, the Conversion Price in effect at the opening of business on the day following the day upon which such subdivision becomes effective shall be proportionately reduced, and, conversely, in case outstanding shares of Common Stock of the Company shall be combined into a smaller number of shares of Common Stock, the Conversion Price in effect at the opening of business on the day following the day upon which such combination becomes effective shall be proportionately increased, such reduction or increase, as the case may be, to become effective immediately</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5754370"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41" w:name="page242"/>
    <w:bookmarkEnd w:id="241"/>
    <w:p>
      <w:pPr>
        <w:ind w:left="640" w:right="580"/>
        <w:spacing w:after="0" w:line="251" w:lineRule="auto"/>
        <w:rPr>
          <w:sz w:val="20"/>
          <w:szCs w:val="20"/>
          <w:color w:val="auto"/>
        </w:rPr>
      </w:pPr>
      <w:r>
        <w:rPr>
          <w:rFonts w:ascii="Arial" w:cs="Arial" w:eastAsia="Arial" w:hAnsi="Arial"/>
          <w:sz w:val="22"/>
          <w:szCs w:val="22"/>
          <w:color w:val="auto"/>
        </w:rPr>
        <w:t>after the opening of business on the day following the day upon which such subdivision or combination becomes effective.</w:t>
      </w:r>
    </w:p>
    <w:p>
      <w:pPr>
        <w:spacing w:after="0" w:line="174" w:lineRule="exact"/>
        <w:rPr>
          <w:sz w:val="20"/>
          <w:szCs w:val="20"/>
          <w:color w:val="auto"/>
        </w:rPr>
      </w:pPr>
    </w:p>
    <w:p>
      <w:pPr>
        <w:ind w:left="640" w:firstLine="639"/>
        <w:spacing w:after="0" w:line="269" w:lineRule="auto"/>
        <w:tabs>
          <w:tab w:leader="none" w:pos="1986" w:val="left"/>
        </w:tabs>
        <w:numPr>
          <w:ilvl w:val="0"/>
          <w:numId w:val="200"/>
        </w:numPr>
        <w:rPr>
          <w:rFonts w:ascii="Arial" w:cs="Arial" w:eastAsia="Arial" w:hAnsi="Arial"/>
          <w:sz w:val="19"/>
          <w:szCs w:val="19"/>
          <w:color w:val="auto"/>
        </w:rPr>
      </w:pPr>
      <w:r>
        <w:rPr>
          <w:rFonts w:ascii="Arial" w:cs="Arial" w:eastAsia="Arial" w:hAnsi="Arial"/>
          <w:sz w:val="19"/>
          <w:szCs w:val="19"/>
          <w:color w:val="auto"/>
        </w:rPr>
        <w:t>Subject to the last sentence of this paragraph (4) of this Section, if the Company, by dividend or otherwise, (a) distributes to all holders of its Common Stock evidences of its indebtedness, shares of any class of Capital Stock of the Company or other assets (other than cash dividends out of current or retained earnings), or (b) distributes to substantially all holders of Common Stock rights or warrants to subscribe for securities (other than Short Term Rights to which paragraph (2) of this Section 1704 applies), the Conversion Price shall be reduced by multiplying such Conversion Price by a fraction of which the numerator shall be the current market price per share (determined as provided in paragraph (7) of this Section 1704) of the Common Stock of the Company on the Reference Date (as defined below) less the fair market value (as determined in good faith by the Board of Directors, whose determination shall be conclusive and described in a Board Resolution filed with the Trustee), on the Reference Date, of the portion of the evidences of indebtedness and other assets so distributed or of such subscription rights or warrants applicable to one share of Common Stock (collectively, the “Market Value of the Distribution”) and the denominator shall be such current market price per share of the Common Stock of the Company. Such reduction shall become effective immediately prior to the opening of business on the day (the “Reference Date”) following the later of (a) the date fixed for the payment of such distribution and (b) the date 20 days after notice relating to such distribution is required to be given pursuant to Section 1706(a). If the Board of Directors determines the fair market value of any distribution for purposes of this paragraph (4) by reference to the actual or when issued trading market for any securities comprising such distribution, it must in doing so consider the prices in such market over the same period used in computing the current market price per share pursuant to paragraph (7) of this Section 1704. In the event that, with respect to any distribution to which this paragraph (4) of Section 1704 would otherwise apply, the Market Value of the Distribution is greater than the current market price per share of the Common Stock (such distribution being referred to herein as an “Unadjusted Distribution”), then the adjustment provided by this paragraph (4) shall not be made and in lieu thereof the provisions of Section 1711 shall apply with respect to such Unadjusted Distribution.</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640" w:right="60" w:firstLine="639"/>
        <w:spacing w:after="0" w:line="246" w:lineRule="auto"/>
        <w:tabs>
          <w:tab w:leader="none" w:pos="1986" w:val="left"/>
        </w:tabs>
        <w:numPr>
          <w:ilvl w:val="0"/>
          <w:numId w:val="200"/>
        </w:numPr>
        <w:rPr>
          <w:rFonts w:ascii="Arial" w:cs="Arial" w:eastAsia="Arial" w:hAnsi="Arial"/>
          <w:sz w:val="21"/>
          <w:szCs w:val="21"/>
          <w:color w:val="auto"/>
        </w:rPr>
      </w:pPr>
      <w:r>
        <w:rPr>
          <w:rFonts w:ascii="Arial" w:cs="Arial" w:eastAsia="Arial" w:hAnsi="Arial"/>
          <w:sz w:val="21"/>
          <w:szCs w:val="21"/>
          <w:color w:val="auto"/>
        </w:rPr>
        <w:t>The Company may, but shall not be required to, make such reductions in the Conversion Price, in addition to those required by paragraphs (1), (2), (3), and (4) of this Section 1704, as it considers to be advisable in order that any event treated for federal income tax purposes as a dividend of stock or stock rights shall not be taxable to the recipients. In addition, the Company, from time to time, may decrease the Conversion Price by any amount and for any reason, temporarily or otherwise, including situations where the Board of Directors determines such decrease to be fair and appropriate with respect to transactions in which holders of Common Stock have the right to participate.</w:t>
      </w:r>
    </w:p>
    <w:p>
      <w:pPr>
        <w:spacing w:after="0" w:line="180" w:lineRule="exact"/>
        <w:rPr>
          <w:rFonts w:ascii="Arial" w:cs="Arial" w:eastAsia="Arial" w:hAnsi="Arial"/>
          <w:sz w:val="21"/>
          <w:szCs w:val="21"/>
          <w:color w:val="auto"/>
        </w:rPr>
      </w:pPr>
    </w:p>
    <w:p>
      <w:pPr>
        <w:ind w:left="640" w:right="20" w:firstLine="639"/>
        <w:spacing w:after="0" w:line="279" w:lineRule="auto"/>
        <w:tabs>
          <w:tab w:leader="none" w:pos="1986" w:val="left"/>
        </w:tabs>
        <w:numPr>
          <w:ilvl w:val="0"/>
          <w:numId w:val="200"/>
        </w:numPr>
        <w:rPr>
          <w:rFonts w:ascii="Arial" w:cs="Arial" w:eastAsia="Arial" w:hAnsi="Arial"/>
          <w:sz w:val="19"/>
          <w:szCs w:val="19"/>
          <w:color w:val="auto"/>
        </w:rPr>
      </w:pPr>
      <w:r>
        <w:rPr>
          <w:rFonts w:ascii="Arial" w:cs="Arial" w:eastAsia="Arial" w:hAnsi="Arial"/>
          <w:sz w:val="19"/>
          <w:szCs w:val="19"/>
          <w:color w:val="auto"/>
        </w:rPr>
        <w:t>Rights or warrants issued or distributed by the Company to all holders of its Common Stock entitling the holders thereof to subscribe for or purchase shares of Common Stock or Preferred Stock, which rights or warrants (i) are deemed to be transferred with such shares of Common Stock, (ii) are not exercisable and (iii) are also issued or distributed in respect of future issuances of Common Stock, in each case in clauses (i) through (iii) until the occurrence of a specified event or events (“Trigger Events”), shall for purposes of this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5754370"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118" w:right="1419" w:bottom="1440" w:gutter="0" w:footer="0" w:header="0"/>
        </w:sectPr>
      </w:pPr>
    </w:p>
    <w:bookmarkStart w:id="242" w:name="page243"/>
    <w:bookmarkEnd w:id="242"/>
    <w:p>
      <w:pPr>
        <w:ind w:left="640" w:right="20"/>
        <w:spacing w:after="0" w:line="269" w:lineRule="auto"/>
        <w:rPr>
          <w:sz w:val="20"/>
          <w:szCs w:val="20"/>
          <w:color w:val="auto"/>
        </w:rPr>
      </w:pPr>
      <w:r>
        <w:rPr>
          <w:rFonts w:ascii="Arial" w:cs="Arial" w:eastAsia="Arial" w:hAnsi="Arial"/>
          <w:sz w:val="19"/>
          <w:szCs w:val="19"/>
          <w:color w:val="auto"/>
        </w:rPr>
        <w:t>Section 1704 not be deemed issued or distributed until the occurrence of the earliest Trigger Event. Each share of Common Stock issued upon conversion of Securities pursuant to this Article Seventeen shall be entitled to receive the appropriate number of Common Stock purchase rights (the “Rights”), if any, and the certificates representing the Common Stock issued upon conversion shall bear such legends, if any. Notwithstanding anything to the contrary in this Article Seventeen, there shall not be any adjustment to the Conversion Price as a result of (i) the distribution of separate certificates representing the Rights; (ii) the occurrence of certain events entitling holders of Rights to receive, upon exercise thereof, Common Stock or other securities of the Company or other securities of another corporation; or (iii) the exercise of such</w:t>
      </w:r>
    </w:p>
    <w:p>
      <w:pPr>
        <w:spacing w:after="0" w:line="2" w:lineRule="exact"/>
        <w:rPr>
          <w:sz w:val="20"/>
          <w:szCs w:val="20"/>
          <w:color w:val="auto"/>
        </w:rPr>
      </w:pPr>
    </w:p>
    <w:p>
      <w:pPr>
        <w:ind w:left="640" w:right="20"/>
        <w:spacing w:after="0" w:line="308" w:lineRule="auto"/>
        <w:rPr>
          <w:sz w:val="20"/>
          <w:szCs w:val="20"/>
          <w:color w:val="auto"/>
        </w:rPr>
      </w:pPr>
      <w:r>
        <w:rPr>
          <w:rFonts w:ascii="Arial" w:cs="Arial" w:eastAsia="Arial" w:hAnsi="Arial"/>
          <w:sz w:val="19"/>
          <w:szCs w:val="19"/>
          <w:color w:val="auto"/>
        </w:rPr>
        <w:t>Rights. No adjustment in the Conversion Price need be made for rights to purchase or the sale of Common Stock pursuant to a Company plan providing for reinvestment of dividends or interest.</w:t>
      </w:r>
    </w:p>
    <w:p>
      <w:pPr>
        <w:spacing w:after="0" w:line="123" w:lineRule="exact"/>
        <w:rPr>
          <w:sz w:val="20"/>
          <w:szCs w:val="20"/>
          <w:color w:val="auto"/>
        </w:rPr>
      </w:pPr>
    </w:p>
    <w:p>
      <w:pPr>
        <w:ind w:left="640" w:right="40" w:firstLine="639"/>
        <w:spacing w:after="0" w:line="236" w:lineRule="auto"/>
        <w:tabs>
          <w:tab w:leader="none" w:pos="1986" w:val="left"/>
        </w:tabs>
        <w:numPr>
          <w:ilvl w:val="0"/>
          <w:numId w:val="201"/>
        </w:numPr>
        <w:rPr>
          <w:rFonts w:ascii="Arial" w:cs="Arial" w:eastAsia="Arial" w:hAnsi="Arial"/>
          <w:sz w:val="22"/>
          <w:szCs w:val="22"/>
          <w:color w:val="auto"/>
        </w:rPr>
      </w:pPr>
      <w:r>
        <w:rPr>
          <w:rFonts w:ascii="Arial" w:cs="Arial" w:eastAsia="Arial" w:hAnsi="Arial"/>
          <w:sz w:val="22"/>
          <w:szCs w:val="22"/>
          <w:color w:val="auto"/>
        </w:rPr>
        <w:t>For the purpose of any computation under paragraph (2), (4) or (5) of this Section 1704, the “current market price” per share of Common Stock of the Company on any date shall be deemed to be the average of the daily Closing Prices for the 15 consecutive Trading Days selected by the Company commencing not more than 30 Trading Days before, and ending not later than, the date in question.</w:t>
      </w:r>
    </w:p>
    <w:p>
      <w:pPr>
        <w:spacing w:after="0" w:line="187" w:lineRule="exact"/>
        <w:rPr>
          <w:rFonts w:ascii="Arial" w:cs="Arial" w:eastAsia="Arial" w:hAnsi="Arial"/>
          <w:sz w:val="22"/>
          <w:szCs w:val="22"/>
          <w:color w:val="auto"/>
        </w:rPr>
      </w:pPr>
    </w:p>
    <w:p>
      <w:pPr>
        <w:ind w:left="640" w:firstLine="639"/>
        <w:spacing w:after="0" w:line="248" w:lineRule="auto"/>
        <w:tabs>
          <w:tab w:leader="none" w:pos="1986" w:val="left"/>
        </w:tabs>
        <w:numPr>
          <w:ilvl w:val="0"/>
          <w:numId w:val="201"/>
        </w:numPr>
        <w:rPr>
          <w:rFonts w:ascii="Arial" w:cs="Arial" w:eastAsia="Arial" w:hAnsi="Arial"/>
          <w:sz w:val="21"/>
          <w:szCs w:val="21"/>
          <w:color w:val="auto"/>
        </w:rPr>
      </w:pPr>
      <w:r>
        <w:rPr>
          <w:rFonts w:ascii="Arial" w:cs="Arial" w:eastAsia="Arial" w:hAnsi="Arial"/>
          <w:sz w:val="21"/>
          <w:szCs w:val="21"/>
          <w:color w:val="auto"/>
        </w:rPr>
        <w:t xml:space="preserve">No adjustment in the Conversion Price shall be required unless such adjustment would require an increase or decrease of at least 1% in the Conversion Price;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adjustments which by reason of this paragraph (8) are not required to be made shall be carried forward and taken into account in any subsequent adjustment. All calculations under this Article Seventeen shall be made to the nearest cent or to the nearest one-hundredth of a share of Common Stock, as the case may be.</w:t>
      </w:r>
    </w:p>
    <w:p>
      <w:pPr>
        <w:spacing w:after="0" w:line="177" w:lineRule="exact"/>
        <w:rPr>
          <w:rFonts w:ascii="Arial" w:cs="Arial" w:eastAsia="Arial" w:hAnsi="Arial"/>
          <w:sz w:val="21"/>
          <w:szCs w:val="21"/>
          <w:color w:val="auto"/>
        </w:rPr>
      </w:pPr>
    </w:p>
    <w:p>
      <w:pPr>
        <w:ind w:left="640" w:right="40" w:firstLine="639"/>
        <w:spacing w:after="0" w:line="245" w:lineRule="auto"/>
        <w:tabs>
          <w:tab w:leader="none" w:pos="1986" w:val="left"/>
        </w:tabs>
        <w:numPr>
          <w:ilvl w:val="0"/>
          <w:numId w:val="201"/>
        </w:numPr>
        <w:rPr>
          <w:rFonts w:ascii="Arial" w:cs="Arial" w:eastAsia="Arial" w:hAnsi="Arial"/>
          <w:sz w:val="21"/>
          <w:szCs w:val="21"/>
          <w:color w:val="auto"/>
        </w:rPr>
      </w:pPr>
      <w:r>
        <w:rPr>
          <w:rFonts w:ascii="Arial" w:cs="Arial" w:eastAsia="Arial" w:hAnsi="Arial"/>
          <w:sz w:val="21"/>
          <w:szCs w:val="21"/>
          <w:color w:val="auto"/>
        </w:rPr>
        <w:t>Anything herein to the contrary notwithstanding, in the event the Company shall declare any dividend or distribution requiring an adjustment in the Conversion Price hereunder and shall, thereafter and before the payment of such dividend or distribution to stockholders, legally abandon its plan to pay such dividend or distribution, the Conversion Price then in effect hereunder, if changed to reflect such dividend or distribution, shall upon the legal abandonment of such plan be changed to the Conversion Price which would have been in effect at the time of such abandonment (after giving effect to all other adjustments not so legally abandoned pursuant to the provisions of this Article Seventeen) had such dividend or distribution never been declared.</w:t>
      </w:r>
    </w:p>
    <w:p>
      <w:pPr>
        <w:spacing w:after="0" w:line="185" w:lineRule="exact"/>
        <w:rPr>
          <w:rFonts w:ascii="Arial" w:cs="Arial" w:eastAsia="Arial" w:hAnsi="Arial"/>
          <w:sz w:val="21"/>
          <w:szCs w:val="21"/>
          <w:color w:val="auto"/>
        </w:rPr>
      </w:pPr>
    </w:p>
    <w:p>
      <w:pPr>
        <w:ind w:left="640" w:right="160" w:firstLine="639"/>
        <w:spacing w:after="0" w:line="247" w:lineRule="auto"/>
        <w:tabs>
          <w:tab w:leader="none" w:pos="2026" w:val="left"/>
        </w:tabs>
        <w:numPr>
          <w:ilvl w:val="0"/>
          <w:numId w:val="201"/>
        </w:numPr>
        <w:rPr>
          <w:rFonts w:ascii="Arial" w:cs="Arial" w:eastAsia="Arial" w:hAnsi="Arial"/>
          <w:sz w:val="21"/>
          <w:szCs w:val="21"/>
          <w:color w:val="auto"/>
        </w:rPr>
      </w:pPr>
      <w:r>
        <w:rPr>
          <w:rFonts w:ascii="Arial" w:cs="Arial" w:eastAsia="Arial" w:hAnsi="Arial"/>
          <w:sz w:val="21"/>
          <w:szCs w:val="21"/>
          <w:color w:val="auto"/>
        </w:rPr>
        <w:t>Notwithstanding any other provision of this Section 1704, no adjustment to the Conversion Price shall reduce the Conversion Price below the then par value per share of the Common Stock of the Company, and any such purported adjustment shall instead reduce the Conversion Price to such par value. Notwithstanding the foregoing sentence, the Company hereby covenants that it will from time to time take all such action as may be required to assure that the par value per share of the Common Stock is at all times equal to or less than the Conversion Price.</w:t>
      </w:r>
    </w:p>
    <w:p>
      <w:pPr>
        <w:spacing w:after="0" w:line="178" w:lineRule="exact"/>
        <w:rPr>
          <w:rFonts w:ascii="Arial" w:cs="Arial" w:eastAsia="Arial" w:hAnsi="Arial"/>
          <w:sz w:val="21"/>
          <w:szCs w:val="21"/>
          <w:color w:val="auto"/>
        </w:rPr>
      </w:pPr>
    </w:p>
    <w:p>
      <w:pPr>
        <w:jc w:val="both"/>
        <w:ind w:left="640" w:right="20" w:firstLine="639"/>
        <w:spacing w:after="0" w:line="287" w:lineRule="auto"/>
        <w:tabs>
          <w:tab w:leader="none" w:pos="2018" w:val="left"/>
        </w:tabs>
        <w:numPr>
          <w:ilvl w:val="0"/>
          <w:numId w:val="201"/>
        </w:numPr>
        <w:rPr>
          <w:rFonts w:ascii="Arial" w:cs="Arial" w:eastAsia="Arial" w:hAnsi="Arial"/>
          <w:sz w:val="19"/>
          <w:szCs w:val="19"/>
          <w:color w:val="auto"/>
        </w:rPr>
      </w:pPr>
      <w:r>
        <w:rPr>
          <w:rFonts w:ascii="Arial" w:cs="Arial" w:eastAsia="Arial" w:hAnsi="Arial"/>
          <w:sz w:val="19"/>
          <w:szCs w:val="19"/>
          <w:color w:val="auto"/>
        </w:rPr>
        <w:t>In the event that this Article Seventeen requires adjustments to the Conversion Price under more than one of paragraphs (1), (2), (3) or (4) of this Section 1704, and the record or effective dates for the transaction giving rise to such adjustments shall occur on the same date, then such adjustments shall be made by applying (to the extent they are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5754370"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118" w:right="1419" w:bottom="1440" w:gutter="0" w:footer="0" w:header="0"/>
        </w:sectPr>
      </w:pPr>
    </w:p>
    <w:bookmarkStart w:id="243" w:name="page244"/>
    <w:bookmarkEnd w:id="243"/>
    <w:p>
      <w:pPr>
        <w:ind w:left="660"/>
        <w:spacing w:after="0" w:line="272" w:lineRule="auto"/>
        <w:rPr>
          <w:sz w:val="20"/>
          <w:szCs w:val="20"/>
          <w:color w:val="auto"/>
        </w:rPr>
      </w:pPr>
      <w:r>
        <w:rPr>
          <w:rFonts w:ascii="Arial" w:cs="Arial" w:eastAsia="Arial" w:hAnsi="Arial"/>
          <w:sz w:val="19"/>
          <w:szCs w:val="19"/>
          <w:color w:val="auto"/>
        </w:rPr>
        <w:t>applicable), first, the provisions of paragraph (3) of this Section 1704, second, the provisions of paragraph (1) of this Section 1704, third, the provisions of paragraph (4) of this Section 1704 and, fourth, the provisions of paragraph (2) of this Section 1704. Anything herein to the contrary notwithstanding, no single event shall require or result in duplicative adjustments in the Conversion Price pursuant to this Section 1704. After an adjustment to the Conversion Price under this Article Seventeen, any subsequent event requiring an adjustment under this Article Seventeen shall cause an adjustment to the Conversion Price as so adjusted. If, after an adjustment, a Holder of a Security upon conversion of such Security receives shares of two or more classes of Capital Stock of the Company, the Conversion Price shall thereafter be subject to adjustment upon the occurrence of an action taken with respect to any such class of Capital Stock as is contemplated by this Article Seventeen with respect to the Common Stock in this Article Seventeen.</w:t>
      </w:r>
    </w:p>
    <w:p>
      <w:pPr>
        <w:spacing w:after="0" w:line="200" w:lineRule="exact"/>
        <w:rPr>
          <w:sz w:val="20"/>
          <w:szCs w:val="20"/>
          <w:color w:val="auto"/>
        </w:rPr>
      </w:pPr>
    </w:p>
    <w:p>
      <w:pPr>
        <w:spacing w:after="0" w:line="210" w:lineRule="exact"/>
        <w:rPr>
          <w:sz w:val="20"/>
          <w:szCs w:val="20"/>
          <w:color w:val="auto"/>
        </w:rPr>
      </w:pPr>
    </w:p>
    <w:p>
      <w:pPr>
        <w:ind w:right="420" w:firstLine="648"/>
        <w:spacing w:after="0" w:line="251" w:lineRule="auto"/>
        <w:rPr>
          <w:sz w:val="20"/>
          <w:szCs w:val="20"/>
          <w:color w:val="auto"/>
        </w:rPr>
      </w:pPr>
      <w:r>
        <w:rPr>
          <w:rFonts w:ascii="Arial" w:cs="Arial" w:eastAsia="Arial" w:hAnsi="Arial"/>
          <w:sz w:val="22"/>
          <w:szCs w:val="22"/>
          <w:color w:val="auto"/>
        </w:rPr>
        <w:t xml:space="preserve">SECTION 1705. </w:t>
      </w:r>
      <w:r>
        <w:rPr>
          <w:rFonts w:ascii="Arial" w:cs="Arial" w:eastAsia="Arial" w:hAnsi="Arial"/>
          <w:sz w:val="22"/>
          <w:szCs w:val="22"/>
          <w:u w:val="single" w:color="auto"/>
          <w:color w:val="auto"/>
        </w:rPr>
        <w:t>Notice of Adjustments of Conversion Price</w:t>
      </w:r>
      <w:r>
        <w:rPr>
          <w:rFonts w:ascii="Arial" w:cs="Arial" w:eastAsia="Arial" w:hAnsi="Arial"/>
          <w:sz w:val="22"/>
          <w:szCs w:val="22"/>
          <w:color w:val="auto"/>
        </w:rPr>
        <w:t>. Whenever the Conversion Price is adjusted as herein provided:</w:t>
      </w:r>
    </w:p>
    <w:p>
      <w:pPr>
        <w:spacing w:after="0" w:line="173" w:lineRule="exact"/>
        <w:rPr>
          <w:sz w:val="20"/>
          <w:szCs w:val="20"/>
          <w:color w:val="auto"/>
        </w:rPr>
      </w:pPr>
    </w:p>
    <w:p>
      <w:pPr>
        <w:ind w:left="660" w:right="40" w:firstLine="639"/>
        <w:spacing w:after="0" w:line="282" w:lineRule="auto"/>
        <w:tabs>
          <w:tab w:leader="none" w:pos="2006" w:val="left"/>
        </w:tabs>
        <w:numPr>
          <w:ilvl w:val="0"/>
          <w:numId w:val="202"/>
        </w:numPr>
        <w:rPr>
          <w:rFonts w:ascii="Arial" w:cs="Arial" w:eastAsia="Arial" w:hAnsi="Arial"/>
          <w:sz w:val="19"/>
          <w:szCs w:val="19"/>
          <w:color w:val="auto"/>
        </w:rPr>
      </w:pPr>
      <w:r>
        <w:rPr>
          <w:rFonts w:ascii="Arial" w:cs="Arial" w:eastAsia="Arial" w:hAnsi="Arial"/>
          <w:sz w:val="19"/>
          <w:szCs w:val="19"/>
          <w:color w:val="auto"/>
        </w:rPr>
        <w:t>the Company shall compute the adjusted Conversion Price in accordance with Section 1704 or Section 1711 and shall prepare an Officer’s Certificate setting forth the adjusted Conversion Price and showing in reasonable detail the facts upon which such adjustment is based, and such certificate shall forthwith be filed (with a copy to the Trustee) at each office or agency maintained for the purpose of conversion of any Securities pursuant to Section 1002; and</w:t>
      </w:r>
    </w:p>
    <w:p>
      <w:pPr>
        <w:spacing w:after="0" w:line="147" w:lineRule="exact"/>
        <w:rPr>
          <w:rFonts w:ascii="Arial" w:cs="Arial" w:eastAsia="Arial" w:hAnsi="Arial"/>
          <w:sz w:val="19"/>
          <w:szCs w:val="19"/>
          <w:color w:val="auto"/>
        </w:rPr>
      </w:pPr>
    </w:p>
    <w:p>
      <w:pPr>
        <w:ind w:left="660" w:right="140" w:firstLine="639"/>
        <w:spacing w:after="0" w:line="238" w:lineRule="auto"/>
        <w:tabs>
          <w:tab w:leader="none" w:pos="2006" w:val="left"/>
        </w:tabs>
        <w:numPr>
          <w:ilvl w:val="0"/>
          <w:numId w:val="202"/>
        </w:numPr>
        <w:rPr>
          <w:rFonts w:ascii="Arial" w:cs="Arial" w:eastAsia="Arial" w:hAnsi="Arial"/>
          <w:sz w:val="22"/>
          <w:szCs w:val="22"/>
          <w:color w:val="auto"/>
        </w:rPr>
      </w:pPr>
      <w:r>
        <w:rPr>
          <w:rFonts w:ascii="Arial" w:cs="Arial" w:eastAsia="Arial" w:hAnsi="Arial"/>
          <w:sz w:val="22"/>
          <w:szCs w:val="22"/>
          <w:color w:val="auto"/>
        </w:rPr>
        <w:t>a notice stating that the Conversion Price has been adjusted and setting forth the adjusted Conversion Price shall forthwith be required, and as soon as practicable after it is required, such notice shall be mailed by the Company to all Holders at their last addresses as they shall appear in the Security Register.</w:t>
      </w:r>
    </w:p>
    <w:p>
      <w:pPr>
        <w:spacing w:after="0" w:line="185" w:lineRule="exact"/>
        <w:rPr>
          <w:sz w:val="20"/>
          <w:szCs w:val="20"/>
          <w:color w:val="auto"/>
        </w:rPr>
      </w:pPr>
    </w:p>
    <w:p>
      <w:pPr>
        <w:ind w:left="660"/>
        <w:spacing w:after="0"/>
        <w:tabs>
          <w:tab w:leader="none" w:pos="2460" w:val="left"/>
        </w:tabs>
        <w:rPr>
          <w:sz w:val="20"/>
          <w:szCs w:val="20"/>
          <w:color w:val="auto"/>
        </w:rPr>
      </w:pPr>
      <w:r>
        <w:rPr>
          <w:rFonts w:ascii="Arial" w:cs="Arial" w:eastAsia="Arial" w:hAnsi="Arial"/>
          <w:sz w:val="22"/>
          <w:szCs w:val="22"/>
          <w:color w:val="auto"/>
        </w:rPr>
        <w:t>SECTION 1706.</w:t>
      </w:r>
      <w:r>
        <w:rPr>
          <w:sz w:val="20"/>
          <w:szCs w:val="20"/>
          <w:color w:val="auto"/>
        </w:rPr>
        <w:tab/>
      </w:r>
      <w:r>
        <w:rPr>
          <w:rFonts w:ascii="Arial" w:cs="Arial" w:eastAsia="Arial" w:hAnsi="Arial"/>
          <w:sz w:val="19"/>
          <w:szCs w:val="19"/>
          <w:u w:val="single" w:color="auto"/>
          <w:color w:val="auto"/>
        </w:rPr>
        <w:t>Notice of Certain Corporate Action</w:t>
      </w:r>
      <w:r>
        <w:rPr>
          <w:rFonts w:ascii="Arial" w:cs="Arial" w:eastAsia="Arial" w:hAnsi="Arial"/>
          <w:sz w:val="19"/>
          <w:szCs w:val="19"/>
          <w:color w:val="auto"/>
        </w:rPr>
        <w:t>. In case:</w:t>
      </w:r>
    </w:p>
    <w:p>
      <w:pPr>
        <w:spacing w:after="0" w:line="206" w:lineRule="exact"/>
        <w:rPr>
          <w:sz w:val="20"/>
          <w:szCs w:val="20"/>
          <w:color w:val="auto"/>
        </w:rPr>
      </w:pPr>
    </w:p>
    <w:p>
      <w:pPr>
        <w:ind w:left="660" w:right="740" w:firstLine="639"/>
        <w:spacing w:after="0" w:line="251" w:lineRule="auto"/>
        <w:tabs>
          <w:tab w:leader="none" w:pos="2006" w:val="left"/>
        </w:tabs>
        <w:numPr>
          <w:ilvl w:val="0"/>
          <w:numId w:val="203"/>
        </w:numPr>
        <w:rPr>
          <w:rFonts w:ascii="Arial" w:cs="Arial" w:eastAsia="Arial" w:hAnsi="Arial"/>
          <w:sz w:val="22"/>
          <w:szCs w:val="22"/>
          <w:color w:val="auto"/>
        </w:rPr>
      </w:pPr>
      <w:r>
        <w:rPr>
          <w:rFonts w:ascii="Arial" w:cs="Arial" w:eastAsia="Arial" w:hAnsi="Arial"/>
          <w:sz w:val="22"/>
          <w:szCs w:val="22"/>
          <w:color w:val="auto"/>
        </w:rPr>
        <w:t>the Company shall take any action that would require a Conversion Price adjustment pursuant to Section 1704 or Section 1711; or</w:t>
      </w:r>
    </w:p>
    <w:p>
      <w:pPr>
        <w:spacing w:after="0" w:line="173" w:lineRule="exact"/>
        <w:rPr>
          <w:rFonts w:ascii="Arial" w:cs="Arial" w:eastAsia="Arial" w:hAnsi="Arial"/>
          <w:sz w:val="22"/>
          <w:szCs w:val="22"/>
          <w:color w:val="auto"/>
        </w:rPr>
      </w:pPr>
    </w:p>
    <w:p>
      <w:pPr>
        <w:ind w:left="660" w:right="120" w:firstLine="639"/>
        <w:spacing w:after="0" w:line="236" w:lineRule="auto"/>
        <w:tabs>
          <w:tab w:leader="none" w:pos="2006" w:val="left"/>
        </w:tabs>
        <w:numPr>
          <w:ilvl w:val="0"/>
          <w:numId w:val="203"/>
        </w:numPr>
        <w:rPr>
          <w:rFonts w:ascii="Arial" w:cs="Arial" w:eastAsia="Arial" w:hAnsi="Arial"/>
          <w:sz w:val="22"/>
          <w:szCs w:val="22"/>
          <w:color w:val="auto"/>
        </w:rPr>
      </w:pPr>
      <w:r>
        <w:rPr>
          <w:rFonts w:ascii="Arial" w:cs="Arial" w:eastAsia="Arial" w:hAnsi="Arial"/>
          <w:sz w:val="22"/>
          <w:szCs w:val="22"/>
          <w:color w:val="auto"/>
        </w:rPr>
        <w:t>there shall occur any reclassification of the Common Stock of the Company (other than a subdivision or combination of its outstanding shares of Common Stock), or any consolidation or merger to which the Company is a party, or the sale, transfer or lease of all or substantially all of the assets of the Company and for which approval of any stockholders of the Company is required; or</w:t>
      </w:r>
    </w:p>
    <w:p>
      <w:pPr>
        <w:spacing w:after="0" w:line="187" w:lineRule="exact"/>
        <w:rPr>
          <w:rFonts w:ascii="Arial" w:cs="Arial" w:eastAsia="Arial" w:hAnsi="Arial"/>
          <w:sz w:val="22"/>
          <w:szCs w:val="22"/>
          <w:color w:val="auto"/>
        </w:rPr>
      </w:pPr>
    </w:p>
    <w:p>
      <w:pPr>
        <w:ind w:left="660" w:right="20" w:firstLine="639"/>
        <w:spacing w:after="0" w:line="273" w:lineRule="auto"/>
        <w:tabs>
          <w:tab w:leader="none" w:pos="2006" w:val="left"/>
        </w:tabs>
        <w:numPr>
          <w:ilvl w:val="0"/>
          <w:numId w:val="203"/>
        </w:numPr>
        <w:rPr>
          <w:rFonts w:ascii="Arial" w:cs="Arial" w:eastAsia="Arial" w:hAnsi="Arial"/>
          <w:sz w:val="19"/>
          <w:szCs w:val="19"/>
          <w:color w:val="auto"/>
        </w:rPr>
      </w:pPr>
      <w:r>
        <w:rPr>
          <w:rFonts w:ascii="Arial" w:cs="Arial" w:eastAsia="Arial" w:hAnsi="Arial"/>
          <w:sz w:val="19"/>
          <w:szCs w:val="19"/>
          <w:color w:val="auto"/>
        </w:rPr>
        <w:t>there shall occur the voluntary or involuntary dissolution, liquidation or winding up of the Company, then the Company shall cause to be filed at each office or agency maintained for the purpose of conversion of Securities pursuant to Section 1002, and shall cause to be mailed to all Holders at their last addresses as they shall appear in the Security Register, at least 10 days prior to the applicable record, effective or expiration date hereinafter specified, a notice stating (x) the date on which a record is to be taken for the purpose of any dividend, distribution or granting of rights, warrants or options, or, if a record is not to be taken, the date as of which the holders of Common Stock of record to be entitled to such dividend, distribution, rights, options or warrants are to be determined, or (y) the date on which such reclassification, consolidation, merger, sale, transfer, dissolution, liquidation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44" w:name="page245"/>
    <w:bookmarkEnd w:id="244"/>
    <w:p>
      <w:pPr>
        <w:ind w:left="660" w:right="300"/>
        <w:spacing w:after="0" w:line="287" w:lineRule="auto"/>
        <w:rPr>
          <w:sz w:val="20"/>
          <w:szCs w:val="20"/>
          <w:color w:val="auto"/>
        </w:rPr>
      </w:pPr>
      <w:r>
        <w:rPr>
          <w:rFonts w:ascii="Arial" w:cs="Arial" w:eastAsia="Arial" w:hAnsi="Arial"/>
          <w:sz w:val="19"/>
          <w:szCs w:val="19"/>
          <w:color w:val="auto"/>
        </w:rPr>
        <w:t>or winding up is expected to become effective, and, if applicable, the date as of which it is expected that holders of Common Stock of record shall be entitled to exchange their shares of Common Stock for securities, cash or other property deliverable upon such reclassification, consolidation, merger, sale, transfer, dissolution, liquidation or winding up.</w:t>
      </w:r>
    </w:p>
    <w:p>
      <w:pPr>
        <w:spacing w:after="0" w:line="144" w:lineRule="exact"/>
        <w:rPr>
          <w:sz w:val="20"/>
          <w:szCs w:val="20"/>
          <w:color w:val="auto"/>
        </w:rPr>
      </w:pPr>
    </w:p>
    <w:p>
      <w:pPr>
        <w:ind w:right="220" w:firstLine="648"/>
        <w:spacing w:after="0" w:line="287" w:lineRule="auto"/>
        <w:rPr>
          <w:sz w:val="20"/>
          <w:szCs w:val="20"/>
          <w:color w:val="auto"/>
        </w:rPr>
      </w:pPr>
      <w:r>
        <w:rPr>
          <w:rFonts w:ascii="Arial" w:cs="Arial" w:eastAsia="Arial" w:hAnsi="Arial"/>
          <w:sz w:val="19"/>
          <w:szCs w:val="19"/>
          <w:color w:val="auto"/>
        </w:rPr>
        <w:t xml:space="preserve">SECTION 1707. </w:t>
      </w:r>
      <w:r>
        <w:rPr>
          <w:rFonts w:ascii="Arial" w:cs="Arial" w:eastAsia="Arial" w:hAnsi="Arial"/>
          <w:sz w:val="19"/>
          <w:szCs w:val="19"/>
          <w:u w:val="single" w:color="auto"/>
          <w:color w:val="auto"/>
        </w:rPr>
        <w:t>Company to Reserve Common Stock</w:t>
      </w:r>
      <w:r>
        <w:rPr>
          <w:rFonts w:ascii="Arial" w:cs="Arial" w:eastAsia="Arial" w:hAnsi="Arial"/>
          <w:sz w:val="19"/>
          <w:szCs w:val="19"/>
          <w:color w:val="auto"/>
        </w:rPr>
        <w:t>. The Company shall at all times reserve and keep available, free from preemptive rights, out of its authorized but unissued Common Stock, for the purpose of effecting the conversion of Securities, a number of shares of Common Stock for the conversion of all outstanding Securities of any series which is convertible into Common Stock.</w:t>
      </w:r>
    </w:p>
    <w:p>
      <w:pPr>
        <w:spacing w:after="0" w:line="143" w:lineRule="exact"/>
        <w:rPr>
          <w:sz w:val="20"/>
          <w:szCs w:val="20"/>
          <w:color w:val="auto"/>
        </w:rPr>
      </w:pPr>
    </w:p>
    <w:p>
      <w:pPr>
        <w:ind w:right="40" w:firstLine="648"/>
        <w:spacing w:after="0" w:line="277" w:lineRule="auto"/>
        <w:rPr>
          <w:sz w:val="20"/>
          <w:szCs w:val="20"/>
          <w:color w:val="auto"/>
        </w:rPr>
      </w:pPr>
      <w:r>
        <w:rPr>
          <w:rFonts w:ascii="Arial" w:cs="Arial" w:eastAsia="Arial" w:hAnsi="Arial"/>
          <w:sz w:val="19"/>
          <w:szCs w:val="19"/>
          <w:color w:val="auto"/>
        </w:rPr>
        <w:t xml:space="preserve">SECTION 1708. </w:t>
      </w:r>
      <w:r>
        <w:rPr>
          <w:rFonts w:ascii="Arial" w:cs="Arial" w:eastAsia="Arial" w:hAnsi="Arial"/>
          <w:sz w:val="19"/>
          <w:szCs w:val="19"/>
          <w:u w:val="single" w:color="auto"/>
          <w:color w:val="auto"/>
        </w:rPr>
        <w:t>Taxes on Conversion</w:t>
      </w:r>
      <w:r>
        <w:rPr>
          <w:rFonts w:ascii="Arial" w:cs="Arial" w:eastAsia="Arial" w:hAnsi="Arial"/>
          <w:sz w:val="19"/>
          <w:szCs w:val="19"/>
          <w:color w:val="auto"/>
        </w:rPr>
        <w:t>. The Company will pay any and all taxes that may be payable in respect of the issue or delivery of shares of Common Stock on conversion of Securities pursuant hereto. The Company shall not, however, be required to pay any tax which may be payable in respect of any transfer involved in the issue and delivery of shares of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53"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 xml:space="preserve">SECTION 1709. </w:t>
      </w:r>
      <w:r>
        <w:rPr>
          <w:rFonts w:ascii="Arial" w:cs="Arial" w:eastAsia="Arial" w:hAnsi="Arial"/>
          <w:sz w:val="19"/>
          <w:szCs w:val="19"/>
          <w:u w:val="single" w:color="auto"/>
          <w:color w:val="auto"/>
        </w:rPr>
        <w:t>Covenants as to Common Stock.</w:t>
      </w:r>
      <w:r>
        <w:rPr>
          <w:rFonts w:ascii="Arial" w:cs="Arial" w:eastAsia="Arial" w:hAnsi="Arial"/>
          <w:sz w:val="19"/>
          <w:szCs w:val="19"/>
          <w:color w:val="auto"/>
        </w:rPr>
        <w:t xml:space="preserve"> The Company covenants that all shares of Common Stock which may be issued upon conversion of Securities will upon issue be duly and validly issued, fully paid and nonassessable, free of preemptive or any similar rights, and, except as provided in Section 1708, the Company will pay all taxes, liens and charges with respect to the issue thereof.</w:t>
      </w:r>
    </w:p>
    <w:p>
      <w:pPr>
        <w:spacing w:after="0" w:line="143" w:lineRule="exact"/>
        <w:rPr>
          <w:sz w:val="20"/>
          <w:szCs w:val="20"/>
          <w:color w:val="auto"/>
        </w:rPr>
      </w:pPr>
    </w:p>
    <w:p>
      <w:pPr>
        <w:ind w:right="160" w:firstLine="648"/>
        <w:spacing w:after="0" w:line="236" w:lineRule="auto"/>
        <w:rPr>
          <w:sz w:val="20"/>
          <w:szCs w:val="20"/>
          <w:color w:val="auto"/>
        </w:rPr>
      </w:pPr>
      <w:r>
        <w:rPr>
          <w:rFonts w:ascii="Arial" w:cs="Arial" w:eastAsia="Arial" w:hAnsi="Arial"/>
          <w:sz w:val="22"/>
          <w:szCs w:val="22"/>
          <w:color w:val="auto"/>
        </w:rPr>
        <w:t>The Company will endeavor promptly to comply with all Federal and state securities laws regulating the offer and delivery of shares of Common Stock upon conversion of Securities, if any, and will list or cause to have quoted such shares of Common Stock on each national securities exchange or in the over-the-counter market or such other market on which the Common Stock is then listed or quoted.</w:t>
      </w:r>
    </w:p>
    <w:p>
      <w:pPr>
        <w:spacing w:after="0" w:line="188" w:lineRule="exact"/>
        <w:rPr>
          <w:sz w:val="20"/>
          <w:szCs w:val="20"/>
          <w:color w:val="auto"/>
        </w:rPr>
      </w:pPr>
    </w:p>
    <w:p>
      <w:pPr>
        <w:ind w:right="220" w:firstLine="648"/>
        <w:spacing w:after="0"/>
        <w:rPr>
          <w:sz w:val="20"/>
          <w:szCs w:val="20"/>
          <w:color w:val="auto"/>
        </w:rPr>
      </w:pPr>
      <w:r>
        <w:rPr>
          <w:rFonts w:ascii="Arial" w:cs="Arial" w:eastAsia="Arial" w:hAnsi="Arial"/>
          <w:sz w:val="22"/>
          <w:szCs w:val="22"/>
          <w:color w:val="auto"/>
        </w:rPr>
        <w:t xml:space="preserve">SECTION 1710. </w:t>
      </w:r>
      <w:r>
        <w:rPr>
          <w:rFonts w:ascii="Arial" w:cs="Arial" w:eastAsia="Arial" w:hAnsi="Arial"/>
          <w:sz w:val="22"/>
          <w:szCs w:val="22"/>
          <w:u w:val="single" w:color="auto"/>
          <w:color w:val="auto"/>
        </w:rPr>
        <w:t>Cancellation of Converted Securities</w:t>
      </w:r>
      <w:r>
        <w:rPr>
          <w:rFonts w:ascii="Arial" w:cs="Arial" w:eastAsia="Arial" w:hAnsi="Arial"/>
          <w:sz w:val="22"/>
          <w:szCs w:val="22"/>
          <w:color w:val="auto"/>
        </w:rPr>
        <w:t>. All Securities delivered for conversion shall be delivered to the Trustee to be cancelled by or at the direction of the Trustee, which shall dispose of the same as provided in Section 309.</w:t>
      </w:r>
    </w:p>
    <w:p>
      <w:pPr>
        <w:spacing w:after="0" w:line="186"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SECTION 1711. </w:t>
      </w:r>
      <w:r>
        <w:rPr>
          <w:rFonts w:ascii="Arial" w:cs="Arial" w:eastAsia="Arial" w:hAnsi="Arial"/>
          <w:sz w:val="19"/>
          <w:szCs w:val="19"/>
          <w:u w:val="single" w:color="auto"/>
          <w:color w:val="auto"/>
        </w:rPr>
        <w:t>Provisions in Case of Consolidation, Merger or Sale of Assets; Special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Distributions</w:t>
      </w:r>
      <w:r>
        <w:rPr>
          <w:rFonts w:ascii="Arial" w:cs="Arial" w:eastAsia="Arial" w:hAnsi="Arial"/>
          <w:sz w:val="19"/>
          <w:szCs w:val="19"/>
          <w:color w:val="auto"/>
        </w:rPr>
        <w:t>. If any of the following shall occur, namely: (i) any reclassification or change of outstanding shares of Common Stock issuable upon conversion of Securities (other than a change in par value, or from par value to no par value, or from no par value to par value, or as a result of a subdivision or combination), (ii) any consolidation or merger to which the Company is a party other than a merger in which the Company is the continuing corporation and which does not result in any reclassification of, or change (other than a change in name, or par value, or from par value to no par value, or from no par value to par value or as a result of a subdivision or combination) in, outstanding shares of Common Stock or (iii) any sale or conveyance of all or substantially all of the property or business of the Company as an entirety, then the Person formed by such consolidation or resulting from such merger or which acquires such properties or assets, as the case may be, shall as a condition precedent to such transaction execute and deliver to the Trustee a supplemental indenture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45" w:name="page246"/>
    <w:bookmarkEnd w:id="245"/>
    <w:p>
      <w:pPr>
        <w:ind w:right="20"/>
        <w:spacing w:after="0" w:line="246" w:lineRule="auto"/>
        <w:rPr>
          <w:sz w:val="20"/>
          <w:szCs w:val="20"/>
          <w:color w:val="auto"/>
        </w:rPr>
      </w:pPr>
      <w:r>
        <w:rPr>
          <w:rFonts w:ascii="Arial" w:cs="Arial" w:eastAsia="Arial" w:hAnsi="Arial"/>
          <w:sz w:val="21"/>
          <w:szCs w:val="21"/>
          <w:color w:val="auto"/>
        </w:rPr>
        <w:t>providing that the Holder of each Security then outstanding shall have the right thereafter, during the period such Security shall be convertible as specified in Section 1701, to convert such Security only into the kind and amount of securities, cash and other property receivable, if any, upon such consolidation, merger, sale, transfer or lease by a holder of the number of shares of Common Stock of the Company into which such Security might have been converted immediately prior to such consolidation, merger, sale, transfer or lease; provided that the kind and amount of securities, cash and other property so receivable shall be determined on the basis of the following assumptions. The holder of Common Stock referred to in the foregoing sentence:</w:t>
      </w:r>
    </w:p>
    <w:p>
      <w:pPr>
        <w:spacing w:after="0" w:line="181" w:lineRule="exact"/>
        <w:rPr>
          <w:sz w:val="20"/>
          <w:szCs w:val="20"/>
          <w:color w:val="auto"/>
        </w:rPr>
      </w:pPr>
    </w:p>
    <w:p>
      <w:pPr>
        <w:ind w:left="660" w:right="40" w:firstLine="639"/>
        <w:spacing w:after="0" w:line="287" w:lineRule="auto"/>
        <w:tabs>
          <w:tab w:leader="none" w:pos="2006" w:val="left"/>
        </w:tabs>
        <w:numPr>
          <w:ilvl w:val="0"/>
          <w:numId w:val="204"/>
        </w:numPr>
        <w:rPr>
          <w:rFonts w:ascii="Arial" w:cs="Arial" w:eastAsia="Arial" w:hAnsi="Arial"/>
          <w:sz w:val="19"/>
          <w:szCs w:val="19"/>
          <w:color w:val="auto"/>
        </w:rPr>
      </w:pPr>
      <w:r>
        <w:rPr>
          <w:rFonts w:ascii="Arial" w:cs="Arial" w:eastAsia="Arial" w:hAnsi="Arial"/>
          <w:sz w:val="19"/>
          <w:szCs w:val="19"/>
          <w:color w:val="auto"/>
        </w:rPr>
        <w:t>is not (a) a Person with which the Company consolidated, (b) a Person into which the Company merged or which merged into the Company, or (c) a Person to which such sale, transfer or lease was made (any Person described in the foregoing clauses (a), (b), or (c), hereinafter referred to as a “Constituent Person”), or (d) an Affiliate of a Constituent Person; and</w:t>
      </w:r>
    </w:p>
    <w:p>
      <w:pPr>
        <w:spacing w:after="0" w:line="143" w:lineRule="exact"/>
        <w:rPr>
          <w:rFonts w:ascii="Arial" w:cs="Arial" w:eastAsia="Arial" w:hAnsi="Arial"/>
          <w:sz w:val="19"/>
          <w:szCs w:val="19"/>
          <w:color w:val="auto"/>
        </w:rPr>
      </w:pPr>
    </w:p>
    <w:p>
      <w:pPr>
        <w:ind w:left="660" w:right="20" w:firstLine="639"/>
        <w:spacing w:after="0" w:line="275" w:lineRule="auto"/>
        <w:tabs>
          <w:tab w:leader="none" w:pos="2006" w:val="left"/>
        </w:tabs>
        <w:numPr>
          <w:ilvl w:val="0"/>
          <w:numId w:val="204"/>
        </w:numPr>
        <w:rPr>
          <w:rFonts w:ascii="Arial" w:cs="Arial" w:eastAsia="Arial" w:hAnsi="Arial"/>
          <w:sz w:val="19"/>
          <w:szCs w:val="19"/>
          <w:color w:val="auto"/>
        </w:rPr>
      </w:pPr>
      <w:r>
        <w:rPr>
          <w:rFonts w:ascii="Arial" w:cs="Arial" w:eastAsia="Arial" w:hAnsi="Arial"/>
          <w:sz w:val="19"/>
          <w:szCs w:val="19"/>
          <w:color w:val="auto"/>
        </w:rPr>
        <w:t>failed to exercise his rights of election, if any, as to the kind or amount of securities, cash and other property receivable upon such consolidation, merger, sale, transfer or lease (provided that if the kind or amount of securities, cash and other property receivable upon such consolidation, merger, sale transfer or lease is not the same for each share of Common Stock of the Company in respect of which such rights of election shall not have been exercised, then for the purpose of this Section 1711 the kind and amount of securities, cash and other property receivable upon such consolidation, merger, sale, transfer or lease shall be deemed to be the kind and amount so receivable per share by a plurality of such shares of Common Stock).</w:t>
      </w:r>
    </w:p>
    <w:p>
      <w:pPr>
        <w:spacing w:after="0" w:line="158"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Such supplemental indenture shall provide for adjustments which, for events subsequent to the effective date of such supplemental indenture, shall be as nearly equivalent as may be practicable to the adjustments provided for in this Article Seventeen. If, in the case of any such consolidation, merger, sale transfer or lease the stock or other securities and property (including cash) receivable thereupon by a holder of Common Stock includes shares of stock or other securities and property of a corporation other than the successor or purchasing corporation, as the case may be, in such consolidation, merger, sale, transfer or lease then such supplemental indenture shall also be executed by such other corporation and shall contain such additional provisions to protect the interests of the Holders of the Securities as the Board of Directors of the Company shall reasonably consider necessary by reason of the foregoing. The above provisions of this Section 1711 shall similarly apply to successive consolidations, mergers, sales, transfers or leases.</w:t>
      </w:r>
    </w:p>
    <w:p>
      <w:pPr>
        <w:spacing w:after="0" w:line="156" w:lineRule="exact"/>
        <w:rPr>
          <w:sz w:val="20"/>
          <w:szCs w:val="20"/>
          <w:color w:val="auto"/>
        </w:rPr>
      </w:pPr>
    </w:p>
    <w:p>
      <w:pPr>
        <w:ind w:right="120" w:firstLine="648"/>
        <w:spacing w:after="0" w:line="282" w:lineRule="auto"/>
        <w:rPr>
          <w:sz w:val="20"/>
          <w:szCs w:val="20"/>
          <w:color w:val="auto"/>
        </w:rPr>
      </w:pPr>
      <w:r>
        <w:rPr>
          <w:rFonts w:ascii="Arial" w:cs="Arial" w:eastAsia="Arial" w:hAnsi="Arial"/>
          <w:sz w:val="19"/>
          <w:szCs w:val="19"/>
          <w:color w:val="auto"/>
        </w:rPr>
        <w:t>In the event the Company shall execute a supplemental indenture pursuant to this Section 1711, the Company shall promptly file with the Trustee an Officers’ Certificate briefly stating the reasons therefor, the kind or amount of shares of stock or securities or property (including cash) receivable by Holders of the Securities upon the conversion of their Securities after any such reclassification, change, consolidation, merger, sale, transfer or lease and any adjustment to be made with respect thereto.</w:t>
      </w:r>
    </w:p>
    <w:p>
      <w:pPr>
        <w:spacing w:after="0" w:line="148" w:lineRule="exact"/>
        <w:rPr>
          <w:sz w:val="20"/>
          <w:szCs w:val="20"/>
          <w:color w:val="auto"/>
        </w:rPr>
      </w:pPr>
    </w:p>
    <w:p>
      <w:pPr>
        <w:ind w:right="160" w:firstLine="648"/>
        <w:spacing w:after="0" w:line="287" w:lineRule="auto"/>
        <w:rPr>
          <w:sz w:val="20"/>
          <w:szCs w:val="20"/>
          <w:color w:val="auto"/>
        </w:rPr>
      </w:pPr>
      <w:r>
        <w:rPr>
          <w:rFonts w:ascii="Arial" w:cs="Arial" w:eastAsia="Arial" w:hAnsi="Arial"/>
          <w:sz w:val="19"/>
          <w:szCs w:val="19"/>
          <w:color w:val="auto"/>
        </w:rPr>
        <w:t>If the Company makes a distribution to all holders of its Common Stock that constitutes an Unadjusted Distribution pursuant to the last sentence of paragraph (4) of Section 1704, then, from and after the record date for determining the holders of Common Stock entitled to receive such distribution (the “Distribution Record Date”), a Holder of a Security who converts such Security 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46" w:name="page247"/>
    <w:bookmarkEnd w:id="246"/>
    <w:p>
      <w:pPr>
        <w:ind w:right="140"/>
        <w:spacing w:after="0" w:line="282" w:lineRule="auto"/>
        <w:rPr>
          <w:sz w:val="20"/>
          <w:szCs w:val="20"/>
          <w:color w:val="auto"/>
        </w:rPr>
      </w:pPr>
      <w:r>
        <w:rPr>
          <w:rFonts w:ascii="Arial" w:cs="Arial" w:eastAsia="Arial" w:hAnsi="Arial"/>
          <w:sz w:val="19"/>
          <w:szCs w:val="19"/>
          <w:color w:val="auto"/>
        </w:rPr>
        <w:t>accordance with the provisions of this Indenture shall, upon conversion, be entitled to receive, in addition to the shares of Common Stock into which the Security is convertible, the kind and amount of evidences of indebtedness, shares of Capital Stock, or other assets or subscription rights or warrants, as the case may be, comprising the distribution that such Holder would have received if such Holder had converted the Security immediately prior to the Distribution Record Date.</w:t>
      </w:r>
    </w:p>
    <w:p>
      <w:pPr>
        <w:spacing w:after="0" w:line="148" w:lineRule="exact"/>
        <w:rPr>
          <w:sz w:val="20"/>
          <w:szCs w:val="20"/>
          <w:color w:val="auto"/>
        </w:rPr>
      </w:pPr>
    </w:p>
    <w:p>
      <w:pPr>
        <w:ind w:right="40" w:firstLine="648"/>
        <w:spacing w:after="0" w:line="245" w:lineRule="auto"/>
        <w:rPr>
          <w:sz w:val="20"/>
          <w:szCs w:val="20"/>
          <w:color w:val="auto"/>
        </w:rPr>
      </w:pPr>
      <w:r>
        <w:rPr>
          <w:rFonts w:ascii="Arial" w:cs="Arial" w:eastAsia="Arial" w:hAnsi="Arial"/>
          <w:sz w:val="21"/>
          <w:szCs w:val="21"/>
          <w:color w:val="auto"/>
        </w:rPr>
        <w:t xml:space="preserve">SECTION 1712. </w:t>
      </w:r>
      <w:r>
        <w:rPr>
          <w:rFonts w:ascii="Arial" w:cs="Arial" w:eastAsia="Arial" w:hAnsi="Arial"/>
          <w:sz w:val="21"/>
          <w:szCs w:val="21"/>
          <w:u w:val="single" w:color="auto"/>
          <w:color w:val="auto"/>
        </w:rPr>
        <w:t>Trustee Adjustment Disclaimer; Company Determination Final.</w:t>
      </w:r>
      <w:r>
        <w:rPr>
          <w:rFonts w:ascii="Arial" w:cs="Arial" w:eastAsia="Arial" w:hAnsi="Arial"/>
          <w:sz w:val="21"/>
          <w:szCs w:val="21"/>
          <w:color w:val="auto"/>
        </w:rPr>
        <w:t xml:space="preserve"> The Trustee has no duty to determine when an adjustment under this Article Seventeen should be made, how it should be made or what it should be. The Trustee has no duty to determine whether a supplemental indenture under Section 1711 need be entered into or whether any provisions of any supplemental indenture are correct. The Trustee shall not be accountable for and makes no representation as to the validity or value of any securities or assets issued upon conversion of Securities. The Trustee shall not be responsible for the Company’s failure to comply with this Article Seventeen. Any determination that the Company or the Board of Directors must make pursuant to this Article Seventeen is conclusive, absent manifest error.</w:t>
      </w:r>
    </w:p>
    <w:p>
      <w:pPr>
        <w:spacing w:after="0" w:line="185"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 xml:space="preserve">SECTION 1713. </w:t>
      </w:r>
      <w:r>
        <w:rPr>
          <w:rFonts w:ascii="Arial" w:cs="Arial" w:eastAsia="Arial" w:hAnsi="Arial"/>
          <w:sz w:val="22"/>
          <w:szCs w:val="22"/>
          <w:u w:val="single" w:color="auto"/>
          <w:color w:val="auto"/>
        </w:rPr>
        <w:t>When No Adjustment Required.</w:t>
      </w:r>
      <w:r>
        <w:rPr>
          <w:rFonts w:ascii="Arial" w:cs="Arial" w:eastAsia="Arial" w:hAnsi="Arial"/>
          <w:sz w:val="22"/>
          <w:szCs w:val="22"/>
          <w:color w:val="auto"/>
        </w:rPr>
        <w:t xml:space="preserve"> Except as expressly set forth in Section 1704, no adjustment in the Conversion Price shall be made because the Company issues, in exchange for cash, property or services, shares of its Common Stock, or any securities convertible into or exchangeable for shares of its Common Stock, or securities (including warrants, rights and options) carrying the right to subscribe for or purchase shares of its Common Stock or such convertible or exchangeable securities.</w:t>
      </w:r>
    </w:p>
    <w:p>
      <w:pPr>
        <w:spacing w:after="0" w:line="188" w:lineRule="exact"/>
        <w:rPr>
          <w:sz w:val="20"/>
          <w:szCs w:val="20"/>
          <w:color w:val="auto"/>
        </w:rPr>
      </w:pPr>
    </w:p>
    <w:p>
      <w:pPr>
        <w:ind w:left="660" w:right="80" w:firstLine="639"/>
        <w:spacing w:after="0" w:line="235" w:lineRule="auto"/>
        <w:tabs>
          <w:tab w:leader="none" w:pos="2006" w:val="left"/>
        </w:tabs>
        <w:numPr>
          <w:ilvl w:val="0"/>
          <w:numId w:val="205"/>
        </w:numPr>
        <w:rPr>
          <w:rFonts w:ascii="Arial" w:cs="Arial" w:eastAsia="Arial" w:hAnsi="Arial"/>
          <w:sz w:val="22"/>
          <w:szCs w:val="22"/>
          <w:color w:val="auto"/>
        </w:rPr>
      </w:pPr>
      <w:r>
        <w:rPr>
          <w:rFonts w:ascii="Arial" w:cs="Arial" w:eastAsia="Arial" w:hAnsi="Arial"/>
          <w:sz w:val="22"/>
          <w:szCs w:val="22"/>
          <w:color w:val="auto"/>
        </w:rPr>
        <w:t>Notwithstanding anything herein to the contrary, no adjustment in the Conversion Price shall be made pursuant to Section 1704 in respect of any dividend or distribution if the Holders may participate therein (on a basis to be determined in good faith by the Board of Directors) and receive the same consideration they would have received if they had converted the Securities immediately prior to the record date with respect to such dividend or distribution.</w:t>
      </w:r>
    </w:p>
    <w:p>
      <w:pPr>
        <w:spacing w:after="0" w:line="188" w:lineRule="exact"/>
        <w:rPr>
          <w:sz w:val="20"/>
          <w:szCs w:val="20"/>
          <w:color w:val="auto"/>
        </w:rPr>
      </w:pPr>
    </w:p>
    <w:p>
      <w:pPr>
        <w:ind w:right="200" w:firstLine="648"/>
        <w:spacing w:after="0" w:line="234" w:lineRule="auto"/>
        <w:rPr>
          <w:sz w:val="20"/>
          <w:szCs w:val="20"/>
          <w:color w:val="auto"/>
        </w:rPr>
      </w:pPr>
      <w:r>
        <w:rPr>
          <w:rFonts w:ascii="Arial" w:cs="Arial" w:eastAsia="Arial" w:hAnsi="Arial"/>
          <w:sz w:val="22"/>
          <w:szCs w:val="22"/>
          <w:color w:val="auto"/>
        </w:rPr>
        <w:t xml:space="preserve">SECTION 1714. </w:t>
      </w:r>
      <w:r>
        <w:rPr>
          <w:rFonts w:ascii="Arial" w:cs="Arial" w:eastAsia="Arial" w:hAnsi="Arial"/>
          <w:sz w:val="22"/>
          <w:szCs w:val="22"/>
          <w:u w:val="single" w:color="auto"/>
          <w:color w:val="auto"/>
        </w:rPr>
        <w:t>Equivalent Adjustments</w:t>
      </w:r>
      <w:r>
        <w:rPr>
          <w:rFonts w:ascii="Arial" w:cs="Arial" w:eastAsia="Arial" w:hAnsi="Arial"/>
          <w:sz w:val="22"/>
          <w:szCs w:val="22"/>
          <w:color w:val="auto"/>
        </w:rPr>
        <w:t>. In the event that, as a result of an adjustment made pursuant to Section 1704 above, the holder of any Security thereafter surrendered for conversion shall become entitled to receive any shares of Capital Stock of the Company other than shares of its Common Stock, thereafter the Conversion Price of such other shares so receivable upon conversion of any Securities shall be subject to adjustment from time to time in a manner and on terms as nearly equivalent as practicable to the provisions with respect to Common Stock contained in this Article Seventeen.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47" w:name="page248"/>
    <w:bookmarkEnd w:id="247"/>
    <w:p>
      <w:pPr>
        <w:ind w:right="160" w:firstLine="648"/>
        <w:spacing w:after="0" w:line="251" w:lineRule="auto"/>
        <w:rPr>
          <w:sz w:val="20"/>
          <w:szCs w:val="20"/>
          <w:color w:val="auto"/>
        </w:rPr>
      </w:pPr>
      <w:r>
        <w:rPr>
          <w:rFonts w:ascii="Arial" w:cs="Arial" w:eastAsia="Arial" w:hAnsi="Arial"/>
          <w:sz w:val="22"/>
          <w:szCs w:val="22"/>
          <w:color w:val="auto"/>
        </w:rPr>
        <w:t>IN WITNESS WHEREOF, the parties hereto have caused this Indenture to be duly executed all as of the day and year first above written.</w:t>
      </w:r>
    </w:p>
    <w:p>
      <w:pPr>
        <w:spacing w:after="0" w:line="174"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BLUEPRINT MEDICINES</w:t>
      </w:r>
    </w:p>
    <w:p>
      <w:pPr>
        <w:spacing w:after="0" w:line="8"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CORPORATION</w:t>
      </w:r>
    </w:p>
    <w:p>
      <w:pPr>
        <w:spacing w:after="0" w:line="215"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By:</w:t>
      </w:r>
    </w:p>
    <w:p>
      <w:pPr>
        <w:spacing w:after="0" w:line="12" w:lineRule="exact"/>
        <w:rPr>
          <w:sz w:val="20"/>
          <w:szCs w:val="20"/>
          <w:color w:val="auto"/>
        </w:rPr>
      </w:pPr>
    </w:p>
    <w:tbl>
      <w:tblPr>
        <w:tblLayout w:type="fixed"/>
        <w:tblInd w:w="4560" w:type="dxa"/>
        <w:tblCellMar>
          <w:top w:w="0" w:type="dxa"/>
          <w:left w:w="0" w:type="dxa"/>
          <w:bottom w:w="0" w:type="dxa"/>
          <w:right w:w="0" w:type="dxa"/>
        </w:tblCellMar>
      </w:tblPr>
      <w:tr>
        <w:trPr>
          <w:trHeight w:val="215"/>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tcBorders>
              <w:top w:val="single" w:sz="8" w:color="auto"/>
            </w:tcBorders>
            <w:gridSpan w:val="2"/>
          </w:tcPr>
          <w:p>
            <w:pPr>
              <w:spacing w:after="0" w:line="216" w:lineRule="exact"/>
              <w:rPr>
                <w:sz w:val="20"/>
                <w:szCs w:val="20"/>
                <w:color w:val="auto"/>
              </w:rPr>
            </w:pPr>
            <w:r>
              <w:rPr>
                <w:rFonts w:ascii="Arial" w:cs="Arial" w:eastAsia="Arial" w:hAnsi="Arial"/>
                <w:sz w:val="22"/>
                <w:szCs w:val="22"/>
                <w:color w:val="auto"/>
              </w:rPr>
              <w:t>Name:</w:t>
            </w:r>
          </w:p>
        </w:tc>
        <w:tc>
          <w:tcPr>
            <w:tcW w:w="1940" w:type="dxa"/>
            <w:vAlign w:val="bottom"/>
            <w:tcBorders>
              <w:top w:val="single" w:sz="8" w:color="auto"/>
            </w:tcBorders>
          </w:tcPr>
          <w:p>
            <w:pPr>
              <w:spacing w:after="0"/>
              <w:rPr>
                <w:sz w:val="18"/>
                <w:szCs w:val="18"/>
                <w:color w:val="auto"/>
              </w:rPr>
            </w:pPr>
          </w:p>
        </w:tc>
      </w:tr>
      <w:tr>
        <w:trPr>
          <w:trHeight w:val="27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140" w:type="dxa"/>
            <w:vAlign w:val="bottom"/>
            <w:gridSpan w:val="2"/>
          </w:tcPr>
          <w:p>
            <w:pPr>
              <w:spacing w:after="0"/>
              <w:rPr>
                <w:sz w:val="20"/>
                <w:szCs w:val="20"/>
                <w:color w:val="auto"/>
              </w:rPr>
            </w:pPr>
            <w:r>
              <w:rPr>
                <w:rFonts w:ascii="Arial" w:cs="Arial" w:eastAsia="Arial" w:hAnsi="Arial"/>
                <w:sz w:val="22"/>
                <w:szCs w:val="22"/>
                <w:color w:val="auto"/>
              </w:rPr>
              <w:t>Title:</w:t>
            </w:r>
          </w:p>
        </w:tc>
        <w:tc>
          <w:tcPr>
            <w:tcW w:w="1940" w:type="dxa"/>
            <w:vAlign w:val="bottom"/>
          </w:tcPr>
          <w:p>
            <w:pPr>
              <w:spacing w:after="0"/>
              <w:rPr>
                <w:sz w:val="23"/>
                <w:szCs w:val="23"/>
                <w:color w:val="auto"/>
              </w:rPr>
            </w:pPr>
          </w:p>
        </w:tc>
      </w:tr>
      <w:tr>
        <w:trPr>
          <w:trHeight w:val="436"/>
        </w:trPr>
        <w:tc>
          <w:tcPr>
            <w:tcW w:w="60" w:type="dxa"/>
            <w:vAlign w:val="bottom"/>
          </w:tcPr>
          <w:p>
            <w:pPr>
              <w:spacing w:after="0"/>
              <w:rPr>
                <w:sz w:val="20"/>
                <w:szCs w:val="20"/>
                <w:color w:val="auto"/>
              </w:rPr>
            </w:pPr>
            <w:r>
              <w:rPr>
                <w:rFonts w:ascii="Arial" w:cs="Arial" w:eastAsia="Arial" w:hAnsi="Arial"/>
                <w:sz w:val="19"/>
                <w:szCs w:val="19"/>
                <w:color w:val="auto"/>
                <w:w w:val="74"/>
              </w:rPr>
              <w:t>[</w:t>
            </w: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940" w:type="dxa"/>
            <w:vAlign w:val="bottom"/>
          </w:tcPr>
          <w:p>
            <w:pPr>
              <w:jc w:val="right"/>
              <w:ind w:right="1712"/>
              <w:spacing w:after="0"/>
              <w:rPr>
                <w:sz w:val="20"/>
                <w:szCs w:val="20"/>
                <w:color w:val="auto"/>
              </w:rPr>
            </w:pPr>
            <w:r>
              <w:rPr>
                <w:rFonts w:ascii="Arial" w:cs="Arial" w:eastAsia="Arial" w:hAnsi="Arial"/>
                <w:sz w:val="22"/>
                <w:szCs w:val="22"/>
                <w:color w:val="auto"/>
                <w:w w:val="81"/>
              </w:rPr>
              <w:t>],</w:t>
            </w:r>
          </w:p>
        </w:tc>
      </w:tr>
      <w:tr>
        <w:trPr>
          <w:trHeight w:val="274"/>
        </w:trPr>
        <w:tc>
          <w:tcPr>
            <w:tcW w:w="2560" w:type="dxa"/>
            <w:vAlign w:val="bottom"/>
            <w:gridSpan w:val="4"/>
          </w:tcPr>
          <w:p>
            <w:pPr>
              <w:spacing w:after="0"/>
              <w:rPr>
                <w:sz w:val="20"/>
                <w:szCs w:val="20"/>
                <w:color w:val="auto"/>
              </w:rPr>
            </w:pPr>
            <w:r>
              <w:rPr>
                <w:rFonts w:ascii="Arial" w:cs="Arial" w:eastAsia="Arial" w:hAnsi="Arial"/>
                <w:sz w:val="22"/>
                <w:szCs w:val="22"/>
                <w:color w:val="auto"/>
              </w:rPr>
              <w:t>as Trustee</w:t>
            </w:r>
          </w:p>
        </w:tc>
        <w:tc>
          <w:tcPr>
            <w:tcW w:w="1940" w:type="dxa"/>
            <w:vAlign w:val="bottom"/>
          </w:tcPr>
          <w:p>
            <w:pPr>
              <w:spacing w:after="0"/>
              <w:rPr>
                <w:sz w:val="23"/>
                <w:szCs w:val="23"/>
                <w:color w:val="auto"/>
              </w:rPr>
            </w:pPr>
          </w:p>
        </w:tc>
      </w:tr>
      <w:tr>
        <w:trPr>
          <w:trHeight w:val="476"/>
        </w:trPr>
        <w:tc>
          <w:tcPr>
            <w:tcW w:w="2560" w:type="dxa"/>
            <w:vAlign w:val="bottom"/>
            <w:gridSpan w:val="4"/>
          </w:tcPr>
          <w:p>
            <w:pPr>
              <w:spacing w:after="0"/>
              <w:rPr>
                <w:sz w:val="20"/>
                <w:szCs w:val="20"/>
                <w:color w:val="auto"/>
              </w:rPr>
            </w:pPr>
            <w:r>
              <w:rPr>
                <w:rFonts w:ascii="Arial" w:cs="Arial" w:eastAsia="Arial" w:hAnsi="Arial"/>
                <w:sz w:val="22"/>
                <w:szCs w:val="22"/>
                <w:color w:val="auto"/>
              </w:rPr>
              <w:t>By:</w:t>
            </w:r>
          </w:p>
        </w:tc>
        <w:tc>
          <w:tcPr>
            <w:tcW w:w="1940" w:type="dxa"/>
            <w:vAlign w:val="bottom"/>
          </w:tcPr>
          <w:p>
            <w:pPr>
              <w:spacing w:after="0"/>
              <w:rPr>
                <w:sz w:val="24"/>
                <w:szCs w:val="24"/>
                <w:color w:val="auto"/>
              </w:rPr>
            </w:pPr>
          </w:p>
        </w:tc>
      </w:tr>
      <w:tr>
        <w:trPr>
          <w:trHeight w:val="215"/>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1940" w:type="dxa"/>
            <w:vAlign w:val="bottom"/>
            <w:tcBorders>
              <w:top w:val="single" w:sz="8" w:color="auto"/>
            </w:tcBorders>
          </w:tcPr>
          <w:p>
            <w:pPr>
              <w:spacing w:after="0"/>
              <w:rPr>
                <w:sz w:val="18"/>
                <w:szCs w:val="18"/>
                <w:color w:val="auto"/>
              </w:rPr>
            </w:pPr>
          </w:p>
        </w:tc>
      </w:tr>
      <w:tr>
        <w:trPr>
          <w:trHeight w:val="27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140" w:type="dxa"/>
            <w:vAlign w:val="bottom"/>
            <w:gridSpan w:val="2"/>
          </w:tcPr>
          <w:p>
            <w:pPr>
              <w:spacing w:after="0"/>
              <w:rPr>
                <w:sz w:val="20"/>
                <w:szCs w:val="20"/>
                <w:color w:val="auto"/>
              </w:rPr>
            </w:pPr>
            <w:r>
              <w:rPr>
                <w:rFonts w:ascii="Arial" w:cs="Arial" w:eastAsia="Arial" w:hAnsi="Arial"/>
                <w:sz w:val="22"/>
                <w:szCs w:val="22"/>
                <w:color w:val="auto"/>
              </w:rPr>
              <w:t>Title:</w:t>
            </w:r>
          </w:p>
        </w:tc>
        <w:tc>
          <w:tcPr>
            <w:tcW w:w="19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48" w:name="page249"/>
    <w:bookmarkEnd w:id="248"/>
    <w:p>
      <w:pPr>
        <w:jc w:val="center"/>
        <w:spacing w:after="0"/>
        <w:rPr>
          <w:sz w:val="20"/>
          <w:szCs w:val="20"/>
          <w:color w:val="auto"/>
        </w:rPr>
      </w:pPr>
      <w:r>
        <w:rPr>
          <w:rFonts w:ascii="Arial" w:cs="Arial" w:eastAsia="Arial" w:hAnsi="Arial"/>
          <w:sz w:val="22"/>
          <w:szCs w:val="22"/>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REDEEMABLE OR NON-REDEEMABLE SUBORDINATED SECURITY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[Face of Security]</w:t>
      </w:r>
    </w:p>
    <w:p>
      <w:pPr>
        <w:spacing w:after="0" w:line="206" w:lineRule="exact"/>
        <w:rPr>
          <w:sz w:val="20"/>
          <w:szCs w:val="20"/>
          <w:color w:val="auto"/>
        </w:rPr>
      </w:pPr>
    </w:p>
    <w:p>
      <w:pPr>
        <w:ind w:right="480"/>
        <w:spacing w:after="0" w:line="274" w:lineRule="auto"/>
        <w:rPr>
          <w:sz w:val="20"/>
          <w:szCs w:val="20"/>
          <w:color w:val="auto"/>
        </w:rPr>
      </w:pPr>
      <w:r>
        <w:rPr>
          <w:rFonts w:ascii="Arial" w:cs="Arial" w:eastAsia="Arial" w:hAnsi="Arial"/>
          <w:sz w:val="21"/>
          <w:szCs w:val="21"/>
          <w:color w:val="auto"/>
        </w:rPr>
        <w:t>[If the Holder of this Security (as indicated below) is The Depository Trust Company (“DTC”) or a nominee of DTC, this Security is a Global Security and the following two legends apply:</w:t>
      </w:r>
    </w:p>
    <w:p>
      <w:pPr>
        <w:spacing w:after="0" w:line="145" w:lineRule="exact"/>
        <w:rPr>
          <w:sz w:val="20"/>
          <w:szCs w:val="20"/>
          <w:color w:val="auto"/>
        </w:rPr>
      </w:pPr>
    </w:p>
    <w:p>
      <w:pPr>
        <w:spacing w:after="0" w:line="247" w:lineRule="auto"/>
        <w:rPr>
          <w:sz w:val="20"/>
          <w:szCs w:val="20"/>
          <w:color w:val="auto"/>
        </w:rPr>
      </w:pPr>
      <w:r>
        <w:rPr>
          <w:rFonts w:ascii="Arial" w:cs="Arial" w:eastAsia="Arial" w:hAnsi="Arial"/>
          <w:sz w:val="21"/>
          <w:szCs w:val="21"/>
          <w:b w:val="1"/>
          <w:bCs w:val="1"/>
          <w:color w:val="auto"/>
        </w:rPr>
        <w:t>Unless this Security is presented by an authorized representative of The Depository Trust Company a New York corporation (“DTC”) to the Company or its agent for registration of transfer, conversion, exchange or payment, and such Security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3" w:lineRule="exact"/>
        <w:rPr>
          <w:sz w:val="20"/>
          <w:szCs w:val="20"/>
          <w:color w:val="auto"/>
        </w:rPr>
      </w:pPr>
    </w:p>
    <w:p>
      <w:pPr>
        <w:ind w:right="180"/>
        <w:spacing w:after="0" w:line="239" w:lineRule="auto"/>
        <w:rPr>
          <w:sz w:val="20"/>
          <w:szCs w:val="20"/>
          <w:color w:val="auto"/>
        </w:rPr>
      </w:pPr>
      <w:r>
        <w:rPr>
          <w:rFonts w:ascii="Arial" w:cs="Arial" w:eastAsia="Arial" w:hAnsi="Arial"/>
          <w:sz w:val="22"/>
          <w:szCs w:val="22"/>
          <w:b w:val="1"/>
          <w:bCs w:val="1"/>
          <w:color w:val="auto"/>
        </w:rPr>
        <w:t>Unless and until this Security is exchanged in whole or in part for Securities in certificated form, this Security may not be transferred except as a whole by DTC to a nominee thereof or by a nominee thereof to DTC or another nominee of DTC or by DTC or any such nominee to a successor of DTC or a nominee of such successor.</w:t>
      </w:r>
      <w:r>
        <w:rPr>
          <w:rFonts w:ascii="Arial" w:cs="Arial" w:eastAsia="Arial" w:hAnsi="Arial"/>
          <w:sz w:val="22"/>
          <w:szCs w:val="22"/>
          <w:color w:val="auto"/>
        </w:rPr>
        <w:t>]</w:t>
      </w:r>
    </w:p>
    <w:p>
      <w:pPr>
        <w:spacing w:after="0" w:line="187" w:lineRule="exact"/>
        <w:rPr>
          <w:sz w:val="20"/>
          <w:szCs w:val="20"/>
          <w:color w:val="auto"/>
        </w:rPr>
      </w:pPr>
    </w:p>
    <w:p>
      <w:pPr>
        <w:ind w:right="20"/>
        <w:spacing w:after="0" w:line="247"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If this Security is an Original Issue Discount Security,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FOR PURPOSES OF SECTION 1273 and 1275 OF THE UNITED STATES INTERNAL REVENUE CODE, THE AMOUNT OF ORIGINAL ISSUE DISCOUNT ON THIS SECURITY IS ___% OF ITS PRINCIPAL AMOUNT, THE ISSUE DATE IS __________, 20__, AND THE YIELD TO MATURITY IS ___%. THE METHOD</w:t>
      </w:r>
    </w:p>
    <w:p>
      <w:pPr>
        <w:spacing w:after="0" w:line="4" w:lineRule="exact"/>
        <w:rPr>
          <w:sz w:val="20"/>
          <w:szCs w:val="20"/>
          <w:color w:val="auto"/>
        </w:rPr>
      </w:pPr>
    </w:p>
    <w:p>
      <w:pPr>
        <w:ind w:right="280"/>
        <w:spacing w:after="0" w:line="234" w:lineRule="auto"/>
        <w:rPr>
          <w:sz w:val="20"/>
          <w:szCs w:val="20"/>
          <w:color w:val="auto"/>
        </w:rPr>
      </w:pPr>
      <w:r>
        <w:rPr>
          <w:rFonts w:ascii="Arial" w:cs="Arial" w:eastAsia="Arial" w:hAnsi="Arial"/>
          <w:sz w:val="22"/>
          <w:szCs w:val="22"/>
          <w:color w:val="auto"/>
        </w:rPr>
        <w:t>USED TO DETERMINE THE AMOUNT OF ORIGINAL ISSUE DISCOUNT APPLICABLE TO THE SHORT ACCRUAL PERIOD OF __________, 20__ TO __________, 20__, IS ___% OF THE PRINCIPAL AMOUNT OF THIS SECURITY.]</w:t>
      </w:r>
    </w:p>
    <w:p>
      <w:pPr>
        <w:spacing w:after="0" w:line="187"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BLUEPRINT MEDICINES CORPORATION</w:t>
      </w:r>
    </w:p>
    <w:p>
      <w:pPr>
        <w:spacing w:after="0" w:line="206" w:lineRule="exact"/>
        <w:rPr>
          <w:sz w:val="20"/>
          <w:szCs w:val="20"/>
          <w:color w:val="auto"/>
        </w:rPr>
      </w:pPr>
    </w:p>
    <w:p>
      <w:pPr>
        <w:ind w:left="3540"/>
        <w:spacing w:after="0"/>
        <w:rPr>
          <w:sz w:val="20"/>
          <w:szCs w:val="20"/>
          <w:color w:val="auto"/>
        </w:rPr>
      </w:pPr>
      <w:r>
        <w:rPr>
          <w:rFonts w:ascii="Arial" w:cs="Arial" w:eastAsia="Arial" w:hAnsi="Arial"/>
          <w:sz w:val="22"/>
          <w:szCs w:val="22"/>
          <w:color w:val="auto"/>
        </w:rPr>
        <w:t>[Designation of Series]</w:t>
      </w:r>
    </w:p>
    <w:p>
      <w:pPr>
        <w:sectPr>
          <w:pgSz w:w="11900" w:h="16838" w:orient="portrait"/>
          <w:cols w:equalWidth="0" w:num="1">
            <w:col w:w="9060"/>
          </w:cols>
          <w:pgMar w:left="1420" w:top="361" w:right="141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No. __________</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$__________</w:t>
      </w:r>
    </w:p>
    <w:p>
      <w:pPr>
        <w:spacing w:after="0" w:line="200" w:lineRule="exact"/>
        <w:rPr>
          <w:sz w:val="20"/>
          <w:szCs w:val="20"/>
          <w:color w:val="auto"/>
        </w:rPr>
      </w:pPr>
    </w:p>
    <w:p>
      <w:pPr>
        <w:sectPr>
          <w:pgSz w:w="11900" w:h="16838" w:orient="portrait"/>
          <w:cols w:equalWidth="0" w:num="2">
            <w:col w:w="7160" w:space="720"/>
            <w:col w:w="1180"/>
          </w:cols>
          <w:pgMar w:left="1420" w:top="361" w:right="141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CUSIP No. __________</w:t>
      </w:r>
    </w:p>
    <w:p>
      <w:pPr>
        <w:sectPr>
          <w:pgSz w:w="11900" w:h="16838" w:orient="portrait"/>
          <w:cols w:equalWidth="0" w:num="1">
            <w:col w:w="9060"/>
          </w:cols>
          <w:pgMar w:left="1420" w:top="361" w:right="1419" w:bottom="1440" w:gutter="0" w:footer="0" w:header="0"/>
          <w:type w:val="continuous"/>
        </w:sectPr>
      </w:pPr>
    </w:p>
    <w:p>
      <w:pPr>
        <w:spacing w:after="0" w:line="295" w:lineRule="exact"/>
        <w:rPr>
          <w:sz w:val="20"/>
          <w:szCs w:val="20"/>
          <w:color w:val="auto"/>
        </w:rPr>
      </w:pPr>
    </w:p>
    <w:p>
      <w:pPr>
        <w:ind w:right="480"/>
        <w:spacing w:after="0" w:line="273" w:lineRule="auto"/>
        <w:rPr>
          <w:sz w:val="20"/>
          <w:szCs w:val="20"/>
          <w:color w:val="auto"/>
        </w:rPr>
      </w:pPr>
      <w:r>
        <w:rPr>
          <w:rFonts w:ascii="Arial" w:cs="Arial" w:eastAsia="Arial" w:hAnsi="Arial"/>
          <w:sz w:val="19"/>
          <w:szCs w:val="19"/>
          <w:color w:val="auto"/>
        </w:rPr>
        <w:t>BLUEPRINT MEDICINES CORPORATION, a Delaware corporation (herein referred to as the “Company,” which term includes any successor corporation under the Indenture referred to on the reverse hereof), for value received, hereby promises to pay to __________ or registered assigns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principal sum of __________ Dollars on __________ (the “Stated Maturity Date”) [or </w:t>
      </w:r>
      <w:r>
        <w:rPr>
          <w:rFonts w:ascii="Arial" w:cs="Arial" w:eastAsia="Arial" w:hAnsi="Arial"/>
          <w:sz w:val="19"/>
          <w:szCs w:val="19"/>
          <w:u w:val="single" w:color="auto"/>
          <w:color w:val="auto"/>
        </w:rPr>
        <w:t>insert date fixed</w:t>
      </w:r>
    </w:p>
    <w:p>
      <w:pPr>
        <w:spacing w:after="0" w:line="25" w:lineRule="exact"/>
        <w:rPr>
          <w:sz w:val="20"/>
          <w:szCs w:val="20"/>
          <w:color w:val="auto"/>
        </w:rPr>
      </w:pPr>
    </w:p>
    <w:p>
      <w:pPr>
        <w:ind w:right="100"/>
        <w:spacing w:after="0" w:line="237" w:lineRule="auto"/>
        <w:rPr>
          <w:sz w:val="20"/>
          <w:szCs w:val="20"/>
          <w:color w:val="auto"/>
        </w:rPr>
      </w:pPr>
      <w:r>
        <w:rPr>
          <w:rFonts w:ascii="Arial" w:cs="Arial" w:eastAsia="Arial" w:hAnsi="Arial"/>
          <w:sz w:val="22"/>
          <w:szCs w:val="22"/>
          <w:u w:val="single" w:color="auto"/>
          <w:color w:val="auto"/>
        </w:rPr>
        <w:t>for earlier redemption</w:t>
      </w:r>
      <w:r>
        <w:rPr>
          <w:rFonts w:ascii="Arial" w:cs="Arial" w:eastAsia="Arial" w:hAnsi="Arial"/>
          <w:sz w:val="22"/>
          <w:szCs w:val="22"/>
          <w:color w:val="auto"/>
        </w:rPr>
        <w:t xml:space="preserve"> (the “Redemption Date,” and together with the Stated Maturity Date with respect to principal repayable on such date, the “Maturity Date.”)]</w:t>
      </w:r>
    </w:p>
    <w:p>
      <w:pPr>
        <w:spacing w:after="0" w:line="185"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If the Security is to bear interest prior to Maturity, insert</w:t>
      </w:r>
      <w:r>
        <w:rPr>
          <w:rFonts w:ascii="Arial" w:cs="Arial" w:eastAsia="Arial" w:hAnsi="Arial"/>
          <w:sz w:val="22"/>
          <w:szCs w:val="22"/>
          <w:color w:val="auto"/>
        </w:rPr>
        <w:t xml:space="preserve"> </w:t>
      </w:r>
      <w:r>
        <w:rPr>
          <w:rFonts w:ascii="MS PGothic" w:cs="MS PGothic" w:eastAsia="MS PGothic" w:hAnsi="MS PGothic"/>
          <w:sz w:val="22"/>
          <w:szCs w:val="22"/>
          <w:color w:val="auto"/>
        </w:rPr>
        <w:t>‑‑</w:t>
      </w:r>
      <w:r>
        <w:rPr>
          <w:rFonts w:ascii="Arial" w:cs="Arial" w:eastAsia="Arial" w:hAnsi="Arial"/>
          <w:sz w:val="22"/>
          <w:szCs w:val="22"/>
          <w:color w:val="auto"/>
        </w:rPr>
        <w:t xml:space="preserve"> and to pay interest thereon from</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__________ or from the most recent Interest Payment Date to which interest has been paid or</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61" w:right="1419" w:bottom="1440" w:gutter="0" w:footer="0" w:header="0"/>
          <w:type w:val="continuous"/>
        </w:sectPr>
      </w:pPr>
    </w:p>
    <w:bookmarkStart w:id="249" w:name="page250"/>
    <w:bookmarkEnd w:id="249"/>
    <w:p>
      <w:pPr>
        <w:spacing w:after="0" w:line="219" w:lineRule="exact"/>
        <w:rPr>
          <w:sz w:val="20"/>
          <w:szCs w:val="20"/>
          <w:color w:val="auto"/>
        </w:rPr>
      </w:pPr>
      <w:r>
        <w:rPr>
          <w:rFonts w:ascii="Arial" w:cs="Arial" w:eastAsia="Arial" w:hAnsi="Arial"/>
          <w:sz w:val="19"/>
          <w:szCs w:val="19"/>
          <w:color w:val="auto"/>
        </w:rPr>
        <w:t>duly provided for, semi</w:t>
      </w:r>
      <w:r>
        <w:rPr>
          <w:rFonts w:ascii="MS PGothic" w:cs="MS PGothic" w:eastAsia="MS PGothic" w:hAnsi="MS PGothic"/>
          <w:sz w:val="19"/>
          <w:szCs w:val="19"/>
          <w:color w:val="auto"/>
        </w:rPr>
        <w:t>‑</w:t>
      </w:r>
      <w:r>
        <w:rPr>
          <w:rFonts w:ascii="Arial" w:cs="Arial" w:eastAsia="Arial" w:hAnsi="Arial"/>
          <w:sz w:val="19"/>
          <w:szCs w:val="19"/>
          <w:color w:val="auto"/>
        </w:rPr>
        <w:t>annually on __________ and __________ in each year (each, an “Interest</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Payment Date”), commencing __________, at the rate of ___% per annum, until the principal hereof is</w:t>
      </w:r>
    </w:p>
    <w:p>
      <w:pPr>
        <w:spacing w:after="0" w:line="25" w:lineRule="exact"/>
        <w:rPr>
          <w:sz w:val="20"/>
          <w:szCs w:val="20"/>
          <w:color w:val="auto"/>
        </w:rPr>
      </w:pPr>
    </w:p>
    <w:p>
      <w:pPr>
        <w:jc w:val="both"/>
        <w:ind w:right="380"/>
        <w:spacing w:after="0" w:line="267" w:lineRule="auto"/>
        <w:rPr>
          <w:sz w:val="20"/>
          <w:szCs w:val="20"/>
          <w:color w:val="auto"/>
        </w:rPr>
      </w:pPr>
      <w:r>
        <w:rPr>
          <w:rFonts w:ascii="Arial" w:cs="Arial" w:eastAsia="Arial" w:hAnsi="Arial"/>
          <w:sz w:val="19"/>
          <w:szCs w:val="19"/>
          <w:color w:val="auto"/>
        </w:rPr>
        <w:t>paid or duly provided for. The interest so payable, and punctually paid or duly provided for, on any Interest Payment Date will, as provided in such Indenture, be paid to the Holder in whose name this Security (or one or more Predecessor Securities) is registered at the close of business on the Regular Record Date for such interest, which shall be the __________ or __________ (whether or not a</w:t>
      </w:r>
    </w:p>
    <w:p>
      <w:pPr>
        <w:ind w:right="60"/>
        <w:spacing w:after="0" w:line="244" w:lineRule="exact"/>
        <w:rPr>
          <w:sz w:val="20"/>
          <w:szCs w:val="20"/>
          <w:color w:val="auto"/>
        </w:rPr>
      </w:pPr>
      <w:r>
        <w:rPr>
          <w:rFonts w:ascii="Arial" w:cs="Arial" w:eastAsia="Arial" w:hAnsi="Arial"/>
          <w:sz w:val="19"/>
          <w:szCs w:val="19"/>
          <w:color w:val="auto"/>
        </w:rPr>
        <w:t xml:space="preserve">Business Day), as the case may be, next preceding such Interest Payment Date [at the office or agency of the Company maintained for such purpose;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interest may be paid, at the Company’s option, by mailing a check to such Holder at its registered address or by transfer of funds to an account maintained by such Holder within the United States]. Any such interest not so punctually paid or duly provided for shall forthwith cease to be payable to the Holder on such Regular Record Date, and may be paid to the Holder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may be paid at any time in any other lawful manner not inconsistent with the requirements of any over-the-counter market or securities exchange on which the Securities of this series may be quoted or listed, and upon such notice as may be required by such market or exchange, all as more fully provided in the Indenture. Interest will be computed on the basis of a 360</w:t>
      </w:r>
      <w:r>
        <w:rPr>
          <w:rFonts w:ascii="MS PGothic" w:cs="MS PGothic" w:eastAsia="MS PGothic" w:hAnsi="MS PGothic"/>
          <w:sz w:val="19"/>
          <w:szCs w:val="19"/>
          <w:color w:val="auto"/>
        </w:rPr>
        <w:t>‑</w:t>
      </w:r>
      <w:r>
        <w:rPr>
          <w:rFonts w:ascii="Arial" w:cs="Arial" w:eastAsia="Arial" w:hAnsi="Arial"/>
          <w:sz w:val="19"/>
          <w:szCs w:val="19"/>
          <w:color w:val="auto"/>
        </w:rPr>
        <w:t>day year of twelve 30</w:t>
      </w:r>
      <w:r>
        <w:rPr>
          <w:rFonts w:ascii="MS PGothic" w:cs="MS PGothic" w:eastAsia="MS PGothic" w:hAnsi="MS PGothic"/>
          <w:sz w:val="19"/>
          <w:szCs w:val="19"/>
          <w:color w:val="auto"/>
        </w:rPr>
        <w:t>‑</w:t>
      </w:r>
      <w:r>
        <w:rPr>
          <w:rFonts w:ascii="Arial" w:cs="Arial" w:eastAsia="Arial" w:hAnsi="Arial"/>
          <w:sz w:val="19"/>
          <w:szCs w:val="19"/>
          <w:color w:val="auto"/>
        </w:rPr>
        <w:t>day months.]</w:t>
      </w:r>
    </w:p>
    <w:p>
      <w:pPr>
        <w:spacing w:after="0" w:line="187" w:lineRule="exact"/>
        <w:rPr>
          <w:sz w:val="20"/>
          <w:szCs w:val="20"/>
          <w:color w:val="auto"/>
        </w:rPr>
      </w:pPr>
    </w:p>
    <w:p>
      <w:pPr>
        <w:ind w:right="20"/>
        <w:spacing w:after="0" w:line="246"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If the Security is not to bear interest prior to Maturity,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The principal of this Security shall not bear interest except in the case of a default in payment of principal upon acceleration, upon redemption or at the [Stated] Maturity Date and in such case the overdue principal of this Security shall bear interest at the rate of ___%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 Any such interest on any overdue principal that is not so paid on demand shall bear interest at the rate of ___% per annum (to the extent that the payment of such interest shall be legally enforceable), which shall accrue from the date of such demand for payment to the date payment of such interest has been made or duly provided for, and such interest shall also be payable on demand.]</w:t>
      </w:r>
    </w:p>
    <w:p>
      <w:pPr>
        <w:spacing w:after="0" w:line="189" w:lineRule="exact"/>
        <w:rPr>
          <w:sz w:val="20"/>
          <w:szCs w:val="20"/>
          <w:color w:val="auto"/>
        </w:rPr>
      </w:pPr>
    </w:p>
    <w:p>
      <w:pPr>
        <w:ind w:right="200"/>
        <w:spacing w:after="0" w:line="271" w:lineRule="auto"/>
        <w:rPr>
          <w:sz w:val="20"/>
          <w:szCs w:val="20"/>
          <w:color w:val="auto"/>
        </w:rPr>
      </w:pPr>
      <w:r>
        <w:rPr>
          <w:rFonts w:ascii="Arial" w:cs="Arial" w:eastAsia="Arial" w:hAnsi="Arial"/>
          <w:sz w:val="19"/>
          <w:szCs w:val="19"/>
          <w:color w:val="auto"/>
        </w:rPr>
        <w:t>The principal of this Security payable on the Stated Maturity Date [or the principal of, premium or Make-Whole Amount, if any, and, if the Redemption Date is not an Interest Payment Date, interest on this Security payable on the Redemption Date] will be paid against presentation of this Security at the office or agency of the Company maintained for that purpose in __________, in such coin or currency</w:t>
      </w:r>
    </w:p>
    <w:p>
      <w:pPr>
        <w:spacing w:after="0" w:line="4" w:lineRule="exact"/>
        <w:rPr>
          <w:sz w:val="20"/>
          <w:szCs w:val="20"/>
          <w:color w:val="auto"/>
        </w:rPr>
      </w:pPr>
    </w:p>
    <w:p>
      <w:pPr>
        <w:ind w:right="180"/>
        <w:spacing w:after="0" w:line="237" w:lineRule="auto"/>
        <w:rPr>
          <w:sz w:val="20"/>
          <w:szCs w:val="20"/>
          <w:color w:val="auto"/>
        </w:rPr>
      </w:pPr>
      <w:r>
        <w:rPr>
          <w:rFonts w:ascii="Arial" w:cs="Arial" w:eastAsia="Arial" w:hAnsi="Arial"/>
          <w:sz w:val="22"/>
          <w:szCs w:val="22"/>
          <w:color w:val="auto"/>
        </w:rPr>
        <w:t>of the United States of America as at the time of payment is legal tender for the payment of public and private debts.</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Interest payable on this Security on any Interest Payment Date and on the [Stated] Maturity Date [or Redemption Date, as the case may be,] will include interest accrued from and including the next preceding Interest Payment Date in respect of which interest has been paid or duly provided for (or from and including __________, if no interest has been paid on this Security) to but excluding such Interest</w:t>
      </w:r>
    </w:p>
    <w:p>
      <w:pPr>
        <w:spacing w:after="0" w:line="4" w:lineRule="exact"/>
        <w:rPr>
          <w:sz w:val="20"/>
          <w:szCs w:val="20"/>
          <w:color w:val="auto"/>
        </w:rPr>
      </w:pPr>
    </w:p>
    <w:p>
      <w:pPr>
        <w:jc w:val="both"/>
        <w:ind w:right="220"/>
        <w:spacing w:after="0" w:line="234" w:lineRule="auto"/>
        <w:rPr>
          <w:sz w:val="20"/>
          <w:szCs w:val="20"/>
          <w:color w:val="auto"/>
        </w:rPr>
      </w:pPr>
      <w:r>
        <w:rPr>
          <w:rFonts w:ascii="Arial" w:cs="Arial" w:eastAsia="Arial" w:hAnsi="Arial"/>
          <w:sz w:val="22"/>
          <w:szCs w:val="22"/>
          <w:color w:val="auto"/>
        </w:rPr>
        <w:t>Payment Date or the [Stated] Maturity Date [or Redemption Date, as the case may be.] If any Interest Payment Date or the [Stated] Maturity Date or [Redemption Date] falls on a day that is not a Business Day, as defined below, principal, premium or Make-Whole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50" w:name="page251"/>
    <w:bookmarkEnd w:id="250"/>
    <w:p>
      <w:pPr>
        <w:spacing w:after="0" w:line="277" w:lineRule="auto"/>
        <w:rPr>
          <w:sz w:val="20"/>
          <w:szCs w:val="20"/>
          <w:color w:val="auto"/>
        </w:rPr>
      </w:pPr>
      <w:r>
        <w:rPr>
          <w:rFonts w:ascii="Arial" w:cs="Arial" w:eastAsia="Arial" w:hAnsi="Arial"/>
          <w:sz w:val="19"/>
          <w:szCs w:val="19"/>
          <w:color w:val="auto"/>
        </w:rPr>
        <w:t>Amount, if any, and/or interest payable with respect to such Interest Payment Date or [Stated] Maturity Date [or Redemption Date, as the case may be,] will be paid on the next succeeding Business Day with the same force and effect as if it were paid on the date such payment was due, and no interest shall accrue on the amount so payable for the period from and after such Interest Payment Date or [Stated] Maturity Date [or Redemption Date, as the case may be.] “Business Day” means any day, other than a Saturday or Sunday, that is neither a legal holiday nor a day on which banking institutions in The City of New York are required or authorized by law, regulation or executive order to close.</w:t>
      </w:r>
    </w:p>
    <w:p>
      <w:pPr>
        <w:spacing w:after="0" w:line="153" w:lineRule="exact"/>
        <w:rPr>
          <w:sz w:val="20"/>
          <w:szCs w:val="20"/>
          <w:color w:val="auto"/>
        </w:rPr>
      </w:pPr>
    </w:p>
    <w:p>
      <w:pPr>
        <w:ind w:right="38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If this Security is a Global Security, insert</w:t>
      </w:r>
      <w:r>
        <w:rPr>
          <w:rFonts w:ascii="Arial" w:cs="Arial" w:eastAsia="Arial" w:hAnsi="Arial"/>
          <w:sz w:val="22"/>
          <w:szCs w:val="22"/>
          <w:color w:val="auto"/>
        </w:rPr>
        <w:t xml:space="preserve"> </w:t>
      </w:r>
      <w:r>
        <w:rPr>
          <w:rFonts w:ascii="MS PGothic" w:cs="MS PGothic" w:eastAsia="MS PGothic" w:hAnsi="MS PGothic"/>
          <w:sz w:val="22"/>
          <w:szCs w:val="22"/>
          <w:color w:val="auto"/>
        </w:rPr>
        <w:t>‑‑</w:t>
      </w:r>
      <w:r>
        <w:rPr>
          <w:rFonts w:ascii="Arial" w:cs="Arial" w:eastAsia="Arial" w:hAnsi="Arial"/>
          <w:sz w:val="22"/>
          <w:szCs w:val="22"/>
          <w:color w:val="auto"/>
        </w:rPr>
        <w:t xml:space="preserve"> All payments of principal, premium or Make-Whole Amount, if any, and interest in respect of this Security will be made by the Company in immediately available funds.]</w:t>
      </w:r>
    </w:p>
    <w:p>
      <w:pPr>
        <w:spacing w:after="0" w:line="186" w:lineRule="exact"/>
        <w:rPr>
          <w:sz w:val="20"/>
          <w:szCs w:val="20"/>
          <w:color w:val="auto"/>
        </w:rPr>
      </w:pPr>
    </w:p>
    <w:p>
      <w:pPr>
        <w:jc w:val="both"/>
        <w:ind w:right="40"/>
        <w:spacing w:after="0" w:line="328" w:lineRule="auto"/>
        <w:rPr>
          <w:sz w:val="20"/>
          <w:szCs w:val="20"/>
          <w:color w:val="auto"/>
        </w:rPr>
      </w:pPr>
      <w:r>
        <w:rPr>
          <w:rFonts w:ascii="Arial" w:cs="Arial" w:eastAsia="Arial" w:hAnsi="Arial"/>
          <w:sz w:val="19"/>
          <w:szCs w:val="19"/>
          <w:color w:val="auto"/>
        </w:rPr>
        <w:t>Reference is hereby made to the further provisions of this Security set forth on the reverse hereof, which further provisions shall for all purposes have the same effect as if set forth at this place.</w:t>
      </w:r>
    </w:p>
    <w:p>
      <w:pPr>
        <w:spacing w:after="0" w:line="105"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Unless the Certificate of Authentication hereon has been executed by the Trustee by manual signature of one of its authorized signatories, this Security shall not be entitled to any benefit under the Indenture, or be valid or obligatory for any purpose.</w:t>
      </w:r>
    </w:p>
    <w:p>
      <w:pPr>
        <w:spacing w:after="0" w:line="186" w:lineRule="exact"/>
        <w:rPr>
          <w:sz w:val="20"/>
          <w:szCs w:val="20"/>
          <w:color w:val="auto"/>
        </w:rPr>
      </w:pPr>
    </w:p>
    <w:p>
      <w:pPr>
        <w:ind w:right="620"/>
        <w:spacing w:after="0" w:line="251" w:lineRule="auto"/>
        <w:rPr>
          <w:sz w:val="20"/>
          <w:szCs w:val="20"/>
          <w:color w:val="auto"/>
        </w:rPr>
      </w:pPr>
      <w:r>
        <w:rPr>
          <w:rFonts w:ascii="Arial" w:cs="Arial" w:eastAsia="Arial" w:hAnsi="Arial"/>
          <w:sz w:val="22"/>
          <w:szCs w:val="22"/>
          <w:color w:val="auto"/>
        </w:rPr>
        <w:t>IN WITNESS WHEREOF, the Company has caused this instrument to be duly executed under its facsimile corporate seal.</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7620</wp:posOffset>
            </wp:positionV>
            <wp:extent cx="9779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13"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BLUEPRINT MEDICINES CORPORATION</w:t>
      </w:r>
    </w:p>
    <w:p>
      <w:pPr>
        <w:spacing w:after="0" w:line="233"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7620</wp:posOffset>
            </wp:positionV>
            <wp:extent cx="263271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ind w:left="4920"/>
        <w:spacing w:after="0"/>
        <w:rPr>
          <w:sz w:val="20"/>
          <w:szCs w:val="20"/>
          <w:color w:val="auto"/>
        </w:rPr>
      </w:pPr>
      <w:r>
        <w:rPr>
          <w:rFonts w:ascii="Arial" w:cs="Arial" w:eastAsia="Arial" w:hAnsi="Arial"/>
          <w:sz w:val="22"/>
          <w:szCs w:val="22"/>
          <w:color w:val="auto"/>
        </w:rPr>
        <w:t>Name:</w:t>
      </w:r>
    </w:p>
    <w:p>
      <w:pPr>
        <w:ind w:left="4920"/>
        <w:spacing w:after="0" w:line="230" w:lineRule="auto"/>
        <w:rPr>
          <w:sz w:val="20"/>
          <w:szCs w:val="20"/>
          <w:color w:val="auto"/>
        </w:rPr>
      </w:pPr>
      <w:r>
        <w:rPr>
          <w:rFonts w:ascii="Arial" w:cs="Arial" w:eastAsia="Arial" w:hAnsi="Arial"/>
          <w:sz w:val="22"/>
          <w:szCs w:val="22"/>
          <w:color w:val="auto"/>
        </w:rPr>
        <w:t>Title: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-154940</wp:posOffset>
            </wp:positionV>
            <wp:extent cx="288988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51" w:name="page252"/>
    <w:bookmarkEnd w:id="251"/>
    <w:p>
      <w:pPr>
        <w:jc w:val="center"/>
        <w:ind w:right="20"/>
        <w:spacing w:after="0"/>
        <w:rPr>
          <w:sz w:val="20"/>
          <w:szCs w:val="20"/>
          <w:color w:val="auto"/>
        </w:rPr>
      </w:pPr>
      <w:r>
        <w:rPr>
          <w:rFonts w:ascii="Arial" w:cs="Arial" w:eastAsia="Arial" w:hAnsi="Arial"/>
          <w:sz w:val="22"/>
          <w:szCs w:val="22"/>
          <w:color w:val="auto"/>
        </w:rPr>
        <w:t>[Reverse of Security]</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BLUEPRINT MEDICINES CORPORATION</w:t>
      </w:r>
    </w:p>
    <w:p>
      <w:pPr>
        <w:spacing w:after="0" w:line="206" w:lineRule="exact"/>
        <w:rPr>
          <w:sz w:val="20"/>
          <w:szCs w:val="20"/>
          <w:color w:val="auto"/>
        </w:rPr>
      </w:pPr>
    </w:p>
    <w:p>
      <w:pPr>
        <w:ind w:right="980"/>
        <w:spacing w:after="0" w:line="251" w:lineRule="auto"/>
        <w:rPr>
          <w:sz w:val="20"/>
          <w:szCs w:val="20"/>
          <w:color w:val="auto"/>
        </w:rPr>
      </w:pPr>
      <w:r>
        <w:rPr>
          <w:rFonts w:ascii="Arial" w:cs="Arial" w:eastAsia="Arial" w:hAnsi="Arial"/>
          <w:sz w:val="22"/>
          <w:szCs w:val="22"/>
          <w:color w:val="auto"/>
        </w:rPr>
        <w:t>This Security is one of a duly authorized issue of securities of the Company (herein called the “Securities”), issued and to be issued in one or more series under an</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Indenture, dated as of __________, 20__ (herein called the “Indenture”) between the Company and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 as Trustee (herein called the “Trustee,” which term includes any successor trustee</w:t>
      </w:r>
    </w:p>
    <w:p>
      <w:pPr>
        <w:spacing w:after="0" w:line="25" w:lineRule="exact"/>
        <w:rPr>
          <w:sz w:val="20"/>
          <w:szCs w:val="20"/>
          <w:color w:val="auto"/>
        </w:rPr>
      </w:pPr>
    </w:p>
    <w:p>
      <w:pPr>
        <w:ind w:right="60"/>
        <w:spacing w:after="0" w:line="244" w:lineRule="exact"/>
        <w:rPr>
          <w:sz w:val="20"/>
          <w:szCs w:val="20"/>
          <w:color w:val="auto"/>
        </w:rPr>
      </w:pPr>
      <w:r>
        <w:rPr>
          <w:rFonts w:ascii="Arial" w:cs="Arial" w:eastAsia="Arial" w:hAnsi="Arial"/>
          <w:sz w:val="19"/>
          <w:szCs w:val="19"/>
          <w:color w:val="auto"/>
        </w:rPr>
        <w:t>under the Indenture with respect to the series of which this Security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duly authorized series of Securities designated on the face hereof (collectively, the “Securities”), [</w:t>
      </w:r>
      <w:r>
        <w:rPr>
          <w:rFonts w:ascii="Arial" w:cs="Arial" w:eastAsia="Arial" w:hAnsi="Arial"/>
          <w:sz w:val="19"/>
          <w:szCs w:val="19"/>
          <w:u w:val="single" w:color="auto"/>
          <w:color w:val="auto"/>
        </w:rPr>
        <w:t>if applicable,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and the aggregate principal amount of the Securities to be issued under such series is limited to $__________ (except for Securities authenticated</w:t>
      </w:r>
    </w:p>
    <w:p>
      <w:pPr>
        <w:ind w:right="120"/>
        <w:spacing w:after="0" w:line="308" w:lineRule="auto"/>
        <w:rPr>
          <w:sz w:val="20"/>
          <w:szCs w:val="20"/>
          <w:color w:val="auto"/>
        </w:rPr>
      </w:pPr>
      <w:r>
        <w:rPr>
          <w:rFonts w:ascii="Arial" w:cs="Arial" w:eastAsia="Arial" w:hAnsi="Arial"/>
          <w:sz w:val="19"/>
          <w:szCs w:val="19"/>
          <w:color w:val="auto"/>
        </w:rPr>
        <w:t>and delivered upon transfer of, or in exchange for, or in lieu of other Securities).] All terms used in this Security which are defined in the Indenture shall have the meanings assigned to them in the Indenture.</w:t>
      </w:r>
    </w:p>
    <w:p>
      <w:pPr>
        <w:spacing w:after="0" w:line="123"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86"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If applicable, insert</w:t>
      </w:r>
      <w:r>
        <w:rPr>
          <w:rFonts w:ascii="Arial" w:cs="Arial" w:eastAsia="Arial" w:hAnsi="Arial"/>
          <w:sz w:val="22"/>
          <w:szCs w:val="22"/>
          <w:color w:val="auto"/>
        </w:rPr>
        <w:t xml:space="preserve"> </w:t>
      </w:r>
      <w:r>
        <w:rPr>
          <w:rFonts w:ascii="MS PGothic" w:cs="MS PGothic" w:eastAsia="MS PGothic" w:hAnsi="MS PGothic"/>
          <w:sz w:val="22"/>
          <w:szCs w:val="22"/>
          <w:color w:val="auto"/>
        </w:rPr>
        <w:t>‑‑</w:t>
      </w:r>
      <w:r>
        <w:rPr>
          <w:rFonts w:ascii="Arial" w:cs="Arial" w:eastAsia="Arial" w:hAnsi="Arial"/>
          <w:sz w:val="22"/>
          <w:szCs w:val="22"/>
          <w:color w:val="auto"/>
        </w:rPr>
        <w:t xml:space="preserve"> The Securities may not be redeemed prior to the Stated Maturity Date.]</w:t>
      </w:r>
    </w:p>
    <w:p>
      <w:pPr>
        <w:spacing w:after="0" w:line="206"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If applicable, insert</w:t>
      </w:r>
      <w:r>
        <w:rPr>
          <w:rFonts w:ascii="Arial" w:cs="Arial" w:eastAsia="Arial" w:hAnsi="Arial"/>
          <w:sz w:val="22"/>
          <w:szCs w:val="22"/>
          <w:color w:val="auto"/>
        </w:rPr>
        <w:t xml:space="preserve"> </w:t>
      </w:r>
      <w:r>
        <w:rPr>
          <w:rFonts w:ascii="MS PGothic" w:cs="MS PGothic" w:eastAsia="MS PGothic" w:hAnsi="MS PGothic"/>
          <w:sz w:val="22"/>
          <w:szCs w:val="22"/>
          <w:color w:val="auto"/>
        </w:rPr>
        <w:t>‑‑</w:t>
      </w:r>
      <w:r>
        <w:rPr>
          <w:rFonts w:ascii="Arial" w:cs="Arial" w:eastAsia="Arial" w:hAnsi="Arial"/>
          <w:sz w:val="22"/>
          <w:szCs w:val="22"/>
          <w:color w:val="auto"/>
        </w:rPr>
        <w:t xml:space="preserve"> The Securities are subject to redemption [ (l) </w:t>
      </w:r>
      <w:r>
        <w:rPr>
          <w:rFonts w:ascii="Arial" w:cs="Arial" w:eastAsia="Arial" w:hAnsi="Arial"/>
          <w:sz w:val="22"/>
          <w:szCs w:val="22"/>
          <w:u w:val="single" w:color="auto"/>
          <w:color w:val="auto"/>
        </w:rPr>
        <w:t>(If applicable, insert</w:t>
      </w:r>
      <w:r>
        <w:rPr>
          <w:rFonts w:ascii="Arial" w:cs="Arial" w:eastAsia="Arial" w:hAnsi="Arial"/>
          <w:sz w:val="22"/>
          <w:szCs w:val="22"/>
          <w:color w:val="auto"/>
        </w:rPr>
        <w:t xml:space="preserve"> </w:t>
      </w:r>
      <w:r>
        <w:rPr>
          <w:rFonts w:ascii="MS PGothic" w:cs="MS PGothic" w:eastAsia="MS PGothic" w:hAnsi="MS PGothic"/>
          <w:sz w:val="22"/>
          <w:szCs w:val="22"/>
          <w:color w:val="auto"/>
        </w:rPr>
        <w:t>‑‑</w:t>
      </w:r>
      <w:r>
        <w:rPr>
          <w:rFonts w:ascii="Arial" w:cs="Arial" w:eastAsia="Arial" w:hAnsi="Arial"/>
          <w:sz w:val="22"/>
          <w:szCs w:val="22"/>
          <w:color w:val="auto"/>
        </w:rPr>
        <w:t xml:space="preserve"> on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__________ in any year commencing with the year __________ and ending with the year __________</w:t>
      </w:r>
    </w:p>
    <w:p>
      <w:pPr>
        <w:spacing w:after="0" w:line="25" w:lineRule="exact"/>
        <w:rPr>
          <w:sz w:val="20"/>
          <w:szCs w:val="20"/>
          <w:color w:val="auto"/>
        </w:rPr>
      </w:pPr>
    </w:p>
    <w:p>
      <w:pPr>
        <w:ind w:right="40"/>
        <w:spacing w:after="0" w:line="244" w:lineRule="exact"/>
        <w:rPr>
          <w:sz w:val="20"/>
          <w:szCs w:val="20"/>
          <w:color w:val="auto"/>
        </w:rPr>
      </w:pPr>
      <w:r>
        <w:rPr>
          <w:rFonts w:ascii="Arial" w:cs="Arial" w:eastAsia="Arial" w:hAnsi="Arial"/>
          <w:sz w:val="19"/>
          <w:szCs w:val="19"/>
          <w:color w:val="auto"/>
        </w:rPr>
        <w:t>through operation of the sinking fund for this series at a Redemption Price equal to 100% of the principal amount, and (2) ] [</w:t>
      </w:r>
      <w:r>
        <w:rPr>
          <w:rFonts w:ascii="Arial" w:cs="Arial" w:eastAsia="Arial" w:hAnsi="Arial"/>
          <w:sz w:val="19"/>
          <w:szCs w:val="19"/>
          <w:u w:val="single" w:color="auto"/>
          <w:color w:val="auto"/>
        </w:rPr>
        <w:t>If applicable,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at any time [on or after __________], as a whole or in</w:t>
      </w:r>
    </w:p>
    <w:p>
      <w:pPr>
        <w:ind w:right="300"/>
        <w:spacing w:after="0" w:line="237" w:lineRule="auto"/>
        <w:rPr>
          <w:sz w:val="20"/>
          <w:szCs w:val="20"/>
          <w:color w:val="auto"/>
        </w:rPr>
      </w:pPr>
      <w:r>
        <w:rPr>
          <w:rFonts w:ascii="Arial" w:cs="Arial" w:eastAsia="Arial" w:hAnsi="Arial"/>
          <w:sz w:val="22"/>
          <w:szCs w:val="22"/>
          <w:color w:val="auto"/>
        </w:rPr>
        <w:t>part, at the election of the Company, at the following Redemption Prices (expressed as percentages of the principal amount):</w:t>
      </w:r>
    </w:p>
    <w:p>
      <w:pPr>
        <w:spacing w:after="0" w:line="185" w:lineRule="exact"/>
        <w:rPr>
          <w:sz w:val="20"/>
          <w:szCs w:val="20"/>
          <w:color w:val="auto"/>
        </w:rPr>
      </w:pPr>
    </w:p>
    <w:p>
      <w:pPr>
        <w:spacing w:after="0" w:line="219" w:lineRule="exact"/>
        <w:rPr>
          <w:sz w:val="20"/>
          <w:szCs w:val="20"/>
          <w:color w:val="auto"/>
        </w:rPr>
      </w:pPr>
      <w:r>
        <w:rPr>
          <w:rFonts w:ascii="Arial" w:cs="Arial" w:eastAsia="Arial" w:hAnsi="Arial"/>
          <w:sz w:val="19"/>
          <w:szCs w:val="19"/>
          <w:color w:val="auto"/>
        </w:rPr>
        <w:t>If redeemed on or before __________, ___% and if redeemed during the 12</w:t>
      </w:r>
      <w:r>
        <w:rPr>
          <w:rFonts w:ascii="MS PGothic" w:cs="MS PGothic" w:eastAsia="MS PGothic" w:hAnsi="MS PGothic"/>
          <w:sz w:val="19"/>
          <w:szCs w:val="19"/>
          <w:color w:val="auto"/>
        </w:rPr>
        <w:t>‑</w:t>
      </w:r>
      <w:r>
        <w:rPr>
          <w:rFonts w:ascii="Arial" w:cs="Arial" w:eastAsia="Arial" w:hAnsi="Arial"/>
          <w:sz w:val="19"/>
          <w:szCs w:val="19"/>
          <w:color w:val="auto"/>
        </w:rPr>
        <w:t>month period beginning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__________ of the years indicated at the Redemption Prices indicated below.</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12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Year</w:t>
            </w:r>
          </w:p>
        </w:tc>
        <w:tc>
          <w:tcPr>
            <w:tcW w:w="33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Redemption Price</w:t>
            </w:r>
          </w:p>
        </w:tc>
        <w:tc>
          <w:tcPr>
            <w:tcW w:w="13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Year</w:t>
            </w:r>
          </w:p>
        </w:tc>
        <w:tc>
          <w:tcPr>
            <w:tcW w:w="32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Redemption Price</w:t>
            </w:r>
          </w:p>
        </w:tc>
      </w:tr>
      <w:tr>
        <w:trPr>
          <w:trHeight w:val="185"/>
        </w:trPr>
        <w:tc>
          <w:tcPr>
            <w:tcW w:w="1260" w:type="dxa"/>
            <w:vAlign w:val="bottom"/>
            <w:tcBorders>
              <w:left w:val="single" w:sz="8" w:color="auto"/>
              <w:bottom w:val="single" w:sz="8" w:color="auto"/>
              <w:right w:val="single" w:sz="8" w:color="auto"/>
            </w:tcBorders>
          </w:tcPr>
          <w:p>
            <w:pPr>
              <w:spacing w:after="0"/>
              <w:rPr>
                <w:sz w:val="16"/>
                <w:szCs w:val="16"/>
                <w:color w:val="auto"/>
              </w:rPr>
            </w:pPr>
          </w:p>
        </w:tc>
        <w:tc>
          <w:tcPr>
            <w:tcW w:w="33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r>
      <w:tr>
        <w:trPr>
          <w:trHeight w:val="453"/>
        </w:trPr>
        <w:tc>
          <w:tcPr>
            <w:tcW w:w="1260" w:type="dxa"/>
            <w:vAlign w:val="bottom"/>
            <w:tcBorders>
              <w:left w:val="single" w:sz="8" w:color="auto"/>
              <w:bottom w:val="single" w:sz="8" w:color="auto"/>
              <w:right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r>
    </w:tbl>
    <w:p>
      <w:pPr>
        <w:spacing w:after="0" w:line="222" w:lineRule="exact"/>
        <w:rPr>
          <w:sz w:val="20"/>
          <w:szCs w:val="20"/>
          <w:color w:val="auto"/>
        </w:rPr>
      </w:pPr>
    </w:p>
    <w:p>
      <w:pPr>
        <w:ind w:right="120"/>
        <w:spacing w:after="0" w:line="248" w:lineRule="exact"/>
        <w:rPr>
          <w:sz w:val="20"/>
          <w:szCs w:val="20"/>
          <w:color w:val="auto"/>
        </w:rPr>
      </w:pPr>
      <w:r>
        <w:rPr>
          <w:rFonts w:ascii="Arial" w:cs="Arial" w:eastAsia="Arial" w:hAnsi="Arial"/>
          <w:sz w:val="19"/>
          <w:szCs w:val="19"/>
          <w:color w:val="auto"/>
        </w:rPr>
        <w:t>and thereafter at a Redemption Price equal to ___% of the principal amount, together in the case of any such redemption [</w:t>
      </w:r>
      <w:r>
        <w:rPr>
          <w:rFonts w:ascii="Arial" w:cs="Arial" w:eastAsia="Arial" w:hAnsi="Arial"/>
          <w:sz w:val="19"/>
          <w:szCs w:val="19"/>
          <w:u w:val="single" w:color="auto"/>
          <w:color w:val="auto"/>
        </w:rPr>
        <w:t>If applicable,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(whether through operation of the sinking fund or otherwise)] with accrued interest to the Redemption Date;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18" w:right="1399" w:bottom="1440" w:gutter="0" w:footer="0" w:header="0"/>
        </w:sectPr>
      </w:pPr>
    </w:p>
    <w:bookmarkStart w:id="252" w:name="page253"/>
    <w:bookmarkEnd w:id="252"/>
    <w:p>
      <w:pPr>
        <w:ind w:left="660"/>
        <w:spacing w:after="0" w:line="219"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If applicable, insert</w:t>
      </w:r>
      <w:r>
        <w:rPr>
          <w:rFonts w:ascii="Arial" w:cs="Arial" w:eastAsia="Arial" w:hAnsi="Arial"/>
          <w:sz w:val="19"/>
          <w:szCs w:val="19"/>
          <w:color w:val="auto"/>
        </w:rPr>
        <w:t xml:space="preserve"> </w:t>
      </w:r>
      <w:r>
        <w:rPr>
          <w:rFonts w:ascii="MS PGothic" w:cs="MS PGothic" w:eastAsia="MS PGothic" w:hAnsi="MS PGothic"/>
          <w:sz w:val="19"/>
          <w:szCs w:val="19"/>
          <w:color w:val="auto"/>
        </w:rPr>
        <w:t>‑‑</w:t>
      </w:r>
      <w:r>
        <w:rPr>
          <w:rFonts w:ascii="Arial" w:cs="Arial" w:eastAsia="Arial" w:hAnsi="Arial"/>
          <w:sz w:val="19"/>
          <w:szCs w:val="19"/>
          <w:color w:val="auto"/>
        </w:rPr>
        <w:t xml:space="preserve"> The Securities are subject to redemption (1) on __________ in any year</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commencing with the year __________ and ending with the year __________ through operation of the</w:t>
      </w:r>
    </w:p>
    <w:p>
      <w:pPr>
        <w:spacing w:after="0" w:line="25" w:lineRule="exact"/>
        <w:rPr>
          <w:sz w:val="20"/>
          <w:szCs w:val="20"/>
          <w:color w:val="auto"/>
        </w:rPr>
      </w:pPr>
    </w:p>
    <w:p>
      <w:pPr>
        <w:ind w:right="160"/>
        <w:spacing w:after="0" w:line="267" w:lineRule="auto"/>
        <w:rPr>
          <w:sz w:val="20"/>
          <w:szCs w:val="20"/>
          <w:color w:val="auto"/>
        </w:rPr>
      </w:pPr>
      <w:r>
        <w:rPr>
          <w:rFonts w:ascii="Arial" w:cs="Arial" w:eastAsia="Arial" w:hAnsi="Arial"/>
          <w:sz w:val="19"/>
          <w:szCs w:val="19"/>
          <w:color w:val="auto"/>
        </w:rPr>
        <w:t>sinking fund for this series at the Redemption Prices for redemption through operation of the sinking fund (expressed as percentages of the principal amount) set forth in the table below, and (2) at any time [on or after __________], as a whole or in part, at the election of the Company, at the Redemption</w:t>
      </w:r>
    </w:p>
    <w:p>
      <w:pPr>
        <w:ind w:right="80"/>
        <w:spacing w:after="0" w:line="244" w:lineRule="exact"/>
        <w:rPr>
          <w:sz w:val="20"/>
          <w:szCs w:val="20"/>
          <w:color w:val="auto"/>
        </w:rPr>
      </w:pPr>
      <w:r>
        <w:rPr>
          <w:rFonts w:ascii="Arial" w:cs="Arial" w:eastAsia="Arial" w:hAnsi="Arial"/>
          <w:sz w:val="19"/>
          <w:szCs w:val="19"/>
          <w:color w:val="auto"/>
        </w:rPr>
        <w:t>Prices for redemption otherwise than through operation of the sinking fund (expressed as percentages of the principal amount) set forth in the table below: If redeemed during the 12</w:t>
      </w:r>
      <w:r>
        <w:rPr>
          <w:rFonts w:ascii="MS PGothic" w:cs="MS PGothic" w:eastAsia="MS PGothic" w:hAnsi="MS PGothic"/>
          <w:sz w:val="19"/>
          <w:szCs w:val="19"/>
          <w:color w:val="auto"/>
        </w:rPr>
        <w:t>‑</w:t>
      </w:r>
      <w:r>
        <w:rPr>
          <w:rFonts w:ascii="Arial" w:cs="Arial" w:eastAsia="Arial" w:hAnsi="Arial"/>
          <w:sz w:val="19"/>
          <w:szCs w:val="19"/>
          <w:color w:val="auto"/>
        </w:rPr>
        <w:t>month period beginning</w:t>
      </w:r>
    </w:p>
    <w:p>
      <w:pPr>
        <w:spacing w:after="0"/>
        <w:rPr>
          <w:sz w:val="20"/>
          <w:szCs w:val="20"/>
          <w:color w:val="auto"/>
        </w:rPr>
      </w:pPr>
      <w:r>
        <w:rPr>
          <w:rFonts w:ascii="Arial" w:cs="Arial" w:eastAsia="Arial" w:hAnsi="Arial"/>
          <w:sz w:val="22"/>
          <w:szCs w:val="22"/>
          <w:color w:val="auto"/>
        </w:rPr>
        <w:t>__________ of the years indicated,</w:t>
      </w:r>
    </w:p>
    <w:p>
      <w:pPr>
        <w:spacing w:after="0" w:line="200" w:lineRule="exact"/>
        <w:rPr>
          <w:sz w:val="20"/>
          <w:szCs w:val="20"/>
          <w:color w:val="auto"/>
        </w:rPr>
      </w:pP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1320" w:type="dxa"/>
            <w:vAlign w:val="bottom"/>
            <w:tcBorders>
              <w:top w:val="single" w:sz="8" w:color="auto"/>
              <w:left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right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600" w:type="dxa"/>
            <w:vAlign w:val="bottom"/>
            <w:tcBorders>
              <w:top w:val="single" w:sz="8" w:color="auto"/>
              <w:right w:val="single" w:sz="8" w:color="auto"/>
            </w:tcBorders>
            <w:gridSpan w:val="4"/>
          </w:tcPr>
          <w:p>
            <w:pPr>
              <w:jc w:val="center"/>
              <w:ind w:right="460"/>
              <w:spacing w:after="0" w:line="236" w:lineRule="exact"/>
              <w:rPr>
                <w:sz w:val="20"/>
                <w:szCs w:val="20"/>
                <w:color w:val="auto"/>
              </w:rPr>
            </w:pPr>
            <w:r>
              <w:rPr>
                <w:rFonts w:ascii="Arial" w:cs="Arial" w:eastAsia="Arial" w:hAnsi="Arial"/>
                <w:sz w:val="22"/>
                <w:szCs w:val="22"/>
                <w:color w:val="auto"/>
                <w:w w:val="89"/>
              </w:rPr>
              <w:t>Redemption Price for</w:t>
            </w:r>
          </w:p>
        </w:tc>
        <w:tc>
          <w:tcPr>
            <w:tcW w:w="3000" w:type="dxa"/>
            <w:vAlign w:val="bottom"/>
            <w:tcBorders>
              <w:top w:val="single" w:sz="8" w:color="auto"/>
              <w:right w:val="single" w:sz="8" w:color="auto"/>
            </w:tcBorders>
            <w:gridSpan w:val="3"/>
          </w:tcPr>
          <w:p>
            <w:pPr>
              <w:jc w:val="center"/>
              <w:ind w:right="20"/>
              <w:spacing w:after="0" w:line="236" w:lineRule="exact"/>
              <w:rPr>
                <w:sz w:val="20"/>
                <w:szCs w:val="20"/>
                <w:color w:val="auto"/>
              </w:rPr>
            </w:pPr>
            <w:r>
              <w:rPr>
                <w:rFonts w:ascii="Arial" w:cs="Arial" w:eastAsia="Arial" w:hAnsi="Arial"/>
                <w:sz w:val="22"/>
                <w:szCs w:val="22"/>
                <w:color w:val="auto"/>
                <w:w w:val="89"/>
              </w:rPr>
              <w:t>Redemption Price for</w:t>
            </w:r>
          </w:p>
        </w:tc>
      </w:tr>
      <w:tr>
        <w:trPr>
          <w:trHeight w:val="243"/>
        </w:trPr>
        <w:tc>
          <w:tcPr>
            <w:tcW w:w="1320" w:type="dxa"/>
            <w:vAlign w:val="bottom"/>
            <w:tcBorders>
              <w:lef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600" w:type="dxa"/>
            <w:vAlign w:val="bottom"/>
            <w:tcBorders>
              <w:right w:val="single" w:sz="8" w:color="auto"/>
            </w:tcBorders>
            <w:gridSpan w:val="4"/>
          </w:tcPr>
          <w:p>
            <w:pPr>
              <w:jc w:val="center"/>
              <w:ind w:right="460"/>
              <w:spacing w:after="0" w:line="243" w:lineRule="exact"/>
              <w:rPr>
                <w:sz w:val="20"/>
                <w:szCs w:val="20"/>
                <w:color w:val="auto"/>
              </w:rPr>
            </w:pPr>
            <w:r>
              <w:rPr>
                <w:rFonts w:ascii="Arial" w:cs="Arial" w:eastAsia="Arial" w:hAnsi="Arial"/>
                <w:sz w:val="22"/>
                <w:szCs w:val="22"/>
                <w:color w:val="auto"/>
                <w:w w:val="89"/>
              </w:rPr>
              <w:t>Redemption Through</w:t>
            </w:r>
          </w:p>
        </w:tc>
        <w:tc>
          <w:tcPr>
            <w:tcW w:w="3000" w:type="dxa"/>
            <w:vAlign w:val="bottom"/>
            <w:tcBorders>
              <w:right w:val="single" w:sz="8" w:color="auto"/>
            </w:tcBorders>
            <w:gridSpan w:val="3"/>
          </w:tcPr>
          <w:p>
            <w:pPr>
              <w:jc w:val="center"/>
              <w:ind w:right="20"/>
              <w:spacing w:after="0" w:line="243" w:lineRule="exact"/>
              <w:rPr>
                <w:sz w:val="20"/>
                <w:szCs w:val="20"/>
                <w:color w:val="auto"/>
              </w:rPr>
            </w:pPr>
            <w:r>
              <w:rPr>
                <w:rFonts w:ascii="Arial" w:cs="Arial" w:eastAsia="Arial" w:hAnsi="Arial"/>
                <w:sz w:val="22"/>
                <w:szCs w:val="22"/>
                <w:color w:val="auto"/>
                <w:w w:val="89"/>
              </w:rPr>
              <w:t>Redemption Otherwise Than</w:t>
            </w:r>
          </w:p>
        </w:tc>
      </w:tr>
      <w:tr>
        <w:trPr>
          <w:trHeight w:val="224"/>
        </w:trPr>
        <w:tc>
          <w:tcPr>
            <w:tcW w:w="1320" w:type="dxa"/>
            <w:vAlign w:val="bottom"/>
            <w:tcBorders>
              <w:lef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140" w:type="dxa"/>
            <w:vAlign w:val="bottom"/>
            <w:tcBorders>
              <w:bottom w:val="single" w:sz="8" w:color="auto"/>
            </w:tcBorders>
            <w:gridSpan w:val="3"/>
          </w:tcPr>
          <w:p>
            <w:pPr>
              <w:jc w:val="center"/>
              <w:spacing w:after="0" w:line="224" w:lineRule="exact"/>
              <w:rPr>
                <w:sz w:val="20"/>
                <w:szCs w:val="20"/>
                <w:color w:val="auto"/>
              </w:rPr>
            </w:pPr>
            <w:r>
              <w:rPr>
                <w:rFonts w:ascii="Arial" w:cs="Arial" w:eastAsia="Arial" w:hAnsi="Arial"/>
                <w:sz w:val="22"/>
                <w:szCs w:val="22"/>
                <w:color w:val="auto"/>
                <w:w w:val="90"/>
              </w:rPr>
              <w:t>Operation of the Sinking</w:t>
            </w:r>
          </w:p>
        </w:tc>
        <w:tc>
          <w:tcPr>
            <w:tcW w:w="460" w:type="dxa"/>
            <w:vAlign w:val="bottom"/>
            <w:tcBorders>
              <w:right w:val="single" w:sz="8" w:color="auto"/>
            </w:tcBorders>
          </w:tcPr>
          <w:p>
            <w:pPr>
              <w:spacing w:after="0"/>
              <w:rPr>
                <w:sz w:val="19"/>
                <w:szCs w:val="19"/>
                <w:color w:val="auto"/>
              </w:rPr>
            </w:pPr>
          </w:p>
        </w:tc>
        <w:tc>
          <w:tcPr>
            <w:tcW w:w="3000" w:type="dxa"/>
            <w:vAlign w:val="bottom"/>
            <w:tcBorders>
              <w:right w:val="single" w:sz="8" w:color="auto"/>
            </w:tcBorders>
            <w:gridSpan w:val="3"/>
          </w:tcPr>
          <w:p>
            <w:pPr>
              <w:jc w:val="center"/>
              <w:ind w:right="20"/>
              <w:spacing w:after="0" w:line="224" w:lineRule="exact"/>
              <w:rPr>
                <w:sz w:val="20"/>
                <w:szCs w:val="20"/>
                <w:color w:val="auto"/>
              </w:rPr>
            </w:pPr>
            <w:r>
              <w:rPr>
                <w:rFonts w:ascii="Arial" w:cs="Arial" w:eastAsia="Arial" w:hAnsi="Arial"/>
                <w:sz w:val="22"/>
                <w:szCs w:val="22"/>
                <w:color w:val="auto"/>
                <w:w w:val="90"/>
              </w:rPr>
              <w:t>Through Operation of the</w:t>
            </w:r>
          </w:p>
        </w:tc>
      </w:tr>
      <w:tr>
        <w:trPr>
          <w:trHeight w:val="223"/>
        </w:trPr>
        <w:tc>
          <w:tcPr>
            <w:tcW w:w="1320" w:type="dxa"/>
            <w:vAlign w:val="bottom"/>
            <w:tcBorders>
              <w:left w:val="single" w:sz="8" w:color="auto"/>
            </w:tcBorders>
          </w:tcPr>
          <w:p>
            <w:pPr>
              <w:spacing w:after="0"/>
              <w:rPr>
                <w:sz w:val="19"/>
                <w:szCs w:val="19"/>
                <w:color w:val="auto"/>
              </w:rPr>
            </w:pPr>
          </w:p>
        </w:tc>
        <w:tc>
          <w:tcPr>
            <w:tcW w:w="1720" w:type="dxa"/>
            <w:vAlign w:val="bottom"/>
            <w:tcBorders>
              <w:right w:val="single" w:sz="8" w:color="auto"/>
            </w:tcBorders>
            <w:gridSpan w:val="2"/>
          </w:tcPr>
          <w:p>
            <w:pPr>
              <w:spacing w:after="0" w:line="223" w:lineRule="exact"/>
              <w:rPr>
                <w:sz w:val="20"/>
                <w:szCs w:val="20"/>
                <w:color w:val="auto"/>
              </w:rPr>
            </w:pPr>
            <w:r>
              <w:rPr>
                <w:rFonts w:ascii="Arial" w:cs="Arial" w:eastAsia="Arial" w:hAnsi="Arial"/>
                <w:sz w:val="22"/>
                <w:szCs w:val="22"/>
                <w:color w:val="auto"/>
              </w:rPr>
              <w:t>Year</w:t>
            </w:r>
          </w:p>
        </w:tc>
        <w:tc>
          <w:tcPr>
            <w:tcW w:w="440" w:type="dxa"/>
            <w:vAlign w:val="bottom"/>
          </w:tcPr>
          <w:p>
            <w:pPr>
              <w:spacing w:after="0"/>
              <w:rPr>
                <w:sz w:val="19"/>
                <w:szCs w:val="19"/>
                <w:color w:val="auto"/>
              </w:rPr>
            </w:pPr>
          </w:p>
        </w:tc>
        <w:tc>
          <w:tcPr>
            <w:tcW w:w="2600" w:type="dxa"/>
            <w:vAlign w:val="bottom"/>
            <w:tcBorders>
              <w:right w:val="single" w:sz="8" w:color="auto"/>
            </w:tcBorders>
            <w:gridSpan w:val="4"/>
          </w:tcPr>
          <w:p>
            <w:pPr>
              <w:jc w:val="center"/>
              <w:ind w:right="480"/>
              <w:spacing w:after="0" w:line="223" w:lineRule="exact"/>
              <w:rPr>
                <w:sz w:val="20"/>
                <w:szCs w:val="20"/>
                <w:color w:val="auto"/>
              </w:rPr>
            </w:pPr>
            <w:r>
              <w:rPr>
                <w:rFonts w:ascii="Arial" w:cs="Arial" w:eastAsia="Arial" w:hAnsi="Arial"/>
                <w:sz w:val="22"/>
                <w:szCs w:val="22"/>
                <w:color w:val="auto"/>
                <w:w w:val="87"/>
              </w:rPr>
              <w:t>Fund</w:t>
            </w:r>
          </w:p>
        </w:tc>
        <w:tc>
          <w:tcPr>
            <w:tcW w:w="900" w:type="dxa"/>
            <w:vAlign w:val="bottom"/>
          </w:tcPr>
          <w:p>
            <w:pPr>
              <w:spacing w:after="0"/>
              <w:rPr>
                <w:sz w:val="19"/>
                <w:szCs w:val="19"/>
                <w:color w:val="auto"/>
              </w:rPr>
            </w:pPr>
          </w:p>
        </w:tc>
        <w:tc>
          <w:tcPr>
            <w:tcW w:w="2100" w:type="dxa"/>
            <w:vAlign w:val="bottom"/>
            <w:tcBorders>
              <w:right w:val="single" w:sz="8" w:color="auto"/>
            </w:tcBorders>
            <w:gridSpan w:val="2"/>
          </w:tcPr>
          <w:p>
            <w:pPr>
              <w:jc w:val="center"/>
              <w:ind w:right="920"/>
              <w:spacing w:after="0" w:line="223" w:lineRule="exact"/>
              <w:rPr>
                <w:sz w:val="20"/>
                <w:szCs w:val="20"/>
                <w:color w:val="auto"/>
              </w:rPr>
            </w:pPr>
            <w:r>
              <w:rPr>
                <w:rFonts w:ascii="Arial" w:cs="Arial" w:eastAsia="Arial" w:hAnsi="Arial"/>
                <w:sz w:val="22"/>
                <w:szCs w:val="22"/>
                <w:color w:val="auto"/>
                <w:w w:val="91"/>
              </w:rPr>
              <w:t>Sinking Fund</w:t>
            </w:r>
          </w:p>
        </w:tc>
      </w:tr>
      <w:tr>
        <w:trPr>
          <w:trHeight w:val="264"/>
        </w:trPr>
        <w:tc>
          <w:tcPr>
            <w:tcW w:w="1320" w:type="dxa"/>
            <w:vAlign w:val="bottom"/>
            <w:tcBorders>
              <w:left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spacing w:after="0"/>
              <w:rPr>
                <w:sz w:val="22"/>
                <w:szCs w:val="22"/>
                <w:color w:val="auto"/>
              </w:rPr>
            </w:pPr>
          </w:p>
        </w:tc>
      </w:tr>
      <w:tr>
        <w:trPr>
          <w:trHeight w:val="480"/>
        </w:trPr>
        <w:tc>
          <w:tcPr>
            <w:tcW w:w="132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r>
    </w:tbl>
    <w:p>
      <w:pPr>
        <w:spacing w:after="0" w:line="222" w:lineRule="exact"/>
        <w:rPr>
          <w:sz w:val="20"/>
          <w:szCs w:val="20"/>
          <w:color w:val="auto"/>
        </w:rPr>
      </w:pPr>
    </w:p>
    <w:p>
      <w:pPr>
        <w:ind w:right="80"/>
        <w:spacing w:after="0" w:line="248" w:lineRule="auto"/>
        <w:rPr>
          <w:sz w:val="20"/>
          <w:szCs w:val="20"/>
          <w:color w:val="auto"/>
        </w:rPr>
      </w:pPr>
      <w:r>
        <w:rPr>
          <w:rFonts w:ascii="Arial" w:cs="Arial" w:eastAsia="Arial" w:hAnsi="Arial"/>
          <w:sz w:val="21"/>
          <w:szCs w:val="21"/>
          <w:color w:val="auto"/>
        </w:rPr>
        <w:t xml:space="preserve">and thereafter at a Redemption Price equal to ___% of the principal amount, together in the case of any such redemption (whether through operation of the sinking fund or otherwise) with accrued interest to the Redemption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77" w:lineRule="exact"/>
        <w:rPr>
          <w:sz w:val="20"/>
          <w:szCs w:val="20"/>
          <w:color w:val="auto"/>
        </w:rPr>
      </w:pPr>
    </w:p>
    <w:p>
      <w:pPr>
        <w:ind w:left="66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If applicable, insert</w:t>
      </w:r>
      <w:r>
        <w:rPr>
          <w:rFonts w:ascii="Arial" w:cs="Arial" w:eastAsia="Arial" w:hAnsi="Arial"/>
          <w:sz w:val="22"/>
          <w:szCs w:val="22"/>
          <w:color w:val="auto"/>
        </w:rPr>
        <w:t xml:space="preserve"> </w:t>
      </w:r>
      <w:r>
        <w:rPr>
          <w:rFonts w:ascii="MS PGothic" w:cs="MS PGothic" w:eastAsia="MS PGothic" w:hAnsi="MS PGothic"/>
          <w:sz w:val="22"/>
          <w:szCs w:val="22"/>
          <w:color w:val="auto"/>
        </w:rPr>
        <w:t>‑‑</w:t>
      </w:r>
      <w:r>
        <w:rPr>
          <w:rFonts w:ascii="Arial" w:cs="Arial" w:eastAsia="Arial" w:hAnsi="Arial"/>
          <w:sz w:val="22"/>
          <w:szCs w:val="22"/>
          <w:color w:val="auto"/>
        </w:rPr>
        <w:t xml:space="preserve"> Notwithstanding the foregoing, the Company may not, prior to</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__________, redeem any Securities as contemplated by [Clause (2) of] the preceding paragraph as a part</w:t>
      </w:r>
    </w:p>
    <w:p>
      <w:pPr>
        <w:spacing w:after="0" w:line="25" w:lineRule="exact"/>
        <w:rPr>
          <w:sz w:val="20"/>
          <w:szCs w:val="20"/>
          <w:color w:val="auto"/>
        </w:rPr>
      </w:pPr>
    </w:p>
    <w:p>
      <w:pPr>
        <w:jc w:val="both"/>
        <w:ind w:right="400"/>
        <w:spacing w:after="0" w:line="234" w:lineRule="auto"/>
        <w:rPr>
          <w:sz w:val="20"/>
          <w:szCs w:val="20"/>
          <w:color w:val="auto"/>
        </w:rPr>
      </w:pPr>
      <w:r>
        <w:rPr>
          <w:rFonts w:ascii="Arial" w:cs="Arial" w:eastAsia="Arial" w:hAnsi="Arial"/>
          <w:sz w:val="22"/>
          <w:szCs w:val="22"/>
          <w:color w:val="auto"/>
        </w:rPr>
        <w:t>of, or in anticipation of, any refunding operation by the application, directly or indirectly, of moneys borrowed having an interest cost to the Company (calculated in accordance with generally accepted financial practice) of less than ___% per annum.]</w:t>
      </w:r>
    </w:p>
    <w:p>
      <w:pPr>
        <w:spacing w:after="0" w:line="187" w:lineRule="exact"/>
        <w:rPr>
          <w:sz w:val="20"/>
          <w:szCs w:val="20"/>
          <w:color w:val="auto"/>
        </w:rPr>
      </w:pPr>
    </w:p>
    <w:p>
      <w:pPr>
        <w:jc w:val="center"/>
        <w:ind w:right="4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If applicable, insert</w:t>
      </w:r>
      <w:r>
        <w:rPr>
          <w:rFonts w:ascii="Arial" w:cs="Arial" w:eastAsia="Arial" w:hAnsi="Arial"/>
          <w:sz w:val="22"/>
          <w:szCs w:val="22"/>
          <w:color w:val="auto"/>
        </w:rPr>
        <w:t xml:space="preserve"> </w:t>
      </w:r>
      <w:r>
        <w:rPr>
          <w:rFonts w:ascii="MS PGothic" w:cs="MS PGothic" w:eastAsia="MS PGothic" w:hAnsi="MS PGothic"/>
          <w:sz w:val="22"/>
          <w:szCs w:val="22"/>
          <w:color w:val="auto"/>
        </w:rPr>
        <w:t>‑‑</w:t>
      </w:r>
      <w:r>
        <w:rPr>
          <w:rFonts w:ascii="Arial" w:cs="Arial" w:eastAsia="Arial" w:hAnsi="Arial"/>
          <w:sz w:val="22"/>
          <w:szCs w:val="22"/>
          <w:color w:val="auto"/>
        </w:rPr>
        <w:t xml:space="preserve"> The sinking fund for the Securities provides for the redemption on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__________ in each year, beginning with the year __________ and ending with the year __________,</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of [not less than] $__________] [(“mandatory sinking fund”) and not more than $__________]</w:t>
      </w:r>
    </w:p>
    <w:p>
      <w:pPr>
        <w:spacing w:after="0" w:line="2" w:lineRule="exact"/>
        <w:rPr>
          <w:sz w:val="20"/>
          <w:szCs w:val="20"/>
          <w:color w:val="auto"/>
        </w:rPr>
      </w:pPr>
    </w:p>
    <w:p>
      <w:pPr>
        <w:ind w:right="40"/>
        <w:spacing w:after="0" w:line="233" w:lineRule="auto"/>
        <w:rPr>
          <w:sz w:val="20"/>
          <w:szCs w:val="20"/>
          <w:color w:val="auto"/>
        </w:rPr>
      </w:pPr>
      <w:r>
        <w:rPr>
          <w:rFonts w:ascii="Arial" w:cs="Arial" w:eastAsia="Arial" w:hAnsi="Arial"/>
          <w:sz w:val="22"/>
          <w:szCs w:val="22"/>
          <w:color w:val="auto"/>
        </w:rPr>
        <w:t>aggregate principal amount of the Securities. [The Securities acquired or redeemed by the Company otherwise than through [mandatory] sinking fund payments may be credited against subsequent [mandatory] sinking fund payments otherwise required to be made in the [</w:t>
      </w:r>
      <w:r>
        <w:rPr>
          <w:rFonts w:ascii="Arial" w:cs="Arial" w:eastAsia="Arial" w:hAnsi="Arial"/>
          <w:sz w:val="22"/>
          <w:szCs w:val="22"/>
          <w:u w:val="single" w:color="auto"/>
          <w:color w:val="auto"/>
        </w:rPr>
        <w:t>describe order</w:t>
      </w:r>
      <w:r>
        <w:rPr>
          <w:rFonts w:ascii="Arial" w:cs="Arial" w:eastAsia="Arial" w:hAnsi="Arial"/>
          <w:sz w:val="22"/>
          <w:szCs w:val="22"/>
          <w:color w:val="auto"/>
        </w:rPr>
        <w:t>] order in which they become due.]]</w:t>
      </w:r>
    </w:p>
    <w:p>
      <w:pPr>
        <w:spacing w:after="0" w:line="188" w:lineRule="exact"/>
        <w:rPr>
          <w:sz w:val="20"/>
          <w:szCs w:val="20"/>
          <w:color w:val="auto"/>
        </w:rPr>
      </w:pPr>
    </w:p>
    <w:p>
      <w:pPr>
        <w:ind w:right="300" w:firstLine="648"/>
        <w:spacing w:after="0" w:line="251" w:lineRule="auto"/>
        <w:rPr>
          <w:sz w:val="20"/>
          <w:szCs w:val="20"/>
          <w:color w:val="auto"/>
        </w:rPr>
      </w:pPr>
      <w:r>
        <w:rPr>
          <w:rFonts w:ascii="Arial" w:cs="Arial" w:eastAsia="Arial" w:hAnsi="Arial"/>
          <w:sz w:val="22"/>
          <w:szCs w:val="22"/>
          <w:color w:val="auto"/>
        </w:rPr>
        <w:t>Notice of redemption will be given by mail to Holders of Securities, not less than 30 nor more than 60 days prior to the Redemption Date, all as provided in the Indenture.</w:t>
      </w:r>
    </w:p>
    <w:p>
      <w:pPr>
        <w:spacing w:after="0" w:line="173" w:lineRule="exact"/>
        <w:rPr>
          <w:sz w:val="20"/>
          <w:szCs w:val="20"/>
          <w:color w:val="auto"/>
        </w:rPr>
      </w:pPr>
    </w:p>
    <w:p>
      <w:pPr>
        <w:jc w:val="both"/>
        <w:ind w:right="560" w:firstLine="648"/>
        <w:spacing w:after="0"/>
        <w:rPr>
          <w:sz w:val="20"/>
          <w:szCs w:val="20"/>
          <w:color w:val="auto"/>
        </w:rPr>
      </w:pPr>
      <w:r>
        <w:rPr>
          <w:rFonts w:ascii="Arial" w:cs="Arial" w:eastAsia="Arial" w:hAnsi="Arial"/>
          <w:sz w:val="22"/>
          <w:szCs w:val="22"/>
          <w:color w:val="auto"/>
        </w:rPr>
        <w:t>In the event of redemption of this Security in part only, a new Security or Securities for the unredeemed portion hereof shall be issued in the name of the Holder hereof upon the cancellation hereof.</w:t>
      </w:r>
    </w:p>
    <w:p>
      <w:pPr>
        <w:spacing w:after="0" w:line="186" w:lineRule="exact"/>
        <w:rPr>
          <w:sz w:val="20"/>
          <w:szCs w:val="20"/>
          <w:color w:val="auto"/>
        </w:rPr>
      </w:pPr>
    </w:p>
    <w:p>
      <w:pPr>
        <w:ind w:right="700" w:firstLine="648"/>
        <w:spacing w:after="0" w:line="251" w:lineRule="auto"/>
        <w:rPr>
          <w:sz w:val="20"/>
          <w:szCs w:val="20"/>
          <w:color w:val="auto"/>
        </w:rPr>
      </w:pPr>
      <w:r>
        <w:rPr>
          <w:rFonts w:ascii="Arial" w:cs="Arial" w:eastAsia="Arial" w:hAnsi="Arial"/>
          <w:sz w:val="22"/>
          <w:szCs w:val="22"/>
          <w:color w:val="auto"/>
        </w:rPr>
        <w:t>[If applicable, insert conversion provisions set forth in any Board Resolution or indenture supplemental to the Indenture.]</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18" w:right="1399" w:bottom="1440" w:gutter="0" w:footer="0" w:header="0"/>
        </w:sectPr>
      </w:pPr>
    </w:p>
    <w:bookmarkStart w:id="253" w:name="page254"/>
    <w:bookmarkEnd w:id="253"/>
    <w:p>
      <w:pPr>
        <w:ind w:firstLine="648"/>
        <w:spacing w:after="0" w:line="271" w:lineRule="auto"/>
        <w:rPr>
          <w:sz w:val="20"/>
          <w:szCs w:val="20"/>
          <w:color w:val="auto"/>
        </w:rPr>
      </w:pPr>
      <w:r>
        <w:rPr>
          <w:rFonts w:ascii="Arial" w:cs="Arial" w:eastAsia="Arial" w:hAnsi="Arial"/>
          <w:sz w:val="19"/>
          <w:szCs w:val="19"/>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Security shall be conclusive and binding upon such Holder and upon all future Holders of this Security and other Securities issued upon the registration of transfer hereof or conversion or in exchange herefor or in lieu hereof, whether or not notation of such consent or waiver is made upon this Security.</w:t>
      </w:r>
    </w:p>
    <w:p>
      <w:pPr>
        <w:spacing w:after="0" w:line="166" w:lineRule="exact"/>
        <w:rPr>
          <w:sz w:val="20"/>
          <w:szCs w:val="20"/>
          <w:color w:val="auto"/>
        </w:rPr>
      </w:pPr>
    </w:p>
    <w:p>
      <w:pPr>
        <w:ind w:right="120" w:firstLine="648"/>
        <w:spacing w:after="0" w:line="252" w:lineRule="auto"/>
        <w:rPr>
          <w:sz w:val="20"/>
          <w:szCs w:val="20"/>
          <w:color w:val="auto"/>
        </w:rPr>
      </w:pPr>
      <w:r>
        <w:rPr>
          <w:rFonts w:ascii="Arial" w:cs="Arial" w:eastAsia="Arial" w:hAnsi="Arial"/>
          <w:sz w:val="21"/>
          <w:szCs w:val="21"/>
          <w:color w:val="auto"/>
        </w:rPr>
        <w:t>No reference herein to the Indenture and no provision of this Security or of the Indenture shall alter or impair the obligation of the Company, which is absolute and unconditional, to pay the principal of (and premium or Make-Whole Amount, if any) and interest on this Security at the times, places and rate, and in the coin or currency, herein prescribed.</w:t>
      </w:r>
    </w:p>
    <w:p>
      <w:pPr>
        <w:spacing w:after="0" w:line="174" w:lineRule="exact"/>
        <w:rPr>
          <w:sz w:val="20"/>
          <w:szCs w:val="20"/>
          <w:color w:val="auto"/>
        </w:rPr>
      </w:pPr>
    </w:p>
    <w:p>
      <w:pPr>
        <w:ind w:right="140" w:firstLine="648"/>
        <w:spacing w:after="0" w:line="275" w:lineRule="auto"/>
        <w:rPr>
          <w:sz w:val="20"/>
          <w:szCs w:val="20"/>
          <w:color w:val="auto"/>
        </w:rPr>
      </w:pPr>
      <w:r>
        <w:rPr>
          <w:rFonts w:ascii="Arial" w:cs="Arial" w:eastAsia="Arial" w:hAnsi="Arial"/>
          <w:sz w:val="19"/>
          <w:szCs w:val="19"/>
          <w:color w:val="auto"/>
        </w:rPr>
        <w:t>As provided in the Indenture and subject to certain limitations therein [and herein] set forth, the transfer of this Security is registrable in the Security Register of the Company upon surrender of this Security for registration of transfer at the office or agency of the Company in any place where the principal of (and premium or Make-Whole Amount, if any) and interest on this Security are payable, duly endorsed by, or accompanied by a written instrument of transfer in form satisfactory to the Company and the Security Registrar duly executed by, the Holder hereof or by his attorney duly authorized in writing, and thereupon one or more new Securities, of authorized denominations and for the same aggregate principal amount, will be issued to the designated transferee or transferees.</w:t>
      </w:r>
    </w:p>
    <w:p>
      <w:pPr>
        <w:spacing w:after="0" w:line="158"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As provided in the Indenture and subject to certain limitations therein [and herein] set forth, this Security is exchangeable for a like aggregate principal amount of Securities of different authorized denominations but otherwise having the same terms and conditions, as requested by the Holder hereof surrendering the same.</w:t>
      </w:r>
    </w:p>
    <w:p>
      <w:pPr>
        <w:spacing w:after="0" w:line="185" w:lineRule="exact"/>
        <w:rPr>
          <w:sz w:val="20"/>
          <w:szCs w:val="20"/>
          <w:color w:val="auto"/>
        </w:rPr>
      </w:pPr>
    </w:p>
    <w:p>
      <w:pPr>
        <w:ind w:right="240" w:firstLine="648"/>
        <w:spacing w:after="0" w:line="251" w:lineRule="auto"/>
        <w:rPr>
          <w:sz w:val="20"/>
          <w:szCs w:val="20"/>
          <w:color w:val="auto"/>
        </w:rPr>
      </w:pPr>
      <w:r>
        <w:rPr>
          <w:rFonts w:ascii="Arial" w:cs="Arial" w:eastAsia="Arial" w:hAnsi="Arial"/>
          <w:sz w:val="22"/>
          <w:szCs w:val="22"/>
          <w:color w:val="auto"/>
        </w:rPr>
        <w:t>This Security is subordinated to the prior payment in full in cash of Senior Indebtedness to the extent set forth in Article Sixteen of the Indenture.</w:t>
      </w:r>
    </w:p>
    <w:p>
      <w:pPr>
        <w:spacing w:after="0" w:line="173" w:lineRule="exact"/>
        <w:rPr>
          <w:sz w:val="20"/>
          <w:szCs w:val="20"/>
          <w:color w:val="auto"/>
        </w:rPr>
      </w:pPr>
    </w:p>
    <w:p>
      <w:pPr>
        <w:ind w:right="1040" w:firstLine="648"/>
        <w:spacing w:after="0" w:line="251" w:lineRule="auto"/>
        <w:rPr>
          <w:sz w:val="20"/>
          <w:szCs w:val="20"/>
          <w:color w:val="auto"/>
        </w:rPr>
      </w:pPr>
      <w:r>
        <w:rPr>
          <w:rFonts w:ascii="Arial" w:cs="Arial" w:eastAsia="Arial" w:hAnsi="Arial"/>
          <w:sz w:val="22"/>
          <w:szCs w:val="22"/>
          <w:color w:val="auto"/>
        </w:rPr>
        <w:t>The Securities of this series are issuable only in registered form [without coupons] in denominations of $__________ and any integral multiple thereof.</w:t>
      </w:r>
    </w:p>
    <w:p>
      <w:pPr>
        <w:spacing w:after="0" w:line="173"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No service charge shall be made for any such registration of transfer or conversion or exchange, but the Company may require payment of a sum sufficient to cover any tax or other governmental charge payable in connection therewith,</w:t>
      </w:r>
    </w:p>
    <w:p>
      <w:pPr>
        <w:spacing w:after="0" w:line="186" w:lineRule="exact"/>
        <w:rPr>
          <w:sz w:val="20"/>
          <w:szCs w:val="20"/>
          <w:color w:val="auto"/>
        </w:rPr>
      </w:pPr>
    </w:p>
    <w:p>
      <w:pPr>
        <w:ind w:right="120" w:firstLine="648"/>
        <w:spacing w:after="0" w:line="287" w:lineRule="auto"/>
        <w:rPr>
          <w:sz w:val="20"/>
          <w:szCs w:val="20"/>
          <w:color w:val="auto"/>
        </w:rPr>
      </w:pPr>
      <w:r>
        <w:rPr>
          <w:rFonts w:ascii="Arial" w:cs="Arial" w:eastAsia="Arial" w:hAnsi="Arial"/>
          <w:sz w:val="19"/>
          <w:szCs w:val="19"/>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8" w:right="1439" w:bottom="1440" w:gutter="0" w:footer="0" w:header="0"/>
        </w:sectPr>
      </w:pPr>
    </w:p>
    <w:bookmarkStart w:id="254" w:name="page255"/>
    <w:bookmarkEnd w:id="254"/>
    <w:p>
      <w:pPr>
        <w:ind w:right="179" w:firstLine="648"/>
        <w:spacing w:after="0" w:line="246" w:lineRule="auto"/>
        <w:rPr>
          <w:sz w:val="20"/>
          <w:szCs w:val="20"/>
          <w:color w:val="auto"/>
        </w:rPr>
      </w:pPr>
      <w:r>
        <w:rPr>
          <w:rFonts w:ascii="Arial" w:cs="Arial" w:eastAsia="Arial" w:hAnsi="Arial"/>
          <w:sz w:val="21"/>
          <w:szCs w:val="21"/>
          <w:color w:val="auto"/>
        </w:rPr>
        <w:t>No recourse shall be had for the payment of the principal of or premium or Make-Whole Amount, if any, or the interest on this Security, or for any claim based hereon, or otherwise in respect hereof, or based on or in respect of the Indenture or any indenture supplemental thereto, against any past, present or future stockholder, employee, officer or director, as such, of the Company or of any successor, either directly or through the Company or any successor,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81" w:lineRule="exact"/>
        <w:rPr>
          <w:sz w:val="20"/>
          <w:szCs w:val="20"/>
          <w:color w:val="auto"/>
        </w:rPr>
      </w:pPr>
    </w:p>
    <w:p>
      <w:pPr>
        <w:ind w:right="19" w:firstLine="648"/>
        <w:spacing w:after="0" w:line="328" w:lineRule="auto"/>
        <w:rPr>
          <w:sz w:val="20"/>
          <w:szCs w:val="20"/>
          <w:color w:val="auto"/>
        </w:rPr>
      </w:pPr>
      <w:r>
        <w:rPr>
          <w:rFonts w:ascii="Arial" w:cs="Arial" w:eastAsia="Arial" w:hAnsi="Arial"/>
          <w:sz w:val="19"/>
          <w:szCs w:val="19"/>
          <w:color w:val="auto"/>
        </w:rPr>
        <w:t>The Indenture and the Securities shall be governed by and construed in accordance with the laws of the State of New York applicable to agreements made and to be performed entirely in such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8" w:right="1440" w:bottom="1440" w:gutter="0" w:footer="0" w:header="0"/>
        </w:sectPr>
      </w:pPr>
    </w:p>
    <w:bookmarkStart w:id="255" w:name="page256"/>
    <w:bookmarkEnd w:id="255"/>
    <w:p>
      <w:pPr>
        <w:jc w:val="center"/>
        <w:spacing w:after="0"/>
        <w:rPr>
          <w:sz w:val="20"/>
          <w:szCs w:val="20"/>
          <w:color w:val="auto"/>
        </w:rPr>
      </w:pPr>
      <w:r>
        <w:rPr>
          <w:rFonts w:ascii="Arial" w:cs="Arial" w:eastAsia="Arial" w:hAnsi="Arial"/>
          <w:sz w:val="22"/>
          <w:szCs w:val="22"/>
          <w:color w:val="auto"/>
        </w:rPr>
        <w:t>EXHIBIT 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FORMS OF CERTIFICATION</w:t>
      </w:r>
    </w:p>
    <w:p>
      <w:pPr>
        <w:spacing w:after="0" w:line="206"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color w:val="auto"/>
        </w:rPr>
        <w:t>EXHIBIT B</w:t>
      </w:r>
      <w:r>
        <w:rPr>
          <w:rFonts w:ascii="MS PGothic" w:cs="MS PGothic" w:eastAsia="MS PGothic" w:hAnsi="MS PGothic"/>
          <w:sz w:val="22"/>
          <w:szCs w:val="22"/>
          <w:color w:val="auto"/>
        </w:rPr>
        <w:t>‑</w:t>
      </w:r>
      <w:r>
        <w:rPr>
          <w:rFonts w:ascii="Arial" w:cs="Arial" w:eastAsia="Arial" w:hAnsi="Arial"/>
          <w:sz w:val="22"/>
          <w:szCs w:val="22"/>
          <w:color w:val="auto"/>
        </w:rPr>
        <w:t>1</w:t>
      </w:r>
    </w:p>
    <w:p>
      <w:pPr>
        <w:spacing w:after="0" w:line="206" w:lineRule="exact"/>
        <w:rPr>
          <w:sz w:val="20"/>
          <w:szCs w:val="20"/>
          <w:color w:val="auto"/>
        </w:rPr>
      </w:pPr>
    </w:p>
    <w:p>
      <w:pPr>
        <w:jc w:val="center"/>
        <w:ind w:left="1440" w:right="380"/>
        <w:spacing w:after="0" w:line="328" w:lineRule="auto"/>
        <w:rPr>
          <w:sz w:val="20"/>
          <w:szCs w:val="20"/>
          <w:color w:val="auto"/>
        </w:rPr>
      </w:pPr>
      <w:r>
        <w:rPr>
          <w:rFonts w:ascii="Arial" w:cs="Arial" w:eastAsia="Arial" w:hAnsi="Arial"/>
          <w:sz w:val="19"/>
          <w:szCs w:val="19"/>
          <w:color w:val="auto"/>
        </w:rPr>
        <w:t>FORM OF CERTIFICATE TO BE GIVEN BY PERSON ENTITLED TO RECEIVE BEARER SECURITY OR TO OBTAIN INTEREST PAYABLE PRIOR TO THE EXCHANGE DATE</w:t>
      </w:r>
    </w:p>
    <w:p>
      <w:pPr>
        <w:spacing w:after="0" w:line="105"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CERTIFICATE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[Insert title or sufficient description of Securities to be delivered]</w:t>
      </w:r>
    </w:p>
    <w:p>
      <w:pPr>
        <w:spacing w:after="0" w:line="206" w:lineRule="exact"/>
        <w:rPr>
          <w:sz w:val="20"/>
          <w:szCs w:val="20"/>
          <w:color w:val="auto"/>
        </w:rPr>
      </w:pPr>
    </w:p>
    <w:p>
      <w:pPr>
        <w:ind w:firstLine="648"/>
        <w:spacing w:after="0" w:line="246" w:lineRule="exact"/>
        <w:rPr>
          <w:sz w:val="20"/>
          <w:szCs w:val="20"/>
          <w:color w:val="auto"/>
        </w:rPr>
      </w:pPr>
      <w:r>
        <w:rPr>
          <w:rFonts w:ascii="Arial" w:cs="Arial" w:eastAsia="Arial" w:hAnsi="Arial"/>
          <w:sz w:val="19"/>
          <w:szCs w:val="19"/>
          <w:color w:val="auto"/>
        </w:rPr>
        <w:t>This is to certify that, as of the date hereof, and except as set forth below, the above</w:t>
      </w:r>
      <w:r>
        <w:rPr>
          <w:rFonts w:ascii="MS PGothic" w:cs="MS PGothic" w:eastAsia="MS PGothic" w:hAnsi="MS PGothic"/>
          <w:sz w:val="19"/>
          <w:szCs w:val="19"/>
          <w:color w:val="auto"/>
        </w:rPr>
        <w:t>‑</w:t>
      </w:r>
      <w:r>
        <w:rPr>
          <w:rFonts w:ascii="Arial" w:cs="Arial" w:eastAsia="Arial" w:hAnsi="Arial"/>
          <w:sz w:val="19"/>
          <w:szCs w:val="19"/>
          <w:color w:val="auto"/>
        </w:rPr>
        <w:t>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 (a) foreign branches of United States financial institutions (financial institutions, as defined in United States Treasury Regulations Section 2.165</w:t>
      </w:r>
      <w:r>
        <w:rPr>
          <w:rFonts w:ascii="MS PGothic" w:cs="MS PGothic" w:eastAsia="MS PGothic" w:hAnsi="MS PGothic"/>
          <w:sz w:val="19"/>
          <w:szCs w:val="19"/>
          <w:color w:val="auto"/>
        </w:rPr>
        <w:t>‑</w:t>
      </w:r>
      <w:r>
        <w:rPr>
          <w:rFonts w:ascii="Arial" w:cs="Arial" w:eastAsia="Arial" w:hAnsi="Arial"/>
          <w:sz w:val="19"/>
          <w:szCs w:val="19"/>
          <w:color w:val="auto"/>
        </w:rPr>
        <w:t>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Blueprint Medicines Corporation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Regulations Section 1.163</w:t>
      </w:r>
      <w:r>
        <w:rPr>
          <w:rFonts w:ascii="MS PGothic" w:cs="MS PGothic" w:eastAsia="MS PGothic" w:hAnsi="MS PGothic"/>
          <w:sz w:val="19"/>
          <w:szCs w:val="19"/>
          <w:color w:val="auto"/>
        </w:rPr>
        <w:t>‑</w:t>
      </w:r>
      <w:r>
        <w:rPr>
          <w:rFonts w:ascii="Arial" w:cs="Arial" w:eastAsia="Arial" w:hAnsi="Arial"/>
          <w:sz w:val="19"/>
          <w:szCs w:val="19"/>
          <w:color w:val="auto"/>
        </w:rPr>
        <w:t>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200" w:lineRule="exact"/>
        <w:rPr>
          <w:sz w:val="20"/>
          <w:szCs w:val="20"/>
          <w:color w:val="auto"/>
        </w:rPr>
      </w:pPr>
    </w:p>
    <w:p>
      <w:pPr>
        <w:spacing w:after="0" w:line="211" w:lineRule="exact"/>
        <w:rPr>
          <w:sz w:val="20"/>
          <w:szCs w:val="20"/>
          <w:color w:val="auto"/>
        </w:rPr>
      </w:pPr>
    </w:p>
    <w:p>
      <w:pPr>
        <w:jc w:val="both"/>
        <w:ind w:right="300" w:firstLine="648"/>
        <w:spacing w:after="0"/>
        <w:rPr>
          <w:sz w:val="20"/>
          <w:szCs w:val="20"/>
          <w:color w:val="auto"/>
        </w:rPr>
      </w:pPr>
      <w:r>
        <w:rPr>
          <w:rFonts w:ascii="Arial" w:cs="Arial" w:eastAsia="Arial" w:hAnsi="Arial"/>
          <w:sz w:val="22"/>
          <w:szCs w:val="22"/>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86" w:lineRule="exact"/>
        <w:rPr>
          <w:sz w:val="20"/>
          <w:szCs w:val="20"/>
          <w:color w:val="auto"/>
        </w:rPr>
      </w:pPr>
    </w:p>
    <w:p>
      <w:pPr>
        <w:ind w:right="20" w:firstLine="648"/>
        <w:spacing w:after="0" w:line="249" w:lineRule="exact"/>
        <w:rPr>
          <w:sz w:val="20"/>
          <w:szCs w:val="20"/>
          <w:color w:val="auto"/>
        </w:rPr>
      </w:pPr>
      <w:r>
        <w:rPr>
          <w:rFonts w:ascii="Arial" w:cs="Arial" w:eastAsia="Arial" w:hAnsi="Arial"/>
          <w:sz w:val="22"/>
          <w:szCs w:val="22"/>
          <w:color w:val="auto"/>
        </w:rPr>
        <w:t>We undertake to advise you promptly by tested telex or by telecopy on or prior to the date on which you intend to submit your certification relating to the above</w:t>
      </w:r>
      <w:r>
        <w:rPr>
          <w:rFonts w:ascii="MS PGothic" w:cs="MS PGothic" w:eastAsia="MS PGothic" w:hAnsi="MS PGothic"/>
          <w:sz w:val="22"/>
          <w:szCs w:val="22"/>
          <w:color w:val="auto"/>
        </w:rPr>
        <w:t>‑</w:t>
      </w:r>
      <w:r>
        <w:rPr>
          <w:rFonts w:ascii="Arial" w:cs="Arial" w:eastAsia="Arial" w:hAnsi="Arial"/>
          <w:sz w:val="22"/>
          <w:szCs w:val="22"/>
          <w:color w:val="auto"/>
        </w:rPr>
        <w:t>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88" w:lineRule="exact"/>
        <w:rPr>
          <w:sz w:val="20"/>
          <w:szCs w:val="20"/>
          <w:color w:val="auto"/>
        </w:rPr>
      </w:pPr>
    </w:p>
    <w:p>
      <w:pPr>
        <w:ind w:firstLine="648"/>
        <w:spacing w:after="0" w:line="251" w:lineRule="exact"/>
        <w:rPr>
          <w:sz w:val="20"/>
          <w:szCs w:val="20"/>
          <w:color w:val="auto"/>
        </w:rPr>
      </w:pPr>
      <w:r>
        <w:rPr>
          <w:rFonts w:ascii="Arial" w:cs="Arial" w:eastAsia="Arial" w:hAnsi="Arial"/>
          <w:sz w:val="19"/>
          <w:szCs w:val="19"/>
          <w:color w:val="auto"/>
        </w:rPr>
        <w:t>This certificate excepts and does not relate to [U.S.$] of such interest in the above</w:t>
      </w:r>
      <w:r>
        <w:rPr>
          <w:rFonts w:ascii="MS PGothic" w:cs="MS PGothic" w:eastAsia="MS PGothic" w:hAnsi="MS PGothic"/>
          <w:sz w:val="19"/>
          <w:szCs w:val="19"/>
          <w:color w:val="auto"/>
        </w:rPr>
        <w:t>‑</w:t>
      </w:r>
      <w:r>
        <w:rPr>
          <w:rFonts w:ascii="Arial" w:cs="Arial" w:eastAsia="Arial" w:hAnsi="Arial"/>
          <w:sz w:val="19"/>
          <w:szCs w:val="19"/>
          <w:color w:val="auto"/>
        </w:rPr>
        <w:t>captioned Securities in respect of which we are not 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61" w:right="1419" w:bottom="1440" w:gutter="0" w:footer="0" w:header="0"/>
        </w:sectPr>
      </w:pPr>
    </w:p>
    <w:bookmarkStart w:id="256" w:name="page257"/>
    <w:bookmarkEnd w:id="256"/>
    <w:p>
      <w:pPr>
        <w:ind w:right="179" w:firstLine="648"/>
        <w:spacing w:after="0" w:line="287" w:lineRule="auto"/>
        <w:rPr>
          <w:sz w:val="20"/>
          <w:szCs w:val="20"/>
          <w:color w:val="auto"/>
        </w:rPr>
      </w:pPr>
      <w:r>
        <w:rPr>
          <w:rFonts w:ascii="Arial" w:cs="Arial" w:eastAsia="Arial" w:hAnsi="Arial"/>
          <w:sz w:val="19"/>
          <w:szCs w:val="19"/>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right="619" w:firstLine="648"/>
        <w:spacing w:after="0" w:line="274" w:lineRule="auto"/>
        <w:rPr>
          <w:sz w:val="20"/>
          <w:szCs w:val="20"/>
          <w:color w:val="auto"/>
        </w:rPr>
      </w:pPr>
      <w:r>
        <w:rPr>
          <w:rFonts w:ascii="Arial" w:cs="Arial" w:eastAsia="Arial" w:hAnsi="Arial"/>
          <w:sz w:val="21"/>
          <w:szCs w:val="21"/>
          <w:color w:val="auto"/>
        </w:rPr>
        <w:t>[To be dated no earlier than the 15th day prior to (i) the Exchange Date or (ii) the relevant Interest Payment Date occurring prior to the Exchange Date, as applicable]</w:t>
      </w:r>
    </w:p>
    <w:p>
      <w:pPr>
        <w:spacing w:after="0" w:line="19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of Person Making Certification]</w:t>
      </w:r>
    </w:p>
    <w:p>
      <w:pPr>
        <w:spacing w:after="0" w:line="200" w:lineRule="exact"/>
        <w:rPr>
          <w:sz w:val="20"/>
          <w:szCs w:val="20"/>
          <w:color w:val="auto"/>
        </w:rPr>
      </w:pPr>
    </w:p>
    <w:p>
      <w:pPr>
        <w:spacing w:after="0" w:line="29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-154940</wp:posOffset>
            </wp:positionV>
            <wp:extent cx="287274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38" w:lineRule="auto"/>
        <w:rPr>
          <w:sz w:val="20"/>
          <w:szCs w:val="20"/>
          <w:color w:val="auto"/>
        </w:rPr>
      </w:pPr>
      <w:r>
        <w:rPr>
          <w:rFonts w:ascii="Arial" w:cs="Arial" w:eastAsia="Arial" w:hAnsi="Arial"/>
          <w:sz w:val="22"/>
          <w:szCs w:val="22"/>
          <w:color w:val="auto"/>
        </w:rPr>
        <w:t>Name:</w:t>
      </w:r>
    </w:p>
    <w:p>
      <w:pPr>
        <w:ind w:left="45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8" w:right="1440" w:bottom="1440" w:gutter="0" w:footer="0" w:header="0"/>
        </w:sectPr>
      </w:pPr>
    </w:p>
    <w:bookmarkStart w:id="257" w:name="page258"/>
    <w:bookmarkEnd w:id="257"/>
    <w:p>
      <w:pPr>
        <w:jc w:val="center"/>
        <w:spacing w:after="0" w:line="253" w:lineRule="exact"/>
        <w:rPr>
          <w:sz w:val="20"/>
          <w:szCs w:val="20"/>
          <w:color w:val="auto"/>
        </w:rPr>
      </w:pPr>
      <w:r>
        <w:rPr>
          <w:rFonts w:ascii="Arial" w:cs="Arial" w:eastAsia="Arial" w:hAnsi="Arial"/>
          <w:sz w:val="22"/>
          <w:szCs w:val="22"/>
          <w:color w:val="auto"/>
        </w:rPr>
        <w:t>EXHIBIT B</w:t>
      </w:r>
      <w:r>
        <w:rPr>
          <w:rFonts w:ascii="MS PGothic" w:cs="MS PGothic" w:eastAsia="MS PGothic" w:hAnsi="MS PGothic"/>
          <w:sz w:val="22"/>
          <w:szCs w:val="22"/>
          <w:color w:val="auto"/>
        </w:rPr>
        <w:t>‑</w:t>
      </w:r>
      <w:r>
        <w:rPr>
          <w:rFonts w:ascii="Arial" w:cs="Arial" w:eastAsia="Arial" w:hAnsi="Arial"/>
          <w:sz w:val="22"/>
          <w:szCs w:val="22"/>
          <w:color w:val="auto"/>
        </w:rPr>
        <w:t>2</w:t>
      </w:r>
    </w:p>
    <w:p>
      <w:pPr>
        <w:spacing w:after="0" w:line="207" w:lineRule="exact"/>
        <w:rPr>
          <w:sz w:val="20"/>
          <w:szCs w:val="20"/>
          <w:color w:val="auto"/>
        </w:rPr>
      </w:pPr>
    </w:p>
    <w:p>
      <w:pPr>
        <w:jc w:val="both"/>
        <w:ind w:left="480" w:right="360" w:hanging="108"/>
        <w:spacing w:after="0" w:line="297" w:lineRule="auto"/>
        <w:rPr>
          <w:sz w:val="20"/>
          <w:szCs w:val="20"/>
          <w:color w:val="auto"/>
        </w:rPr>
      </w:pPr>
      <w:r>
        <w:rPr>
          <w:rFonts w:ascii="Arial" w:cs="Arial" w:eastAsia="Arial" w:hAnsi="Arial"/>
          <w:sz w:val="19"/>
          <w:szCs w:val="19"/>
          <w:color w:val="auto"/>
        </w:rPr>
        <w:t>FORM OF CERTIFICATE TO BE GIVEN BY EUROCLEAR AND CLEARSTREAM S.A. IN CONNECTION WITH THE EXCHANGE OF A PORTION OF A TEMPORARY GLOBAL SECURITY OR TO OBTAIN INTEREST PAYABLE PRIOR TO THE EXCHANGE DATE</w:t>
      </w:r>
    </w:p>
    <w:p>
      <w:pPr>
        <w:spacing w:after="0" w:line="134"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CERTIFICATE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[Insert title or sufficient description of Securities to be delivered]</w:t>
      </w:r>
    </w:p>
    <w:p>
      <w:pPr>
        <w:spacing w:after="0" w:line="206" w:lineRule="exact"/>
        <w:rPr>
          <w:sz w:val="20"/>
          <w:szCs w:val="20"/>
          <w:color w:val="auto"/>
        </w:rPr>
      </w:pPr>
    </w:p>
    <w:p>
      <w:pPr>
        <w:ind w:firstLine="648"/>
        <w:spacing w:after="0" w:line="244" w:lineRule="exact"/>
        <w:rPr>
          <w:sz w:val="20"/>
          <w:szCs w:val="20"/>
          <w:color w:val="auto"/>
        </w:rPr>
      </w:pPr>
      <w:r>
        <w:rPr>
          <w:rFonts w:ascii="Arial" w:cs="Arial" w:eastAsia="Arial" w:hAnsi="Arial"/>
          <w:sz w:val="19"/>
          <w:szCs w:val="19"/>
          <w:color w:val="auto"/>
        </w:rPr>
        <w:t>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 principal amount of the above</w:t>
      </w:r>
      <w:r>
        <w:rPr>
          <w:rFonts w:ascii="MS PGothic" w:cs="MS PGothic" w:eastAsia="MS PGothic" w:hAnsi="MS PGothic"/>
          <w:sz w:val="19"/>
          <w:szCs w:val="19"/>
          <w:color w:val="auto"/>
        </w:rPr>
        <w:t>‑</w:t>
      </w:r>
      <w:r>
        <w:rPr>
          <w:rFonts w:ascii="Arial" w:cs="Arial" w:eastAsia="Arial" w:hAnsi="Arial"/>
          <w:sz w:val="19"/>
          <w:szCs w:val="19"/>
          <w:color w:val="auto"/>
        </w:rPr>
        <w:t>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(financial institutions, as defined in U.S. Treasury Regulations Section 1.165</w:t>
      </w:r>
      <w:r>
        <w:rPr>
          <w:rFonts w:ascii="MS PGothic" w:cs="MS PGothic" w:eastAsia="MS PGothic" w:hAnsi="MS PGothic"/>
          <w:sz w:val="19"/>
          <w:szCs w:val="19"/>
          <w:color w:val="auto"/>
        </w:rPr>
        <w:t>‑</w:t>
      </w:r>
      <w:r>
        <w:rPr>
          <w:rFonts w:ascii="Arial" w:cs="Arial" w:eastAsia="Arial" w:hAnsi="Arial"/>
          <w:sz w:val="19"/>
          <w:szCs w:val="19"/>
          <w:color w:val="auto"/>
        </w:rPr>
        <w:t>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w:t>
      </w:r>
    </w:p>
    <w:p>
      <w:pPr>
        <w:spacing w:after="0" w:line="7" w:lineRule="exact"/>
        <w:rPr>
          <w:sz w:val="20"/>
          <w:szCs w:val="20"/>
          <w:color w:val="auto"/>
        </w:rPr>
      </w:pPr>
    </w:p>
    <w:p>
      <w:pPr>
        <w:ind w:right="20" w:firstLine="3"/>
        <w:spacing w:after="0" w:line="245" w:lineRule="exact"/>
        <w:tabs>
          <w:tab w:leader="none" w:pos="294" w:val="left"/>
        </w:tabs>
        <w:numPr>
          <w:ilvl w:val="0"/>
          <w:numId w:val="206"/>
        </w:numPr>
        <w:rPr>
          <w:rFonts w:ascii="Arial" w:cs="Arial" w:eastAsia="Arial" w:hAnsi="Arial"/>
          <w:sz w:val="21"/>
          <w:szCs w:val="21"/>
          <w:color w:val="auto"/>
        </w:rPr>
      </w:pPr>
      <w:r>
        <w:rPr>
          <w:rFonts w:ascii="Arial" w:cs="Arial" w:eastAsia="Arial" w:hAnsi="Arial"/>
          <w:sz w:val="21"/>
          <w:szCs w:val="21"/>
          <w:color w:val="auto"/>
        </w:rPr>
        <w:t>or (b), each such financial institution has agreed, on its own behalf or through its agent, that we may advise Blueprint Medicines Corporation or its agent that such financial institution will comply with the requirements of Section 165(j)(3)(A), (B) or (C) of the Internal Revenue Code of 1986, as amended, and the regulations thereunder), or (iii) is owned by United States or foreign financial institution(s) for purposes of resale during the restricted period (as defined in United States Treasury Regulations Section 1.163</w:t>
      </w:r>
      <w:r>
        <w:rPr>
          <w:rFonts w:ascii="MS PGothic" w:cs="MS PGothic" w:eastAsia="MS PGothic" w:hAnsi="MS PGothic"/>
          <w:sz w:val="21"/>
          <w:szCs w:val="21"/>
          <w:color w:val="auto"/>
        </w:rPr>
        <w:t>‑</w:t>
      </w:r>
      <w:r>
        <w:rPr>
          <w:rFonts w:ascii="Arial" w:cs="Arial" w:eastAsia="Arial" w:hAnsi="Arial"/>
          <w:sz w:val="21"/>
          <w:szCs w:val="21"/>
          <w:color w:val="auto"/>
        </w:rPr>
        <w:t>5(c)(2)(i)(D)(7)),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185" w:lineRule="exact"/>
        <w:rPr>
          <w:sz w:val="20"/>
          <w:szCs w:val="20"/>
          <w:color w:val="auto"/>
        </w:rPr>
      </w:pPr>
    </w:p>
    <w:p>
      <w:pPr>
        <w:jc w:val="both"/>
        <w:ind w:right="300" w:firstLine="648"/>
        <w:spacing w:after="0"/>
        <w:rPr>
          <w:sz w:val="20"/>
          <w:szCs w:val="20"/>
          <w:color w:val="auto"/>
        </w:rPr>
      </w:pPr>
      <w:r>
        <w:rPr>
          <w:rFonts w:ascii="Arial" w:cs="Arial" w:eastAsia="Arial" w:hAnsi="Arial"/>
          <w:sz w:val="22"/>
          <w:szCs w:val="22"/>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further certify that (i) we are not making available herewith for exchange (or, if relevant,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collection of any interest) any portion of the temporary Global Security representing the</w:t>
      </w:r>
    </w:p>
    <w:p>
      <w:pPr>
        <w:spacing w:after="0" w:line="219" w:lineRule="exact"/>
        <w:rPr>
          <w:sz w:val="20"/>
          <w:szCs w:val="20"/>
          <w:color w:val="auto"/>
        </w:rPr>
      </w:pPr>
      <w:r>
        <w:rPr>
          <w:rFonts w:ascii="Arial" w:cs="Arial" w:eastAsia="Arial" w:hAnsi="Arial"/>
          <w:sz w:val="19"/>
          <w:szCs w:val="19"/>
          <w:color w:val="auto"/>
        </w:rPr>
        <w:t>above</w:t>
      </w:r>
      <w:r>
        <w:rPr>
          <w:rFonts w:ascii="MS PGothic" w:cs="MS PGothic" w:eastAsia="MS PGothic" w:hAnsi="MS PGothic"/>
          <w:sz w:val="19"/>
          <w:szCs w:val="19"/>
          <w:color w:val="auto"/>
        </w:rPr>
        <w:t>‑</w:t>
      </w:r>
      <w:r>
        <w:rPr>
          <w:rFonts w:ascii="Arial" w:cs="Arial" w:eastAsia="Arial" w:hAnsi="Arial"/>
          <w:sz w:val="19"/>
          <w:szCs w:val="19"/>
          <w:color w:val="auto"/>
        </w:rPr>
        <w:t>captioned Securities excepted in the above</w:t>
      </w:r>
      <w:r>
        <w:rPr>
          <w:rFonts w:ascii="MS PGothic" w:cs="MS PGothic" w:eastAsia="MS PGothic" w:hAnsi="MS PGothic"/>
          <w:sz w:val="19"/>
          <w:szCs w:val="19"/>
          <w:color w:val="auto"/>
        </w:rPr>
        <w:t>‑</w:t>
      </w:r>
      <w:r>
        <w:rPr>
          <w:rFonts w:ascii="Arial" w:cs="Arial" w:eastAsia="Arial" w:hAnsi="Arial"/>
          <w:sz w:val="19"/>
          <w:szCs w:val="19"/>
          <w:color w:val="auto"/>
        </w:rPr>
        <w:t>referenced certificates of Member Organizations and</w:t>
      </w:r>
    </w:p>
    <w:p>
      <w:pPr>
        <w:spacing w:after="0" w:line="25" w:lineRule="exact"/>
        <w:rPr>
          <w:sz w:val="20"/>
          <w:szCs w:val="20"/>
          <w:color w:val="auto"/>
        </w:rPr>
      </w:pPr>
    </w:p>
    <w:p>
      <w:pPr>
        <w:ind w:firstLine="3"/>
        <w:spacing w:after="0" w:line="233" w:lineRule="auto"/>
        <w:tabs>
          <w:tab w:leader="none" w:pos="318" w:val="left"/>
        </w:tabs>
        <w:numPr>
          <w:ilvl w:val="0"/>
          <w:numId w:val="207"/>
        </w:numPr>
        <w:rPr>
          <w:rFonts w:ascii="Arial" w:cs="Arial" w:eastAsia="Arial" w:hAnsi="Arial"/>
          <w:sz w:val="22"/>
          <w:szCs w:val="22"/>
          <w:color w:val="auto"/>
        </w:rPr>
      </w:pPr>
      <w:r>
        <w:rPr>
          <w:rFonts w:ascii="Arial" w:cs="Arial" w:eastAsia="Arial" w:hAnsi="Arial"/>
          <w:sz w:val="22"/>
          <w:szCs w:val="22"/>
          <w:color w:val="auto"/>
        </w:rPr>
        <w:t>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88" w:lineRule="exact"/>
        <w:rPr>
          <w:sz w:val="20"/>
          <w:szCs w:val="20"/>
          <w:color w:val="auto"/>
        </w:rPr>
      </w:pPr>
    </w:p>
    <w:p>
      <w:pPr>
        <w:ind w:right="80" w:firstLine="648"/>
        <w:spacing w:after="0" w:line="252" w:lineRule="auto"/>
        <w:rPr>
          <w:sz w:val="20"/>
          <w:szCs w:val="20"/>
          <w:color w:val="auto"/>
        </w:rPr>
      </w:pPr>
      <w:r>
        <w:rPr>
          <w:rFonts w:ascii="Arial" w:cs="Arial" w:eastAsia="Arial" w:hAnsi="Arial"/>
          <w:sz w:val="21"/>
          <w:szCs w:val="21"/>
          <w:color w:val="auto"/>
        </w:rPr>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58" w:name="page259"/>
    <w:bookmarkEnd w:id="258"/>
    <w:p>
      <w:pPr>
        <w:spacing w:after="0"/>
        <w:rPr>
          <w:sz w:val="20"/>
          <w:szCs w:val="20"/>
          <w:color w:val="auto"/>
        </w:rPr>
      </w:pPr>
      <w:r>
        <w:rPr>
          <w:rFonts w:ascii="Arial" w:cs="Arial" w:eastAsia="Arial" w:hAnsi="Arial"/>
          <w:sz w:val="22"/>
          <w:szCs w:val="22"/>
          <w:color w:val="auto"/>
        </w:rPr>
        <w:t>Dated: __________</w:t>
      </w:r>
    </w:p>
    <w:p>
      <w:pPr>
        <w:spacing w:after="0" w:line="207" w:lineRule="exact"/>
        <w:rPr>
          <w:sz w:val="20"/>
          <w:szCs w:val="20"/>
          <w:color w:val="auto"/>
        </w:rPr>
      </w:pPr>
    </w:p>
    <w:p>
      <w:pPr>
        <w:ind w:right="159" w:firstLine="648"/>
        <w:spacing w:after="0" w:line="251" w:lineRule="auto"/>
        <w:rPr>
          <w:sz w:val="20"/>
          <w:szCs w:val="20"/>
          <w:color w:val="auto"/>
        </w:rPr>
      </w:pPr>
      <w:r>
        <w:rPr>
          <w:rFonts w:ascii="Arial" w:cs="Arial" w:eastAsia="Arial" w:hAnsi="Arial"/>
          <w:sz w:val="22"/>
          <w:szCs w:val="22"/>
          <w:color w:val="auto"/>
        </w:rPr>
        <w:t>[To be dated no earlier than the Exchange Date or the relevant Interest Payment Date occurring prior to the Exchange Date, as applicable]</w:t>
      </w:r>
    </w:p>
    <w:p>
      <w:pPr>
        <w:spacing w:after="0" w:line="173" w:lineRule="exact"/>
        <w:rPr>
          <w:sz w:val="20"/>
          <w:szCs w:val="20"/>
          <w:color w:val="auto"/>
        </w:rPr>
      </w:pPr>
    </w:p>
    <w:p>
      <w:pPr>
        <w:ind w:right="219" w:firstLine="648"/>
        <w:spacing w:after="0" w:line="251" w:lineRule="auto"/>
        <w:rPr>
          <w:sz w:val="20"/>
          <w:szCs w:val="20"/>
          <w:color w:val="auto"/>
        </w:rPr>
      </w:pPr>
      <w:r>
        <w:rPr>
          <w:rFonts w:ascii="Arial" w:cs="Arial" w:eastAsia="Arial" w:hAnsi="Arial"/>
          <w:sz w:val="22"/>
          <w:szCs w:val="22"/>
          <w:color w:val="auto"/>
        </w:rPr>
        <w:t>[Morgan Guaranty Trust Company of New York, Brussels Office, as Operator of the Euroclear System Clearstream Banking Luxembourg]</w:t>
      </w:r>
    </w:p>
    <w:p>
      <w:pPr>
        <w:spacing w:after="0" w:line="187"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7620</wp:posOffset>
            </wp:positionV>
            <wp:extent cx="263271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ind w:left="4920"/>
        <w:spacing w:after="0"/>
        <w:rPr>
          <w:sz w:val="20"/>
          <w:szCs w:val="20"/>
          <w:color w:val="auto"/>
        </w:rPr>
      </w:pPr>
      <w:r>
        <w:rPr>
          <w:rFonts w:ascii="Arial" w:cs="Arial" w:eastAsia="Arial" w:hAnsi="Arial"/>
          <w:sz w:val="22"/>
          <w:szCs w:val="22"/>
          <w:color w:val="auto"/>
        </w:rPr>
        <w:t>Name:</w:t>
      </w:r>
    </w:p>
    <w:p>
      <w:pPr>
        <w:ind w:left="49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8" w:right="1440" w:bottom="1440" w:gutter="0" w:footer="0" w:header="0"/>
        </w:sectPr>
      </w:pPr>
    </w:p>
    <w:bookmarkStart w:id="259" w:name="page260"/>
    <w:bookmarkEnd w:id="259"/>
    <w:p>
      <w:pPr>
        <w:jc w:val="right"/>
        <w:ind w:right="139"/>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92" w:lineRule="exact"/>
        <w:rPr>
          <w:sz w:val="20"/>
          <w:szCs w:val="20"/>
          <w:color w:val="auto"/>
        </w:rPr>
      </w:pPr>
    </w:p>
    <w:p>
      <w:pPr>
        <w:jc w:val="right"/>
        <w:ind w:right="139"/>
        <w:spacing w:after="0"/>
        <w:rPr>
          <w:sz w:val="20"/>
          <w:szCs w:val="20"/>
          <w:color w:val="auto"/>
        </w:rPr>
      </w:pPr>
      <w:r>
        <w:rPr>
          <w:rFonts w:ascii="Arial" w:cs="Arial" w:eastAsia="Arial" w:hAnsi="Arial"/>
          <w:sz w:val="22"/>
          <w:szCs w:val="22"/>
          <w:color w:val="auto"/>
        </w:rPr>
        <w:t>May 10, 2016</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Blueprint Medicines Corporation</w:t>
      </w:r>
    </w:p>
    <w:p>
      <w:pPr>
        <w:ind w:left="160"/>
        <w:spacing w:after="0" w:line="238" w:lineRule="auto"/>
        <w:rPr>
          <w:sz w:val="20"/>
          <w:szCs w:val="20"/>
          <w:color w:val="auto"/>
        </w:rPr>
      </w:pPr>
      <w:r>
        <w:rPr>
          <w:rFonts w:ascii="Arial" w:cs="Arial" w:eastAsia="Arial" w:hAnsi="Arial"/>
          <w:sz w:val="22"/>
          <w:szCs w:val="22"/>
          <w:color w:val="auto"/>
        </w:rPr>
        <w:t>38 Sidney Street, Suite 200</w:t>
      </w:r>
    </w:p>
    <w:p>
      <w:pPr>
        <w:ind w:left="160"/>
        <w:spacing w:after="0"/>
        <w:rPr>
          <w:sz w:val="20"/>
          <w:szCs w:val="20"/>
          <w:color w:val="auto"/>
        </w:rPr>
      </w:pPr>
      <w:r>
        <w:rPr>
          <w:rFonts w:ascii="Arial" w:cs="Arial" w:eastAsia="Arial" w:hAnsi="Arial"/>
          <w:sz w:val="22"/>
          <w:szCs w:val="22"/>
          <w:color w:val="auto"/>
        </w:rPr>
        <w:t>Cambridge, MA 02139</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22"/>
          <w:szCs w:val="22"/>
          <w:color w:val="auto"/>
        </w:rPr>
        <w:t>Re: Securities Being Registered under Registration Statement on Form S-3</w:t>
      </w:r>
    </w:p>
    <w:p>
      <w:pPr>
        <w:spacing w:after="0" w:line="23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left="160" w:right="179"/>
        <w:spacing w:after="0" w:line="269" w:lineRule="auto"/>
        <w:rPr>
          <w:sz w:val="20"/>
          <w:szCs w:val="20"/>
          <w:color w:val="auto"/>
        </w:rPr>
      </w:pPr>
      <w:r>
        <w:rPr>
          <w:rFonts w:ascii="Arial" w:cs="Arial" w:eastAsia="Arial" w:hAnsi="Arial"/>
          <w:sz w:val="19"/>
          <w:szCs w:val="19"/>
          <w:color w:val="auto"/>
        </w:rPr>
        <w:t>We have acted as counsel to you in connection with your filing of a Registration Statement on Form S-3 (as amended or supplemented,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pursuant to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relating to the registration of up to $250,000,000 of any combination of (i) common stock, par value $0.001 per share (the “</w:t>
      </w:r>
      <w:r>
        <w:rPr>
          <w:rFonts w:ascii="Arial" w:cs="Arial" w:eastAsia="Arial" w:hAnsi="Arial"/>
          <w:sz w:val="19"/>
          <w:szCs w:val="19"/>
          <w:u w:val="single" w:color="auto"/>
          <w:color w:val="auto"/>
        </w:rPr>
        <w:t>Common Stock</w:t>
      </w:r>
      <w:r>
        <w:rPr>
          <w:rFonts w:ascii="Arial" w:cs="Arial" w:eastAsia="Arial" w:hAnsi="Arial"/>
          <w:sz w:val="19"/>
          <w:szCs w:val="19"/>
          <w:color w:val="auto"/>
        </w:rPr>
        <w:t>”), of Blueprint Medicines Corporation,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(ii) preferred stock, par value $0.001 per share, of the Company (the “</w:t>
      </w:r>
      <w:r>
        <w:rPr>
          <w:rFonts w:ascii="Arial" w:cs="Arial" w:eastAsia="Arial" w:hAnsi="Arial"/>
          <w:sz w:val="19"/>
          <w:szCs w:val="19"/>
          <w:u w:val="single" w:color="auto"/>
          <w:color w:val="auto"/>
        </w:rPr>
        <w:t>Preferred Stock</w:t>
      </w:r>
      <w:r>
        <w:rPr>
          <w:rFonts w:ascii="Arial" w:cs="Arial" w:eastAsia="Arial" w:hAnsi="Arial"/>
          <w:sz w:val="19"/>
          <w:szCs w:val="19"/>
          <w:color w:val="auto"/>
        </w:rPr>
        <w:t>”), which may be issued as such or in the form of depositary shares (the “</w:t>
      </w:r>
      <w:r>
        <w:rPr>
          <w:rFonts w:ascii="Arial" w:cs="Arial" w:eastAsia="Arial" w:hAnsi="Arial"/>
          <w:sz w:val="19"/>
          <w:szCs w:val="19"/>
          <w:u w:val="single" w:color="auto"/>
          <w:color w:val="auto"/>
        </w:rPr>
        <w:t>Depositary Shares</w:t>
      </w:r>
      <w:r>
        <w:rPr>
          <w:rFonts w:ascii="Arial" w:cs="Arial" w:eastAsia="Arial" w:hAnsi="Arial"/>
          <w:sz w:val="19"/>
          <w:szCs w:val="19"/>
          <w:color w:val="auto"/>
        </w:rPr>
        <w:t>”), evidenced by depositary receipts issued against deposit of shares of Preferred Stock pursuant to a deposit agreement to be entered into between the Company and a bank or trust company selected by the Company (the “</w:t>
      </w:r>
      <w:r>
        <w:rPr>
          <w:rFonts w:ascii="Arial" w:cs="Arial" w:eastAsia="Arial" w:hAnsi="Arial"/>
          <w:sz w:val="19"/>
          <w:szCs w:val="19"/>
          <w:u w:val="single" w:color="auto"/>
          <w:color w:val="auto"/>
        </w:rPr>
        <w:t>Depositary</w:t>
      </w:r>
      <w:r>
        <w:rPr>
          <w:rFonts w:ascii="Arial" w:cs="Arial" w:eastAsia="Arial" w:hAnsi="Arial"/>
          <w:sz w:val="19"/>
          <w:szCs w:val="19"/>
          <w:color w:val="auto"/>
        </w:rPr>
        <w:t>”), (iii) debt securities of the Company (“</w:t>
      </w:r>
      <w:r>
        <w:rPr>
          <w:rFonts w:ascii="Arial" w:cs="Arial" w:eastAsia="Arial" w:hAnsi="Arial"/>
          <w:sz w:val="19"/>
          <w:szCs w:val="19"/>
          <w:u w:val="single" w:color="auto"/>
          <w:color w:val="auto"/>
        </w:rPr>
        <w:t>Debt Securities</w:t>
      </w:r>
      <w:r>
        <w:rPr>
          <w:rFonts w:ascii="Arial" w:cs="Arial" w:eastAsia="Arial" w:hAnsi="Arial"/>
          <w:sz w:val="19"/>
          <w:szCs w:val="19"/>
          <w:color w:val="auto"/>
        </w:rPr>
        <w:t>”), (iv) warrants to purchase Common Stock, Preferred Stock, Debt Securities, Depositary Shares or Units (as defined below ) (“</w:t>
      </w:r>
      <w:r>
        <w:rPr>
          <w:rFonts w:ascii="Arial" w:cs="Arial" w:eastAsia="Arial" w:hAnsi="Arial"/>
          <w:sz w:val="19"/>
          <w:szCs w:val="19"/>
          <w:u w:val="single" w:color="auto"/>
          <w:color w:val="auto"/>
        </w:rPr>
        <w:t>Warrants</w:t>
      </w:r>
      <w:r>
        <w:rPr>
          <w:rFonts w:ascii="Arial" w:cs="Arial" w:eastAsia="Arial" w:hAnsi="Arial"/>
          <w:sz w:val="19"/>
          <w:szCs w:val="19"/>
          <w:color w:val="auto"/>
        </w:rPr>
        <w:t>”), (v) units comprised of Common Stock, Preferred Stock, Debt Securities, Depositary Shares, Stock Purchase Contracts (as defined below), Warrants and other securities in any combination (“</w:t>
      </w:r>
      <w:r>
        <w:rPr>
          <w:rFonts w:ascii="Arial" w:cs="Arial" w:eastAsia="Arial" w:hAnsi="Arial"/>
          <w:sz w:val="19"/>
          <w:szCs w:val="19"/>
          <w:u w:val="single" w:color="auto"/>
          <w:color w:val="auto"/>
        </w:rPr>
        <w:t>Units</w:t>
      </w:r>
      <w:r>
        <w:rPr>
          <w:rFonts w:ascii="Arial" w:cs="Arial" w:eastAsia="Arial" w:hAnsi="Arial"/>
          <w:sz w:val="19"/>
          <w:szCs w:val="19"/>
          <w:color w:val="auto"/>
        </w:rPr>
        <w:t>”) and (vi) purchase contracts of the Company (the “</w:t>
      </w:r>
      <w:r>
        <w:rPr>
          <w:rFonts w:ascii="Arial" w:cs="Arial" w:eastAsia="Arial" w:hAnsi="Arial"/>
          <w:sz w:val="19"/>
          <w:szCs w:val="19"/>
          <w:u w:val="single" w:color="auto"/>
          <w:color w:val="auto"/>
        </w:rPr>
        <w:t>Stock Purchase Contracts</w:t>
      </w:r>
      <w:r>
        <w:rPr>
          <w:rFonts w:ascii="Arial" w:cs="Arial" w:eastAsia="Arial" w:hAnsi="Arial"/>
          <w:sz w:val="19"/>
          <w:szCs w:val="19"/>
          <w:color w:val="auto"/>
        </w:rPr>
        <w:t>”), obligating the holders thereof to purchase from or sell to the Company, or the Company to sell to or purchase from such holders, Common Stock, Preferred Stock or other securities at a future date or dates. The Common Stock, Preferred Stock, Debt Securities, Depositary Shares, Warrants, Units and Stock Purchase Contracts are sometimes referred to collectively herein as the “</w:t>
      </w:r>
      <w:r>
        <w:rPr>
          <w:rFonts w:ascii="Arial" w:cs="Arial" w:eastAsia="Arial" w:hAnsi="Arial"/>
          <w:sz w:val="19"/>
          <w:szCs w:val="19"/>
          <w:u w:val="single" w:color="auto"/>
          <w:color w:val="auto"/>
        </w:rPr>
        <w:t>Securities</w:t>
      </w:r>
      <w:r>
        <w:rPr>
          <w:rFonts w:ascii="Arial" w:cs="Arial" w:eastAsia="Arial" w:hAnsi="Arial"/>
          <w:sz w:val="19"/>
          <w:szCs w:val="19"/>
          <w:color w:val="auto"/>
        </w:rPr>
        <w:t>.” Securities may be issued in an unspecified number (with respect to Common Stock, Preferred Stock, Warrants, Units and Stock Purchase Contracts) or in an unspecified principal amount (with respect to Debt Securities). The Registration Statement provides that the Securities may be offered separately or together, in separate series, in amounts, at prices and on terms to be set forth in one or more prospectus supplements (each a “</w:t>
      </w:r>
      <w:r>
        <w:rPr>
          <w:rFonts w:ascii="Arial" w:cs="Arial" w:eastAsia="Arial" w:hAnsi="Arial"/>
          <w:sz w:val="19"/>
          <w:szCs w:val="19"/>
          <w:u w:val="single" w:color="auto"/>
          <w:color w:val="auto"/>
        </w:rPr>
        <w:t>Prospectus Supplement</w:t>
      </w:r>
      <w:r>
        <w:rPr>
          <w:rFonts w:ascii="Arial" w:cs="Arial" w:eastAsia="Arial" w:hAnsi="Arial"/>
          <w:sz w:val="19"/>
          <w:szCs w:val="19"/>
          <w:color w:val="auto"/>
        </w:rPr>
        <w:t>”) to the prospectus contained in the Registration Statement.</w:t>
      </w:r>
    </w:p>
    <w:p>
      <w:pPr>
        <w:spacing w:after="0" w:line="202" w:lineRule="exact"/>
        <w:rPr>
          <w:sz w:val="20"/>
          <w:szCs w:val="20"/>
          <w:color w:val="auto"/>
        </w:rPr>
      </w:pPr>
    </w:p>
    <w:p>
      <w:pPr>
        <w:ind w:left="160" w:right="359"/>
        <w:spacing w:after="0" w:line="238" w:lineRule="auto"/>
        <w:rPr>
          <w:sz w:val="20"/>
          <w:szCs w:val="20"/>
          <w:color w:val="auto"/>
        </w:rPr>
      </w:pPr>
      <w:r>
        <w:rPr>
          <w:rFonts w:ascii="Arial" w:cs="Arial" w:eastAsia="Arial" w:hAnsi="Arial"/>
          <w:sz w:val="22"/>
          <w:szCs w:val="22"/>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and on certificates of officers of the Company.</w:t>
      </w:r>
    </w:p>
    <w:p>
      <w:pPr>
        <w:spacing w:after="0" w:line="212" w:lineRule="exact"/>
        <w:rPr>
          <w:sz w:val="20"/>
          <w:szCs w:val="20"/>
          <w:color w:val="auto"/>
        </w:rPr>
      </w:pPr>
    </w:p>
    <w:p>
      <w:pPr>
        <w:ind w:left="160" w:right="279"/>
        <w:spacing w:after="0" w:line="236" w:lineRule="auto"/>
        <w:rPr>
          <w:sz w:val="20"/>
          <w:szCs w:val="20"/>
          <w:color w:val="auto"/>
        </w:rPr>
      </w:pPr>
      <w:r>
        <w:rPr>
          <w:rFonts w:ascii="Arial" w:cs="Arial" w:eastAsia="Arial" w:hAnsi="Arial"/>
          <w:sz w:val="22"/>
          <w:szCs w:val="22"/>
          <w:color w:val="auto"/>
        </w:rPr>
        <w:t>The opinions set forth below are limited to the Delaware General Corporation Law (which includes reported judicial decisions interpreting the Delaware General Corporation Law), the law of New York, and the federal law of the United States. Without limiting the generality of the foregoing, we express no opinion with respect to (i) state securities or “blue sky” laws, or (ii) state or federal antitrust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287020</wp:posOffset>
            </wp:positionV>
            <wp:extent cx="5548630"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0" w:name="page261"/>
    <w:bookmarkEnd w:id="260"/>
    <w:p>
      <w:pPr>
        <w:ind w:left="160"/>
        <w:spacing w:after="0"/>
        <w:rPr>
          <w:sz w:val="20"/>
          <w:szCs w:val="20"/>
          <w:color w:val="auto"/>
        </w:rPr>
      </w:pPr>
      <w:r>
        <w:rPr>
          <w:rFonts w:ascii="Arial" w:cs="Arial" w:eastAsia="Arial" w:hAnsi="Arial"/>
          <w:sz w:val="22"/>
          <w:szCs w:val="22"/>
          <w:color w:val="auto"/>
        </w:rPr>
        <w:t>Blueprint Medicines Corporation</w:t>
      </w:r>
    </w:p>
    <w:p>
      <w:pPr>
        <w:ind w:left="160"/>
        <w:spacing w:after="0" w:line="238" w:lineRule="auto"/>
        <w:rPr>
          <w:sz w:val="20"/>
          <w:szCs w:val="20"/>
          <w:color w:val="auto"/>
        </w:rPr>
      </w:pPr>
      <w:r>
        <w:rPr>
          <w:rFonts w:ascii="Arial" w:cs="Arial" w:eastAsia="Arial" w:hAnsi="Arial"/>
          <w:sz w:val="22"/>
          <w:szCs w:val="22"/>
          <w:color w:val="auto"/>
        </w:rPr>
        <w:t>May 10, 2016</w:t>
      </w:r>
    </w:p>
    <w:p>
      <w:pPr>
        <w:ind w:left="160"/>
        <w:spacing w:after="0"/>
        <w:rPr>
          <w:sz w:val="20"/>
          <w:szCs w:val="20"/>
          <w:color w:val="auto"/>
        </w:rPr>
      </w:pPr>
      <w:r>
        <w:rPr>
          <w:rFonts w:ascii="Arial" w:cs="Arial" w:eastAsia="Arial" w:hAnsi="Arial"/>
          <w:sz w:val="22"/>
          <w:szCs w:val="22"/>
          <w:color w:val="auto"/>
        </w:rPr>
        <w:t>Page 2</w:t>
      </w:r>
    </w:p>
    <w:p>
      <w:pPr>
        <w:spacing w:after="0" w:line="188" w:lineRule="exact"/>
        <w:rPr>
          <w:sz w:val="20"/>
          <w:szCs w:val="20"/>
          <w:color w:val="auto"/>
        </w:rPr>
      </w:pPr>
    </w:p>
    <w:p>
      <w:pPr>
        <w:ind w:left="160" w:right="239"/>
        <w:spacing w:after="0" w:line="245" w:lineRule="auto"/>
        <w:rPr>
          <w:sz w:val="20"/>
          <w:szCs w:val="20"/>
          <w:color w:val="auto"/>
        </w:rPr>
      </w:pPr>
      <w:r>
        <w:rPr>
          <w:rFonts w:ascii="Arial" w:cs="Arial" w:eastAsia="Arial" w:hAnsi="Arial"/>
          <w:sz w:val="21"/>
          <w:szCs w:val="21"/>
          <w:color w:val="auto"/>
        </w:rPr>
        <w:t>For purposes of the opinions set forth below, without limiting any other exceptions or qualifications set forth herein, we have assumed that after the issuance of any Securities offered pursuant to the Registration Statement, the total number of issued shares of Common Stock or Preferred Stock, as applicable, together with the total number of shares of such stock issuable upon the exercise, exchange, conversion or settlement, as the case may be, of any exercisable, exchangeable or convertible security (including without limitation any Unit or Stock Purchase Contract), as the case may be, then outstanding, will not exceed the total number of authorized shares of Common Stock or Preferred Stock, as applicable, under the Company’s certificate of incorporation as then in effect (the “</w:t>
      </w:r>
      <w:r>
        <w:rPr>
          <w:rFonts w:ascii="Arial" w:cs="Arial" w:eastAsia="Arial" w:hAnsi="Arial"/>
          <w:sz w:val="21"/>
          <w:szCs w:val="21"/>
          <w:u w:val="single" w:color="auto"/>
          <w:color w:val="auto"/>
        </w:rPr>
        <w:t>Charter</w:t>
      </w:r>
      <w:r>
        <w:rPr>
          <w:rFonts w:ascii="Arial" w:cs="Arial" w:eastAsia="Arial" w:hAnsi="Arial"/>
          <w:sz w:val="21"/>
          <w:szCs w:val="21"/>
          <w:color w:val="auto"/>
        </w:rPr>
        <w:t>”).</w:t>
      </w:r>
    </w:p>
    <w:p>
      <w:pPr>
        <w:spacing w:after="0" w:line="212" w:lineRule="exact"/>
        <w:rPr>
          <w:sz w:val="20"/>
          <w:szCs w:val="20"/>
          <w:color w:val="auto"/>
        </w:rPr>
      </w:pPr>
    </w:p>
    <w:p>
      <w:pPr>
        <w:ind w:left="160" w:right="279"/>
        <w:spacing w:after="0" w:line="251" w:lineRule="auto"/>
        <w:rPr>
          <w:sz w:val="20"/>
          <w:szCs w:val="20"/>
          <w:color w:val="auto"/>
        </w:rPr>
      </w:pPr>
      <w:r>
        <w:rPr>
          <w:rFonts w:ascii="Arial" w:cs="Arial" w:eastAsia="Arial" w:hAnsi="Arial"/>
          <w:sz w:val="22"/>
          <w:szCs w:val="22"/>
          <w:color w:val="auto"/>
        </w:rPr>
        <w:t>For purposes of the opinions set forth below, we refer to the following as the “Future Authorization and Issuance” of Securities:</w:t>
      </w:r>
    </w:p>
    <w:p>
      <w:pPr>
        <w:spacing w:after="0" w:line="200" w:lineRule="exact"/>
        <w:rPr>
          <w:sz w:val="20"/>
          <w:szCs w:val="20"/>
          <w:color w:val="auto"/>
        </w:rPr>
      </w:pPr>
    </w:p>
    <w:p>
      <w:pPr>
        <w:ind w:left="1180" w:right="179" w:hanging="53"/>
        <w:spacing w:after="0" w:line="235" w:lineRule="auto"/>
        <w:rPr>
          <w:sz w:val="20"/>
          <w:szCs w:val="20"/>
          <w:color w:val="auto"/>
        </w:rPr>
      </w:pPr>
      <w:r>
        <w:rPr>
          <w:rFonts w:ascii="Arial" w:cs="Arial" w:eastAsia="Arial" w:hAnsi="Arial"/>
          <w:sz w:val="22"/>
          <w:szCs w:val="22"/>
          <w:color w:val="auto"/>
        </w:rPr>
        <w:t>·with respect to any of the Securities, (a) the authorization by the Company of the amount, terms and issuance of such Securities (the “</w:t>
      </w:r>
      <w:r>
        <w:rPr>
          <w:rFonts w:ascii="Arial" w:cs="Arial" w:eastAsia="Arial" w:hAnsi="Arial"/>
          <w:sz w:val="22"/>
          <w:szCs w:val="22"/>
          <w:u w:val="single" w:color="auto"/>
          <w:color w:val="auto"/>
        </w:rPr>
        <w:t>Authorization</w:t>
      </w:r>
      <w:r>
        <w:rPr>
          <w:rFonts w:ascii="Arial" w:cs="Arial" w:eastAsia="Arial" w:hAnsi="Arial"/>
          <w:sz w:val="22"/>
          <w:szCs w:val="22"/>
          <w:color w:val="auto"/>
        </w:rPr>
        <w:t>”) and (b) the issuance of such Securities in accordance with the Authorization therefor upon the receipt by the Company of the consideration (which, in the case of shares of Common Stock or Preferred Stock, is not less than the par value of such shares) to be paid therefor in accordance with the Authorization;</w:t>
      </w:r>
    </w:p>
    <w:p>
      <w:pPr>
        <w:spacing w:after="0" w:line="215" w:lineRule="exact"/>
        <w:rPr>
          <w:sz w:val="20"/>
          <w:szCs w:val="20"/>
          <w:color w:val="auto"/>
        </w:rPr>
      </w:pPr>
    </w:p>
    <w:p>
      <w:pPr>
        <w:ind w:left="1180" w:right="459" w:hanging="53"/>
        <w:spacing w:after="0" w:line="282" w:lineRule="auto"/>
        <w:rPr>
          <w:sz w:val="20"/>
          <w:szCs w:val="20"/>
          <w:color w:val="auto"/>
        </w:rPr>
      </w:pPr>
      <w:r>
        <w:rPr>
          <w:rFonts w:ascii="Arial" w:cs="Arial" w:eastAsia="Arial" w:hAnsi="Arial"/>
          <w:sz w:val="19"/>
          <w:szCs w:val="19"/>
          <w:color w:val="auto"/>
        </w:rPr>
        <w:t>·with respect to Preferred Stock, (a) the establishment of the terms of such Preferred Stock by the Company in conformity with the Charter and applicable law and (b) the execution, acknowledgement and filing with the Delaware Secretary of State, and the effectiveness of, a certificate of designations to the Charter setting forth the terms of such Preferred Stock in accordance with the Charter and applicable law;</w:t>
      </w:r>
    </w:p>
    <w:p>
      <w:pPr>
        <w:spacing w:after="0" w:line="175" w:lineRule="exact"/>
        <w:rPr>
          <w:sz w:val="20"/>
          <w:szCs w:val="20"/>
          <w:color w:val="auto"/>
        </w:rPr>
      </w:pPr>
    </w:p>
    <w:p>
      <w:pPr>
        <w:ind w:left="1180" w:right="239" w:hanging="53"/>
        <w:spacing w:after="0" w:line="279" w:lineRule="auto"/>
        <w:rPr>
          <w:sz w:val="20"/>
          <w:szCs w:val="20"/>
          <w:color w:val="auto"/>
        </w:rPr>
      </w:pPr>
      <w:r>
        <w:rPr>
          <w:rFonts w:ascii="Arial" w:cs="Arial" w:eastAsia="Arial" w:hAnsi="Arial"/>
          <w:sz w:val="19"/>
          <w:szCs w:val="19"/>
          <w:color w:val="auto"/>
        </w:rPr>
        <w:t>·with respect to Debt Securities, (a) the authorization, execution and delivery of the indenture or a supplemental indenture relating to such Securities by the Company and the trustee thereunder and/or (b) the establishment of the terms of such Securities by the Company in conformity with the applicable indenture or supplemental indenture and applicable law, and (c) the execution, authentication and issuance of such Securities in accordance with the applicable indenture or supplemental indenture and applicable law;</w:t>
      </w:r>
    </w:p>
    <w:p>
      <w:pPr>
        <w:spacing w:after="0" w:line="178" w:lineRule="exact"/>
        <w:rPr>
          <w:sz w:val="20"/>
          <w:szCs w:val="20"/>
          <w:color w:val="auto"/>
        </w:rPr>
      </w:pPr>
    </w:p>
    <w:p>
      <w:pPr>
        <w:ind w:left="1180" w:right="199" w:hanging="53"/>
        <w:spacing w:after="0" w:line="277" w:lineRule="auto"/>
        <w:rPr>
          <w:sz w:val="20"/>
          <w:szCs w:val="20"/>
          <w:color w:val="auto"/>
        </w:rPr>
      </w:pPr>
      <w:r>
        <w:rPr>
          <w:rFonts w:ascii="Arial" w:cs="Arial" w:eastAsia="Arial" w:hAnsi="Arial"/>
          <w:sz w:val="19"/>
          <w:szCs w:val="19"/>
          <w:color w:val="auto"/>
        </w:rPr>
        <w:t>·with respect to Depositary Shares, (a) the authorization, execution and delivery by the Company and the Depositary of the depositary agreement under which such Depositary Shares are to be issued, (b) the establishment of the terms of such Depositary Shares by the Company in conformity with the deposit agreement and applicable law, (c) the authorization, issuance and delivery to the Depositary of the shares of Preferred Stock represented by the Depositary Shares in accordance with the Charter and applicable law, and (d) the execution, countersignature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110490</wp:posOffset>
            </wp:positionV>
            <wp:extent cx="5548630"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604" w:right="1440" w:bottom="1440" w:gutter="0" w:footer="0" w:header="0"/>
        </w:sectPr>
      </w:pPr>
    </w:p>
    <w:bookmarkStart w:id="261" w:name="page262"/>
    <w:bookmarkEnd w:id="261"/>
    <w:p>
      <w:pPr>
        <w:ind w:left="160"/>
        <w:spacing w:after="0"/>
        <w:rPr>
          <w:sz w:val="20"/>
          <w:szCs w:val="20"/>
          <w:color w:val="auto"/>
        </w:rPr>
      </w:pPr>
      <w:r>
        <w:rPr>
          <w:rFonts w:ascii="Arial" w:cs="Arial" w:eastAsia="Arial" w:hAnsi="Arial"/>
          <w:sz w:val="22"/>
          <w:szCs w:val="22"/>
          <w:color w:val="auto"/>
        </w:rPr>
        <w:t>Blueprint Medicines Corporation</w:t>
      </w:r>
    </w:p>
    <w:p>
      <w:pPr>
        <w:ind w:left="160"/>
        <w:spacing w:after="0" w:line="238" w:lineRule="auto"/>
        <w:rPr>
          <w:sz w:val="20"/>
          <w:szCs w:val="20"/>
          <w:color w:val="auto"/>
        </w:rPr>
      </w:pPr>
      <w:r>
        <w:rPr>
          <w:rFonts w:ascii="Arial" w:cs="Arial" w:eastAsia="Arial" w:hAnsi="Arial"/>
          <w:sz w:val="22"/>
          <w:szCs w:val="22"/>
          <w:color w:val="auto"/>
        </w:rPr>
        <w:t>May 10, 2016</w:t>
      </w:r>
    </w:p>
    <w:p>
      <w:pPr>
        <w:ind w:left="160"/>
        <w:spacing w:after="0"/>
        <w:rPr>
          <w:sz w:val="20"/>
          <w:szCs w:val="20"/>
          <w:color w:val="auto"/>
        </w:rPr>
      </w:pPr>
      <w:r>
        <w:rPr>
          <w:rFonts w:ascii="Arial" w:cs="Arial" w:eastAsia="Arial" w:hAnsi="Arial"/>
          <w:sz w:val="22"/>
          <w:szCs w:val="22"/>
          <w:color w:val="auto"/>
        </w:rPr>
        <w:t>Page 3</w:t>
      </w:r>
    </w:p>
    <w:p>
      <w:pPr>
        <w:spacing w:after="0" w:line="188" w:lineRule="exact"/>
        <w:rPr>
          <w:sz w:val="20"/>
          <w:szCs w:val="20"/>
          <w:color w:val="auto"/>
        </w:rPr>
      </w:pPr>
    </w:p>
    <w:p>
      <w:pPr>
        <w:ind w:left="1440" w:right="279"/>
        <w:spacing w:after="0" w:line="251" w:lineRule="auto"/>
        <w:rPr>
          <w:sz w:val="20"/>
          <w:szCs w:val="20"/>
          <w:color w:val="auto"/>
        </w:rPr>
      </w:pPr>
      <w:r>
        <w:rPr>
          <w:rFonts w:ascii="Arial" w:cs="Arial" w:eastAsia="Arial" w:hAnsi="Arial"/>
          <w:sz w:val="22"/>
          <w:szCs w:val="22"/>
          <w:color w:val="auto"/>
        </w:rPr>
        <w:t>issuance of depositary receipts evidencing the Depositary Shares in accordance with the deposit agreement and applicable law; and</w:t>
      </w:r>
    </w:p>
    <w:p>
      <w:pPr>
        <w:spacing w:after="0" w:line="200" w:lineRule="exact"/>
        <w:rPr>
          <w:sz w:val="20"/>
          <w:szCs w:val="20"/>
          <w:color w:val="auto"/>
        </w:rPr>
      </w:pPr>
    </w:p>
    <w:p>
      <w:pPr>
        <w:ind w:left="1180" w:right="379" w:hanging="53"/>
        <w:spacing w:after="0" w:line="235" w:lineRule="auto"/>
        <w:rPr>
          <w:sz w:val="20"/>
          <w:szCs w:val="20"/>
          <w:color w:val="auto"/>
        </w:rPr>
      </w:pPr>
      <w:r>
        <w:rPr>
          <w:rFonts w:ascii="Arial" w:cs="Arial" w:eastAsia="Arial" w:hAnsi="Arial"/>
          <w:sz w:val="22"/>
          <w:szCs w:val="22"/>
          <w:color w:val="auto"/>
        </w:rPr>
        <w:t>·with respect to Warrants, Units and Stock Purchase Contracts, (a) the authorization, execution and delivery by the Company and the other parties thereto of any agreement under which such Securities are to be issued and (b) the establishment of the terms of such Securities, and the execution and delivery of such Securities, in conformity with any applicable agreement under which such Securities are to be issued and applicable law.</w:t>
      </w:r>
    </w:p>
    <w:p>
      <w:pPr>
        <w:spacing w:after="0" w:line="215" w:lineRule="exact"/>
        <w:rPr>
          <w:sz w:val="20"/>
          <w:szCs w:val="20"/>
          <w:color w:val="auto"/>
        </w:rPr>
      </w:pPr>
    </w:p>
    <w:p>
      <w:pPr>
        <w:ind w:left="160" w:right="299"/>
        <w:spacing w:after="0" w:line="251" w:lineRule="auto"/>
        <w:rPr>
          <w:sz w:val="20"/>
          <w:szCs w:val="20"/>
          <w:color w:val="auto"/>
        </w:rPr>
      </w:pPr>
      <w:r>
        <w:rPr>
          <w:rFonts w:ascii="Arial" w:cs="Arial" w:eastAsia="Arial" w:hAnsi="Arial"/>
          <w:sz w:val="22"/>
          <w:szCs w:val="22"/>
          <w:color w:val="auto"/>
        </w:rPr>
        <w:t>Based upon the foregoing, and subject to the additional qualifications set forth below, we are of the opinion that:</w:t>
      </w:r>
    </w:p>
    <w:p>
      <w:pPr>
        <w:spacing w:after="0" w:line="200" w:lineRule="exact"/>
        <w:rPr>
          <w:sz w:val="20"/>
          <w:szCs w:val="20"/>
          <w:color w:val="auto"/>
        </w:rPr>
      </w:pPr>
    </w:p>
    <w:p>
      <w:pPr>
        <w:ind w:left="160" w:right="379" w:firstLine="639"/>
        <w:spacing w:after="0" w:line="251" w:lineRule="auto"/>
        <w:tabs>
          <w:tab w:leader="none" w:pos="1024" w:val="left"/>
        </w:tabs>
        <w:numPr>
          <w:ilvl w:val="0"/>
          <w:numId w:val="208"/>
        </w:numPr>
        <w:rPr>
          <w:rFonts w:ascii="Arial" w:cs="Arial" w:eastAsia="Arial" w:hAnsi="Arial"/>
          <w:sz w:val="22"/>
          <w:szCs w:val="22"/>
          <w:color w:val="auto"/>
        </w:rPr>
      </w:pPr>
      <w:r>
        <w:rPr>
          <w:rFonts w:ascii="Arial" w:cs="Arial" w:eastAsia="Arial" w:hAnsi="Arial"/>
          <w:sz w:val="22"/>
          <w:szCs w:val="22"/>
          <w:color w:val="auto"/>
        </w:rPr>
        <w:t>Upon the Future Authorization and Issuance of shares of Common Stock, such shares of Common Stock will be validly issued, fully paid and non-assessable.</w:t>
      </w:r>
    </w:p>
    <w:p>
      <w:pPr>
        <w:spacing w:after="0" w:line="200" w:lineRule="exact"/>
        <w:rPr>
          <w:rFonts w:ascii="Arial" w:cs="Arial" w:eastAsia="Arial" w:hAnsi="Arial"/>
          <w:sz w:val="22"/>
          <w:szCs w:val="22"/>
          <w:color w:val="auto"/>
        </w:rPr>
      </w:pPr>
    </w:p>
    <w:p>
      <w:pPr>
        <w:ind w:left="160" w:right="379" w:firstLine="639"/>
        <w:spacing w:after="0" w:line="251" w:lineRule="auto"/>
        <w:tabs>
          <w:tab w:leader="none" w:pos="1024" w:val="left"/>
        </w:tabs>
        <w:numPr>
          <w:ilvl w:val="0"/>
          <w:numId w:val="208"/>
        </w:numPr>
        <w:rPr>
          <w:rFonts w:ascii="Arial" w:cs="Arial" w:eastAsia="Arial" w:hAnsi="Arial"/>
          <w:sz w:val="22"/>
          <w:szCs w:val="22"/>
          <w:color w:val="auto"/>
        </w:rPr>
      </w:pPr>
      <w:r>
        <w:rPr>
          <w:rFonts w:ascii="Arial" w:cs="Arial" w:eastAsia="Arial" w:hAnsi="Arial"/>
          <w:sz w:val="22"/>
          <w:szCs w:val="22"/>
          <w:color w:val="auto"/>
        </w:rPr>
        <w:t>Upon the Future Authorization and Issuance of shares of Preferred Stock, such shares of Preferred Stock will be validly issued, fully paid and non-assessable.</w:t>
      </w:r>
    </w:p>
    <w:p>
      <w:pPr>
        <w:spacing w:after="0" w:line="200" w:lineRule="exact"/>
        <w:rPr>
          <w:rFonts w:ascii="Arial" w:cs="Arial" w:eastAsia="Arial" w:hAnsi="Arial"/>
          <w:sz w:val="22"/>
          <w:szCs w:val="22"/>
          <w:color w:val="auto"/>
        </w:rPr>
      </w:pPr>
    </w:p>
    <w:p>
      <w:pPr>
        <w:ind w:left="160" w:right="279" w:firstLine="639"/>
        <w:spacing w:after="0" w:line="251" w:lineRule="auto"/>
        <w:tabs>
          <w:tab w:leader="none" w:pos="1024" w:val="left"/>
        </w:tabs>
        <w:numPr>
          <w:ilvl w:val="0"/>
          <w:numId w:val="208"/>
        </w:numPr>
        <w:rPr>
          <w:rFonts w:ascii="Arial" w:cs="Arial" w:eastAsia="Arial" w:hAnsi="Arial"/>
          <w:sz w:val="22"/>
          <w:szCs w:val="22"/>
          <w:color w:val="auto"/>
        </w:rPr>
      </w:pPr>
      <w:r>
        <w:rPr>
          <w:rFonts w:ascii="Arial" w:cs="Arial" w:eastAsia="Arial" w:hAnsi="Arial"/>
          <w:sz w:val="22"/>
          <w:szCs w:val="22"/>
          <w:color w:val="auto"/>
        </w:rPr>
        <w:t>Upon the Future Authorization and Issuance of Debt Securities, such Debt Securities will be valid and binding obligations of the Company.</w:t>
      </w:r>
    </w:p>
    <w:p>
      <w:pPr>
        <w:spacing w:after="0" w:line="200" w:lineRule="exact"/>
        <w:rPr>
          <w:rFonts w:ascii="Arial" w:cs="Arial" w:eastAsia="Arial" w:hAnsi="Arial"/>
          <w:sz w:val="22"/>
          <w:szCs w:val="22"/>
          <w:color w:val="auto"/>
        </w:rPr>
      </w:pPr>
    </w:p>
    <w:p>
      <w:pPr>
        <w:ind w:left="160" w:right="159" w:firstLine="639"/>
        <w:spacing w:after="0"/>
        <w:tabs>
          <w:tab w:leader="none" w:pos="1024" w:val="left"/>
        </w:tabs>
        <w:numPr>
          <w:ilvl w:val="0"/>
          <w:numId w:val="208"/>
        </w:numPr>
        <w:rPr>
          <w:rFonts w:ascii="Arial" w:cs="Arial" w:eastAsia="Arial" w:hAnsi="Arial"/>
          <w:sz w:val="22"/>
          <w:szCs w:val="22"/>
          <w:color w:val="auto"/>
        </w:rPr>
      </w:pPr>
      <w:r>
        <w:rPr>
          <w:rFonts w:ascii="Arial" w:cs="Arial" w:eastAsia="Arial" w:hAnsi="Arial"/>
          <w:sz w:val="22"/>
          <w:szCs w:val="22"/>
          <w:color w:val="auto"/>
        </w:rPr>
        <w:t>Upon the Future Authorization and Issuance of Depositary Shares, such Depositary Shares will be validly issued and will entitle the holders thereof to the rights specified in such Depositary Shares and the deposit agreement.</w:t>
      </w:r>
    </w:p>
    <w:p>
      <w:pPr>
        <w:spacing w:after="0" w:line="213" w:lineRule="exact"/>
        <w:rPr>
          <w:rFonts w:ascii="Arial" w:cs="Arial" w:eastAsia="Arial" w:hAnsi="Arial"/>
          <w:sz w:val="22"/>
          <w:szCs w:val="22"/>
          <w:color w:val="auto"/>
        </w:rPr>
      </w:pPr>
    </w:p>
    <w:p>
      <w:pPr>
        <w:ind w:left="160" w:right="279" w:firstLine="639"/>
        <w:spacing w:after="0" w:line="251" w:lineRule="auto"/>
        <w:tabs>
          <w:tab w:leader="none" w:pos="1024" w:val="left"/>
        </w:tabs>
        <w:numPr>
          <w:ilvl w:val="0"/>
          <w:numId w:val="208"/>
        </w:numPr>
        <w:rPr>
          <w:rFonts w:ascii="Arial" w:cs="Arial" w:eastAsia="Arial" w:hAnsi="Arial"/>
          <w:sz w:val="22"/>
          <w:szCs w:val="22"/>
          <w:color w:val="auto"/>
        </w:rPr>
      </w:pPr>
      <w:r>
        <w:rPr>
          <w:rFonts w:ascii="Arial" w:cs="Arial" w:eastAsia="Arial" w:hAnsi="Arial"/>
          <w:sz w:val="22"/>
          <w:szCs w:val="22"/>
          <w:color w:val="auto"/>
        </w:rPr>
        <w:t>Upon the Future Authorization and Issuance of Warrants, such Warrants will be valid and binding obligations of the Company.</w:t>
      </w:r>
    </w:p>
    <w:p>
      <w:pPr>
        <w:spacing w:after="0" w:line="200" w:lineRule="exact"/>
        <w:rPr>
          <w:rFonts w:ascii="Arial" w:cs="Arial" w:eastAsia="Arial" w:hAnsi="Arial"/>
          <w:sz w:val="22"/>
          <w:szCs w:val="22"/>
          <w:color w:val="auto"/>
        </w:rPr>
      </w:pPr>
    </w:p>
    <w:p>
      <w:pPr>
        <w:ind w:left="160" w:right="179" w:firstLine="639"/>
        <w:spacing w:after="0" w:line="251" w:lineRule="auto"/>
        <w:tabs>
          <w:tab w:leader="none" w:pos="1024" w:val="left"/>
        </w:tabs>
        <w:numPr>
          <w:ilvl w:val="0"/>
          <w:numId w:val="208"/>
        </w:numPr>
        <w:rPr>
          <w:rFonts w:ascii="Arial" w:cs="Arial" w:eastAsia="Arial" w:hAnsi="Arial"/>
          <w:sz w:val="22"/>
          <w:szCs w:val="22"/>
          <w:color w:val="auto"/>
        </w:rPr>
      </w:pPr>
      <w:r>
        <w:rPr>
          <w:rFonts w:ascii="Arial" w:cs="Arial" w:eastAsia="Arial" w:hAnsi="Arial"/>
          <w:sz w:val="22"/>
          <w:szCs w:val="22"/>
          <w:color w:val="auto"/>
        </w:rPr>
        <w:t>Upon the Future Authorization and Issuance of Units, such Units will be valid and binding obligations of the Company.</w:t>
      </w:r>
    </w:p>
    <w:p>
      <w:pPr>
        <w:spacing w:after="0" w:line="200" w:lineRule="exact"/>
        <w:rPr>
          <w:rFonts w:ascii="Arial" w:cs="Arial" w:eastAsia="Arial" w:hAnsi="Arial"/>
          <w:sz w:val="22"/>
          <w:szCs w:val="22"/>
          <w:color w:val="auto"/>
        </w:rPr>
      </w:pPr>
    </w:p>
    <w:p>
      <w:pPr>
        <w:ind w:left="160" w:right="619" w:firstLine="639"/>
        <w:spacing w:after="0" w:line="274" w:lineRule="auto"/>
        <w:tabs>
          <w:tab w:leader="none" w:pos="1024" w:val="left"/>
        </w:tabs>
        <w:numPr>
          <w:ilvl w:val="0"/>
          <w:numId w:val="208"/>
        </w:numPr>
        <w:rPr>
          <w:rFonts w:ascii="Arial" w:cs="Arial" w:eastAsia="Arial" w:hAnsi="Arial"/>
          <w:sz w:val="21"/>
          <w:szCs w:val="21"/>
          <w:color w:val="auto"/>
        </w:rPr>
      </w:pPr>
      <w:r>
        <w:rPr>
          <w:rFonts w:ascii="Arial" w:cs="Arial" w:eastAsia="Arial" w:hAnsi="Arial"/>
          <w:sz w:val="21"/>
          <w:szCs w:val="21"/>
          <w:color w:val="auto"/>
        </w:rPr>
        <w:t>Upon the Future Authorization and Issuance of Stock Purchase Contracts, such Stock Purchase Contracts will be valid and binding obligations of the Company.</w:t>
      </w:r>
    </w:p>
    <w:p>
      <w:pPr>
        <w:spacing w:after="0" w:line="178" w:lineRule="exact"/>
        <w:rPr>
          <w:sz w:val="20"/>
          <w:szCs w:val="20"/>
          <w:color w:val="auto"/>
        </w:rPr>
      </w:pPr>
    </w:p>
    <w:p>
      <w:pPr>
        <w:ind w:left="160" w:right="539"/>
        <w:spacing w:after="0"/>
        <w:rPr>
          <w:sz w:val="20"/>
          <w:szCs w:val="20"/>
          <w:color w:val="auto"/>
        </w:rPr>
      </w:pPr>
      <w:r>
        <w:rPr>
          <w:rFonts w:ascii="Arial" w:cs="Arial" w:eastAsia="Arial" w:hAnsi="Arial"/>
          <w:sz w:val="22"/>
          <w:szCs w:val="22"/>
          <w:color w:val="auto"/>
        </w:rPr>
        <w:t>The opinions expressed above are subject to bankruptcy, insolvency, fraudulent transfer, reorganization, moratorium and other similar laws of general application affecting the rights and remedies of creditors and to general principles of equity.</w:t>
      </w:r>
    </w:p>
    <w:p>
      <w:pPr>
        <w:spacing w:after="0" w:line="213" w:lineRule="exact"/>
        <w:rPr>
          <w:sz w:val="20"/>
          <w:szCs w:val="20"/>
          <w:color w:val="auto"/>
        </w:rPr>
      </w:pPr>
    </w:p>
    <w:p>
      <w:pPr>
        <w:ind w:left="160" w:right="339"/>
        <w:spacing w:after="0" w:line="258" w:lineRule="auto"/>
        <w:rPr>
          <w:sz w:val="20"/>
          <w:szCs w:val="20"/>
          <w:color w:val="auto"/>
        </w:rPr>
      </w:pPr>
      <w:r>
        <w:rPr>
          <w:rFonts w:ascii="Arial" w:cs="Arial" w:eastAsia="Arial" w:hAnsi="Arial"/>
          <w:sz w:val="21"/>
          <w:szCs w:val="21"/>
          <w:color w:val="auto"/>
        </w:rPr>
        <w:t>This opinion letter and the opinions it contains shall be interpreted in accordance with the Legal Opinion Principles issued by the Committee on Legal Opinions of the American Bar Association’s Business Law Section as published in 53 Business Lawyer 831 (May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273685</wp:posOffset>
            </wp:positionV>
            <wp:extent cx="5548630"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604" w:right="1440" w:bottom="1440" w:gutter="0" w:footer="0" w:header="0"/>
        </w:sectPr>
      </w:pPr>
    </w:p>
    <w:bookmarkStart w:id="262" w:name="page263"/>
    <w:bookmarkEnd w:id="262"/>
    <w:p>
      <w:pPr>
        <w:ind w:left="160"/>
        <w:spacing w:after="0"/>
        <w:rPr>
          <w:sz w:val="20"/>
          <w:szCs w:val="20"/>
          <w:color w:val="auto"/>
        </w:rPr>
      </w:pPr>
      <w:r>
        <w:rPr>
          <w:rFonts w:ascii="Arial" w:cs="Arial" w:eastAsia="Arial" w:hAnsi="Arial"/>
          <w:sz w:val="22"/>
          <w:szCs w:val="22"/>
          <w:color w:val="auto"/>
        </w:rPr>
        <w:t>Blueprint Medicines Corporation</w:t>
      </w:r>
    </w:p>
    <w:p>
      <w:pPr>
        <w:ind w:left="160"/>
        <w:spacing w:after="0" w:line="238" w:lineRule="auto"/>
        <w:rPr>
          <w:sz w:val="20"/>
          <w:szCs w:val="20"/>
          <w:color w:val="auto"/>
        </w:rPr>
      </w:pPr>
      <w:r>
        <w:rPr>
          <w:rFonts w:ascii="Arial" w:cs="Arial" w:eastAsia="Arial" w:hAnsi="Arial"/>
          <w:sz w:val="22"/>
          <w:szCs w:val="22"/>
          <w:color w:val="auto"/>
        </w:rPr>
        <w:t>May 10, 2016</w:t>
      </w:r>
    </w:p>
    <w:p>
      <w:pPr>
        <w:ind w:left="160"/>
        <w:spacing w:after="0"/>
        <w:rPr>
          <w:sz w:val="20"/>
          <w:szCs w:val="20"/>
          <w:color w:val="auto"/>
        </w:rPr>
      </w:pPr>
      <w:r>
        <w:rPr>
          <w:rFonts w:ascii="Arial" w:cs="Arial" w:eastAsia="Arial" w:hAnsi="Arial"/>
          <w:sz w:val="22"/>
          <w:szCs w:val="22"/>
          <w:color w:val="auto"/>
        </w:rPr>
        <w:t>Page 4</w:t>
      </w:r>
    </w:p>
    <w:p>
      <w:pPr>
        <w:spacing w:after="0" w:line="188" w:lineRule="exact"/>
        <w:rPr>
          <w:sz w:val="20"/>
          <w:szCs w:val="20"/>
          <w:color w:val="auto"/>
        </w:rPr>
      </w:pPr>
    </w:p>
    <w:p>
      <w:pPr>
        <w:ind w:left="160" w:right="179"/>
        <w:spacing w:after="0" w:line="287" w:lineRule="auto"/>
        <w:rPr>
          <w:sz w:val="20"/>
          <w:szCs w:val="20"/>
          <w:color w:val="auto"/>
        </w:rPr>
      </w:pPr>
      <w:r>
        <w:rPr>
          <w:rFonts w:ascii="Arial" w:cs="Arial" w:eastAsia="Arial" w:hAnsi="Arial"/>
          <w:sz w:val="19"/>
          <w:szCs w:val="19"/>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70"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 Goodwin Procter LLP</w:t>
      </w:r>
    </w:p>
    <w:p>
      <w:pPr>
        <w:spacing w:after="0" w:line="233"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453390</wp:posOffset>
            </wp:positionV>
            <wp:extent cx="5548630"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604" w:right="1440" w:bottom="1440" w:gutter="0" w:footer="0" w:header="0"/>
        </w:sectPr>
      </w:pPr>
    </w:p>
    <w:bookmarkStart w:id="263" w:name="page264"/>
    <w:bookmarkEnd w:id="263"/>
    <w:tbl>
      <w:tblPr>
        <w:tblLayout w:type="fixed"/>
        <w:tblInd w:w="14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b w:val="1"/>
                <w:bCs w:val="1"/>
                <w:color w:val="auto"/>
                <w:w w:val="91"/>
              </w:rPr>
              <w:t>Exhibit 12.1</w:t>
            </w:r>
          </w:p>
        </w:tc>
      </w:tr>
      <w:tr>
        <w:trPr>
          <w:trHeight w:val="432"/>
        </w:trPr>
        <w:tc>
          <w:tcPr>
            <w:tcW w:w="7060" w:type="dxa"/>
            <w:vAlign w:val="bottom"/>
            <w:gridSpan w:val="7"/>
          </w:tcPr>
          <w:p>
            <w:pPr>
              <w:ind w:left="1880"/>
              <w:spacing w:after="0"/>
              <w:rPr>
                <w:sz w:val="20"/>
                <w:szCs w:val="20"/>
                <w:color w:val="auto"/>
              </w:rPr>
            </w:pPr>
            <w:r>
              <w:rPr>
                <w:rFonts w:ascii="Arial" w:cs="Arial" w:eastAsia="Arial" w:hAnsi="Arial"/>
                <w:sz w:val="18"/>
                <w:szCs w:val="18"/>
                <w:b w:val="1"/>
                <w:bCs w:val="1"/>
                <w:color w:val="auto"/>
                <w:w w:val="93"/>
              </w:rPr>
              <w:t>Calculation of Consolidated Ratios of Earnings to Fixed Charges</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4620" w:type="dxa"/>
            <w:vAlign w:val="bottom"/>
          </w:tcPr>
          <w:p>
            <w:pPr>
              <w:spacing w:after="0"/>
              <w:rPr>
                <w:sz w:val="24"/>
                <w:szCs w:val="24"/>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24"/>
                <w:szCs w:val="24"/>
                <w:color w:val="auto"/>
              </w:rPr>
            </w:pPr>
          </w:p>
        </w:tc>
        <w:tc>
          <w:tcPr>
            <w:tcW w:w="2480" w:type="dxa"/>
            <w:vAlign w:val="bottom"/>
            <w:gridSpan w:val="9"/>
          </w:tcPr>
          <w:p>
            <w:pPr>
              <w:ind w:left="380"/>
              <w:spacing w:after="0"/>
              <w:rPr>
                <w:sz w:val="20"/>
                <w:szCs w:val="20"/>
                <w:color w:val="auto"/>
              </w:rPr>
            </w:pPr>
            <w:r>
              <w:rPr>
                <w:rFonts w:ascii="Arial" w:cs="Arial" w:eastAsia="Arial" w:hAnsi="Arial"/>
                <w:sz w:val="14"/>
                <w:szCs w:val="14"/>
                <w:b w:val="1"/>
                <w:bCs w:val="1"/>
                <w:color w:val="auto"/>
              </w:rPr>
              <w:t>Year Ended December 31,</w:t>
            </w:r>
          </w:p>
        </w:tc>
      </w:tr>
      <w:tr>
        <w:trPr>
          <w:trHeight w:val="210"/>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8"/>
                <w:szCs w:val="18"/>
                <w:color w:val="auto"/>
              </w:rPr>
            </w:pPr>
          </w:p>
        </w:tc>
      </w:tr>
      <w:tr>
        <w:trPr>
          <w:trHeight w:val="210"/>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Fixed Charges:</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Interest expense on indebtedness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ind w:left="300"/>
              <w:spacing w:after="0"/>
              <w:rPr>
                <w:sz w:val="20"/>
                <w:szCs w:val="20"/>
                <w:color w:val="auto"/>
              </w:rPr>
            </w:pPr>
            <w:r>
              <w:rPr>
                <w:rFonts w:ascii="Arial" w:cs="Arial" w:eastAsia="Arial" w:hAnsi="Arial"/>
                <w:sz w:val="18"/>
                <w:szCs w:val="18"/>
                <w:color w:val="auto"/>
                <w:w w:val="99"/>
              </w:rPr>
              <w:t>452</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8"/>
                <w:szCs w:val="18"/>
                <w:color w:val="auto"/>
              </w:rPr>
            </w:pPr>
          </w:p>
        </w:tc>
      </w:tr>
      <w:tr>
        <w:trPr>
          <w:trHeight w:val="216"/>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interest expense and other</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256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r>
      <w:tr>
        <w:trPr>
          <w:trHeight w:val="202"/>
        </w:trPr>
        <w:tc>
          <w:tcPr>
            <w:tcW w:w="4620" w:type="dxa"/>
            <w:vAlign w:val="bottom"/>
          </w:tcPr>
          <w:p>
            <w:pPr>
              <w:ind w:left="160"/>
              <w:spacing w:after="0" w:line="201" w:lineRule="exact"/>
              <w:rPr>
                <w:sz w:val="20"/>
                <w:szCs w:val="20"/>
                <w:color w:val="auto"/>
              </w:rPr>
            </w:pPr>
            <w:r>
              <w:rPr>
                <w:rFonts w:ascii="Arial" w:cs="Arial" w:eastAsia="Arial" w:hAnsi="Arial"/>
                <w:sz w:val="18"/>
                <w:szCs w:val="18"/>
                <w:color w:val="auto"/>
                <w:w w:val="95"/>
              </w:rPr>
              <w:t>Interest expense on portion of rent expense representative</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6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of interest</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9"/>
              </w:rPr>
              <w:t>134</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60" w:type="dxa"/>
            <w:vAlign w:val="bottom"/>
            <w:tcBorders>
              <w:bottom w:val="single" w:sz="8" w:color="CCEEFF"/>
            </w:tcBorders>
          </w:tcPr>
          <w:p>
            <w:pPr>
              <w:spacing w:after="0"/>
              <w:rPr>
                <w:sz w:val="20"/>
                <w:szCs w:val="20"/>
                <w:color w:val="auto"/>
              </w:rPr>
            </w:pPr>
          </w:p>
        </w:tc>
      </w:tr>
      <w:tr>
        <w:trPr>
          <w:trHeight w:val="23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Fixed Charges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9"/>
              </w:rPr>
              <w:t>842</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3"/>
        </w:trPr>
        <w:tc>
          <w:tcPr>
            <w:tcW w:w="462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Earnings (loss):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 before benefit for income taxes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(15,504)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(52,769)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(40,285)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(20,912)</w:t>
            </w:r>
          </w:p>
        </w:tc>
      </w:tr>
      <w:tr>
        <w:trPr>
          <w:trHeight w:val="216"/>
        </w:trPr>
        <w:tc>
          <w:tcPr>
            <w:tcW w:w="4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Fixed charges per above</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9"/>
              </w:rPr>
              <w:t>842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60" w:type="dxa"/>
            <w:vAlign w:val="bottom"/>
            <w:tcBorders>
              <w:bottom w:val="single" w:sz="8" w:color="CCEEFF"/>
            </w:tcBorders>
          </w:tcPr>
          <w:p>
            <w:pPr>
              <w:spacing w:after="0"/>
              <w:rPr>
                <w:sz w:val="18"/>
                <w:szCs w:val="18"/>
                <w:color w:val="auto"/>
              </w:rPr>
            </w:pPr>
          </w:p>
        </w:tc>
      </w:tr>
      <w:tr>
        <w:trPr>
          <w:trHeight w:val="23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earnings (loss)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(15,298)</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6"/>
              </w:rPr>
              <w:t>(51,927)</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(39,831)</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(20,726)</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10"/>
        </w:trPr>
        <w:tc>
          <w:tcPr>
            <w:tcW w:w="46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Ratio of earnings to fixed charges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N/A</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20"/>
              <w:spacing w:after="0" w:line="203" w:lineRule="exact"/>
              <w:rPr>
                <w:sz w:val="20"/>
                <w:szCs w:val="20"/>
                <w:color w:val="auto"/>
              </w:rPr>
            </w:pPr>
            <w:r>
              <w:rPr>
                <w:rFonts w:ascii="Arial" w:cs="Arial" w:eastAsia="Arial" w:hAnsi="Arial"/>
                <w:sz w:val="18"/>
                <w:szCs w:val="18"/>
                <w:color w:val="auto"/>
                <w:w w:val="93"/>
              </w:rPr>
              <w:t>N/A</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N/A</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N/A</w:t>
            </w:r>
          </w:p>
        </w:tc>
        <w:tc>
          <w:tcPr>
            <w:tcW w:w="60" w:type="dxa"/>
            <w:vAlign w:val="bottom"/>
            <w:tcBorders>
              <w:bottom w:val="single" w:sz="8" w:color="CCEEFF"/>
            </w:tcBorders>
          </w:tcPr>
          <w:p>
            <w:pPr>
              <w:spacing w:after="0"/>
              <w:rPr>
                <w:sz w:val="18"/>
                <w:szCs w:val="18"/>
                <w:color w:val="auto"/>
              </w:rPr>
            </w:pPr>
          </w:p>
        </w:tc>
      </w:tr>
      <w:tr>
        <w:trPr>
          <w:trHeight w:val="223"/>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8"/>
              </w:rPr>
              <w:t>Deficiency of earnings available to cover fixed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(15,504)</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6"/>
              </w:rPr>
              <w:t>(52,769)</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(40,285)</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(20,912)</w:t>
            </w:r>
          </w:p>
        </w:tc>
        <w:tc>
          <w:tcPr>
            <w:tcW w:w="60" w:type="dxa"/>
            <w:vAlign w:val="bottom"/>
            <w:tcBorders>
              <w:bottom w:val="single" w:sz="8" w:color="CCEEFF"/>
            </w:tcBorders>
            <w:shd w:val="clear" w:color="auto" w:fill="CCEEFF"/>
          </w:tcPr>
          <w:p>
            <w:pPr>
              <w:spacing w:after="0"/>
              <w:rPr>
                <w:sz w:val="19"/>
                <w:szCs w:val="19"/>
                <w:color w:val="auto"/>
              </w:rPr>
            </w:pPr>
          </w:p>
        </w:tc>
      </w:tr>
      <w:tr>
        <w:trPr>
          <w:trHeight w:val="466"/>
        </w:trPr>
        <w:tc>
          <w:tcPr>
            <w:tcW w:w="4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264" w:name="page265"/>
    <w:bookmarkEnd w:id="264"/>
    <w:p>
      <w:pPr>
        <w:jc w:val="right"/>
        <w:ind w:right="139"/>
        <w:spacing w:after="0"/>
        <w:rPr>
          <w:sz w:val="20"/>
          <w:szCs w:val="20"/>
          <w:color w:val="auto"/>
        </w:rPr>
      </w:pPr>
      <w:r>
        <w:rPr>
          <w:rFonts w:ascii="Arial" w:cs="Arial" w:eastAsia="Arial" w:hAnsi="Arial"/>
          <w:sz w:val="18"/>
          <w:szCs w:val="18"/>
          <w:b w:val="1"/>
          <w:bCs w:val="1"/>
          <w:color w:val="auto"/>
        </w:rPr>
        <w:t>Exhibit 23.1</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54" w:lineRule="exact"/>
        <w:rPr>
          <w:sz w:val="20"/>
          <w:szCs w:val="20"/>
          <w:color w:val="auto"/>
        </w:rPr>
      </w:pPr>
    </w:p>
    <w:p>
      <w:pPr>
        <w:jc w:val="both"/>
        <w:ind w:left="160" w:right="139"/>
        <w:spacing w:after="0" w:line="231"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S-3) and related Prospectus of Blueprint Medicines Corporation for the registration of common stock, preferred stock, debt securities, depository shares, purchase contracts, purchase units, and warrants and to the incorporation by reference therein of our report dated March 11, 2016, with respect to the consolidated financial statements of Blueprint Medicines Corporation included in its Annual Report (Form 10-K) for the year ended December 31, 2015, filed with the Securities and Exchange Commission.</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 Ernst &amp; Young LLP</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Boston, Massachusetts</w:t>
      </w:r>
    </w:p>
    <w:p>
      <w:pPr>
        <w:ind w:left="160"/>
        <w:spacing w:after="0"/>
        <w:rPr>
          <w:sz w:val="20"/>
          <w:szCs w:val="20"/>
          <w:color w:val="auto"/>
        </w:rPr>
      </w:pPr>
      <w:r>
        <w:rPr>
          <w:rFonts w:ascii="Arial" w:cs="Arial" w:eastAsia="Arial" w:hAnsi="Arial"/>
          <w:sz w:val="20"/>
          <w:szCs w:val="20"/>
          <w:color w:val="auto"/>
        </w:rPr>
        <w:t>May 10,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120650</wp:posOffset>
            </wp:positionV>
            <wp:extent cx="5548630"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C91298"/>
    <w:multiLevelType w:val="hybridMultilevel"/>
    <w:lvl w:ilvl="0">
      <w:lvlJc w:val="left"/>
      <w:lvlText w:val="(%1)"/>
      <w:numFmt w:val="decimal"/>
      <w:start w:val="1"/>
    </w:lvl>
  </w:abstractNum>
  <w:abstractNum w:abstractNumId="1">
    <w:nsid w:val="9DAF632"/>
    <w:multiLevelType w:val="hybridMultilevel"/>
    <w:lvl w:ilvl="0">
      <w:lvlJc w:val="left"/>
      <w:lvlText w:val="·"/>
      <w:numFmt w:val="bullet"/>
      <w:start w:val="1"/>
    </w:lvl>
  </w:abstractNum>
  <w:abstractNum w:abstractNumId="2">
    <w:nsid w:val="53299938"/>
    <w:multiLevelType w:val="hybridMultilevel"/>
    <w:lvl w:ilvl="0">
      <w:lvlJc w:val="left"/>
      <w:lvlText w:val="·"/>
      <w:numFmt w:val="bullet"/>
      <w:start w:val="1"/>
    </w:lvl>
  </w:abstractNum>
  <w:abstractNum w:abstractNumId="3">
    <w:nsid w:val="1FBFE8E0"/>
    <w:multiLevelType w:val="hybridMultilevel"/>
    <w:lvl w:ilvl="0">
      <w:lvlJc w:val="left"/>
      <w:lvlText w:val="·"/>
      <w:numFmt w:val="bullet"/>
      <w:start w:val="1"/>
    </w:lvl>
  </w:abstractNum>
  <w:abstractNum w:abstractNumId="4">
    <w:nsid w:val="5092CA79"/>
    <w:multiLevelType w:val="hybridMultilevel"/>
    <w:lvl w:ilvl="0">
      <w:lvlJc w:val="left"/>
      <w:lvlText w:val="·"/>
      <w:numFmt w:val="bullet"/>
      <w:start w:val="1"/>
    </w:lvl>
  </w:abstractNum>
  <w:abstractNum w:abstractNumId="5">
    <w:nsid w:val="1D545C4D"/>
    <w:multiLevelType w:val="hybridMultilevel"/>
    <w:lvl w:ilvl="0">
      <w:lvlJc w:val="left"/>
      <w:lvlText w:val="·"/>
      <w:numFmt w:val="bullet"/>
      <w:start w:val="1"/>
    </w:lvl>
  </w:abstractNum>
  <w:abstractNum w:abstractNumId="6">
    <w:nsid w:val="59ADEA3D"/>
    <w:multiLevelType w:val="hybridMultilevel"/>
    <w:lvl w:ilvl="0">
      <w:lvlJc w:val="left"/>
      <w:lvlText w:val="·"/>
      <w:numFmt w:val="bullet"/>
      <w:start w:val="1"/>
    </w:lvl>
  </w:abstractNum>
  <w:abstractNum w:abstractNumId="7">
    <w:nsid w:val="288F1A34"/>
    <w:multiLevelType w:val="hybridMultilevel"/>
    <w:lvl w:ilvl="0">
      <w:lvlJc w:val="left"/>
      <w:lvlText w:val="·"/>
      <w:numFmt w:val="bullet"/>
      <w:start w:val="1"/>
    </w:lvl>
  </w:abstractNum>
  <w:abstractNum w:abstractNumId="8">
    <w:nsid w:val="2A155DBC"/>
    <w:multiLevelType w:val="hybridMultilevel"/>
    <w:lvl w:ilvl="0">
      <w:lvlJc w:val="left"/>
      <w:lvlText w:val="·"/>
      <w:numFmt w:val="bullet"/>
      <w:start w:val="1"/>
    </w:lvl>
  </w:abstractNum>
  <w:abstractNum w:abstractNumId="9">
    <w:nsid w:val="1D9F6E5F"/>
    <w:multiLevelType w:val="hybridMultilevel"/>
    <w:lvl w:ilvl="0">
      <w:lvlJc w:val="left"/>
      <w:lvlText w:val="·"/>
      <w:numFmt w:val="bullet"/>
      <w:start w:val="1"/>
    </w:lvl>
  </w:abstractNum>
  <w:abstractNum w:abstractNumId="10">
    <w:nsid w:val="97E1B4E"/>
    <w:multiLevelType w:val="hybridMultilevel"/>
    <w:lvl w:ilvl="0">
      <w:lvlJc w:val="left"/>
      <w:lvlText w:val="·"/>
      <w:numFmt w:val="bullet"/>
      <w:start w:val="1"/>
    </w:lvl>
  </w:abstractNum>
  <w:abstractNum w:abstractNumId="11">
    <w:nsid w:val="51088277"/>
    <w:multiLevelType w:val="hybridMultilevel"/>
    <w:lvl w:ilvl="0">
      <w:lvlJc w:val="left"/>
      <w:lvlText w:val="·"/>
      <w:numFmt w:val="bullet"/>
      <w:start w:val="1"/>
    </w:lvl>
  </w:abstractNum>
  <w:abstractNum w:abstractNumId="12">
    <w:nsid w:val="1CA0C5FA"/>
    <w:multiLevelType w:val="hybridMultilevel"/>
    <w:lvl w:ilvl="0">
      <w:lvlJc w:val="left"/>
      <w:lvlText w:val="·"/>
      <w:numFmt w:val="bullet"/>
      <w:start w:val="1"/>
    </w:lvl>
  </w:abstractNum>
  <w:abstractNum w:abstractNumId="13">
    <w:nsid w:val="53584BCB"/>
    <w:multiLevelType w:val="hybridMultilevel"/>
    <w:lvl w:ilvl="0">
      <w:lvlJc w:val="left"/>
      <w:lvlText w:val="·"/>
      <w:numFmt w:val="bullet"/>
      <w:start w:val="1"/>
    </w:lvl>
  </w:abstractNum>
  <w:abstractNum w:abstractNumId="14">
    <w:nsid w:val="415E286C"/>
    <w:multiLevelType w:val="hybridMultilevel"/>
    <w:lvl w:ilvl="0">
      <w:lvlJc w:val="left"/>
      <w:lvlText w:val="·"/>
      <w:numFmt w:val="bullet"/>
      <w:start w:val="1"/>
    </w:lvl>
  </w:abstractNum>
  <w:abstractNum w:abstractNumId="15">
    <w:nsid w:val="7C58FD05"/>
    <w:multiLevelType w:val="hybridMultilevel"/>
    <w:lvl w:ilvl="0">
      <w:lvlJc w:val="left"/>
      <w:lvlText w:val="(%1)"/>
      <w:numFmt w:val="lowerRoman"/>
      <w:start w:val="2"/>
    </w:lvl>
  </w:abstractNum>
  <w:abstractNum w:abstractNumId="16">
    <w:nsid w:val="23D86AAC"/>
    <w:multiLevelType w:val="hybridMultilevel"/>
    <w:lvl w:ilvl="0">
      <w:lvlJc w:val="left"/>
      <w:lvlText w:val="·"/>
      <w:numFmt w:val="bullet"/>
      <w:start w:val="1"/>
    </w:lvl>
  </w:abstractNum>
  <w:abstractNum w:abstractNumId="17">
    <w:nsid w:val="45E6D486"/>
    <w:multiLevelType w:val="hybridMultilevel"/>
    <w:lvl w:ilvl="0">
      <w:lvlJc w:val="left"/>
      <w:lvlText w:val="·"/>
      <w:numFmt w:val="bullet"/>
      <w:start w:val="1"/>
    </w:lvl>
  </w:abstractNum>
  <w:abstractNum w:abstractNumId="18">
    <w:nsid w:val="5C10FE21"/>
    <w:multiLevelType w:val="hybridMultilevel"/>
    <w:lvl w:ilvl="0">
      <w:lvlJc w:val="left"/>
      <w:lvlText w:val="(%1)"/>
      <w:numFmt w:val="lowerRoman"/>
      <w:start w:val="1"/>
    </w:lvl>
    <w:lvl w:ilvl="1">
      <w:lvlJc w:val="left"/>
      <w:lvlText w:val="·"/>
      <w:numFmt w:val="bullet"/>
      <w:start w:val="1"/>
    </w:lvl>
  </w:abstractNum>
  <w:abstractNum w:abstractNumId="19">
    <w:nsid w:val="E7FFA2B"/>
    <w:multiLevelType w:val="hybridMultilevel"/>
    <w:lvl w:ilvl="0">
      <w:lvlJc w:val="left"/>
      <w:lvlText w:val="(%1)"/>
      <w:numFmt w:val="lowerRoman"/>
      <w:start w:val="2"/>
    </w:lvl>
  </w:abstractNum>
  <w:abstractNum w:abstractNumId="20">
    <w:nsid w:val="3C5991AA"/>
    <w:multiLevelType w:val="hybridMultilevel"/>
    <w:lvl w:ilvl="0">
      <w:lvlJc w:val="left"/>
      <w:lvlText w:val="·"/>
      <w:numFmt w:val="bullet"/>
      <w:start w:val="1"/>
    </w:lvl>
  </w:abstractNum>
  <w:abstractNum w:abstractNumId="21">
    <w:nsid w:val="4BD8591A"/>
    <w:multiLevelType w:val="hybridMultilevel"/>
    <w:lvl w:ilvl="0">
      <w:lvlJc w:val="left"/>
      <w:lvlText w:val="·"/>
      <w:numFmt w:val="bullet"/>
      <w:start w:val="1"/>
    </w:lvl>
  </w:abstractNum>
  <w:abstractNum w:abstractNumId="22">
    <w:nsid w:val="78DF6A55"/>
    <w:multiLevelType w:val="hybridMultilevel"/>
    <w:lvl w:ilvl="0">
      <w:lvlJc w:val="left"/>
      <w:lvlText w:val="·"/>
      <w:numFmt w:val="bullet"/>
      <w:start w:val="1"/>
    </w:lvl>
  </w:abstractNum>
  <w:abstractNum w:abstractNumId="23">
    <w:nsid w:val="39B7AAA2"/>
    <w:multiLevelType w:val="hybridMultilevel"/>
    <w:lvl w:ilvl="0">
      <w:lvlJc w:val="left"/>
      <w:lvlText w:val="·"/>
      <w:numFmt w:val="bullet"/>
      <w:start w:val="1"/>
    </w:lvl>
  </w:abstractNum>
  <w:abstractNum w:abstractNumId="24">
    <w:nsid w:val="2B0D8DBE"/>
    <w:multiLevelType w:val="hybridMultilevel"/>
    <w:lvl w:ilvl="0">
      <w:lvlJc w:val="left"/>
      <w:lvlText w:val="·"/>
      <w:numFmt w:val="bullet"/>
      <w:start w:val="1"/>
    </w:lvl>
  </w:abstractNum>
  <w:abstractNum w:abstractNumId="25">
    <w:nsid w:val="6C80EC70"/>
    <w:multiLevelType w:val="hybridMultilevel"/>
    <w:lvl w:ilvl="0">
      <w:lvlJc w:val="left"/>
      <w:lvlText w:val="·"/>
      <w:numFmt w:val="bullet"/>
      <w:start w:val="1"/>
    </w:lvl>
  </w:abstractNum>
  <w:abstractNum w:abstractNumId="26">
    <w:nsid w:val="379E21B5"/>
    <w:multiLevelType w:val="hybridMultilevel"/>
    <w:lvl w:ilvl="0">
      <w:lvlJc w:val="left"/>
      <w:lvlText w:val="·"/>
      <w:numFmt w:val="bullet"/>
      <w:start w:val="1"/>
    </w:lvl>
  </w:abstractNum>
  <w:abstractNum w:abstractNumId="27">
    <w:nsid w:val="69E373"/>
    <w:multiLevelType w:val="hybridMultilevel"/>
    <w:lvl w:ilvl="0">
      <w:lvlJc w:val="left"/>
      <w:lvlText w:val="·"/>
      <w:numFmt w:val="bullet"/>
      <w:start w:val="1"/>
    </w:lvl>
  </w:abstractNum>
  <w:abstractNum w:abstractNumId="28">
    <w:nsid w:val="2C27173B"/>
    <w:multiLevelType w:val="hybridMultilevel"/>
    <w:lvl w:ilvl="0">
      <w:lvlJc w:val="left"/>
      <w:lvlText w:val="·"/>
      <w:numFmt w:val="bullet"/>
      <w:start w:val="1"/>
    </w:lvl>
  </w:abstractNum>
  <w:abstractNum w:abstractNumId="29">
    <w:nsid w:val="4C9B0904"/>
    <w:multiLevelType w:val="hybridMultilevel"/>
    <w:lvl w:ilvl="0">
      <w:lvlJc w:val="left"/>
      <w:lvlText w:val="·"/>
      <w:numFmt w:val="bullet"/>
      <w:start w:val="1"/>
    </w:lvl>
  </w:abstractNum>
  <w:abstractNum w:abstractNumId="30">
    <w:nsid w:val="6AA7B75C"/>
    <w:multiLevelType w:val="hybridMultilevel"/>
    <w:lvl w:ilvl="0">
      <w:lvlJc w:val="left"/>
      <w:lvlText w:val="·"/>
      <w:numFmt w:val="bullet"/>
      <w:start w:val="1"/>
    </w:lvl>
    <w:lvl w:ilvl="1">
      <w:lvlJc w:val="left"/>
      <w:lvlText w:val="(%2)"/>
      <w:numFmt w:val="lowerLetter"/>
      <w:start w:val="35"/>
    </w:lvl>
  </w:abstractNum>
  <w:abstractNum w:abstractNumId="31">
    <w:nsid w:val="1DF029D3"/>
    <w:multiLevelType w:val="hybridMultilevel"/>
    <w:lvl w:ilvl="0">
      <w:lvlJc w:val="left"/>
      <w:lvlText w:val="·"/>
      <w:numFmt w:val="bullet"/>
      <w:start w:val="1"/>
    </w:lvl>
    <w:lvl w:ilvl="1">
      <w:lvlJc w:val="left"/>
      <w:lvlText w:val="(%2)"/>
      <w:numFmt w:val="lowerLetter"/>
      <w:start w:val="1"/>
    </w:lvl>
  </w:abstractNum>
  <w:abstractNum w:abstractNumId="32">
    <w:nsid w:val="5675FF36"/>
    <w:multiLevelType w:val="hybridMultilevel"/>
    <w:lvl w:ilvl="0">
      <w:lvlJc w:val="left"/>
      <w:lvlText w:val="·"/>
      <w:numFmt w:val="bullet"/>
      <w:start w:val="1"/>
    </w:lvl>
  </w:abstractNum>
  <w:abstractNum w:abstractNumId="33">
    <w:nsid w:val="3DD15094"/>
    <w:multiLevelType w:val="hybridMultilevel"/>
    <w:lvl w:ilvl="0">
      <w:lvlJc w:val="left"/>
      <w:lvlText w:val="·"/>
      <w:numFmt w:val="bullet"/>
      <w:start w:val="1"/>
    </w:lvl>
  </w:abstractNum>
  <w:abstractNum w:abstractNumId="34">
    <w:nsid w:val="3DB012B3"/>
    <w:multiLevelType w:val="hybridMultilevel"/>
    <w:lvl w:ilvl="0">
      <w:lvlJc w:val="left"/>
      <w:lvlText w:val="·"/>
      <w:numFmt w:val="bullet"/>
      <w:start w:val="1"/>
    </w:lvl>
  </w:abstractNum>
  <w:abstractNum w:abstractNumId="35">
    <w:nsid w:val="2708C9AF"/>
    <w:multiLevelType w:val="hybridMultilevel"/>
    <w:lvl w:ilvl="0">
      <w:lvlJc w:val="left"/>
      <w:lvlText w:val="·"/>
      <w:numFmt w:val="bullet"/>
      <w:start w:val="1"/>
    </w:lvl>
  </w:abstractNum>
  <w:abstractNum w:abstractNumId="36">
    <w:nsid w:val="5B25ACE2"/>
    <w:multiLevelType w:val="hybridMultilevel"/>
    <w:lvl w:ilvl="0">
      <w:lvlJc w:val="left"/>
      <w:lvlText w:val="·"/>
      <w:numFmt w:val="bullet"/>
      <w:start w:val="1"/>
    </w:lvl>
  </w:abstractNum>
  <w:abstractNum w:abstractNumId="37">
    <w:nsid w:val="175DFCF0"/>
    <w:multiLevelType w:val="hybridMultilevel"/>
    <w:lvl w:ilvl="0">
      <w:lvlJc w:val="left"/>
      <w:lvlText w:val="·"/>
      <w:numFmt w:val="bullet"/>
      <w:start w:val="1"/>
    </w:lvl>
  </w:abstractNum>
  <w:abstractNum w:abstractNumId="38">
    <w:nsid w:val="4F97E3E4"/>
    <w:multiLevelType w:val="hybridMultilevel"/>
    <w:lvl w:ilvl="0">
      <w:lvlJc w:val="left"/>
      <w:lvlText w:val="·"/>
      <w:numFmt w:val="bullet"/>
      <w:start w:val="1"/>
    </w:lvl>
  </w:abstractNum>
  <w:abstractNum w:abstractNumId="39">
    <w:nsid w:val="53B0A9E"/>
    <w:multiLevelType w:val="hybridMultilevel"/>
    <w:lvl w:ilvl="0">
      <w:lvlJc w:val="left"/>
      <w:lvlText w:val="·"/>
      <w:numFmt w:val="bullet"/>
      <w:start w:val="1"/>
    </w:lvl>
  </w:abstractNum>
  <w:abstractNum w:abstractNumId="40">
    <w:nsid w:val="34FD6B4F"/>
    <w:multiLevelType w:val="hybridMultilevel"/>
    <w:lvl w:ilvl="0">
      <w:lvlJc w:val="left"/>
      <w:lvlText w:val="·"/>
      <w:numFmt w:val="bullet"/>
      <w:start w:val="1"/>
    </w:lvl>
  </w:abstractNum>
  <w:abstractNum w:abstractNumId="41">
    <w:nsid w:val="5915FF32"/>
    <w:multiLevelType w:val="hybridMultilevel"/>
    <w:lvl w:ilvl="0">
      <w:lvlJc w:val="left"/>
      <w:lvlText w:val="·"/>
      <w:numFmt w:val="bullet"/>
      <w:start w:val="1"/>
    </w:lvl>
  </w:abstractNum>
  <w:abstractNum w:abstractNumId="42">
    <w:nsid w:val="56438D15"/>
    <w:multiLevelType w:val="hybridMultilevel"/>
    <w:lvl w:ilvl="0">
      <w:lvlJc w:val="left"/>
      <w:lvlText w:val="(%1)"/>
      <w:numFmt w:val="decimal"/>
      <w:start w:val="1"/>
    </w:lvl>
    <w:lvl w:ilvl="1">
      <w:lvlJc w:val="left"/>
      <w:lvlText w:val="(%2)"/>
      <w:numFmt w:val="lowerRoman"/>
      <w:start w:val="1"/>
    </w:lvl>
  </w:abstractNum>
  <w:abstractNum w:abstractNumId="43">
    <w:nsid w:val="519E3149"/>
    <w:multiLevelType w:val="hybridMultilevel"/>
    <w:lvl w:ilvl="0">
      <w:lvlJc w:val="left"/>
      <w:lvlText w:val="(%1)"/>
      <w:numFmt w:val="decimal"/>
      <w:start w:val="2"/>
    </w:lvl>
    <w:lvl w:ilvl="1">
      <w:lvlJc w:val="left"/>
      <w:lvlText w:val="(%2)"/>
      <w:numFmt w:val="lowerRoman"/>
      <w:start w:val="1"/>
    </w:lvl>
  </w:abstractNum>
  <w:abstractNum w:abstractNumId="44">
    <w:nsid w:val="2C6E4AFD"/>
    <w:multiLevelType w:val="hybridMultilevel"/>
    <w:lvl w:ilvl="0">
      <w:lvlJc w:val="left"/>
      <w:lvlText w:val="(%1)"/>
      <w:numFmt w:val="decimal"/>
      <w:start w:val="5"/>
    </w:lvl>
    <w:lvl w:ilvl="1">
      <w:lvlJc w:val="left"/>
      <w:lvlText w:val="(%2)"/>
      <w:numFmt w:val="lowerRoman"/>
      <w:start w:val="1"/>
    </w:lvl>
  </w:abstractNum>
  <w:abstractNum w:abstractNumId="45">
    <w:nsid w:val="17A1B582"/>
    <w:multiLevelType w:val="hybridMultilevel"/>
    <w:lvl w:ilvl="0">
      <w:lvlJc w:val="left"/>
      <w:lvlText w:val="*"/>
      <w:numFmt w:val="bullet"/>
      <w:start w:val="1"/>
    </w:lvl>
  </w:abstractNum>
  <w:abstractNum w:abstractNumId="46">
    <w:nsid w:val="4DF72E4E"/>
    <w:multiLevelType w:val="hybridMultilevel"/>
    <w:lvl w:ilvl="0">
      <w:lvlJc w:val="left"/>
      <w:lvlText w:val="(%1)"/>
      <w:numFmt w:val="decimal"/>
      <w:start w:val="1"/>
    </w:lvl>
  </w:abstractNum>
  <w:abstractNum w:abstractNumId="47">
    <w:nsid w:val="5046B5A9"/>
    <w:multiLevelType w:val="hybridMultilevel"/>
    <w:lvl w:ilvl="0">
      <w:lvlJc w:val="left"/>
      <w:lvlText w:val="(%1)"/>
      <w:numFmt w:val="lowerRoman"/>
      <w:start w:val="1"/>
    </w:lvl>
  </w:abstractNum>
  <w:abstractNum w:abstractNumId="48">
    <w:nsid w:val="5D888A08"/>
    <w:multiLevelType w:val="hybridMultilevel"/>
    <w:lvl w:ilvl="0">
      <w:lvlJc w:val="left"/>
      <w:lvlText w:val="(%1)"/>
      <w:numFmt w:val="lowerRoman"/>
      <w:start w:val="3"/>
    </w:lvl>
  </w:abstractNum>
  <w:abstractNum w:abstractNumId="49">
    <w:nsid w:val="2A082C70"/>
    <w:multiLevelType w:val="hybridMultilevel"/>
    <w:lvl w:ilvl="0">
      <w:lvlJc w:val="left"/>
      <w:lvlText w:val="(%1)"/>
      <w:numFmt w:val="decimal"/>
      <w:start w:val="1"/>
    </w:lvl>
  </w:abstractNum>
  <w:abstractNum w:abstractNumId="50">
    <w:nsid w:val="5EC6AFD4"/>
    <w:multiLevelType w:val="hybridMultilevel"/>
    <w:lvl w:ilvl="0">
      <w:lvlJc w:val="left"/>
      <w:lvlText w:val="(%1)"/>
      <w:numFmt w:val="lowerLetter"/>
      <w:start w:val="1"/>
    </w:lvl>
  </w:abstractNum>
  <w:abstractNum w:abstractNumId="51">
    <w:nsid w:val="19E21BB2"/>
    <w:multiLevelType w:val="hybridMultilevel"/>
    <w:lvl w:ilvl="0">
      <w:lvlJc w:val="left"/>
      <w:lvlText w:val="(%1)"/>
      <w:numFmt w:val="lowerLetter"/>
      <w:start w:val="2"/>
    </w:lvl>
  </w:abstractNum>
  <w:abstractNum w:abstractNumId="52">
    <w:nsid w:val="75E0858A"/>
    <w:multiLevelType w:val="hybridMultilevel"/>
    <w:lvl w:ilvl="0">
      <w:lvlJc w:val="left"/>
      <w:lvlText w:val="(%1)"/>
      <w:numFmt w:val="lowerLetter"/>
      <w:start w:val="6"/>
    </w:lvl>
  </w:abstractNum>
  <w:abstractNum w:abstractNumId="53">
    <w:nsid w:val="57A61A29"/>
    <w:multiLevelType w:val="hybridMultilevel"/>
    <w:lvl w:ilvl="0">
      <w:lvlJc w:val="left"/>
      <w:lvlText w:val="(%1)"/>
      <w:numFmt w:val="decimal"/>
      <w:start w:val="1"/>
    </w:lvl>
  </w:abstractNum>
  <w:abstractNum w:abstractNumId="54">
    <w:nsid w:val="5399C654"/>
    <w:multiLevelType w:val="hybridMultilevel"/>
    <w:lvl w:ilvl="0">
      <w:lvlJc w:val="left"/>
      <w:lvlText w:val="(%1)"/>
      <w:numFmt w:val="decimal"/>
      <w:start w:val="1"/>
    </w:lvl>
  </w:abstractNum>
  <w:abstractNum w:abstractNumId="55">
    <w:nsid w:val="20EE1348"/>
    <w:multiLevelType w:val="hybridMultilevel"/>
    <w:lvl w:ilvl="0">
      <w:lvlJc w:val="left"/>
      <w:lvlText w:val="(%1)"/>
      <w:numFmt w:val="decimal"/>
      <w:start w:val="9"/>
    </w:lvl>
  </w:abstractNum>
  <w:abstractNum w:abstractNumId="56">
    <w:nsid w:val="4427069A"/>
    <w:multiLevelType w:val="hybridMultilevel"/>
    <w:lvl w:ilvl="0">
      <w:lvlJc w:val="left"/>
      <w:lvlText w:val="(%1)"/>
      <w:numFmt w:val="decimal"/>
      <w:start w:val="17"/>
    </w:lvl>
  </w:abstractNum>
  <w:abstractNum w:abstractNumId="57">
    <w:nsid w:val="B37E80A"/>
    <w:multiLevelType w:val="hybridMultilevel"/>
    <w:lvl w:ilvl="0">
      <w:lvlJc w:val="left"/>
      <w:lvlText w:val="(%1)"/>
      <w:numFmt w:val="decimal"/>
      <w:start w:val="24"/>
    </w:lvl>
  </w:abstractNum>
  <w:abstractNum w:abstractNumId="58">
    <w:nsid w:val="2157F6BC"/>
    <w:multiLevelType w:val="hybridMultilevel"/>
    <w:lvl w:ilvl="0">
      <w:lvlJc w:val="left"/>
      <w:lvlText w:val="(%1)"/>
      <w:numFmt w:val="lowerLetter"/>
      <w:start w:val="9"/>
    </w:lvl>
    <w:lvl w:ilvl="1">
      <w:lvlJc w:val="left"/>
      <w:lvlText w:val="(%2)"/>
      <w:numFmt w:val="lowerLetter"/>
      <w:start w:val="1"/>
    </w:lvl>
  </w:abstractNum>
  <w:abstractNum w:abstractNumId="59">
    <w:nsid w:val="704E1DD5"/>
    <w:multiLevelType w:val="hybridMultilevel"/>
    <w:lvl w:ilvl="0">
      <w:lvlJc w:val="left"/>
      <w:lvlText w:val="(%1)"/>
      <w:numFmt w:val="lowerRoman"/>
      <w:start w:val="2"/>
    </w:lvl>
  </w:abstractNum>
  <w:abstractNum w:abstractNumId="60">
    <w:nsid w:val="57D2F10E"/>
    <w:multiLevelType w:val="hybridMultilevel"/>
    <w:lvl w:ilvl="0">
      <w:lvlJc w:val="left"/>
      <w:lvlText w:val="(%1)"/>
      <w:numFmt w:val="lowerLetter"/>
      <w:start w:val="1"/>
    </w:lvl>
  </w:abstractNum>
  <w:abstractNum w:abstractNumId="61">
    <w:nsid w:val="BFFAE18"/>
    <w:multiLevelType w:val="hybridMultilevel"/>
    <w:lvl w:ilvl="0">
      <w:lvlJc w:val="left"/>
      <w:lvlText w:val="(%1)"/>
      <w:numFmt w:val="lowerLetter"/>
      <w:start w:val="2"/>
    </w:lvl>
  </w:abstractNum>
  <w:abstractNum w:abstractNumId="62">
    <w:nsid w:val="E3E47A8"/>
    <w:multiLevelType w:val="hybridMultilevel"/>
    <w:lvl w:ilvl="0">
      <w:lvlJc w:val="left"/>
      <w:lvlText w:val="(%1)"/>
      <w:numFmt w:val="decimal"/>
      <w:start w:val="1"/>
    </w:lvl>
  </w:abstractNum>
  <w:abstractNum w:abstractNumId="63">
    <w:nsid w:val="2E48F044"/>
    <w:multiLevelType w:val="hybridMultilevel"/>
    <w:lvl w:ilvl="0">
      <w:lvlJc w:val="left"/>
      <w:lvlText w:val="(%1)"/>
      <w:numFmt w:val="decimal"/>
      <w:start w:val="2"/>
    </w:lvl>
  </w:abstractNum>
  <w:abstractNum w:abstractNumId="64">
    <w:nsid w:val="49D0FEAC"/>
    <w:multiLevelType w:val="hybridMultilevel"/>
    <w:lvl w:ilvl="0">
      <w:lvlJc w:val="left"/>
      <w:lvlText w:val="(%1)"/>
      <w:numFmt w:val="decimal"/>
      <w:start w:val="1"/>
    </w:lvl>
    <w:lvl w:ilvl="1">
      <w:lvlJc w:val="left"/>
      <w:lvlText w:val="(%2)"/>
      <w:numFmt w:val="upperLetter"/>
      <w:start w:val="1"/>
    </w:lvl>
  </w:abstractNum>
  <w:abstractNum w:abstractNumId="65">
    <w:nsid w:val="4BEE5A5B"/>
    <w:multiLevelType w:val="hybridMultilevel"/>
    <w:lvl w:ilvl="0">
      <w:lvlJc w:val="left"/>
      <w:lvlText w:val="(%1)"/>
      <w:numFmt w:val="lowerRoman"/>
      <w:start w:val="1"/>
    </w:lvl>
  </w:abstractNum>
  <w:abstractNum w:abstractNumId="66">
    <w:nsid w:val="5551B9F3"/>
    <w:multiLevelType w:val="hybridMultilevel"/>
    <w:lvl w:ilvl="0">
      <w:lvlJc w:val="left"/>
      <w:lvlText w:val="(%1)"/>
      <w:numFmt w:val="decimal"/>
      <w:start w:val="2"/>
    </w:lvl>
  </w:abstractNum>
  <w:abstractNum w:abstractNumId="67">
    <w:nsid w:val="24F6AB8E"/>
    <w:multiLevelType w:val="hybridMultilevel"/>
    <w:lvl w:ilvl="0">
      <w:lvlJc w:val="left"/>
      <w:lvlText w:val="(%1)"/>
      <w:numFmt w:val="decimal"/>
      <w:start w:val="3"/>
    </w:lvl>
  </w:abstractNum>
  <w:abstractNum w:abstractNumId="68">
    <w:nsid w:val="634C574C"/>
    <w:multiLevelType w:val="hybridMultilevel"/>
    <w:lvl w:ilvl="0">
      <w:lvlJc w:val="left"/>
      <w:lvlText w:val="(%1)"/>
      <w:numFmt w:val="decimal"/>
      <w:start w:val="1"/>
    </w:lvl>
  </w:abstractNum>
  <w:abstractNum w:abstractNumId="69">
    <w:nsid w:val="24E99DD7"/>
    <w:multiLevelType w:val="hybridMultilevel"/>
    <w:lvl w:ilvl="0">
      <w:lvlJc w:val="left"/>
      <w:lvlText w:val="(%1)"/>
      <w:numFmt w:val="decimal"/>
      <w:start w:val="3"/>
    </w:lvl>
    <w:lvl w:ilvl="1">
      <w:lvlJc w:val="left"/>
      <w:lvlText w:val="(%2)"/>
      <w:numFmt w:val="upperLetter"/>
      <w:start w:val="1"/>
    </w:lvl>
  </w:abstractNum>
  <w:abstractNum w:abstractNumId="70">
    <w:nsid w:val="2A31B62D"/>
    <w:multiLevelType w:val="hybridMultilevel"/>
    <w:lvl w:ilvl="0">
      <w:lvlJc w:val="left"/>
      <w:lvlText w:val="(%1)"/>
      <w:numFmt w:val="decimal"/>
      <w:start w:val="7"/>
    </w:lvl>
    <w:lvl w:ilvl="1">
      <w:lvlJc w:val="left"/>
      <w:lvlText w:val="(%2)"/>
      <w:numFmt w:val="upperLetter"/>
      <w:start w:val="1"/>
    </w:lvl>
  </w:abstractNum>
  <w:abstractNum w:abstractNumId="71">
    <w:nsid w:val="1849C29B"/>
    <w:multiLevelType w:val="hybridMultilevel"/>
    <w:lvl w:ilvl="0">
      <w:lvlJc w:val="left"/>
      <w:lvlText w:val="(%1)"/>
      <w:numFmt w:val="decimal"/>
      <w:start w:val="1"/>
    </w:lvl>
    <w:lvl w:ilvl="1">
      <w:lvlJc w:val="left"/>
      <w:lvlText w:val="(%2)"/>
      <w:numFmt w:val="upperLetter"/>
      <w:start w:val="1"/>
    </w:lvl>
  </w:abstractNum>
  <w:abstractNum w:abstractNumId="72">
    <w:nsid w:val="7DFF9D09"/>
    <w:multiLevelType w:val="hybridMultilevel"/>
    <w:lvl w:ilvl="0">
      <w:lvlJc w:val="left"/>
      <w:lvlText w:val="%1"/>
      <w:numFmt w:val="decimal"/>
      <w:start w:val="1"/>
    </w:lvl>
    <w:lvl w:ilvl="1">
      <w:lvlJc w:val="left"/>
      <w:lvlText w:val="(%2)"/>
      <w:numFmt w:val="upperLetter"/>
      <w:start w:val="3"/>
    </w:lvl>
  </w:abstractNum>
  <w:abstractNum w:abstractNumId="73">
    <w:nsid w:val="754342"/>
    <w:multiLevelType w:val="hybridMultilevel"/>
    <w:lvl w:ilvl="0">
      <w:lvlJc w:val="left"/>
      <w:lvlText w:val="(%1)"/>
      <w:numFmt w:val="decimal"/>
      <w:start w:val="2"/>
    </w:lvl>
    <w:lvl w:ilvl="1">
      <w:lvlJc w:val="left"/>
      <w:lvlText w:val="%2"/>
      <w:numFmt w:val="upperLetter"/>
      <w:start w:val="1"/>
    </w:lvl>
  </w:abstractNum>
  <w:abstractNum w:abstractNumId="74">
    <w:nsid w:val="69E7F3E5"/>
    <w:multiLevelType w:val="hybridMultilevel"/>
    <w:lvl w:ilvl="0">
      <w:lvlJc w:val="left"/>
      <w:lvlText w:val="(%1)"/>
      <w:numFmt w:val="decimal"/>
      <w:start w:val="1"/>
    </w:lvl>
  </w:abstractNum>
  <w:abstractNum w:abstractNumId="75">
    <w:nsid w:val="2A6DE806"/>
    <w:multiLevelType w:val="hybridMultilevel"/>
    <w:lvl w:ilvl="0">
      <w:lvlJc w:val="left"/>
      <w:lvlText w:val="(%1)"/>
      <w:numFmt w:val="lowerRoman"/>
      <w:start w:val="1"/>
    </w:lvl>
  </w:abstractNum>
  <w:abstractNum w:abstractNumId="76">
    <w:nsid w:val="1816F8C4"/>
    <w:multiLevelType w:val="hybridMultilevel"/>
    <w:lvl w:ilvl="0">
      <w:lvlJc w:val="left"/>
      <w:lvlText w:val="(%1)"/>
      <w:numFmt w:val="decimal"/>
      <w:start w:val="1"/>
    </w:lvl>
  </w:abstractNum>
  <w:abstractNum w:abstractNumId="77">
    <w:nsid w:val="37DF2233"/>
    <w:multiLevelType w:val="hybridMultilevel"/>
    <w:lvl w:ilvl="0">
      <w:lvlJc w:val="left"/>
      <w:lvlText w:val="(%1)"/>
      <w:numFmt w:val="decimal"/>
      <w:start w:val="1"/>
    </w:lvl>
  </w:abstractNum>
  <w:abstractNum w:abstractNumId="78">
    <w:nsid w:val="7AB49DAF"/>
    <w:multiLevelType w:val="hybridMultilevel"/>
    <w:lvl w:ilvl="0">
      <w:lvlJc w:val="left"/>
      <w:lvlText w:val="(%1)"/>
      <w:numFmt w:val="decimal"/>
      <w:start w:val="3"/>
    </w:lvl>
  </w:abstractNum>
  <w:abstractNum w:abstractNumId="79">
    <w:nsid w:val="759F82CD"/>
    <w:multiLevelType w:val="hybridMultilevel"/>
    <w:lvl w:ilvl="0">
      <w:lvlJc w:val="left"/>
      <w:lvlText w:val="(%1)"/>
      <w:numFmt w:val="decimal"/>
      <w:start w:val="1"/>
    </w:lvl>
  </w:abstractNum>
  <w:abstractNum w:abstractNumId="80">
    <w:nsid w:val="61E74EA3"/>
    <w:multiLevelType w:val="hybridMultilevel"/>
    <w:lvl w:ilvl="0">
      <w:lvlJc w:val="left"/>
      <w:lvlText w:val="(%1)"/>
      <w:numFmt w:val="decimal"/>
      <w:start w:val="1"/>
    </w:lvl>
  </w:abstractNum>
  <w:abstractNum w:abstractNumId="81">
    <w:nsid w:val="597B4D84"/>
    <w:multiLevelType w:val="hybridMultilevel"/>
    <w:lvl w:ilvl="0">
      <w:lvlJc w:val="left"/>
      <w:lvlText w:val="(%1)"/>
      <w:numFmt w:val="decimal"/>
      <w:start w:val="5"/>
    </w:lvl>
  </w:abstractNum>
  <w:abstractNum w:abstractNumId="82">
    <w:nsid w:val="F819E7F"/>
    <w:multiLevelType w:val="hybridMultilevel"/>
    <w:lvl w:ilvl="0">
      <w:lvlJc w:val="left"/>
      <w:lvlText w:val="(%1)"/>
      <w:numFmt w:val="decimal"/>
      <w:start w:val="13"/>
    </w:lvl>
  </w:abstractNum>
  <w:abstractNum w:abstractNumId="83">
    <w:nsid w:val="57C7D42D"/>
    <w:multiLevelType w:val="hybridMultilevel"/>
    <w:lvl w:ilvl="0">
      <w:lvlJc w:val="left"/>
      <w:lvlText w:val="(%1)"/>
      <w:numFmt w:val="decimal"/>
      <w:start w:val="1"/>
    </w:lvl>
  </w:abstractNum>
  <w:abstractNum w:abstractNumId="84">
    <w:nsid w:val="312167AD"/>
    <w:multiLevelType w:val="hybridMultilevel"/>
    <w:lvl w:ilvl="0">
      <w:lvlJc w:val="left"/>
      <w:lvlText w:val="(%1)"/>
      <w:numFmt w:val="decimal"/>
      <w:start w:val="2"/>
    </w:lvl>
  </w:abstractNum>
  <w:abstractNum w:abstractNumId="85">
    <w:nsid w:val="631B64D4"/>
    <w:multiLevelType w:val="hybridMultilevel"/>
    <w:lvl w:ilvl="0">
      <w:lvlJc w:val="left"/>
      <w:lvlText w:val="(%1)"/>
      <w:numFmt w:val="lowerLetter"/>
      <w:start w:val="1"/>
    </w:lvl>
  </w:abstractNum>
  <w:abstractNum w:abstractNumId="86">
    <w:nsid w:val="78B5E776"/>
    <w:multiLevelType w:val="hybridMultilevel"/>
    <w:lvl w:ilvl="0">
      <w:lvlJc w:val="left"/>
      <w:lvlText w:val="(%1)"/>
      <w:numFmt w:val="lowerLetter"/>
      <w:start w:val="2"/>
    </w:lvl>
  </w:abstractNum>
  <w:abstractNum w:abstractNumId="87">
    <w:nsid w:val="75486E47"/>
    <w:multiLevelType w:val="hybridMultilevel"/>
    <w:lvl w:ilvl="0">
      <w:lvlJc w:val="left"/>
      <w:lvlText w:val="(%1)"/>
      <w:numFmt w:val="decimal"/>
      <w:start w:val="1"/>
    </w:lvl>
  </w:abstractNum>
  <w:abstractNum w:abstractNumId="88">
    <w:nsid w:val="6E534CDE"/>
    <w:multiLevelType w:val="hybridMultilevel"/>
    <w:lvl w:ilvl="0">
      <w:lvlJc w:val="left"/>
      <w:lvlText w:val="(%1)"/>
      <w:numFmt w:val="lowerLetter"/>
      <w:start w:val="5"/>
    </w:lvl>
  </w:abstractNum>
  <w:abstractNum w:abstractNumId="89">
    <w:nsid w:val="1A0DDE32"/>
    <w:multiLevelType w:val="hybridMultilevel"/>
    <w:lvl w:ilvl="0">
      <w:lvlJc w:val="left"/>
      <w:lvlText w:val="(%1)"/>
      <w:numFmt w:val="lowerLetter"/>
      <w:start w:val="6"/>
    </w:lvl>
  </w:abstractNum>
  <w:abstractNum w:abstractNumId="90">
    <w:nsid w:val="65968C1C"/>
    <w:multiLevelType w:val="hybridMultilevel"/>
    <w:lvl w:ilvl="0">
      <w:lvlJc w:val="left"/>
      <w:lvlText w:val="(%1)"/>
      <w:numFmt w:val="lowerLetter"/>
      <w:start w:val="1"/>
    </w:lvl>
  </w:abstractNum>
  <w:abstractNum w:abstractNumId="91">
    <w:nsid w:val="46263DEC"/>
    <w:multiLevelType w:val="hybridMultilevel"/>
    <w:lvl w:ilvl="0">
      <w:lvlJc w:val="left"/>
      <w:lvlText w:val="(%1)"/>
      <w:numFmt w:val="lowerLetter"/>
      <w:start w:val="3"/>
    </w:lvl>
  </w:abstractNum>
  <w:abstractNum w:abstractNumId="92">
    <w:nsid w:val="260D8C4A"/>
    <w:multiLevelType w:val="hybridMultilevel"/>
    <w:lvl w:ilvl="0">
      <w:lvlJc w:val="left"/>
      <w:lvlText w:val="(%1)"/>
      <w:numFmt w:val="lowerLetter"/>
      <w:start w:val="1"/>
    </w:lvl>
  </w:abstractNum>
  <w:abstractNum w:abstractNumId="93">
    <w:nsid w:val="73D4D3C4"/>
    <w:multiLevelType w:val="hybridMultilevel"/>
    <w:lvl w:ilvl="0">
      <w:lvlJc w:val="left"/>
      <w:lvlText w:val="(%1)"/>
      <w:numFmt w:val="decimal"/>
      <w:start w:val="1"/>
    </w:lvl>
  </w:abstractNum>
  <w:abstractNum w:abstractNumId="94">
    <w:nsid w:val="746F2E30"/>
    <w:multiLevelType w:val="hybridMultilevel"/>
    <w:lvl w:ilvl="0">
      <w:lvlJc w:val="left"/>
      <w:lvlText w:val="(%1)"/>
      <w:numFmt w:val="lowerLetter"/>
      <w:start w:val="2"/>
    </w:lvl>
  </w:abstractNum>
  <w:abstractNum w:abstractNumId="95">
    <w:nsid w:val="6FDE8AF6"/>
    <w:multiLevelType w:val="hybridMultilevel"/>
    <w:lvl w:ilvl="0">
      <w:lvlJc w:val="left"/>
      <w:lvlText w:val="(%1)"/>
      <w:numFmt w:val="decimal"/>
      <w:start w:val="1"/>
    </w:lvl>
  </w:abstractNum>
  <w:abstractNum w:abstractNumId="96">
    <w:nsid w:val="3FC32E20"/>
    <w:multiLevelType w:val="hybridMultilevel"/>
    <w:lvl w:ilvl="0">
      <w:lvlJc w:val="left"/>
      <w:lvlText w:val="(%1)"/>
      <w:numFmt w:val="decimal"/>
      <w:start w:val="4"/>
    </w:lvl>
  </w:abstractNum>
  <w:abstractNum w:abstractNumId="97">
    <w:nsid w:val="49C0E823"/>
    <w:multiLevelType w:val="hybridMultilevel"/>
    <w:lvl w:ilvl="0">
      <w:lvlJc w:val="left"/>
      <w:lvlText w:val="(%1)"/>
      <w:numFmt w:val="lowerLetter"/>
      <w:start w:val="4"/>
    </w:lvl>
  </w:abstractNum>
  <w:abstractNum w:abstractNumId="98">
    <w:nsid w:val="14D53685"/>
    <w:multiLevelType w:val="hybridMultilevel"/>
    <w:lvl w:ilvl="0">
      <w:lvlJc w:val="left"/>
      <w:lvlText w:val="(%1)"/>
      <w:numFmt w:val="decimal"/>
      <w:start w:val="1"/>
    </w:lvl>
  </w:abstractNum>
  <w:abstractNum w:abstractNumId="99">
    <w:nsid w:val="230F856C"/>
    <w:multiLevelType w:val="hybridMultilevel"/>
    <w:lvl w:ilvl="0">
      <w:lvlJc w:val="left"/>
      <w:lvlText w:val="(%1)"/>
      <w:numFmt w:val="decimal"/>
      <w:start w:val="2"/>
    </w:lvl>
  </w:abstractNum>
  <w:abstractNum w:abstractNumId="100">
    <w:nsid w:val="6EAA85FB"/>
    <w:multiLevelType w:val="hybridMultilevel"/>
    <w:lvl w:ilvl="0">
      <w:lvlJc w:val="left"/>
      <w:lvlText w:val="(%1)"/>
      <w:numFmt w:val="lowerLetter"/>
      <w:start w:val="1"/>
    </w:lvl>
  </w:abstractNum>
  <w:abstractNum w:abstractNumId="101">
    <w:nsid w:val="3F06ECB2"/>
    <w:multiLevelType w:val="hybridMultilevel"/>
    <w:lvl w:ilvl="0">
      <w:lvlJc w:val="left"/>
      <w:lvlText w:val="(%1)"/>
      <w:numFmt w:val="decimal"/>
      <w:start w:val="1"/>
    </w:lvl>
  </w:abstractNum>
  <w:abstractNum w:abstractNumId="102">
    <w:nsid w:val="3B594807"/>
    <w:multiLevelType w:val="hybridMultilevel"/>
    <w:lvl w:ilvl="0">
      <w:lvlJc w:val="left"/>
      <w:lvlText w:val="(%1)"/>
      <w:numFmt w:val="decimal"/>
      <w:start w:val="9"/>
    </w:lvl>
  </w:abstractNum>
  <w:abstractNum w:abstractNumId="103">
    <w:nsid w:val="6CAA2304"/>
    <w:multiLevelType w:val="hybridMultilevel"/>
    <w:lvl w:ilvl="0">
      <w:lvlJc w:val="left"/>
      <w:lvlText w:val="(%1)"/>
      <w:numFmt w:val="decimal"/>
      <w:start w:val="1"/>
    </w:lvl>
  </w:abstractNum>
  <w:abstractNum w:abstractNumId="104">
    <w:nsid w:val="3F7C2FF4"/>
    <w:multiLevelType w:val="hybridMultilevel"/>
    <w:lvl w:ilvl="0">
      <w:lvlJc w:val="left"/>
      <w:lvlText w:val="(%1)"/>
      <w:numFmt w:val="decimal"/>
      <w:start w:val="3"/>
    </w:lvl>
  </w:abstractNum>
  <w:abstractNum w:abstractNumId="105">
    <w:nsid w:val="25413BEC"/>
    <w:multiLevelType w:val="hybridMultilevel"/>
    <w:lvl w:ilvl="0">
      <w:lvlJc w:val="left"/>
      <w:lvlText w:val="(%1)"/>
      <w:numFmt w:val="decimal"/>
      <w:start w:val="1"/>
    </w:lvl>
  </w:abstractNum>
  <w:abstractNum w:abstractNumId="106">
    <w:nsid w:val="17180B0B"/>
    <w:multiLevelType w:val="hybridMultilevel"/>
    <w:lvl w:ilvl="0">
      <w:lvlJc w:val="left"/>
      <w:lvlText w:val="."/>
      <w:numFmt w:val="bullet"/>
      <w:start w:val="1"/>
    </w:lvl>
  </w:abstractNum>
  <w:abstractNum w:abstractNumId="107">
    <w:nsid w:val="579328B9"/>
    <w:multiLevelType w:val="hybridMultilevel"/>
    <w:lvl w:ilvl="0">
      <w:lvlJc w:val="left"/>
      <w:lvlText w:val="(%1)"/>
      <w:numFmt w:val="decimal"/>
      <w:start w:val="1"/>
    </w:lvl>
  </w:abstractNum>
  <w:abstractNum w:abstractNumId="108">
    <w:nsid w:val="5D205E20"/>
    <w:multiLevelType w:val="hybridMultilevel"/>
    <w:lvl w:ilvl="0">
      <w:lvlJc w:val="left"/>
      <w:lvlText w:val="(%1)"/>
      <w:numFmt w:val="decimal"/>
      <w:start w:val="9"/>
    </w:lvl>
  </w:abstractNum>
  <w:abstractNum w:abstractNumId="109">
    <w:nsid w:val="11CCA8BA"/>
    <w:multiLevelType w:val="hybridMultilevel"/>
    <w:lvl w:ilvl="0">
      <w:lvlJc w:val="left"/>
      <w:lvlText w:val="(%1)"/>
      <w:numFmt w:val="lowerLetter"/>
      <w:start w:val="1"/>
    </w:lvl>
  </w:abstractNum>
  <w:abstractNum w:abstractNumId="110">
    <w:nsid w:val="4D32AB86"/>
    <w:multiLevelType w:val="hybridMultilevel"/>
    <w:lvl w:ilvl="0">
      <w:lvlJc w:val="left"/>
      <w:lvlText w:val="(%1)"/>
      <w:numFmt w:val="lowerLetter"/>
      <w:start w:val="4"/>
    </w:lvl>
  </w:abstractNum>
  <w:abstractNum w:abstractNumId="111">
    <w:nsid w:val="3F07ACC3"/>
    <w:multiLevelType w:val="hybridMultilevel"/>
    <w:lvl w:ilvl="0">
      <w:lvlJc w:val="left"/>
      <w:lvlText w:val="(%1)"/>
      <w:numFmt w:val="lowerLetter"/>
      <w:start w:val="1"/>
    </w:lvl>
  </w:abstractNum>
  <w:abstractNum w:abstractNumId="112">
    <w:nsid w:val="6B47F63E"/>
    <w:multiLevelType w:val="hybridMultilevel"/>
    <w:lvl w:ilvl="0">
      <w:lvlJc w:val="left"/>
      <w:lvlText w:val="(%1)"/>
      <w:numFmt w:val="lowerRoman"/>
      <w:start w:val="1"/>
    </w:lvl>
  </w:abstractNum>
  <w:abstractNum w:abstractNumId="113">
    <w:nsid w:val="5CB44A05"/>
    <w:multiLevelType w:val="hybridMultilevel"/>
    <w:lvl w:ilvl="0">
      <w:lvlJc w:val="left"/>
      <w:lvlText w:val="(%1)"/>
      <w:numFmt w:val="lowerLetter"/>
      <w:start w:val="1"/>
    </w:lvl>
  </w:abstractNum>
  <w:abstractNum w:abstractNumId="114">
    <w:nsid w:val="16CF80F1"/>
    <w:multiLevelType w:val="hybridMultilevel"/>
    <w:lvl w:ilvl="0">
      <w:lvlJc w:val="left"/>
      <w:lvlText w:val="(%1)"/>
      <w:numFmt w:val="lowerLetter"/>
      <w:start w:val="2"/>
    </w:lvl>
  </w:abstractNum>
  <w:abstractNum w:abstractNumId="115">
    <w:nsid w:val="1C695DEC"/>
    <w:multiLevelType w:val="hybridMultilevel"/>
    <w:lvl w:ilvl="0">
      <w:lvlJc w:val="left"/>
      <w:lvlText w:val="(%1)"/>
      <w:numFmt w:val="decimal"/>
      <w:start w:val="1"/>
    </w:lvl>
  </w:abstractNum>
  <w:abstractNum w:abstractNumId="116">
    <w:nsid w:val="3FCFAED9"/>
    <w:multiLevelType w:val="hybridMultilevel"/>
    <w:lvl w:ilvl="0">
      <w:lvlJc w:val="left"/>
      <w:lvlText w:val="(%1)"/>
      <w:numFmt w:val="decimal"/>
      <w:start w:val="3"/>
    </w:lvl>
  </w:abstractNum>
  <w:abstractNum w:abstractNumId="117">
    <w:nsid w:val="F856867"/>
    <w:multiLevelType w:val="hybridMultilevel"/>
    <w:lvl w:ilvl="0">
      <w:lvlJc w:val="left"/>
      <w:lvlText w:val="%1"/>
      <w:numFmt w:val="lowerLetter"/>
      <w:start w:val="1"/>
    </w:lvl>
    <w:lvl w:ilvl="1">
      <w:lvlJc w:val="left"/>
      <w:lvlText w:val="(%2)"/>
      <w:numFmt w:val="decimal"/>
      <w:start w:val="4"/>
    </w:lvl>
  </w:abstractNum>
  <w:abstractNum w:abstractNumId="118">
    <w:nsid w:val="11B1CC33"/>
    <w:multiLevelType w:val="hybridMultilevel"/>
    <w:lvl w:ilvl="0">
      <w:lvlJc w:val="left"/>
      <w:lvlText w:val="(%1)"/>
      <w:numFmt w:val="lowerLetter"/>
      <w:start w:val="2"/>
    </w:lvl>
    <w:lvl w:ilvl="1">
      <w:lvlJc w:val="left"/>
      <w:lvlText w:val="%2"/>
      <w:numFmt w:val="decimal"/>
      <w:start w:val="1"/>
    </w:lvl>
  </w:abstractNum>
  <w:abstractNum w:abstractNumId="119">
    <w:nsid w:val="2E22FBB7"/>
    <w:multiLevelType w:val="hybridMultilevel"/>
    <w:lvl w:ilvl="0">
      <w:lvlJc w:val="left"/>
      <w:lvlText w:val="(%1)"/>
      <w:numFmt w:val="decimal"/>
      <w:start w:val="5"/>
    </w:lvl>
  </w:abstractNum>
  <w:abstractNum w:abstractNumId="120">
    <w:nsid w:val="29934699"/>
    <w:multiLevelType w:val="hybridMultilevel"/>
    <w:lvl w:ilvl="0">
      <w:lvlJc w:val="left"/>
      <w:lvlText w:val="(%1)"/>
      <w:numFmt w:val="decimal"/>
      <w:start w:val="6"/>
    </w:lvl>
  </w:abstractNum>
  <w:abstractNum w:abstractNumId="121">
    <w:nsid w:val="77485850"/>
    <w:multiLevelType w:val="hybridMultilevel"/>
    <w:lvl w:ilvl="0">
      <w:lvlJc w:val="left"/>
      <w:lvlText w:val="(%1)"/>
      <w:numFmt w:val="decimal"/>
      <w:start w:val="11"/>
    </w:lvl>
  </w:abstractNum>
  <w:abstractNum w:abstractNumId="122">
    <w:nsid w:val="744939A3"/>
    <w:multiLevelType w:val="hybridMultilevel"/>
    <w:lvl w:ilvl="0">
      <w:lvlJc w:val="left"/>
      <w:lvlText w:val="(%1)"/>
      <w:numFmt w:val="decimal"/>
      <w:start w:val="1"/>
    </w:lvl>
  </w:abstractNum>
  <w:abstractNum w:abstractNumId="123">
    <w:nsid w:val="4FA0D2E3"/>
    <w:multiLevelType w:val="hybridMultilevel"/>
    <w:lvl w:ilvl="0">
      <w:lvlJc w:val="left"/>
      <w:lvlText w:val="(%1)"/>
      <w:numFmt w:val="decimal"/>
      <w:start w:val="1"/>
    </w:lvl>
  </w:abstractNum>
  <w:abstractNum w:abstractNumId="124">
    <w:nsid w:val="6B1D2C14"/>
    <w:multiLevelType w:val="hybridMultilevel"/>
    <w:lvl w:ilvl="0">
      <w:lvlJc w:val="left"/>
      <w:lvlText w:val="(%1)"/>
      <w:numFmt w:val="decimal"/>
      <w:start w:val="3"/>
    </w:lvl>
  </w:abstractNum>
  <w:abstractNum w:abstractNumId="125">
    <w:nsid w:val="68B867D3"/>
    <w:multiLevelType w:val="hybridMultilevel"/>
    <w:lvl w:ilvl="0">
      <w:lvlJc w:val="left"/>
      <w:lvlText w:val="%1"/>
      <w:numFmt w:val="lowerLetter"/>
      <w:start w:val="1"/>
    </w:lvl>
    <w:lvl w:ilvl="1">
      <w:lvlJc w:val="left"/>
      <w:lvlText w:val="(%2)"/>
      <w:numFmt w:val="decimal"/>
      <w:start w:val="1"/>
    </w:lvl>
  </w:abstractNum>
  <w:abstractNum w:abstractNumId="126">
    <w:nsid w:val="3F7F5DD9"/>
    <w:multiLevelType w:val="hybridMultilevel"/>
    <w:lvl w:ilvl="0">
      <w:lvlJc w:val="left"/>
      <w:lvlText w:val="(%1)"/>
      <w:numFmt w:val="lowerLetter"/>
      <w:start w:val="4"/>
    </w:lvl>
    <w:lvl w:ilvl="1">
      <w:lvlJc w:val="left"/>
      <w:lvlText w:val="(%2)"/>
      <w:numFmt w:val="decimal"/>
      <w:start w:val="2"/>
    </w:lvl>
  </w:abstractNum>
  <w:abstractNum w:abstractNumId="127">
    <w:nsid w:val="2AE05A34"/>
    <w:multiLevelType w:val="hybridMultilevel"/>
    <w:lvl w:ilvl="0">
      <w:lvlJc w:val="left"/>
      <w:lvlText w:val="(%1)"/>
      <w:numFmt w:val="decimal"/>
      <w:start w:val="1"/>
    </w:lvl>
  </w:abstractNum>
  <w:abstractNum w:abstractNumId="128">
    <w:nsid w:val="32794FF7"/>
    <w:multiLevelType w:val="hybridMultilevel"/>
    <w:lvl w:ilvl="0">
      <w:lvlJc w:val="left"/>
      <w:lvlText w:val="(%1)"/>
      <w:numFmt w:val="lowerLetter"/>
      <w:start w:val="1"/>
    </w:lvl>
  </w:abstractNum>
  <w:abstractNum w:abstractNumId="129">
    <w:nsid w:val="5454945E"/>
    <w:multiLevelType w:val="hybridMultilevel"/>
    <w:lvl w:ilvl="0">
      <w:lvlJc w:val="left"/>
      <w:lvlText w:val="(%1)"/>
      <w:numFmt w:val="decimal"/>
      <w:start w:val="1"/>
    </w:lvl>
  </w:abstractNum>
  <w:abstractNum w:abstractNumId="130">
    <w:nsid w:val="4DEFDFA0"/>
    <w:multiLevelType w:val="hybridMultilevel"/>
    <w:lvl w:ilvl="0">
      <w:lvlJc w:val="left"/>
      <w:lvlText w:val="(%1)"/>
      <w:numFmt w:val="decimal"/>
      <w:start w:val="2"/>
    </w:lvl>
  </w:abstractNum>
  <w:abstractNum w:abstractNumId="131">
    <w:nsid w:val="2123D5F2"/>
    <w:multiLevelType w:val="hybridMultilevel"/>
    <w:lvl w:ilvl="0">
      <w:lvlJc w:val="left"/>
      <w:lvlText w:val="(%1)"/>
      <w:numFmt w:val="lowerRoman"/>
      <w:start w:val="1"/>
    </w:lvl>
  </w:abstractNum>
  <w:abstractNum w:abstractNumId="132">
    <w:nsid w:val="135B8110"/>
    <w:multiLevelType w:val="hybridMultilevel"/>
    <w:lvl w:ilvl="0">
      <w:lvlJc w:val="left"/>
      <w:lvlText w:val="(%1)"/>
      <w:numFmt w:val="decimal"/>
      <w:start w:val="1"/>
    </w:lvl>
  </w:abstractNum>
  <w:abstractNum w:abstractNumId="133">
    <w:nsid w:val="94927A8"/>
    <w:multiLevelType w:val="hybridMultilevel"/>
    <w:lvl w:ilvl="0">
      <w:lvlJc w:val="left"/>
      <w:lvlText w:val="(%1)"/>
      <w:numFmt w:val="lowerLetter"/>
      <w:start w:val="1"/>
    </w:lvl>
  </w:abstractNum>
  <w:abstractNum w:abstractNumId="134">
    <w:nsid w:val="DCDF8F6"/>
    <w:multiLevelType w:val="hybridMultilevel"/>
    <w:lvl w:ilvl="0">
      <w:lvlJc w:val="left"/>
      <w:lvlText w:val="(%1)"/>
      <w:numFmt w:val="lowerLetter"/>
      <w:start w:val="3"/>
    </w:lvl>
  </w:abstractNum>
  <w:abstractNum w:abstractNumId="135">
    <w:nsid w:val="52D7B105"/>
    <w:multiLevelType w:val="hybridMultilevel"/>
    <w:lvl w:ilvl="0">
      <w:lvlJc w:val="left"/>
      <w:lvlText w:val="(%1)"/>
      <w:numFmt w:val="decimal"/>
      <w:start w:val="1"/>
    </w:lvl>
  </w:abstractNum>
  <w:abstractNum w:abstractNumId="136">
    <w:nsid w:val="2E8A6394"/>
    <w:multiLevelType w:val="hybridMultilevel"/>
    <w:lvl w:ilvl="0">
      <w:lvlJc w:val="left"/>
      <w:lvlText w:val="(%1)"/>
      <w:numFmt w:val="lowerRoman"/>
      <w:start w:val="1"/>
    </w:lvl>
  </w:abstractNum>
  <w:abstractNum w:abstractNumId="137">
    <w:nsid w:val="24E60401"/>
    <w:multiLevelType w:val="hybridMultilevel"/>
    <w:lvl w:ilvl="0">
      <w:lvlJc w:val="left"/>
      <w:lvlText w:val="(%1)"/>
      <w:numFmt w:val="decimal"/>
      <w:start w:val="1"/>
    </w:lvl>
  </w:abstractNum>
  <w:abstractNum w:abstractNumId="138">
    <w:nsid w:val="2A6AD9BE"/>
    <w:multiLevelType w:val="hybridMultilevel"/>
    <w:lvl w:ilvl="0">
      <w:lvlJc w:val="left"/>
      <w:lvlText w:val="(%1)"/>
      <w:numFmt w:val="decimal"/>
      <w:start w:val="4"/>
    </w:lvl>
  </w:abstractNum>
  <w:abstractNum w:abstractNumId="139">
    <w:nsid w:val="BAAC1B4"/>
    <w:multiLevelType w:val="hybridMultilevel"/>
    <w:lvl w:ilvl="0">
      <w:lvlJc w:val="left"/>
      <w:lvlText w:val="(%1)"/>
      <w:numFmt w:val="decimal"/>
      <w:start w:val="14"/>
    </w:lvl>
  </w:abstractNum>
  <w:abstractNum w:abstractNumId="140">
    <w:nsid w:val="36B2ACBC"/>
    <w:multiLevelType w:val="hybridMultilevel"/>
    <w:lvl w:ilvl="0">
      <w:lvlJc w:val="left"/>
      <w:lvlText w:val="(%1)"/>
      <w:numFmt w:val="decimal"/>
      <w:start w:val="21"/>
    </w:lvl>
  </w:abstractNum>
  <w:abstractNum w:abstractNumId="141">
    <w:nsid w:val="779D8544"/>
    <w:multiLevelType w:val="hybridMultilevel"/>
    <w:lvl w:ilvl="0">
      <w:lvlJc w:val="left"/>
      <w:lvlText w:val="(%1)"/>
      <w:numFmt w:val="lowerLetter"/>
      <w:start w:val="9"/>
    </w:lvl>
    <w:lvl w:ilvl="1">
      <w:lvlJc w:val="left"/>
      <w:lvlText w:val="(%2)"/>
      <w:numFmt w:val="lowerLetter"/>
      <w:start w:val="1"/>
    </w:lvl>
  </w:abstractNum>
  <w:abstractNum w:abstractNumId="142">
    <w:nsid w:val="4AB26E78"/>
    <w:multiLevelType w:val="hybridMultilevel"/>
    <w:lvl w:ilvl="0">
      <w:lvlJc w:val="left"/>
      <w:lvlText w:val="(%1)"/>
      <w:numFmt w:val="lowerRoman"/>
      <w:start w:val="2"/>
    </w:lvl>
  </w:abstractNum>
  <w:abstractNum w:abstractNumId="143">
    <w:nsid w:val="21FAA2FA"/>
    <w:multiLevelType w:val="hybridMultilevel"/>
    <w:lvl w:ilvl="0">
      <w:lvlJc w:val="left"/>
      <w:lvlText w:val="(%1)"/>
      <w:numFmt w:val="lowerLetter"/>
      <w:start w:val="1"/>
    </w:lvl>
  </w:abstractNum>
  <w:abstractNum w:abstractNumId="144">
    <w:nsid w:val="5451CF49"/>
    <w:multiLevelType w:val="hybridMultilevel"/>
    <w:lvl w:ilvl="0">
      <w:lvlJc w:val="left"/>
      <w:lvlText w:val="(%1)"/>
      <w:numFmt w:val="lowerLetter"/>
      <w:start w:val="2"/>
    </w:lvl>
  </w:abstractNum>
  <w:abstractNum w:abstractNumId="145">
    <w:nsid w:val="6181EF69"/>
    <w:multiLevelType w:val="hybridMultilevel"/>
    <w:lvl w:ilvl="0">
      <w:lvlJc w:val="left"/>
      <w:lvlText w:val="(%1)"/>
      <w:numFmt w:val="decimal"/>
      <w:start w:val="1"/>
    </w:lvl>
  </w:abstractNum>
  <w:abstractNum w:abstractNumId="146">
    <w:nsid w:val="3E6400E6"/>
    <w:multiLevelType w:val="hybridMultilevel"/>
    <w:lvl w:ilvl="0">
      <w:lvlJc w:val="left"/>
      <w:lvlText w:val="(%1)"/>
      <w:numFmt w:val="decimal"/>
      <w:start w:val="2"/>
    </w:lvl>
  </w:abstractNum>
  <w:abstractNum w:abstractNumId="147">
    <w:nsid w:val="14217E23"/>
    <w:multiLevelType w:val="hybridMultilevel"/>
    <w:lvl w:ilvl="0">
      <w:lvlJc w:val="left"/>
      <w:lvlText w:val="(%1)"/>
      <w:numFmt w:val="decimal"/>
      <w:start w:val="1"/>
    </w:lvl>
    <w:lvl w:ilvl="1">
      <w:lvlJc w:val="left"/>
      <w:lvlText w:val="(%2)"/>
      <w:numFmt w:val="upperLetter"/>
      <w:start w:val="1"/>
    </w:lvl>
  </w:abstractNum>
  <w:abstractNum w:abstractNumId="148">
    <w:nsid w:val="710757D0"/>
    <w:multiLevelType w:val="hybridMultilevel"/>
    <w:lvl w:ilvl="0">
      <w:lvlJc w:val="left"/>
      <w:lvlText w:val="(%1)"/>
      <w:numFmt w:val="lowerRoman"/>
      <w:start w:val="1"/>
    </w:lvl>
  </w:abstractNum>
  <w:abstractNum w:abstractNumId="149">
    <w:nsid w:val="5015CD1A"/>
    <w:multiLevelType w:val="hybridMultilevel"/>
    <w:lvl w:ilvl="0">
      <w:lvlJc w:val="left"/>
      <w:lvlText w:val="(%1)"/>
      <w:numFmt w:val="decimal"/>
      <w:start w:val="2"/>
    </w:lvl>
  </w:abstractNum>
  <w:abstractNum w:abstractNumId="150">
    <w:nsid w:val="424479DA"/>
    <w:multiLevelType w:val="hybridMultilevel"/>
    <w:lvl w:ilvl="0">
      <w:lvlJc w:val="left"/>
      <w:lvlText w:val="(%1)"/>
      <w:numFmt w:val="decimal"/>
      <w:start w:val="1"/>
    </w:lvl>
  </w:abstractNum>
  <w:abstractNum w:abstractNumId="151">
    <w:nsid w:val="1A9A9E69"/>
    <w:multiLevelType w:val="hybridMultilevel"/>
    <w:lvl w:ilvl="0">
      <w:lvlJc w:val="left"/>
      <w:lvlText w:val="(%1)"/>
      <w:numFmt w:val="decimal"/>
      <w:start w:val="5"/>
    </w:lvl>
    <w:lvl w:ilvl="1">
      <w:lvlJc w:val="left"/>
      <w:lvlText w:val="(%2)"/>
      <w:numFmt w:val="upperLetter"/>
      <w:start w:val="1"/>
    </w:lvl>
  </w:abstractNum>
  <w:abstractNum w:abstractNumId="152">
    <w:nsid w:val="475E256A"/>
    <w:multiLevelType w:val="hybridMultilevel"/>
    <w:lvl w:ilvl="0">
      <w:lvlJc w:val="left"/>
      <w:lvlText w:val="(%1)"/>
      <w:numFmt w:val="decimal"/>
      <w:start w:val="8"/>
    </w:lvl>
  </w:abstractNum>
  <w:abstractNum w:abstractNumId="153">
    <w:nsid w:val="368DB37E"/>
    <w:multiLevelType w:val="hybridMultilevel"/>
    <w:lvl w:ilvl="0">
      <w:lvlJc w:val="left"/>
      <w:lvlText w:val="(%1)"/>
      <w:numFmt w:val="decimal"/>
      <w:start w:val="1"/>
    </w:lvl>
    <w:lvl w:ilvl="1">
      <w:lvlJc w:val="left"/>
      <w:lvlText w:val="(%2)"/>
      <w:numFmt w:val="upperLetter"/>
      <w:start w:val="1"/>
    </w:lvl>
  </w:abstractNum>
  <w:abstractNum w:abstractNumId="154">
    <w:nsid w:val="6A3B714C"/>
    <w:multiLevelType w:val="hybridMultilevel"/>
    <w:lvl w:ilvl="0">
      <w:lvlJc w:val="left"/>
      <w:lvlText w:val="(%1)"/>
      <w:numFmt w:val="decimal"/>
      <w:start w:val="1"/>
    </w:lvl>
  </w:abstractNum>
  <w:abstractNum w:abstractNumId="155">
    <w:nsid w:val="327B517E"/>
    <w:multiLevelType w:val="hybridMultilevel"/>
    <w:lvl w:ilvl="0">
      <w:lvlJc w:val="left"/>
      <w:lvlText w:val="(%1)"/>
      <w:numFmt w:val="lowerRoman"/>
      <w:start w:val="1"/>
    </w:lvl>
  </w:abstractNum>
  <w:abstractNum w:abstractNumId="156">
    <w:nsid w:val="1F461B51"/>
    <w:multiLevelType w:val="hybridMultilevel"/>
    <w:lvl w:ilvl="0">
      <w:lvlJc w:val="left"/>
      <w:lvlText w:val="(%1)"/>
      <w:numFmt w:val="lowerRoman"/>
      <w:start w:val="2"/>
    </w:lvl>
  </w:abstractNum>
  <w:abstractNum w:abstractNumId="157">
    <w:nsid w:val="29BACF25"/>
    <w:multiLevelType w:val="hybridMultilevel"/>
    <w:lvl w:ilvl="0">
      <w:lvlJc w:val="left"/>
      <w:lvlText w:val="(%1)"/>
      <w:numFmt w:val="decimal"/>
      <w:start w:val="1"/>
    </w:lvl>
  </w:abstractNum>
  <w:abstractNum w:abstractNumId="158">
    <w:nsid w:val="5D5BABB3"/>
    <w:multiLevelType w:val="hybridMultilevel"/>
    <w:lvl w:ilvl="0">
      <w:lvlJc w:val="left"/>
      <w:lvlText w:val="(%1)"/>
      <w:numFmt w:val="decimal"/>
      <w:start w:val="1"/>
    </w:lvl>
  </w:abstractNum>
  <w:abstractNum w:abstractNumId="159">
    <w:nsid w:val="51BF6B48"/>
    <w:multiLevelType w:val="hybridMultilevel"/>
    <w:lvl w:ilvl="0">
      <w:lvlJc w:val="left"/>
      <w:lvlText w:val="(%1)"/>
      <w:numFmt w:val="decimal"/>
      <w:start w:val="1"/>
    </w:lvl>
  </w:abstractNum>
  <w:abstractNum w:abstractNumId="160">
    <w:nsid w:val="7E0F6384"/>
    <w:multiLevelType w:val="hybridMultilevel"/>
    <w:lvl w:ilvl="0">
      <w:lvlJc w:val="left"/>
      <w:lvlText w:val="(%1)"/>
      <w:numFmt w:val="decimal"/>
      <w:start w:val="3"/>
    </w:lvl>
  </w:abstractNum>
  <w:abstractNum w:abstractNumId="161">
    <w:nsid w:val="2B4B8B53"/>
    <w:multiLevelType w:val="hybridMultilevel"/>
    <w:lvl w:ilvl="0">
      <w:lvlJc w:val="left"/>
      <w:lvlText w:val="(%1)"/>
      <w:numFmt w:val="decimal"/>
      <w:start w:val="1"/>
    </w:lvl>
  </w:abstractNum>
  <w:abstractNum w:abstractNumId="162">
    <w:nsid w:val="72E3413A"/>
    <w:multiLevelType w:val="hybridMultilevel"/>
    <w:lvl w:ilvl="0">
      <w:lvlJc w:val="left"/>
      <w:lvlText w:val="(%1)"/>
      <w:numFmt w:val="decimal"/>
      <w:start w:val="7"/>
    </w:lvl>
  </w:abstractNum>
  <w:abstractNum w:abstractNumId="163">
    <w:nsid w:val="116AE494"/>
    <w:multiLevelType w:val="hybridMultilevel"/>
    <w:lvl w:ilvl="0">
      <w:lvlJc w:val="left"/>
      <w:lvlText w:val="(%1)"/>
      <w:numFmt w:val="decimal"/>
      <w:start w:val="1"/>
    </w:lvl>
  </w:abstractNum>
  <w:abstractNum w:abstractNumId="164">
    <w:nsid w:val="3494B2FB"/>
    <w:multiLevelType w:val="hybridMultilevel"/>
    <w:lvl w:ilvl="0">
      <w:lvlJc w:val="left"/>
      <w:lvlText w:val="(%1)"/>
      <w:numFmt w:val="lowerLetter"/>
      <w:start w:val="1"/>
    </w:lvl>
  </w:abstractNum>
  <w:abstractNum w:abstractNumId="165">
    <w:nsid w:val="B13A31"/>
    <w:multiLevelType w:val="hybridMultilevel"/>
    <w:lvl w:ilvl="0">
      <w:lvlJc w:val="left"/>
      <w:lvlText w:val="(%1)"/>
      <w:numFmt w:val="decimal"/>
      <w:start w:val="1"/>
    </w:lvl>
  </w:abstractNum>
  <w:abstractNum w:abstractNumId="166">
    <w:nsid w:val="64429599"/>
    <w:multiLevelType w:val="hybridMultilevel"/>
    <w:lvl w:ilvl="0">
      <w:lvlJc w:val="left"/>
      <w:lvlText w:val="(%1)"/>
      <w:numFmt w:val="decimal"/>
      <w:start w:val="3"/>
    </w:lvl>
  </w:abstractNum>
  <w:abstractNum w:abstractNumId="167">
    <w:nsid w:val="631F1690"/>
    <w:multiLevelType w:val="hybridMultilevel"/>
    <w:lvl w:ilvl="0">
      <w:lvlJc w:val="left"/>
      <w:lvlText w:val="(%1)"/>
      <w:numFmt w:val="lowerLetter"/>
      <w:start w:val="5"/>
    </w:lvl>
  </w:abstractNum>
  <w:abstractNum w:abstractNumId="168">
    <w:nsid w:val="25973E32"/>
    <w:multiLevelType w:val="hybridMultilevel"/>
    <w:lvl w:ilvl="0">
      <w:lvlJc w:val="left"/>
      <w:lvlText w:val="(%1)"/>
      <w:numFmt w:val="lowerLetter"/>
      <w:start w:val="1"/>
    </w:lvl>
  </w:abstractNum>
  <w:abstractNum w:abstractNumId="169">
    <w:nsid w:val="EAD6F57"/>
    <w:multiLevelType w:val="hybridMultilevel"/>
    <w:lvl w:ilvl="0">
      <w:lvlJc w:val="left"/>
      <w:lvlText w:val="(%1)"/>
      <w:numFmt w:val="lowerLetter"/>
      <w:start w:val="2"/>
    </w:lvl>
  </w:abstractNum>
  <w:abstractNum w:abstractNumId="170">
    <w:nsid w:val="6EC9D844"/>
    <w:multiLevelType w:val="hybridMultilevel"/>
    <w:lvl w:ilvl="0">
      <w:lvlJc w:val="left"/>
      <w:lvlText w:val="(%1)"/>
      <w:numFmt w:val="lowerLetter"/>
      <w:start w:val="1"/>
    </w:lvl>
  </w:abstractNum>
  <w:abstractNum w:abstractNumId="171">
    <w:nsid w:val="5C49EAEE"/>
    <w:multiLevelType w:val="hybridMultilevel"/>
    <w:lvl w:ilvl="0">
      <w:lvlJc w:val="left"/>
      <w:lvlText w:val="(%1)"/>
      <w:numFmt w:val="decimal"/>
      <w:start w:val="1"/>
    </w:lvl>
  </w:abstractNum>
  <w:abstractNum w:abstractNumId="172">
    <w:nsid w:val="64AF49B"/>
    <w:multiLevelType w:val="hybridMultilevel"/>
    <w:lvl w:ilvl="0">
      <w:lvlJc w:val="left"/>
      <w:lvlText w:val="(%1)"/>
      <w:numFmt w:val="lowerLetter"/>
      <w:start w:val="2"/>
    </w:lvl>
  </w:abstractNum>
  <w:abstractNum w:abstractNumId="173">
    <w:nsid w:val="397C46BC"/>
    <w:multiLevelType w:val="hybridMultilevel"/>
    <w:lvl w:ilvl="0">
      <w:lvlJc w:val="left"/>
      <w:lvlText w:val="(%1)"/>
      <w:numFmt w:val="lowerLetter"/>
      <w:start w:val="3"/>
    </w:lvl>
  </w:abstractNum>
  <w:abstractNum w:abstractNumId="174">
    <w:nsid w:val="7E448DE9"/>
    <w:multiLevelType w:val="hybridMultilevel"/>
    <w:lvl w:ilvl="0">
      <w:lvlJc w:val="left"/>
      <w:lvlText w:val="(%1)"/>
      <w:numFmt w:val="decimal"/>
      <w:start w:val="1"/>
    </w:lvl>
  </w:abstractNum>
  <w:abstractNum w:abstractNumId="175">
    <w:nsid w:val="5A9CC3E5"/>
    <w:multiLevelType w:val="hybridMultilevel"/>
    <w:lvl w:ilvl="0">
      <w:lvlJc w:val="left"/>
      <w:lvlText w:val="(%1)"/>
      <w:numFmt w:val="decimal"/>
      <w:start w:val="2"/>
    </w:lvl>
  </w:abstractNum>
  <w:abstractNum w:abstractNumId="176">
    <w:nsid w:val="1AFE3625"/>
    <w:multiLevelType w:val="hybridMultilevel"/>
    <w:lvl w:ilvl="0">
      <w:lvlJc w:val="left"/>
      <w:lvlText w:val="(%1)"/>
      <w:numFmt w:val="lowerLetter"/>
      <w:start w:val="4"/>
    </w:lvl>
  </w:abstractNum>
  <w:abstractNum w:abstractNumId="177">
    <w:nsid w:val="3CA88ECF"/>
    <w:multiLevelType w:val="hybridMultilevel"/>
    <w:lvl w:ilvl="0">
      <w:lvlJc w:val="left"/>
      <w:lvlText w:val="(%1)"/>
      <w:numFmt w:val="decimal"/>
      <w:start w:val="1"/>
    </w:lvl>
  </w:abstractNum>
  <w:abstractNum w:abstractNumId="178">
    <w:nsid w:val="6EBE4208"/>
    <w:multiLevelType w:val="hybridMultilevel"/>
    <w:lvl w:ilvl="0">
      <w:lvlJc w:val="left"/>
      <w:lvlText w:val="(%1)"/>
      <w:numFmt w:val="lowerLetter"/>
      <w:start w:val="1"/>
    </w:lvl>
  </w:abstractNum>
  <w:abstractNum w:abstractNumId="179">
    <w:nsid w:val="C058DF5"/>
    <w:multiLevelType w:val="hybridMultilevel"/>
    <w:lvl w:ilvl="0">
      <w:lvlJc w:val="left"/>
      <w:lvlText w:val="(%1)"/>
      <w:numFmt w:val="lowerLetter"/>
      <w:start w:val="2"/>
    </w:lvl>
  </w:abstractNum>
  <w:abstractNum w:abstractNumId="180">
    <w:nsid w:val="CBE5BE9"/>
    <w:multiLevelType w:val="hybridMultilevel"/>
    <w:lvl w:ilvl="0">
      <w:lvlJc w:val="left"/>
      <w:lvlText w:val="(%1)"/>
      <w:numFmt w:val="decimal"/>
      <w:start w:val="1"/>
    </w:lvl>
  </w:abstractNum>
  <w:abstractNum w:abstractNumId="181">
    <w:nsid w:val="3102BBE2"/>
    <w:multiLevelType w:val="hybridMultilevel"/>
    <w:lvl w:ilvl="0">
      <w:lvlJc w:val="left"/>
      <w:lvlText w:val="(%1)"/>
      <w:numFmt w:val="decimal"/>
      <w:start w:val="6"/>
    </w:lvl>
  </w:abstractNum>
  <w:abstractNum w:abstractNumId="182">
    <w:nsid w:val="26A02C5E"/>
    <w:multiLevelType w:val="hybridMultilevel"/>
    <w:lvl w:ilvl="0">
      <w:lvlJc w:val="left"/>
      <w:lvlText w:val="(%1)"/>
      <w:numFmt w:val="decimal"/>
      <w:start w:val="1"/>
    </w:lvl>
  </w:abstractNum>
  <w:abstractNum w:abstractNumId="183">
    <w:nsid w:val="541C8153"/>
    <w:multiLevelType w:val="hybridMultilevel"/>
    <w:lvl w:ilvl="0">
      <w:lvlJc w:val="left"/>
      <w:lvlText w:val="(%1)"/>
      <w:numFmt w:val="decimal"/>
      <w:start w:val="2"/>
    </w:lvl>
  </w:abstractNum>
  <w:abstractNum w:abstractNumId="184">
    <w:nsid w:val="67906F60"/>
    <w:multiLevelType w:val="hybridMultilevel"/>
    <w:lvl w:ilvl="0">
      <w:lvlJc w:val="left"/>
      <w:lvlText w:val="(%1)"/>
      <w:numFmt w:val="decimal"/>
      <w:start w:val="1"/>
    </w:lvl>
  </w:abstractNum>
  <w:abstractNum w:abstractNumId="185">
    <w:nsid w:val="10DB9DAA"/>
    <w:multiLevelType w:val="hybridMultilevel"/>
    <w:lvl w:ilvl="0">
      <w:lvlJc w:val="left"/>
      <w:lvlText w:val="(%1)"/>
      <w:numFmt w:val="decimal"/>
      <w:start w:val="1"/>
    </w:lvl>
  </w:abstractNum>
  <w:abstractNum w:abstractNumId="186">
    <w:nsid w:val="697D2D2"/>
    <w:multiLevelType w:val="hybridMultilevel"/>
    <w:lvl w:ilvl="0">
      <w:lvlJc w:val="left"/>
      <w:lvlText w:val="(%1)"/>
      <w:numFmt w:val="decimal"/>
      <w:start w:val="10"/>
    </w:lvl>
  </w:abstractNum>
  <w:abstractNum w:abstractNumId="187">
    <w:nsid w:val="6D68AB2"/>
    <w:multiLevelType w:val="hybridMultilevel"/>
    <w:lvl w:ilvl="0">
      <w:lvlJc w:val="left"/>
      <w:lvlText w:val="(%1)"/>
      <w:numFmt w:val="lowerLetter"/>
      <w:start w:val="1"/>
    </w:lvl>
  </w:abstractNum>
  <w:abstractNum w:abstractNumId="188">
    <w:nsid w:val="3A966CD0"/>
    <w:multiLevelType w:val="hybridMultilevel"/>
    <w:lvl w:ilvl="0">
      <w:lvlJc w:val="left"/>
      <w:lvlText w:val="(%1)"/>
      <w:numFmt w:val="lowerLetter"/>
      <w:start w:val="2"/>
    </w:lvl>
  </w:abstractNum>
  <w:abstractNum w:abstractNumId="189">
    <w:nsid w:val="63F37E85"/>
    <w:multiLevelType w:val="hybridMultilevel"/>
    <w:lvl w:ilvl="0">
      <w:lvlJc w:val="left"/>
      <w:lvlText w:val="(%1)"/>
      <w:numFmt w:val="lowerLetter"/>
      <w:start w:val="6"/>
    </w:lvl>
  </w:abstractNum>
  <w:abstractNum w:abstractNumId="190">
    <w:nsid w:val="5895F5FA"/>
    <w:multiLevelType w:val="hybridMultilevel"/>
    <w:lvl w:ilvl="0">
      <w:lvlJc w:val="left"/>
      <w:lvlText w:val="(%1)"/>
      <w:numFmt w:val="lowerLetter"/>
      <w:start w:val="1"/>
    </w:lvl>
  </w:abstractNum>
  <w:abstractNum w:abstractNumId="191">
    <w:nsid w:val="38A5D054"/>
    <w:multiLevelType w:val="hybridMultilevel"/>
    <w:lvl w:ilvl="0">
      <w:lvlJc w:val="left"/>
      <w:lvlText w:val="(%1)"/>
      <w:numFmt w:val="lowerRoman"/>
      <w:start w:val="1"/>
    </w:lvl>
  </w:abstractNum>
  <w:abstractNum w:abstractNumId="192">
    <w:nsid w:val="F3F09D8"/>
    <w:multiLevelType w:val="hybridMultilevel"/>
    <w:lvl w:ilvl="0">
      <w:lvlJc w:val="left"/>
      <w:lvlText w:val="(%1)"/>
      <w:numFmt w:val="lowerLetter"/>
      <w:start w:val="1"/>
    </w:lvl>
  </w:abstractNum>
  <w:abstractNum w:abstractNumId="193">
    <w:nsid w:val="4B793735"/>
    <w:multiLevelType w:val="hybridMultilevel"/>
    <w:lvl w:ilvl="0">
      <w:lvlJc w:val="left"/>
      <w:lvlText w:val="(%1)"/>
      <w:numFmt w:val="decimal"/>
      <w:start w:val="1"/>
    </w:lvl>
  </w:abstractNum>
  <w:abstractNum w:abstractNumId="194">
    <w:nsid w:val="4A10B4E8"/>
    <w:multiLevelType w:val="hybridMultilevel"/>
    <w:lvl w:ilvl="0">
      <w:lvlJc w:val="left"/>
      <w:lvlText w:val="(%1)"/>
      <w:numFmt w:val="lowerRoman"/>
      <w:start w:val="2"/>
    </w:lvl>
  </w:abstractNum>
  <w:abstractNum w:abstractNumId="195">
    <w:nsid w:val="43D3BCD4"/>
    <w:multiLevelType w:val="hybridMultilevel"/>
    <w:lvl w:ilvl="0">
      <w:lvlJc w:val="left"/>
      <w:lvlText w:val="(%1)"/>
      <w:numFmt w:val="lowerLetter"/>
      <w:start w:val="1"/>
    </w:lvl>
  </w:abstractNum>
  <w:abstractNum w:abstractNumId="196">
    <w:nsid w:val="4C2A7166"/>
    <w:multiLevelType w:val="hybridMultilevel"/>
    <w:lvl w:ilvl="0">
      <w:lvlJc w:val="left"/>
      <w:lvlText w:val="(%1)"/>
      <w:numFmt w:val="decimal"/>
      <w:start w:val="4"/>
    </w:lvl>
  </w:abstractNum>
  <w:abstractNum w:abstractNumId="197">
    <w:nsid w:val="2E534A82"/>
    <w:multiLevelType w:val="hybridMultilevel"/>
    <w:lvl w:ilvl="0">
      <w:lvlJc w:val="left"/>
      <w:lvlText w:val="(%1)"/>
      <w:numFmt w:val="decimal"/>
      <w:start w:val="1"/>
    </w:lvl>
  </w:abstractNum>
  <w:abstractNum w:abstractNumId="198">
    <w:nsid w:val="26F2D364"/>
    <w:multiLevelType w:val="hybridMultilevel"/>
    <w:lvl w:ilvl="0">
      <w:lvlJc w:val="left"/>
      <w:lvlText w:val="(%1)"/>
      <w:numFmt w:val="decimal"/>
      <w:start w:val="2"/>
    </w:lvl>
  </w:abstractNum>
  <w:abstractNum w:abstractNumId="199">
    <w:nsid w:val="71C1AF98"/>
    <w:multiLevelType w:val="hybridMultilevel"/>
    <w:lvl w:ilvl="0">
      <w:lvlJc w:val="left"/>
      <w:lvlText w:val="(%1)"/>
      <w:numFmt w:val="decimal"/>
      <w:start w:val="4"/>
    </w:lvl>
  </w:abstractNum>
  <w:abstractNum w:abstractNumId="200">
    <w:nsid w:val="3D00B9D9"/>
    <w:multiLevelType w:val="hybridMultilevel"/>
    <w:lvl w:ilvl="0">
      <w:lvlJc w:val="left"/>
      <w:lvlText w:val="(%1)"/>
      <w:numFmt w:val="decimal"/>
      <w:start w:val="7"/>
    </w:lvl>
  </w:abstractNum>
  <w:abstractNum w:abstractNumId="201">
    <w:nsid w:val="15BCABA8"/>
    <w:multiLevelType w:val="hybridMultilevel"/>
    <w:lvl w:ilvl="0">
      <w:lvlJc w:val="left"/>
      <w:lvlText w:val="(%1)"/>
      <w:numFmt w:val="decimal"/>
      <w:start w:val="1"/>
    </w:lvl>
  </w:abstractNum>
  <w:abstractNum w:abstractNumId="202">
    <w:nsid w:val="4E0B9A87"/>
    <w:multiLevelType w:val="hybridMultilevel"/>
    <w:lvl w:ilvl="0">
      <w:lvlJc w:val="left"/>
      <w:lvlText w:val="(%1)"/>
      <w:numFmt w:val="decimal"/>
      <w:start w:val="1"/>
    </w:lvl>
  </w:abstractNum>
  <w:abstractNum w:abstractNumId="203">
    <w:nsid w:val="434BAE75"/>
    <w:multiLevelType w:val="hybridMultilevel"/>
    <w:lvl w:ilvl="0">
      <w:lvlJc w:val="left"/>
      <w:lvlText w:val="(%1)"/>
      <w:numFmt w:val="decimal"/>
      <w:start w:val="1"/>
    </w:lvl>
  </w:abstractNum>
  <w:abstractNum w:abstractNumId="204">
    <w:nsid w:val="4F38F265"/>
    <w:multiLevelType w:val="hybridMultilevel"/>
    <w:lvl w:ilvl="0">
      <w:lvlJc w:val="left"/>
      <w:lvlText w:val="(%1)"/>
      <w:numFmt w:val="decimal"/>
      <w:start w:val="1"/>
    </w:lvl>
  </w:abstractNum>
  <w:abstractNum w:abstractNumId="205">
    <w:nsid w:val="4C502870"/>
    <w:multiLevelType w:val="hybridMultilevel"/>
    <w:lvl w:ilvl="0">
      <w:lvlJc w:val="left"/>
      <w:lvlText w:val="(%1)"/>
      <w:numFmt w:val="lowerLetter"/>
      <w:start w:val="1"/>
    </w:lvl>
  </w:abstractNum>
  <w:abstractNum w:abstractNumId="206">
    <w:nsid w:val="1DE8725A"/>
    <w:multiLevelType w:val="hybridMultilevel"/>
    <w:lvl w:ilvl="0">
      <w:lvlJc w:val="left"/>
      <w:lvlText w:val="(%1)"/>
      <w:numFmt w:val="lowerRoman"/>
      <w:start w:val="2"/>
    </w:lvl>
  </w:abstractNum>
  <w:abstractNum w:abstractNumId="207">
    <w:nsid w:val="6A37288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2019-12-08T23:37:58Z</dcterms:created>
  <dcterms:modified xsi:type="dcterms:W3CDTF">2019-12-08T23:37:58Z</dcterms:modified>
</cp:coreProperties>
</file>