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43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43191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999"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9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4,500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19,413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1,356</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43.15</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20,769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3,582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107.22</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17,187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05/15/2024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2,274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106.56</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14,913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05/15/2024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4,500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4,500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1"/>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05/15/2024</w:t>
            </w:r>
          </w:p>
        </w:tc>
        <w:tc>
          <w:tcPr>
            <w:tcW w:w="1100" w:type="dxa"/>
            <w:vAlign w:val="bottom"/>
          </w:tcPr>
          <w:p>
            <w:pPr>
              <w:spacing w:after="0"/>
              <w:rPr>
                <w:sz w:val="16"/>
                <w:szCs w:val="16"/>
                <w:color w:val="auto"/>
              </w:rPr>
            </w:pPr>
          </w:p>
        </w:tc>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1,356</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1,356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9,494</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13, 2023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4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$106.95 to $107.88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(3) in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$106.22 to $106.86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2023. This option vested with respect to 1/48th of the shares underlying the option on April 1, 2023 and as to an additional 1/48th of the shares underlying the option each month thereafter.</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2"/>
          <w:szCs w:val="32"/>
          <w:color w:val="0000FF"/>
          <w:vertAlign w:val="subscript"/>
        </w:rPr>
        <w:t>05/17/2024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2024-05-17T15:22:23Z</dcterms:created>
  <dcterms:modified xsi:type="dcterms:W3CDTF">2024-05-17T15:22:23Z</dcterms:modified>
</cp:coreProperties>
</file>