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8064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80644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549"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Albers Jeffrey W.</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Blueprint Medicines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BPMC</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40" w:type="dxa"/>
            <w:vAlign w:val="bottom"/>
            <w:tcBorders>
              <w:bottom w:val="single" w:sz="8" w:color="0000EE"/>
            </w:tcBorders>
          </w:tcPr>
          <w:p>
            <w:pPr>
              <w:spacing w:after="0"/>
              <w:rPr>
                <w:sz w:val="6"/>
                <w:szCs w:val="6"/>
                <w:color w:val="auto"/>
              </w:rPr>
            </w:pPr>
          </w:p>
        </w:tc>
        <w:tc>
          <w:tcPr>
            <w:tcW w:w="16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4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60" w:type="dxa"/>
            <w:vAlign w:val="bottom"/>
            <w:tcBorders>
              <w:top w:val="single" w:sz="8" w:color="0000EE"/>
            </w:tcBorders>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4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3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12/19/2024</w:t>
            </w:r>
          </w:p>
        </w:tc>
        <w:tc>
          <w:tcPr>
            <w:tcW w:w="16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BLUEPRINT MEDICINES CORPORATION</w:t>
            </w:r>
          </w:p>
        </w:tc>
        <w:tc>
          <w:tcPr>
            <w:tcW w:w="2300" w:type="dxa"/>
            <w:vAlign w:val="bottom"/>
            <w:gridSpan w:val="3"/>
            <w:vMerge w:val="continue"/>
          </w:tcPr>
          <w:p>
            <w:pPr>
              <w:spacing w:after="0"/>
              <w:rPr>
                <w:sz w:val="10"/>
                <w:szCs w:val="10"/>
                <w:color w:val="auto"/>
              </w:rPr>
            </w:pPr>
          </w:p>
        </w:tc>
        <w:tc>
          <w:tcPr>
            <w:tcW w:w="16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45 SIDNEY STREET</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140" w:type="dxa"/>
            <w:vAlign w:val="bottom"/>
            <w:tcBorders>
              <w:bottom w:val="single" w:sz="8" w:color="2C2C2C"/>
            </w:tcBorders>
          </w:tcPr>
          <w:p>
            <w:pPr>
              <w:spacing w:after="0"/>
              <w:rPr>
                <w:sz w:val="11"/>
                <w:szCs w:val="11"/>
                <w:color w:val="auto"/>
              </w:rPr>
            </w:pPr>
          </w:p>
        </w:tc>
        <w:tc>
          <w:tcPr>
            <w:tcW w:w="16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549"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02139</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549"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6"/>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2"/>
          </w:tcPr>
          <w:p>
            <w:pPr>
              <w:jc w:val="center"/>
              <w:ind w:left="549"/>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9"/>
              <w:spacing w:after="0"/>
              <w:rPr>
                <w:sz w:val="20"/>
                <w:szCs w:val="20"/>
                <w:color w:val="auto"/>
              </w:rPr>
            </w:pPr>
            <w:r>
              <w:rPr>
                <w:rFonts w:ascii="Times New Roman" w:cs="Times New Roman" w:eastAsia="Times New Roman" w:hAnsi="Times New Roman"/>
                <w:sz w:val="17"/>
                <w:szCs w:val="17"/>
                <w:color w:val="0000FF"/>
                <w:w w:val="98"/>
              </w:rPr>
              <w:t>12/19/2024</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00" w:type="dxa"/>
            <w:vAlign w:val="bottom"/>
            <w:tcBorders>
              <w:bottom w:val="single" w:sz="8" w:color="2C2C2C"/>
            </w:tcBorders>
          </w:tcPr>
          <w:p>
            <w:pPr>
              <w:jc w:val="center"/>
              <w:ind w:left="90"/>
              <w:spacing w:after="0"/>
              <w:rPr>
                <w:sz w:val="20"/>
                <w:szCs w:val="20"/>
                <w:color w:val="auto"/>
              </w:rPr>
            </w:pPr>
            <w:r>
              <w:rPr>
                <w:rFonts w:ascii="Times New Roman" w:cs="Times New Roman" w:eastAsia="Times New Roman" w:hAnsi="Times New Roman"/>
                <w:sz w:val="17"/>
                <w:szCs w:val="17"/>
                <w:color w:val="0000FF"/>
                <w:w w:val="98"/>
              </w:rPr>
              <w:t>15,000</w:t>
            </w:r>
          </w:p>
        </w:tc>
        <w:tc>
          <w:tcPr>
            <w:tcW w:w="660" w:type="dxa"/>
            <w:vAlign w:val="bottom"/>
            <w:tcBorders>
              <w:bottom w:val="single" w:sz="8" w:color="2C2C2C"/>
            </w:tcBorders>
          </w:tcPr>
          <w:p>
            <w:pPr>
              <w:jc w:val="right"/>
              <w:ind w:right="153"/>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jc w:val="center"/>
              <w:ind w:left="9"/>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36.05</w:t>
            </w: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172,557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9"/>
              <w:spacing w:after="0"/>
              <w:rPr>
                <w:sz w:val="20"/>
                <w:szCs w:val="20"/>
                <w:color w:val="auto"/>
              </w:rPr>
            </w:pPr>
            <w:r>
              <w:rPr>
                <w:rFonts w:ascii="Times New Roman" w:cs="Times New Roman" w:eastAsia="Times New Roman" w:hAnsi="Times New Roman"/>
                <w:sz w:val="17"/>
                <w:szCs w:val="17"/>
                <w:color w:val="0000FF"/>
                <w:w w:val="98"/>
              </w:rPr>
              <w:t>12/19/2024</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center"/>
              <w:ind w:left="90"/>
              <w:spacing w:after="0"/>
              <w:rPr>
                <w:sz w:val="20"/>
                <w:szCs w:val="20"/>
                <w:color w:val="auto"/>
              </w:rPr>
            </w:pPr>
            <w:r>
              <w:rPr>
                <w:rFonts w:ascii="Times New Roman" w:cs="Times New Roman" w:eastAsia="Times New Roman" w:hAnsi="Times New Roman"/>
                <w:sz w:val="17"/>
                <w:szCs w:val="17"/>
                <w:color w:val="0000FF"/>
                <w:w w:val="99"/>
              </w:rPr>
              <w:t>3,920</w:t>
            </w:r>
          </w:p>
        </w:tc>
        <w:tc>
          <w:tcPr>
            <w:tcW w:w="660" w:type="dxa"/>
            <w:vAlign w:val="bottom"/>
            <w:tcBorders>
              <w:bottom w:val="single" w:sz="8" w:color="2C2C2C"/>
            </w:tcBorders>
          </w:tcPr>
          <w:p>
            <w:pPr>
              <w:jc w:val="right"/>
              <w:ind w:right="153"/>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88.28</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168,637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9"/>
              <w:spacing w:after="0"/>
              <w:rPr>
                <w:sz w:val="20"/>
                <w:szCs w:val="20"/>
                <w:color w:val="auto"/>
              </w:rPr>
            </w:pPr>
            <w:r>
              <w:rPr>
                <w:rFonts w:ascii="Times New Roman" w:cs="Times New Roman" w:eastAsia="Times New Roman" w:hAnsi="Times New Roman"/>
                <w:sz w:val="17"/>
                <w:szCs w:val="17"/>
                <w:color w:val="0000FF"/>
                <w:w w:val="98"/>
              </w:rPr>
              <w:t>12/19/2024</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center"/>
              <w:ind w:left="90"/>
              <w:spacing w:after="0"/>
              <w:rPr>
                <w:sz w:val="20"/>
                <w:szCs w:val="20"/>
                <w:color w:val="auto"/>
              </w:rPr>
            </w:pPr>
            <w:r>
              <w:rPr>
                <w:rFonts w:ascii="Times New Roman" w:cs="Times New Roman" w:eastAsia="Times New Roman" w:hAnsi="Times New Roman"/>
                <w:sz w:val="17"/>
                <w:szCs w:val="17"/>
                <w:color w:val="0000FF"/>
                <w:w w:val="99"/>
              </w:rPr>
              <w:t>5,180</w:t>
            </w:r>
          </w:p>
        </w:tc>
        <w:tc>
          <w:tcPr>
            <w:tcW w:w="660" w:type="dxa"/>
            <w:vAlign w:val="bottom"/>
            <w:tcBorders>
              <w:bottom w:val="single" w:sz="8" w:color="2C2C2C"/>
            </w:tcBorders>
          </w:tcPr>
          <w:p>
            <w:pPr>
              <w:jc w:val="right"/>
              <w:ind w:right="153"/>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89.01</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163,457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9"/>
              <w:spacing w:after="0"/>
              <w:rPr>
                <w:sz w:val="20"/>
                <w:szCs w:val="20"/>
                <w:color w:val="auto"/>
              </w:rPr>
            </w:pPr>
            <w:r>
              <w:rPr>
                <w:rFonts w:ascii="Times New Roman" w:cs="Times New Roman" w:eastAsia="Times New Roman" w:hAnsi="Times New Roman"/>
                <w:sz w:val="17"/>
                <w:szCs w:val="17"/>
                <w:color w:val="0000FF"/>
                <w:w w:val="98"/>
              </w:rPr>
              <w:t>12/19/2024</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center"/>
              <w:ind w:left="90"/>
              <w:spacing w:after="0"/>
              <w:rPr>
                <w:sz w:val="20"/>
                <w:szCs w:val="20"/>
                <w:color w:val="auto"/>
              </w:rPr>
            </w:pPr>
            <w:r>
              <w:rPr>
                <w:rFonts w:ascii="Times New Roman" w:cs="Times New Roman" w:eastAsia="Times New Roman" w:hAnsi="Times New Roman"/>
                <w:sz w:val="17"/>
                <w:szCs w:val="17"/>
                <w:color w:val="0000FF"/>
                <w:w w:val="99"/>
              </w:rPr>
              <w:t>3,800</w:t>
            </w:r>
          </w:p>
        </w:tc>
        <w:tc>
          <w:tcPr>
            <w:tcW w:w="660" w:type="dxa"/>
            <w:vAlign w:val="bottom"/>
            <w:tcBorders>
              <w:bottom w:val="single" w:sz="8" w:color="2C2C2C"/>
            </w:tcBorders>
          </w:tcPr>
          <w:p>
            <w:pPr>
              <w:jc w:val="right"/>
              <w:ind w:right="153"/>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91.15</w:t>
            </w:r>
            <w:r>
              <w:rPr>
                <w:rFonts w:ascii="Times New Roman" w:cs="Times New Roman" w:eastAsia="Times New Roman" w:hAnsi="Times New Roman"/>
                <w:sz w:val="21"/>
                <w:szCs w:val="21"/>
                <w:color w:val="008000"/>
                <w:w w:val="93"/>
                <w:vertAlign w:val="superscript"/>
              </w:rPr>
              <w:t>(4)</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159,657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9"/>
              <w:spacing w:after="0"/>
              <w:rPr>
                <w:sz w:val="20"/>
                <w:szCs w:val="20"/>
                <w:color w:val="auto"/>
              </w:rPr>
            </w:pPr>
            <w:r>
              <w:rPr>
                <w:rFonts w:ascii="Times New Roman" w:cs="Times New Roman" w:eastAsia="Times New Roman" w:hAnsi="Times New Roman"/>
                <w:sz w:val="17"/>
                <w:szCs w:val="17"/>
                <w:color w:val="0000FF"/>
                <w:w w:val="98"/>
              </w:rPr>
              <w:t>12/19/2024</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center"/>
              <w:ind w:left="90"/>
              <w:spacing w:after="0"/>
              <w:rPr>
                <w:sz w:val="20"/>
                <w:szCs w:val="20"/>
                <w:color w:val="auto"/>
              </w:rPr>
            </w:pPr>
            <w:r>
              <w:rPr>
                <w:rFonts w:ascii="Times New Roman" w:cs="Times New Roman" w:eastAsia="Times New Roman" w:hAnsi="Times New Roman"/>
                <w:sz w:val="17"/>
                <w:szCs w:val="17"/>
                <w:color w:val="0000FF"/>
                <w:w w:val="99"/>
              </w:rPr>
              <w:t>2,100</w:t>
            </w:r>
          </w:p>
        </w:tc>
        <w:tc>
          <w:tcPr>
            <w:tcW w:w="660" w:type="dxa"/>
            <w:vAlign w:val="bottom"/>
            <w:tcBorders>
              <w:bottom w:val="single" w:sz="8" w:color="2C2C2C"/>
            </w:tcBorders>
          </w:tcPr>
          <w:p>
            <w:pPr>
              <w:jc w:val="right"/>
              <w:ind w:right="153"/>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91.96</w:t>
            </w:r>
            <w:r>
              <w:rPr>
                <w:rFonts w:ascii="Times New Roman" w:cs="Times New Roman" w:eastAsia="Times New Roman" w:hAnsi="Times New Roman"/>
                <w:sz w:val="21"/>
                <w:szCs w:val="21"/>
                <w:color w:val="008000"/>
                <w:w w:val="93"/>
                <w:vertAlign w:val="superscript"/>
              </w:rPr>
              <w:t>(5)</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157,557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2"/>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0"/>
          </w:tcPr>
          <w:p>
            <w:pPr>
              <w:jc w:val="center"/>
              <w:ind w:left="489"/>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36.05</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12/19/2024</w:t>
            </w:r>
          </w:p>
        </w:tc>
        <w:tc>
          <w:tcPr>
            <w:tcW w:w="1140" w:type="dxa"/>
            <w:vAlign w:val="bottom"/>
          </w:tcPr>
          <w:p>
            <w:pPr>
              <w:spacing w:after="0"/>
              <w:rPr>
                <w:sz w:val="16"/>
                <w:szCs w:val="16"/>
                <w:color w:val="auto"/>
              </w:rPr>
            </w:pPr>
          </w:p>
        </w:tc>
        <w:tc>
          <w:tcPr>
            <w:tcW w:w="620" w:type="dxa"/>
            <w:vAlign w:val="bottom"/>
          </w:tcPr>
          <w:p>
            <w:pPr>
              <w:ind w:left="80"/>
              <w:spacing w:after="0" w:line="193"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160" w:type="dxa"/>
            <w:vAlign w:val="bottom"/>
          </w:tcPr>
          <w:p>
            <w:pPr>
              <w:spacing w:after="0"/>
              <w:rPr>
                <w:sz w:val="16"/>
                <w:szCs w:val="16"/>
                <w:color w:val="auto"/>
              </w:rPr>
            </w:pPr>
          </w:p>
        </w:tc>
        <w:tc>
          <w:tcPr>
            <w:tcW w:w="86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15,000</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(6)</w:t>
            </w:r>
          </w:p>
        </w:tc>
        <w:tc>
          <w:tcPr>
            <w:tcW w:w="70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02/16/2027</w:t>
            </w: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15,000</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36.05</w:t>
            </w: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120,000</w:t>
            </w: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jc w:val="right"/>
              <w:ind w:right="153"/>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Effected pursuant to a trading plan adopted on May 8, 2024 pursuant to Rule 10b5-1 under the Securities Exchange Act of 1934, as amended.</w:t>
      </w:r>
    </w:p>
    <w:p>
      <w:pPr>
        <w:spacing w:after="0" w:line="43" w:lineRule="exact"/>
        <w:rPr>
          <w:rFonts w:ascii="Times New Roman" w:cs="Times New Roman" w:eastAsia="Times New Roman" w:hAnsi="Times New Roman"/>
          <w:sz w:val="13"/>
          <w:szCs w:val="13"/>
          <w:color w:val="008000"/>
        </w:rPr>
      </w:pPr>
    </w:p>
    <w:p>
      <w:pPr>
        <w:ind w:left="40" w:right="220" w:firstLine="2"/>
        <w:spacing w:after="0" w:line="291" w:lineRule="auto"/>
        <w:tabs>
          <w:tab w:leader="none" w:pos="16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is a weighted average price. These shares were sold in multiple transactions ranging from $87.60 to $88.49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ind w:left="40" w:right="220" w:firstLine="2"/>
        <w:spacing w:after="0" w:line="291" w:lineRule="auto"/>
        <w:tabs>
          <w:tab w:leader="none" w:pos="16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is a weighted average price. These shares were sold in multiple transactions ranging from $88.63 to $89.55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ind w:left="40" w:right="220" w:firstLine="2"/>
        <w:spacing w:after="0" w:line="291" w:lineRule="auto"/>
        <w:tabs>
          <w:tab w:leader="none" w:pos="16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is a weighted average price. These shares were sold in multiple transactions ranging from $90.79 to $91.55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ind w:left="40" w:right="220" w:firstLine="2"/>
        <w:spacing w:after="0" w:line="291" w:lineRule="auto"/>
        <w:tabs>
          <w:tab w:leader="none" w:pos="16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is a weighted average price. These shares were sold in multiple transactions ranging from $91.84 to $92.15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February 16, 2017 and is fully vested as of the transaction date.</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Melissa Masse, Attorney-in- </w:t>
      </w:r>
      <w:r>
        <w:rPr>
          <w:rFonts w:ascii="Times New Roman" w:cs="Times New Roman" w:eastAsia="Times New Roman" w:hAnsi="Times New Roman"/>
          <w:sz w:val="33"/>
          <w:szCs w:val="33"/>
          <w:color w:val="0000FF"/>
          <w:vertAlign w:val="subscript"/>
        </w:rPr>
        <w:t>12/20/2024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423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83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54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38474" TargetMode="External"/><Relationship Id="rId14"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2024-12-20T15:37:55Z</dcterms:created>
  <dcterms:modified xsi:type="dcterms:W3CDTF">2024-12-20T15:37:55Z</dcterms:modified>
</cp:coreProperties>
</file>