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BLUEPRINT MEDICINES CORP</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09627Y109</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March 31, 2024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Statement)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jc w:val="both"/>
        <w:ind w:left="540" w:right="8019" w:hanging="532"/>
        <w:spacing w:after="0" w:line="323"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46"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right="6019" w:hanging="312"/>
        <w:spacing w:after="0" w:line="346"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6,049,697</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6,250,823</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109" w:lineRule="exact"/>
        <w:rPr>
          <w:sz w:val="24"/>
          <w:szCs w:val="24"/>
          <w:color w:val="auto"/>
        </w:rPr>
      </w:pPr>
    </w:p>
    <w:p>
      <w:pPr>
        <w:ind w:left="320" w:right="3499" w:hanging="312"/>
        <w:spacing w:after="0" w:line="346"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6,250,823</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53"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3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10.2%</w:t>
      </w:r>
    </w:p>
    <w:p>
      <w:pPr>
        <w:spacing w:after="0" w:line="169"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BLUEPRINT MEDICINES CORP</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45 SIDNEY STREET, CAMBRIDGE, MASSACHUSETTS 02139</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T. ROWE PRICE ASSOCIATES, INC. (Price Associates)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100 E. Pratt Street, Baltimore, MD 21202</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Maryland</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 09627Y109</w:t>
      </w:r>
    </w:p>
    <w:p>
      <w:pPr>
        <w:sectPr>
          <w:pgSz w:w="11900" w:h="16838" w:orient="portrait"/>
          <w:cols w:equalWidth="0" w:num="1">
            <w:col w:w="10139"/>
          </w:cols>
          <w:pgMar w:left="32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31" w:lineRule="exact"/>
        <w:rPr>
          <w:sz w:val="20"/>
          <w:szCs w:val="20"/>
          <w:color w:val="auto"/>
        </w:rPr>
      </w:pPr>
    </w:p>
    <w:p>
      <w:pPr>
        <w:ind w:left="420" w:right="2859" w:hanging="412"/>
        <w:spacing w:after="0" w:line="309"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50" w:lineRule="exact"/>
        <w:rPr>
          <w:sz w:val="20"/>
          <w:szCs w:val="20"/>
          <w:color w:val="auto"/>
        </w:rPr>
      </w:pPr>
    </w:p>
    <w:p>
      <w:pPr>
        <w:ind w:left="860" w:right="2759" w:hanging="841"/>
        <w:spacing w:after="0" w:line="346"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w:t>
      </w:r>
    </w:p>
    <w:p>
      <w:pPr>
        <w:spacing w:after="0" w:line="30" w:lineRule="exact"/>
        <w:rPr>
          <w:rFonts w:ascii="Courier New" w:cs="Courier New" w:eastAsia="Courier New" w:hAnsi="Courier New"/>
          <w:sz w:val="18"/>
          <w:szCs w:val="18"/>
          <w:color w:val="auto"/>
        </w:rPr>
      </w:pPr>
    </w:p>
    <w:p>
      <w:pPr>
        <w:ind w:left="860" w:right="3079"/>
        <w:spacing w:after="0" w:line="304"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of the assets of any of its clients; accordingly, in each instance only the client or the client's custodian or trustee bank has the right to receive dividends paid with respect to, and proceeds from the sale of, such securities.</w:t>
      </w:r>
    </w:p>
    <w:p>
      <w:pPr>
        <w:spacing w:after="0" w:line="62" w:lineRule="exact"/>
        <w:rPr>
          <w:rFonts w:ascii="Courier New" w:cs="Courier New" w:eastAsia="Courier New" w:hAnsi="Courier New"/>
          <w:sz w:val="18"/>
          <w:szCs w:val="18"/>
          <w:color w:val="auto"/>
        </w:rPr>
      </w:pPr>
    </w:p>
    <w:p>
      <w:pPr>
        <w:ind w:left="860" w:right="2339"/>
        <w:spacing w:after="0" w:line="25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w:t>
      </w:r>
    </w:p>
    <w:p>
      <w:pPr>
        <w:spacing w:after="0" w:line="2"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serves as investment adviser.</w:t>
      </w:r>
    </w:p>
    <w:p>
      <w:pPr>
        <w:ind w:left="860" w:right="26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 and all discretionary authority which has been delegated to Price Associates may be revoked</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 whole or in part at any time.</w:t>
      </w:r>
    </w:p>
    <w:p>
      <w:pPr>
        <w:spacing w:after="0" w:line="169" w:lineRule="exact"/>
        <w:rPr>
          <w:rFonts w:ascii="Courier New" w:cs="Courier New" w:eastAsia="Courier New" w:hAnsi="Courier New"/>
          <w:sz w:val="18"/>
          <w:szCs w:val="18"/>
          <w:color w:val="auto"/>
        </w:rPr>
      </w:pPr>
    </w:p>
    <w:p>
      <w:pPr>
        <w:ind w:left="860" w:right="2119"/>
        <w:spacing w:after="0" w:line="25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may be indicated if this is a joint filing with one of the registered investment companies sponsored by</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which it also serves as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("T. Rowe Price Funds"), not more</w:t>
      </w:r>
    </w:p>
    <w:p>
      <w:pPr>
        <w:ind w:left="860" w:right="233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than 5% of the class of such securities is owned by any one client subject to the investment advice of Price Associates.</w:t>
      </w:r>
    </w:p>
    <w:p>
      <w:pPr>
        <w:spacing w:after="0" w:line="253" w:lineRule="exact"/>
        <w:rPr>
          <w:sz w:val="20"/>
          <w:szCs w:val="20"/>
          <w:color w:val="auto"/>
        </w:rPr>
      </w:pPr>
    </w:p>
    <w:p>
      <w:pPr>
        <w:ind w:left="860" w:right="1919" w:hanging="841"/>
        <w:spacing w:after="0" w:line="257"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ind w:left="860" w:right="3279" w:hanging="841"/>
        <w:spacing w:after="0" w:line="346"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31" w:lineRule="exact"/>
        <w:rPr>
          <w:sz w:val="20"/>
          <w:szCs w:val="20"/>
          <w:color w:val="auto"/>
        </w:rPr>
      </w:pPr>
    </w:p>
    <w:p>
      <w:pPr>
        <w:ind w:left="960" w:right="2019"/>
        <w:spacing w:after="0" w:line="238"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 Rowe Price Associates, Inc. hereby declares and affirms</w:t>
      </w:r>
    </w:p>
    <w:p>
      <w:pPr>
        <w:ind w:left="960" w:right="1819"/>
        <w:spacing w:after="0" w:line="238" w:lineRule="auto"/>
        <w:rPr>
          <w:sz w:val="20"/>
          <w:szCs w:val="20"/>
          <w:color w:val="auto"/>
        </w:rPr>
      </w:pPr>
      <w:r>
        <w:rPr>
          <w:rFonts w:ascii="Courier New" w:cs="Courier New" w:eastAsia="Courier New" w:hAnsi="Courier New"/>
          <w:sz w:val="18"/>
          <w:szCs w:val="18"/>
          <w:color w:val="auto"/>
        </w:rPr>
        <w:t>that the filing of Schedule 13G shall not be construed as an admission that Price Associates is the beneficial owner of the</w:t>
      </w:r>
    </w:p>
    <w:p>
      <w:pPr>
        <w:spacing w:after="0" w:line="1" w:lineRule="exact"/>
        <w:rPr>
          <w:sz w:val="20"/>
          <w:szCs w:val="20"/>
          <w:color w:val="auto"/>
        </w:rPr>
      </w:pPr>
    </w:p>
    <w:p>
      <w:pPr>
        <w:ind w:left="960" w:right="2559"/>
        <w:spacing w:after="0" w:line="309" w:lineRule="auto"/>
        <w:rPr>
          <w:sz w:val="20"/>
          <w:szCs w:val="20"/>
          <w:color w:val="auto"/>
        </w:rPr>
      </w:pPr>
      <w:r>
        <w:rPr>
          <w:rFonts w:ascii="Courier New" w:cs="Courier New" w:eastAsia="Courier New" w:hAnsi="Courier New"/>
          <w:sz w:val="18"/>
          <w:szCs w:val="18"/>
          <w:color w:val="auto"/>
        </w:rPr>
        <w:t>securities referred to, which beneficial ownership is expressly denied.</w:t>
      </w:r>
    </w:p>
    <w:p>
      <w:pPr>
        <w:spacing w:after="0" w:line="5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jc w:val="both"/>
        <w:ind w:left="960" w:right="20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April 10, 2024</w:t>
      </w:r>
    </w:p>
    <w:p>
      <w:pPr>
        <w:spacing w:after="0" w:line="238" w:lineRule="auto"/>
        <w:rPr>
          <w:sz w:val="20"/>
          <w:szCs w:val="20"/>
          <w:color w:val="auto"/>
        </w:rPr>
      </w:pPr>
      <w:r>
        <w:rPr>
          <w:rFonts w:ascii="Courier New" w:cs="Courier New" w:eastAsia="Courier New" w:hAnsi="Courier New"/>
          <w:sz w:val="18"/>
          <w:szCs w:val="18"/>
          <w:color w:val="auto"/>
        </w:rPr>
        <w:t>Signature: /s/ Armando Capasso</w:t>
      </w:r>
    </w:p>
    <w:p>
      <w:pPr>
        <w:spacing w:after="0"/>
        <w:rPr>
          <w:sz w:val="20"/>
          <w:szCs w:val="20"/>
          <w:color w:val="auto"/>
        </w:rPr>
      </w:pPr>
      <w:r>
        <w:rPr>
          <w:rFonts w:ascii="Courier New" w:cs="Courier New" w:eastAsia="Courier New" w:hAnsi="Courier New"/>
          <w:sz w:val="18"/>
          <w:szCs w:val="18"/>
          <w:color w:val="auto"/>
        </w:rPr>
        <w:t>Name &amp; Title: Armando Capasso, Vice President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03/31/2024</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2024-04-10T12:04:35Z</dcterms:created>
  <dcterms:modified xsi:type="dcterms:W3CDTF">2024-04-10T12:04:35Z</dcterms:modified>
</cp:coreProperties>
</file>